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December 31, 2013</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On February 11, 2014, Federal Realty Investment Trust issued supplemental data pertaining to its operations, as well as a press release, to report its financial results for the quarter ended December 31, 2013.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2013 (including press release dated February 11, 2014)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40"/>
        <w:spacing w:after="0"/>
        <w:tabs>
          <w:tab w:leader="none" w:pos="820" w:val="left"/>
          <w:tab w:leader="none" w:pos="47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11, 2014</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2013</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Fourth Quarter and Year End 2013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6">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Mixed Use Projects Phase I</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Development /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2013 Significant Acquisition and Dispositions and 2014 Significant Acquisition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14</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27</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2014,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2014.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8"/>
        </w:trPr>
        <w:tc>
          <w:tcPr>
            <w:tcW w:w="20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Investor Inquiries</w:t>
            </w: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Kristina Lennox</w:t>
            </w:r>
          </w:p>
        </w:tc>
        <w:tc>
          <w:tcPr>
            <w:tcW w:w="47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Investor Relations Manager</w:t>
            </w:r>
          </w:p>
        </w:tc>
        <w:tc>
          <w:tcPr>
            <w:tcW w:w="2320" w:type="dxa"/>
            <w:vAlign w:val="bottom"/>
            <w:gridSpan w:val="2"/>
          </w:tcPr>
          <w:p>
            <w:pPr>
              <w:spacing w:after="0"/>
              <w:rPr>
                <w:sz w:val="20"/>
                <w:szCs w:val="20"/>
                <w:color w:val="auto"/>
              </w:rPr>
            </w:pPr>
            <w:r>
              <w:rPr>
                <w:rFonts w:ascii="Arial" w:cs="Arial" w:eastAsia="Arial" w:hAnsi="Arial"/>
                <w:sz w:val="18"/>
                <w:szCs w:val="18"/>
                <w:color w:val="auto"/>
              </w:rPr>
              <w:t>Director, Marketing</w:t>
            </w:r>
          </w:p>
        </w:tc>
      </w:tr>
      <w:tr>
        <w:trPr>
          <w:trHeight w:val="257"/>
        </w:trPr>
        <w:tc>
          <w:tcPr>
            <w:tcW w:w="1560" w:type="dxa"/>
            <w:vAlign w:val="bottom"/>
            <w:gridSpan w:val="2"/>
          </w:tcPr>
          <w:p>
            <w:pPr>
              <w:ind w:left="200"/>
              <w:spacing w:after="0"/>
              <w:rPr>
                <w:sz w:val="20"/>
                <w:szCs w:val="20"/>
                <w:color w:val="auto"/>
              </w:rPr>
            </w:pPr>
            <w:r>
              <w:rPr>
                <w:rFonts w:ascii="Arial" w:cs="Arial" w:eastAsia="Arial" w:hAnsi="Arial"/>
                <w:sz w:val="18"/>
                <w:szCs w:val="18"/>
                <w:color w:val="auto"/>
              </w:rPr>
              <w:t>301/998-8265</w:t>
            </w:r>
          </w:p>
        </w:tc>
        <w:tc>
          <w:tcPr>
            <w:tcW w:w="4760" w:type="dxa"/>
            <w:vAlign w:val="bottom"/>
          </w:tcPr>
          <w:p>
            <w:pPr>
              <w:spacing w:after="0"/>
              <w:rPr>
                <w:sz w:val="22"/>
                <w:szCs w:val="22"/>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klennox@federalrealty.com</w:t>
            </w: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FOURTH QUARTER AND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YEAR-END 2013 OPERATING RESULTS</w:t>
      </w:r>
    </w:p>
    <w:p>
      <w:pPr>
        <w:spacing w:after="0" w:line="279"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ROCKVILLE, Md. (February 11, 2014) - Federal Realty Investment Trust (NYSE:FRT) today reported operating results for its fourth quarter and year-ended December 31, 2013.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generated funds from operations available for common shareholders (FFO) of $68.4 million, or $1.03 per diluted share for fourth quarter 2013 which was negatively impacted by a charge for early extinguishment of debt. Without the charge for early extinguishment of debt, FFO would have been $78.2 million or $1.18 per diluted share, which includes acquisition costs of $0.02 that were incurred during the quarter. This compares to FFO of $71.7 million, or $1.11 per diluted share, in fourth quarter 2012. For the year ending December 31, 2013, Federal Realty reported FFO of $289.9 million, or $4.41 per diluted share which includes the early extinguishment of debt. FFO for calendar year 2013 without the charge for early extinguishment of debt would have been $303.2 million of $4.61 per diluted share. This compares to $277.2 million, or $4.31 per diluted share, for the year ending December 31, 2012.</w:t>
      </w:r>
    </w:p>
    <w:p>
      <w:pPr>
        <w:spacing w:after="0" w:line="300"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$28.3 million and earnings per diluted share was $0.42 for fourth quarter 2013 versus $37.6 million and $0.58, respectively, for fourth quarter 2012. For the year ending December 31, 2013, Federal Realty reported net income available for common shareholders of $162.1 million and earnings per diluted share of $2.46. This compares to net income available for shareholders of $151.4 million and earnings per diluted share of $2.35 for the year ending December 31, 2012.</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 in addition to Form 8-K that was filed.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Same-center property operating income in 2013 increased 4.4% including redevelopments and expansions, and 4.5% excluding redevelopments and expansions compared to 2012. Both of those same-center comparisons exclude the lease termination fee from Safeway last year to more properly reflect comparability. On a quarterly-basis, same-center property operating income in fourth quarter 2013 increased 3.6% including redevelopment and expansion properties, and 4.3% excluding redevelopment and expansion properties, compared to fourth quarter 2012.</w:t>
      </w:r>
    </w:p>
    <w:p>
      <w:pPr>
        <w:spacing w:after="0" w:line="20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95.8% leased as of December 31, 2013, compared to 95.3% on September 30, 2013 and 95.3% on December 31, 2012. Federal Realty’s same-center portfolio was 95.9% leased on December 31, 2013, compared to 95.4% on September 30, 2013 and 95.2% on December 31, 2012.</w:t>
      </w:r>
    </w:p>
    <w:p>
      <w:pPr>
        <w:spacing w:after="0" w:line="18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During fourth quarter 2013, the Trust signed 99 leases for 484,144 square feet of retail space.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395,906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25%. The average contractual rent on this comparable space for the first year of the new lease is $27.24 per square foot compared to the average contractual rent of $21.73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38% for fourth quarter 2013.</w:t>
      </w:r>
    </w:p>
    <w:p>
      <w:pPr>
        <w:spacing w:after="0" w:line="205"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all of 2013, Federal Realty signed 348 leases representing 1.4 million square feet of comparable retail space at an average cash-basis contractual rent increase per square foot of 20%, and 33% on a GAAP-basis. The average cash-basis contractual rent on this comparable space for the first year of the new lease is $32.41 per square foot compared to the average cash-basis contractual rent of $27.00 per square foot for the last year of the prior lease. As of December 31, 2013, Federal Realty’s average contractual minimum rent for retail and commercial space in its portfolio is $24.54 per square foot, as compared to $23.83 per square foot on December 31, 2012.</w:t>
      </w:r>
    </w:p>
    <w:p>
      <w:pPr>
        <w:spacing w:after="0" w:line="298"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“The 2013 fourth quarter, and in fact the entire year, was another fundamentally strong one in so many respects for our company,” said Donald C. Wood, president and chief executive officer of Federal Realty Investment Trust. “Leasing activity in all the markets we serve was robust, particularly in Northern California and Boston, and we were able to drive rent increases that set us up particularly well for growth in 2014. Add to that the January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acquisitions of two great shopping centers in central New Jersey and a very full development pipeline set to begin to deliver in 2014; you can begin to understand our optimism for the years ahead.”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ind w:left="660" w:right="1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December 9, 2013 - Federal Realty issued $300 million aggregate principal amount of 3.95% senior unsecured notes due January 15, 2024.</w:t>
      </w:r>
    </w:p>
    <w:p>
      <w:pPr>
        <w:spacing w:after="0" w:line="14" w:lineRule="exact"/>
        <w:rPr>
          <w:rFonts w:ascii="Arial" w:cs="Arial" w:eastAsia="Arial" w:hAnsi="Arial"/>
          <w:sz w:val="18"/>
          <w:szCs w:val="18"/>
          <w:color w:val="auto"/>
        </w:rPr>
      </w:pPr>
    </w:p>
    <w:p>
      <w:pPr>
        <w:ind w:left="660" w:right="460" w:hanging="328"/>
        <w:spacing w:after="0" w:line="3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December 2013 - On December 27, 2013, Federal Realty redeemed its 5.95% Senior Unsecured notes (“Notes”) due 2014 for aggregate principal of $150 million. The redemption price was approximately $158.3 million, including $3.3 million of accrued and unpaid interest. Also, in December, Federal Realty repaid $129 million of 7.50% mortgage notes due 2014. The total prepayment premium paid during the fourth quarter 2013 for both the Notes and the 7.50% mortgage notes was $9.4 million.</w:t>
      </w:r>
    </w:p>
    <w:p>
      <w:pPr>
        <w:spacing w:after="0" w:line="14" w:lineRule="exact"/>
        <w:rPr>
          <w:rFonts w:ascii="Arial" w:cs="Arial" w:eastAsia="Arial" w:hAnsi="Arial"/>
          <w:sz w:val="18"/>
          <w:szCs w:val="18"/>
          <w:color w:val="auto"/>
        </w:rPr>
      </w:pPr>
    </w:p>
    <w:p>
      <w:pPr>
        <w:ind w:left="660" w:right="80" w:hanging="328"/>
        <w:spacing w:after="0" w:line="3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January 6, 2014 - Federal Realty announced the acquisition of a controlling interest in two shopping centers totaling 285,600 square feet in affluent Monmouth County, New Jersey, for a total value of $161 million. The Grove at Shrewsbury and Brook 35 are located on busy Route 35, less than three miles from the Garden State Parkway, serving the NY Metro emerging bedroom and second home communities of Shrewsbury, Red Bank, Rumson, Fair Haven, Little Silver and Middletown. The acquisition, which was effective January 1, 2014, was made using a combination of downREIT units, cash and the assumption of $68 million of fixed rate debt secured by the 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$0.78 per share on its common shares, resulting in an indicated annual rate of $3.12 per share. The regular common dividend will be payable on April 15, 2014 to common shareholders of record on March 21,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We have raised our 2014 guidance for FFO per diluted share to a range of $4.86 to $4.93. Our updated earnings per diluted share guidance is $2.54 to $2.62.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fourth quarter and year-end 2013 earnings conference call, which is scheduled for February 12, 2014, at 11 a.m. Eastern Standard Time. To participate, please call (800) 708-4540 five to ten minutes prior to the call start time and use the passcode 36254568 (required). Federal Realty will also provide an online webcast on the Company’s web 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March 12, 2014, by dialing (888) 843-7419 and using the passcode 36254568.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 (excluding joint venture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74"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properties) contains approximately 20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95.8% leased to national, regional, and local retailers as of December 31, 2013, with no single tenant accounting for more than approximately 3.5% of annualized base rent. Federal Realty has paid quarterly dividends to its shareholders continuously since its founding in 1962, and has increased its dividend rate for 46 consecutive years, the longest record in the REIT industry. Federal Realty is an S&amp;P MidCap 400 company and its shares are traded on the NYSE under the symbol FRT.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2014, and include the following:</w:t>
      </w:r>
    </w:p>
    <w:p>
      <w:pPr>
        <w:spacing w:after="0" w:line="206" w:lineRule="exact"/>
        <w:rPr>
          <w:sz w:val="20"/>
          <w:szCs w:val="20"/>
          <w:color w:val="auto"/>
        </w:rPr>
      </w:pPr>
    </w:p>
    <w:p>
      <w:pPr>
        <w:jc w:val="both"/>
        <w:ind w:left="660" w:firstLine="648"/>
        <w:spacing w:after="0" w:line="322" w:lineRule="auto"/>
        <w:rPr>
          <w:sz w:val="20"/>
          <w:szCs w:val="20"/>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jc w:val="both"/>
        <w:ind w:left="660" w:right="20" w:firstLine="648"/>
        <w:spacing w:after="0" w:line="322" w:lineRule="auto"/>
        <w:rPr>
          <w:sz w:val="20"/>
          <w:szCs w:val="20"/>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ind w:left="660" w:right="140" w:firstLine="648"/>
        <w:spacing w:after="0" w:line="322" w:lineRule="auto"/>
        <w:rPr>
          <w:sz w:val="20"/>
          <w:szCs w:val="20"/>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jc w:val="both"/>
        <w:ind w:left="660" w:firstLine="648"/>
        <w:spacing w:after="0" w:line="322" w:lineRule="auto"/>
        <w:rPr>
          <w:sz w:val="20"/>
          <w:szCs w:val="20"/>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ind w:left="1300"/>
        <w:spacing w:after="0"/>
        <w:rPr>
          <w:sz w:val="20"/>
          <w:szCs w:val="20"/>
          <w:color w:val="auto"/>
        </w:rPr>
      </w:pPr>
      <w:r>
        <w:rPr>
          <w:rFonts w:ascii="Arial" w:cs="Arial" w:eastAsia="Arial" w:hAnsi="Arial"/>
          <w:sz w:val="14"/>
          <w:szCs w:val="14"/>
          <w:i w:val="1"/>
          <w:iCs w:val="1"/>
          <w:color w:val="auto"/>
        </w:rPr>
        <w:t>risks that our growth will be limited if we cannot obtain additional capital;</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55" w:lineRule="exact"/>
        <w:rPr>
          <w:sz w:val="20"/>
          <w:szCs w:val="20"/>
          <w:color w:val="auto"/>
        </w:rPr>
      </w:pPr>
    </w:p>
    <w:p>
      <w:pPr>
        <w:jc w:val="both"/>
        <w:ind w:left="660" w:firstLine="648"/>
        <w:spacing w:after="0" w:line="322" w:lineRule="auto"/>
        <w:rPr>
          <w:sz w:val="20"/>
          <w:szCs w:val="20"/>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jc w:val="both"/>
        <w:ind w:left="660" w:firstLine="648"/>
        <w:spacing w:after="0" w:line="340" w:lineRule="auto"/>
        <w:rPr>
          <w:sz w:val="20"/>
          <w:szCs w:val="20"/>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24"/>
                <w:szCs w:val="24"/>
                <w:color w:val="auto"/>
              </w:rPr>
            </w:pPr>
          </w:p>
        </w:tc>
      </w:tr>
      <w:tr>
        <w:trPr>
          <w:trHeight w:val="250"/>
        </w:trPr>
        <w:tc>
          <w:tcPr>
            <w:tcW w:w="5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2012</w:t>
            </w: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9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159,953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151,784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620,089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580,114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5,466</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155,785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637,413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605,791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112,616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18,155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71,759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66,454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31,158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41,213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160,828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141,701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383,252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351,929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65,490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254,161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253,862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(104,977)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(113,336)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1,757</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23,861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Results from discontinued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162,614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144,372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29,603</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38,858</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167,608</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156,232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28,456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37,692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162,681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151,925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preferred shares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28,321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37,557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162,140</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151,384</w:t>
            </w:r>
          </w:p>
        </w:tc>
      </w:tr>
      <w:tr>
        <w:trPr>
          <w:trHeight w:val="271"/>
        </w:trPr>
        <w:tc>
          <w:tcPr>
            <w:tcW w:w="56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143"/>
        </w:trPr>
        <w:tc>
          <w:tcPr>
            <w:tcW w:w="5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30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65,965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64,392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65,331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63,881</w:t>
            </w:r>
          </w:p>
        </w:tc>
      </w:tr>
      <w:tr>
        <w:trPr>
          <w:trHeight w:val="217"/>
        </w:trPr>
        <w:tc>
          <w:tcPr>
            <w:tcW w:w="5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 DILUTED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143"/>
        </w:trPr>
        <w:tc>
          <w:tcPr>
            <w:tcW w:w="5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66,113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64,550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65,483</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64,056</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71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719"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$265,138 and $264,506 of consolidated variable interest entities, respectively)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4,618,258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4,473,813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531,205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288,714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Assets held for sale (discontinued operations)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17,147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5,149,463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4,779,674</w:t>
            </w: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7"/>
              </w:rPr>
              <w:t>Less accumulated depreciation and amortization (including $19,086 and $12,024 of consolidated variable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interest entities, respectively)</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(1,350,471)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(1,224,295)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 estate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3,798,992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3,555,379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88,927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36,988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Mortgage notes receivable, net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55,155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55,648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real estate partnership</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33,169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159,118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143,520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4,219,294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3,898,565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Mortgages and capital lease obligations (including $202,782 and $205,299 of consolidated variable interest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entities, respectively)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660,127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832,482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Notes payable</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300,822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299,575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and debentures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1,360,913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1,076,545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321,710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284,950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2,643,572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2,493,552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104,425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94,420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Preferred shares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1,438,163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1,276,815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 of the Trust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1,448,160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1,286,812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23,781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1,471,297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1,310,593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4,219,294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3,898,565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2012</w:t>
            </w:r>
          </w:p>
        </w:tc>
        <w:tc>
          <w:tcPr>
            <w:tcW w:w="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6"/>
              </w:rPr>
              <w:t>(in thousands, except per share data)</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9"/>
        </w:trPr>
        <w:tc>
          <w:tcPr>
            <w:tcW w:w="55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9"/>
              </w:rPr>
              <w:t>Funds from Operations available for common shareholders (FFO) (1)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29,603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w w:val="98"/>
              </w:rPr>
              <w:t>38,858</w:t>
            </w:r>
          </w:p>
        </w:tc>
        <w:tc>
          <w:tcPr>
            <w:tcW w:w="6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167,608</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156,232</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(1,166)</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(4,927)</w:t>
            </w: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(4,307)</w:t>
            </w: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   15,075</w:t>
            </w:r>
          </w:p>
        </w:tc>
        <w:tc>
          <w:tcPr>
            <w:tcW w:w="24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(28,855)</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1,410</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(11,860)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37,143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8"/>
              </w:rPr>
              <w:t>31,283</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144,873</w:t>
            </w: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125,611</w:t>
            </w: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2,605</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10,694</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10,935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380</w:t>
            </w: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1,504</w:t>
            </w:r>
          </w:p>
        </w:tc>
        <w:tc>
          <w:tcPr>
            <w:tcW w:w="5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1,513</w:t>
            </w:r>
          </w:p>
        </w:tc>
      </w:tr>
      <w:tr>
        <w:trPr>
          <w:trHeight w:val="237"/>
        </w:trPr>
        <w:tc>
          <w:tcPr>
            <w:tcW w:w="40" w:type="dxa"/>
            <w:vAlign w:val="bottom"/>
          </w:tcPr>
          <w:p>
            <w:pPr>
              <w:spacing w:after="0"/>
              <w:rPr>
                <w:sz w:val="20"/>
                <w:szCs w:val="20"/>
                <w:color w:val="auto"/>
              </w:rPr>
            </w:pPr>
          </w:p>
        </w:tc>
        <w:tc>
          <w:tcPr>
            <w:tcW w:w="5500" w:type="dxa"/>
            <w:vAlign w:val="bottom"/>
            <w:gridSpan w:val="4"/>
          </w:tcPr>
          <w:p>
            <w:pPr>
              <w:ind w:left="34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68,590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8"/>
              </w:rPr>
              <w:t>71,960</w:t>
            </w:r>
          </w:p>
        </w:tc>
        <w:tc>
          <w:tcPr>
            <w:tcW w:w="6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290,897</w:t>
            </w:r>
          </w:p>
        </w:tc>
        <w:tc>
          <w:tcPr>
            <w:tcW w:w="5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278,124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(541)</w:t>
            </w: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w:t>
            </w: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236</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888</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943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(1,306)</w:t>
            </w:r>
          </w:p>
        </w:tc>
        <w:tc>
          <w:tcPr>
            <w:tcW w:w="5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w:t>
            </w:r>
          </w:p>
        </w:tc>
      </w:tr>
      <w:tr>
        <w:trPr>
          <w:trHeight w:val="237"/>
        </w:trPr>
        <w:tc>
          <w:tcPr>
            <w:tcW w:w="40" w:type="dxa"/>
            <w:vAlign w:val="bottom"/>
          </w:tcPr>
          <w:p>
            <w:pPr>
              <w:spacing w:after="0"/>
              <w:rPr>
                <w:sz w:val="20"/>
                <w:szCs w:val="20"/>
                <w:color w:val="auto"/>
              </w:rPr>
            </w:pPr>
          </w:p>
        </w:tc>
        <w:tc>
          <w:tcPr>
            <w:tcW w:w="5500" w:type="dxa"/>
            <w:vAlign w:val="bottom"/>
            <w:gridSpan w:val="4"/>
          </w:tcPr>
          <w:p>
            <w:pPr>
              <w:ind w:left="340"/>
              <w:spacing w:after="0"/>
              <w:rPr>
                <w:sz w:val="20"/>
                <w:szCs w:val="20"/>
                <w:color w:val="auto"/>
              </w:rPr>
            </w:pPr>
            <w:r>
              <w:rPr>
                <w:rFonts w:ascii="Arial" w:cs="Arial" w:eastAsia="Arial" w:hAnsi="Arial"/>
                <w:sz w:val="18"/>
                <w:szCs w:val="18"/>
                <w:color w:val="auto"/>
              </w:rPr>
              <w:t>FFO</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68,373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8"/>
              </w:rPr>
              <w:t>71,744</w:t>
            </w:r>
          </w:p>
        </w:tc>
        <w:tc>
          <w:tcPr>
            <w:tcW w:w="6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289,938</w:t>
            </w:r>
          </w:p>
        </w:tc>
        <w:tc>
          <w:tcPr>
            <w:tcW w:w="5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277,237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9,861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13,244</w:t>
            </w:r>
          </w:p>
        </w:tc>
        <w:tc>
          <w:tcPr>
            <w:tcW w:w="5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97"/>
        </w:trPr>
        <w:tc>
          <w:tcPr>
            <w:tcW w:w="40" w:type="dxa"/>
            <w:vAlign w:val="bottom"/>
            <w:tcBorders>
              <w:bottom w:val="single" w:sz="8" w:color="CCEEFF"/>
            </w:tcBorders>
          </w:tcPr>
          <w:p>
            <w:pPr>
              <w:spacing w:after="0"/>
              <w:rPr>
                <w:sz w:val="24"/>
                <w:szCs w:val="24"/>
                <w:color w:val="auto"/>
              </w:rPr>
            </w:pPr>
          </w:p>
        </w:tc>
        <w:tc>
          <w:tcPr>
            <w:tcW w:w="550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FFO excluding early extinguishment of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78,234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8"/>
              </w:rPr>
              <w:t>71,744</w:t>
            </w:r>
          </w:p>
        </w:tc>
        <w:tc>
          <w:tcPr>
            <w:tcW w:w="6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303,182</w:t>
            </w:r>
          </w:p>
        </w:tc>
        <w:tc>
          <w:tcPr>
            <w:tcW w:w="5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277,237</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66,399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8"/>
              </w:rPr>
              <w:t>64,873</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65,778</w:t>
            </w: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64,389</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4.41</w:t>
            </w:r>
          </w:p>
        </w:tc>
        <w:tc>
          <w:tcPr>
            <w:tcW w:w="8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4.31</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excluding early extinguishment of debt, per diluted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4.61</w:t>
            </w:r>
          </w:p>
        </w:tc>
        <w:tc>
          <w:tcPr>
            <w:tcW w:w="8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4.31</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55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Non-maintenance capital expenditures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8"/>
              </w:rPr>
              <w:t>38,657</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281,228</w:t>
            </w:r>
          </w:p>
        </w:tc>
        <w:tc>
          <w:tcPr>
            <w:tcW w:w="8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134,875</w:t>
            </w:r>
          </w:p>
        </w:tc>
      </w:tr>
      <w:tr>
        <w:trPr>
          <w:trHeight w:val="243"/>
        </w:trPr>
        <w:tc>
          <w:tcPr>
            <w:tcW w:w="40" w:type="dxa"/>
            <w:vAlign w:val="bottom"/>
          </w:tcPr>
          <w:p>
            <w:pPr>
              <w:spacing w:after="0"/>
              <w:rPr>
                <w:sz w:val="21"/>
                <w:szCs w:val="21"/>
                <w:color w:val="auto"/>
              </w:rPr>
            </w:pPr>
          </w:p>
        </w:tc>
        <w:tc>
          <w:tcPr>
            <w:tcW w:w="5500" w:type="dxa"/>
            <w:vAlign w:val="bottom"/>
            <w:gridSpan w:val="4"/>
          </w:tcPr>
          <w:p>
            <w:pPr>
              <w:ind w:left="340"/>
              <w:spacing w:after="0"/>
              <w:rPr>
                <w:sz w:val="20"/>
                <w:szCs w:val="20"/>
                <w:color w:val="auto"/>
              </w:rPr>
            </w:pPr>
            <w:r>
              <w:rPr>
                <w:rFonts w:ascii="Arial" w:cs="Arial" w:eastAsia="Arial" w:hAnsi="Arial"/>
                <w:sz w:val="18"/>
                <w:szCs w:val="18"/>
                <w:color w:val="auto"/>
              </w:rPr>
              <w:t>Tenant improvements and incentives</w:t>
            </w:r>
          </w:p>
        </w:tc>
        <w:tc>
          <w:tcPr>
            <w:tcW w:w="28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w w:val="98"/>
              </w:rPr>
              <w:t>10,725</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27,660</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34,252</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88,168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8"/>
              </w:rPr>
              <w:t>49,382</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308,888</w:t>
            </w: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169,127</w:t>
            </w:r>
          </w:p>
        </w:tc>
      </w:tr>
      <w:tr>
        <w:trPr>
          <w:trHeight w:val="243"/>
        </w:trPr>
        <w:tc>
          <w:tcPr>
            <w:tcW w:w="40" w:type="dxa"/>
            <w:vAlign w:val="bottom"/>
          </w:tcPr>
          <w:p>
            <w:pPr>
              <w:spacing w:after="0"/>
              <w:rPr>
                <w:sz w:val="21"/>
                <w:szCs w:val="21"/>
                <w:color w:val="auto"/>
              </w:rPr>
            </w:pPr>
          </w:p>
        </w:tc>
        <w:tc>
          <w:tcPr>
            <w:tcW w:w="5500" w:type="dxa"/>
            <w:vAlign w:val="bottom"/>
            <w:gridSpan w:val="4"/>
          </w:tcPr>
          <w:p>
            <w:pPr>
              <w:ind w:left="34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9,869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8,520</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21,372</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19,286</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5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98,037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8"/>
              </w:rPr>
              <w:t>57,902</w:t>
            </w: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330,260</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188,413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03"/>
        </w:trPr>
        <w:tc>
          <w:tcPr>
            <w:tcW w:w="55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52,025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1"/>
              <w:spacing w:after="0"/>
              <w:rPr>
                <w:sz w:val="20"/>
                <w:szCs w:val="20"/>
                <w:color w:val="auto"/>
              </w:rPr>
            </w:pPr>
            <w:r>
              <w:rPr>
                <w:rFonts w:ascii="Arial" w:cs="Arial" w:eastAsia="Arial" w:hAnsi="Arial"/>
                <w:sz w:val="18"/>
                <w:szCs w:val="18"/>
                <w:color w:val="auto"/>
                <w:w w:val="98"/>
              </w:rPr>
              <w:t>47,313</w:t>
            </w:r>
          </w:p>
        </w:tc>
        <w:tc>
          <w:tcPr>
            <w:tcW w:w="6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198,965</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182,813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540" w:type="dxa"/>
            <w:vAlign w:val="bottom"/>
            <w:gridSpan w:val="5"/>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5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 excluding early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5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extinguishment of debt</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3"/>
              </w:rPr>
              <w:t>(in thousands, except per share data)</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Common shares outstanding (1)</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66,701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64,815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Market price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104.02</w:t>
            </w:r>
          </w:p>
        </w:tc>
      </w:tr>
      <w:tr>
        <w:trPr>
          <w:trHeight w:val="237"/>
        </w:trPr>
        <w:tc>
          <w:tcPr>
            <w:tcW w:w="8580" w:type="dxa"/>
            <w:vAlign w:val="bottom"/>
          </w:tcPr>
          <w:p>
            <w:pPr>
              <w:ind w:left="620"/>
              <w:spacing w:after="0"/>
              <w:rPr>
                <w:sz w:val="20"/>
                <w:szCs w:val="20"/>
                <w:color w:val="auto"/>
              </w:rPr>
            </w:pPr>
            <w:r>
              <w:rPr>
                <w:rFonts w:ascii="Arial" w:cs="Arial" w:eastAsia="Arial" w:hAnsi="Arial"/>
                <w:sz w:val="18"/>
                <w:szCs w:val="18"/>
                <w:color w:val="auto"/>
              </w:rPr>
              <w:t>Common equity market capitalization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6,764,148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6,742,056</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Series 1 preferred shares outstanding (2)</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Liquidation price per Series 1 preferred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r>
      <w:tr>
        <w:trPr>
          <w:trHeight w:val="237"/>
        </w:trPr>
        <w:tc>
          <w:tcPr>
            <w:tcW w:w="8580" w:type="dxa"/>
            <w:vAlign w:val="bottom"/>
          </w:tcPr>
          <w:p>
            <w:pPr>
              <w:ind w:left="620"/>
              <w:spacing w:after="0"/>
              <w:rPr>
                <w:sz w:val="20"/>
                <w:szCs w:val="20"/>
                <w:color w:val="auto"/>
              </w:rPr>
            </w:pPr>
            <w:r>
              <w:rPr>
                <w:rFonts w:ascii="Arial" w:cs="Arial" w:eastAsia="Arial" w:hAnsi="Arial"/>
                <w:sz w:val="18"/>
                <w:szCs w:val="18"/>
                <w:color w:val="auto"/>
              </w:rPr>
              <w:t>Series 1 preferred equity market capitalization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Equity market capitalization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6,774,148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6,752,056</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Total debt (3)</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2,321,862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2,208,602</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97"/>
        </w:trPr>
        <w:tc>
          <w:tcPr>
            <w:tcW w:w="8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market capitalization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9,096,010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8,960,658</w:t>
            </w: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Total debt to market capitalization</w:t>
            </w:r>
          </w:p>
        </w:tc>
        <w:tc>
          <w:tcPr>
            <w:tcW w:w="220" w:type="dxa"/>
            <w:vAlign w:val="bottom"/>
          </w:tcPr>
          <w:p>
            <w:pPr>
              <w:spacing w:after="0"/>
              <w:rPr>
                <w:sz w:val="21"/>
                <w:szCs w:val="21"/>
                <w:color w:val="auto"/>
              </w:rPr>
            </w:pPr>
          </w:p>
        </w:tc>
        <w:tc>
          <w:tcPr>
            <w:tcW w:w="1140" w:type="dxa"/>
            <w:vAlign w:val="bottom"/>
          </w:tcPr>
          <w:p>
            <w:pPr>
              <w:jc w:val="center"/>
              <w:ind w:right="113"/>
              <w:spacing w:after="0"/>
              <w:rPr>
                <w:sz w:val="20"/>
                <w:szCs w:val="20"/>
                <w:color w:val="auto"/>
              </w:rPr>
            </w:pPr>
            <w:r>
              <w:rPr>
                <w:rFonts w:ascii="Arial" w:cs="Arial" w:eastAsia="Arial" w:hAnsi="Arial"/>
                <w:sz w:val="18"/>
                <w:szCs w:val="18"/>
                <w:color w:val="auto"/>
                <w:w w:val="94"/>
              </w:rPr>
              <w:t>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center"/>
              <w:ind w:right="331"/>
              <w:spacing w:after="0"/>
              <w:rPr>
                <w:sz w:val="20"/>
                <w:szCs w:val="20"/>
                <w:color w:val="auto"/>
              </w:rPr>
            </w:pPr>
            <w:r>
              <w:rPr>
                <w:rFonts w:ascii="Arial" w:cs="Arial" w:eastAsia="Arial" w:hAnsi="Arial"/>
                <w:sz w:val="18"/>
                <w:szCs w:val="18"/>
                <w:color w:val="auto"/>
                <w:w w:val="88"/>
              </w:rPr>
              <w:t>25%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Fixed rate debt ratio:</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Fixed rate debt and capital lease obligations (4)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351"/>
              <w:spacing w:after="0"/>
              <w:rPr>
                <w:sz w:val="20"/>
                <w:szCs w:val="20"/>
                <w:color w:val="auto"/>
              </w:rPr>
            </w:pPr>
            <w:r>
              <w:rPr>
                <w:rFonts w:ascii="Arial" w:cs="Arial" w:eastAsia="Arial" w:hAnsi="Arial"/>
                <w:sz w:val="18"/>
                <w:szCs w:val="18"/>
                <w:color w:val="auto"/>
                <w:w w:val="91"/>
              </w:rPr>
              <w:t>100%</w:t>
            </w:r>
          </w:p>
        </w:tc>
      </w:tr>
      <w:tr>
        <w:trPr>
          <w:trHeight w:val="243"/>
        </w:trPr>
        <w:tc>
          <w:tcPr>
            <w:tcW w:w="8580" w:type="dxa"/>
            <w:vAlign w:val="bottom"/>
          </w:tcPr>
          <w:p>
            <w:pPr>
              <w:ind w:left="620"/>
              <w:spacing w:after="0"/>
              <w:rPr>
                <w:sz w:val="20"/>
                <w:szCs w:val="20"/>
                <w:color w:val="auto"/>
              </w:rPr>
            </w:pPr>
            <w:r>
              <w:rPr>
                <w:rFonts w:ascii="Arial" w:cs="Arial" w:eastAsia="Arial" w:hAnsi="Arial"/>
                <w:sz w:val="18"/>
                <w:szCs w:val="18"/>
                <w:color w:val="auto"/>
              </w:rPr>
              <w:t>Variable rate debt</w:t>
            </w:r>
          </w:p>
        </w:tc>
        <w:tc>
          <w:tcPr>
            <w:tcW w:w="220" w:type="dxa"/>
            <w:vAlign w:val="bottom"/>
          </w:tcPr>
          <w:p>
            <w:pPr>
              <w:spacing w:after="0"/>
              <w:rPr>
                <w:sz w:val="21"/>
                <w:szCs w:val="21"/>
                <w:color w:val="auto"/>
              </w:rPr>
            </w:pPr>
          </w:p>
        </w:tc>
        <w:tc>
          <w:tcPr>
            <w:tcW w:w="1140" w:type="dxa"/>
            <w:vAlign w:val="bottom"/>
          </w:tcPr>
          <w:p>
            <w:pPr>
              <w:jc w:val="center"/>
              <w:ind w:right="113"/>
              <w:spacing w:after="0"/>
              <w:rPr>
                <w:sz w:val="20"/>
                <w:szCs w:val="20"/>
                <w:color w:val="auto"/>
              </w:rPr>
            </w:pPr>
            <w:r>
              <w:rPr>
                <w:rFonts w:ascii="Arial" w:cs="Arial" w:eastAsia="Arial" w:hAnsi="Arial"/>
                <w:sz w:val="18"/>
                <w:szCs w:val="18"/>
                <w:color w:val="auto"/>
                <w:w w:val="92"/>
              </w:rPr>
              <w:t>&lt;1%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center"/>
              <w:ind w:right="351"/>
              <w:spacing w:after="0"/>
              <w:rPr>
                <w:sz w:val="20"/>
                <w:szCs w:val="20"/>
                <w:color w:val="auto"/>
              </w:rPr>
            </w:pPr>
            <w:r>
              <w:rPr>
                <w:rFonts w:ascii="Arial" w:cs="Arial" w:eastAsia="Arial" w:hAnsi="Arial"/>
                <w:sz w:val="18"/>
                <w:szCs w:val="18"/>
                <w:color w:val="auto"/>
                <w:w w:val="92"/>
              </w:rPr>
              <w:t>&lt;1%</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351"/>
              <w:spacing w:after="0"/>
              <w:rPr>
                <w:sz w:val="20"/>
                <w:szCs w:val="20"/>
                <w:color w:val="auto"/>
              </w:rPr>
            </w:pPr>
            <w:r>
              <w:rPr>
                <w:rFonts w:ascii="Arial" w:cs="Arial" w:eastAsia="Arial" w:hAnsi="Arial"/>
                <w:sz w:val="18"/>
                <w:szCs w:val="18"/>
                <w:color w:val="auto"/>
                <w:w w:val="91"/>
              </w:rPr>
              <w:t>100%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Amounts do not include 285,722 and 320,646 Operating Partnership Units outstanding at December 31, 2013 and 2012,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340" w:hanging="652"/>
        <w:spacing w:after="0" w:line="308"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debt includes capital leases, mortgages payable, notes payable, senior notes and debentures, net of premiums and discounts from our consolidated balance sheet. It does not include $17.1 million at both December 31, 2013 and 2012, which is the Trust's 30% share of the total mortgages payable, of $56.9 million and $57.2 million at December 31, 2013 and 2012, respectively, of the partnership with a discretionary fund created and advised by ING Clarion Partners.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113,430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108,469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448,058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420,989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28,902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32,728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30,048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122,578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112,424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11,192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10,522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159,953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151,784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620,089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580,114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20" w:hanging="652"/>
        <w:spacing w:after="0" w:line="25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Minimum rents include $1.7 million and $2.3 million for the three months ended December 31, 2013 and 2012, respectively, and $5.4 million and $6.1 million for the year ended December 31, 2013 and 2012, respectively, to recognize minimum rents on a straight-line basis. In addition, minimum rents include $0.8 million and $0.3 million for the three months ended December 31, 2013 and 2012, respectively, and $3.1 million and $1.1 million for the year ended December 31, 2013 and 2012, respectively, to recognize income from the amortization of in-place leases.</w:t>
      </w:r>
    </w:p>
    <w:p>
      <w:pPr>
        <w:spacing w:after="0" w:line="25" w:lineRule="exact"/>
        <w:rPr>
          <w:rFonts w:ascii="Arial" w:cs="Arial" w:eastAsia="Arial" w:hAnsi="Arial"/>
          <w:sz w:val="16"/>
          <w:szCs w:val="16"/>
          <w:color w:val="auto"/>
        </w:rPr>
      </w:pPr>
    </w:p>
    <w:p>
      <w:pPr>
        <w:ind w:left="660" w:right="2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Bethesda Row, and Chelsea Residential.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rPr>
              <w:t>As of December 31, 2013</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20" w:type="dxa"/>
            <w:vAlign w:val="bottom"/>
            <w:vMerge w:val="restart"/>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89"/>
              </w:rPr>
              <w:t>Balance</w:t>
            </w:r>
          </w:p>
        </w:tc>
        <w:tc>
          <w:tcPr>
            <w:tcW w:w="34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effective rate (7)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Mortgages Payable (1) (11)</w:t>
            </w:r>
          </w:p>
        </w:tc>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1780" w:type="dxa"/>
            <w:vAlign w:val="bottom"/>
            <w:tcBorders>
              <w:top w:val="single" w:sz="8" w:color="auto"/>
            </w:tcBorders>
            <w:gridSpan w:val="3"/>
          </w:tcPr>
          <w:p>
            <w:pPr>
              <w:ind w:left="320"/>
              <w:spacing w:after="0"/>
              <w:rPr>
                <w:sz w:val="20"/>
                <w:szCs w:val="20"/>
                <w:color w:val="auto"/>
              </w:rPr>
            </w:pPr>
            <w:r>
              <w:rPr>
                <w:rFonts w:ascii="Arial" w:cs="Arial" w:eastAsia="Arial" w:hAnsi="Arial"/>
                <w:sz w:val="16"/>
                <w:szCs w:val="16"/>
                <w:i w:val="1"/>
                <w:iCs w:val="1"/>
                <w:color w:val="auto"/>
              </w:rPr>
              <w:t>Secured fixed rate</w:t>
            </w:r>
          </w:p>
        </w:tc>
        <w:tc>
          <w:tcPr>
            <w:tcW w:w="1820" w:type="dxa"/>
            <w:vAlign w:val="bottom"/>
            <w:tcBorders>
              <w:top w:val="single" w:sz="8" w:color="CCEEFF"/>
            </w:tcBorders>
            <w:gridSpan w:val="2"/>
          </w:tcPr>
          <w:p>
            <w:pPr>
              <w:spacing w:after="0"/>
              <w:rPr>
                <w:sz w:val="20"/>
                <w:szCs w:val="20"/>
                <w:color w:val="auto"/>
              </w:rPr>
            </w:pPr>
          </w:p>
        </w:tc>
        <w:tc>
          <w:tcPr>
            <w:tcW w:w="18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5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96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Melville Mall (2)</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9/1/2014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20,705</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THE AVENUE at White Marsh</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54,112</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Barracks Road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37,069</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Hauppauge</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13,974</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Lawrence Park</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26,275</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Wildwood</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23,095</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Wynnewood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26,777</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Brick Plaza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27,254</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East Bay Bridge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3/1/2016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61,980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Plaza El Segundo</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8/5/2017</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6.33%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175,000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Rollingwood Apartments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5/1/2019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22,521</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29</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Place</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1/31/2021</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5,119</w:t>
            </w: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Montrose Crossing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1/10/2022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77,341</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Chelsea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7,269</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578,491</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Net unamortized premium</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9,965</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mortgages payable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588,456</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81"/>
              <w:spacing w:after="0"/>
              <w:rPr>
                <w:sz w:val="20"/>
                <w:szCs w:val="20"/>
                <w:color w:val="auto"/>
              </w:rPr>
            </w:pPr>
            <w:r>
              <w:rPr>
                <w:rFonts w:ascii="Arial" w:cs="Arial" w:eastAsia="Arial" w:hAnsi="Arial"/>
                <w:sz w:val="16"/>
                <w:szCs w:val="16"/>
                <w:color w:val="auto"/>
                <w:w w:val="92"/>
              </w:rPr>
              <w:t>5.57%</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Term Loan (3)</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11/21/2018</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+ 1.30%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Various (4)</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Various through 2028</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16,422</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variable rate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Escondido (Municipal bonds) (5)</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10/1/2016</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0.09%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9,400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Revolving Credit Facility (6)</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4/21/2017</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+ 0.90%</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Total notes payable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300,822</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381"/>
              <w:spacing w:after="0"/>
              <w:rPr>
                <w:sz w:val="20"/>
                <w:szCs w:val="20"/>
                <w:color w:val="auto"/>
              </w:rPr>
            </w:pPr>
            <w:r>
              <w:rPr>
                <w:rFonts w:ascii="Arial" w:cs="Arial" w:eastAsia="Arial" w:hAnsi="Arial"/>
                <w:sz w:val="16"/>
                <w:szCs w:val="16"/>
                <w:color w:val="auto"/>
                <w:w w:val="92"/>
              </w:rPr>
              <w:t>3.26%</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40" w:type="dxa"/>
            <w:vAlign w:val="bottom"/>
            <w:gridSpan w:val="6"/>
          </w:tcPr>
          <w:p>
            <w:pPr>
              <w:ind w:left="40"/>
              <w:spacing w:after="0"/>
              <w:rPr>
                <w:sz w:val="20"/>
                <w:szCs w:val="20"/>
                <w:color w:val="auto"/>
              </w:rPr>
            </w:pPr>
            <w:r>
              <w:rPr>
                <w:rFonts w:ascii="Arial" w:cs="Arial" w:eastAsia="Arial" w:hAnsi="Arial"/>
                <w:sz w:val="16"/>
                <w:szCs w:val="16"/>
                <w:color w:val="auto"/>
              </w:rPr>
              <w:t>Senior notes and debentures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5.65%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6/1/2016</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125,000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6.20%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5.90%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4/1/2020</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3.00%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2.75%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6/1/2023</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3.95%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1/15/2024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7.48% debentures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6.82% medium term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1,369,200</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Net unamortized discount</w:t>
            </w: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(8,287)</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Total senior notes and debentures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1,360,913</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381"/>
              <w:spacing w:after="0"/>
              <w:rPr>
                <w:sz w:val="20"/>
                <w:szCs w:val="20"/>
                <w:color w:val="auto"/>
              </w:rPr>
            </w:pPr>
            <w:r>
              <w:rPr>
                <w:rFonts w:ascii="Arial" w:cs="Arial" w:eastAsia="Arial" w:hAnsi="Arial"/>
                <w:sz w:val="16"/>
                <w:szCs w:val="16"/>
                <w:color w:val="auto"/>
                <w:w w:val="92"/>
              </w:rPr>
              <w:t>4.55%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40" w:type="dxa"/>
            <w:vAlign w:val="bottom"/>
            <w:gridSpan w:val="6"/>
          </w:tcPr>
          <w:p>
            <w:pPr>
              <w:ind w:left="40"/>
              <w:spacing w:after="0"/>
              <w:rPr>
                <w:sz w:val="20"/>
                <w:szCs w:val="20"/>
                <w:color w:val="auto"/>
              </w:rPr>
            </w:pPr>
            <w:r>
              <w:rPr>
                <w:rFonts w:ascii="Arial" w:cs="Arial" w:eastAsia="Arial" w:hAnsi="Arial"/>
                <w:sz w:val="16"/>
                <w:szCs w:val="16"/>
                <w:color w:val="auto"/>
              </w:rPr>
              <w:t>Capital lease obligations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71,671</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ind w:left="381"/>
              <w:spacing w:after="0"/>
              <w:rPr>
                <w:sz w:val="20"/>
                <w:szCs w:val="20"/>
                <w:color w:val="auto"/>
              </w:rPr>
            </w:pPr>
            <w:r>
              <w:rPr>
                <w:rFonts w:ascii="Arial" w:cs="Arial" w:eastAsia="Arial" w:hAnsi="Arial"/>
                <w:sz w:val="16"/>
                <w:szCs w:val="16"/>
                <w:color w:val="auto"/>
                <w:w w:val="92"/>
              </w:rPr>
              <w:t>8.04%</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40" w:type="dxa"/>
            <w:vAlign w:val="bottom"/>
            <w:tcBorders>
              <w:bottom w:val="single" w:sz="8" w:color="CCEEFF"/>
            </w:tcBorders>
            <w:gridSpan w:val="6"/>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2,321,862</w:t>
            </w:r>
          </w:p>
        </w:tc>
        <w:tc>
          <w:tcPr>
            <w:tcW w:w="3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Total fixed rate debt and capital lease obligations</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2,312,462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4.76%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gridSpan w:val="6"/>
          </w:tcPr>
          <w:p>
            <w:pPr>
              <w:ind w:left="40"/>
              <w:spacing w:after="0"/>
              <w:rPr>
                <w:sz w:val="20"/>
                <w:szCs w:val="20"/>
                <w:color w:val="auto"/>
              </w:rPr>
            </w:pPr>
            <w:r>
              <w:rPr>
                <w:rFonts w:ascii="Arial" w:cs="Arial" w:eastAsia="Arial" w:hAnsi="Arial"/>
                <w:sz w:val="16"/>
                <w:szCs w:val="16"/>
                <w:color w:val="auto"/>
              </w:rPr>
              <w:t>Total variable rate debt</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9,400</w:t>
            </w:r>
          </w:p>
        </w:tc>
        <w:tc>
          <w:tcPr>
            <w:tcW w:w="34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&lt;1%</w:t>
            </w:r>
          </w:p>
        </w:tc>
        <w:tc>
          <w:tcPr>
            <w:tcW w:w="120" w:type="dxa"/>
            <w:vAlign w:val="bottom"/>
          </w:tcPr>
          <w:p>
            <w:pPr>
              <w:spacing w:after="0"/>
              <w:rPr>
                <w:sz w:val="20"/>
                <w:szCs w:val="20"/>
                <w:color w:val="auto"/>
              </w:rPr>
            </w:pPr>
          </w:p>
        </w:tc>
        <w:tc>
          <w:tcPr>
            <w:tcW w:w="960" w:type="dxa"/>
            <w:vAlign w:val="bottom"/>
          </w:tcPr>
          <w:p>
            <w:pPr>
              <w:jc w:val="right"/>
              <w:ind w:right="201"/>
              <w:spacing w:after="0"/>
              <w:rPr>
                <w:sz w:val="20"/>
                <w:szCs w:val="20"/>
                <w:color w:val="auto"/>
              </w:rPr>
            </w:pPr>
            <w:r>
              <w:rPr>
                <w:rFonts w:ascii="Arial" w:cs="Arial" w:eastAsia="Arial" w:hAnsi="Arial"/>
                <w:sz w:val="16"/>
                <w:szCs w:val="16"/>
                <w:color w:val="auto"/>
              </w:rPr>
              <w:t>1.41%</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2,321,862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4.76%</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47" w:right="239" w:bottom="1"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640" w:type="dxa"/>
            <w:vAlign w:val="bottom"/>
            <w:gridSpan w:val="3"/>
          </w:tcPr>
          <w:p>
            <w:pPr>
              <w:ind w:lef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6"/>
                <w:szCs w:val="16"/>
                <w:color w:val="auto"/>
              </w:rPr>
            </w:pPr>
          </w:p>
        </w:tc>
      </w:tr>
      <w:tr>
        <w:trPr>
          <w:trHeight w:val="270"/>
        </w:trPr>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1640" w:type="dxa"/>
            <w:vAlign w:val="bottom"/>
            <w:gridSpan w:val="3"/>
          </w:tcPr>
          <w:p>
            <w:pPr>
              <w:ind w:left="5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3"/>
                <w:szCs w:val="23"/>
                <w:color w:val="auto"/>
              </w:rPr>
            </w:pPr>
          </w:p>
        </w:tc>
      </w:tr>
      <w:tr>
        <w:trPr>
          <w:trHeight w:val="80"/>
        </w:trPr>
        <w:tc>
          <w:tcPr>
            <w:tcW w:w="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4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6"/>
                <w:szCs w:val="16"/>
                <w:color w:val="auto"/>
              </w:rPr>
            </w:pPr>
          </w:p>
        </w:tc>
        <w:tc>
          <w:tcPr>
            <w:tcW w:w="620" w:type="dxa"/>
            <w:vAlign w:val="bottom"/>
          </w:tcPr>
          <w:p>
            <w:pPr>
              <w:jc w:val="right"/>
              <w:ind w:right="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6"/>
                <w:szCs w:val="16"/>
                <w:color w:val="auto"/>
              </w:rPr>
            </w:pPr>
          </w:p>
        </w:tc>
      </w:tr>
      <w:tr>
        <w:trPr>
          <w:trHeight w:val="66"/>
        </w:trPr>
        <w:tc>
          <w:tcPr>
            <w:tcW w:w="4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624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r>
      <w:tr>
        <w:trPr>
          <w:trHeight w:val="169"/>
        </w:trPr>
        <w:tc>
          <w:tcPr>
            <w:tcW w:w="7660" w:type="dxa"/>
            <w:vAlign w:val="bottom"/>
            <w:gridSpan w:val="3"/>
            <w:shd w:val="clear" w:color="auto" w:fill="CCEEFF"/>
          </w:tcPr>
          <w:p>
            <w:pPr>
              <w:ind w:left="40"/>
              <w:spacing w:after="0" w:line="169" w:lineRule="exact"/>
              <w:rPr>
                <w:sz w:val="20"/>
                <w:szCs w:val="20"/>
                <w:color w:val="auto"/>
              </w:rPr>
            </w:pPr>
            <w:r>
              <w:rPr>
                <w:rFonts w:ascii="Arial" w:cs="Arial" w:eastAsia="Arial" w:hAnsi="Arial"/>
                <w:sz w:val="16"/>
                <w:szCs w:val="16"/>
                <w:color w:val="auto"/>
              </w:rPr>
              <w:t>Operational Statistics</w:t>
            </w: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auto"/>
            </w:tcBorders>
            <w:shd w:val="clear" w:color="auto" w:fill="CCEEFF"/>
          </w:tcPr>
          <w:p>
            <w:pPr>
              <w:spacing w:after="0"/>
              <w:rPr>
                <w:sz w:val="6"/>
                <w:szCs w:val="6"/>
                <w:color w:val="auto"/>
              </w:rPr>
            </w:pPr>
          </w:p>
        </w:tc>
        <w:tc>
          <w:tcPr>
            <w:tcW w:w="62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r>
      <w:tr>
        <w:trPr>
          <w:trHeight w:val="224"/>
        </w:trPr>
        <w:tc>
          <w:tcPr>
            <w:tcW w:w="40" w:type="dxa"/>
            <w:vAlign w:val="bottom"/>
          </w:tcPr>
          <w:p>
            <w:pPr>
              <w:spacing w:after="0"/>
              <w:rPr>
                <w:sz w:val="19"/>
                <w:szCs w:val="19"/>
                <w:color w:val="auto"/>
              </w:rPr>
            </w:pPr>
          </w:p>
        </w:tc>
        <w:tc>
          <w:tcPr>
            <w:tcW w:w="7620" w:type="dxa"/>
            <w:vAlign w:val="bottom"/>
            <w:gridSpan w:val="2"/>
          </w:tcPr>
          <w:p>
            <w:pPr>
              <w:ind w:left="680"/>
              <w:spacing w:after="0"/>
              <w:rPr>
                <w:sz w:val="20"/>
                <w:szCs w:val="20"/>
                <w:color w:val="auto"/>
              </w:rPr>
            </w:pPr>
            <w:r>
              <w:rPr>
                <w:rFonts w:ascii="Arial" w:cs="Arial" w:eastAsia="Arial" w:hAnsi="Arial"/>
                <w:sz w:val="16"/>
                <w:szCs w:val="16"/>
                <w:color w:val="auto"/>
              </w:rPr>
              <w:t>Excluding early extinguishment of debt:</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(9)(10)</w:t>
            </w:r>
          </w:p>
        </w:tc>
        <w:tc>
          <w:tcPr>
            <w:tcW w:w="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3.48</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3.33</w:t>
            </w: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3.65</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x</w:t>
            </w: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3.29</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r>
      <w:tr>
        <w:trPr>
          <w:trHeight w:val="224"/>
        </w:trPr>
        <w:tc>
          <w:tcPr>
            <w:tcW w:w="40" w:type="dxa"/>
            <w:vAlign w:val="bottom"/>
          </w:tcPr>
          <w:p>
            <w:pPr>
              <w:spacing w:after="0"/>
              <w:rPr>
                <w:sz w:val="19"/>
                <w:szCs w:val="19"/>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(9)(10)</w:t>
            </w:r>
          </w:p>
        </w:tc>
        <w:tc>
          <w:tcPr>
            <w:tcW w:w="680" w:type="dxa"/>
            <w:vAlign w:val="bottom"/>
          </w:tcPr>
          <w:p>
            <w:pPr>
              <w:ind w:left="300"/>
              <w:spacing w:after="0"/>
              <w:rPr>
                <w:sz w:val="20"/>
                <w:szCs w:val="20"/>
                <w:color w:val="auto"/>
              </w:rPr>
            </w:pPr>
            <w:r>
              <w:rPr>
                <w:rFonts w:ascii="Arial" w:cs="Arial" w:eastAsia="Arial" w:hAnsi="Arial"/>
                <w:sz w:val="16"/>
                <w:szCs w:val="16"/>
                <w:color w:val="auto"/>
              </w:rPr>
              <w:t>3.48</w:t>
            </w:r>
          </w:p>
        </w:tc>
        <w:tc>
          <w:tcPr>
            <w:tcW w:w="340" w:type="dxa"/>
            <w:vAlign w:val="bottom"/>
          </w:tcPr>
          <w:p>
            <w:pPr>
              <w:ind w:left="60"/>
              <w:spacing w:after="0"/>
              <w:rPr>
                <w:sz w:val="20"/>
                <w:szCs w:val="20"/>
                <w:color w:val="auto"/>
              </w:rPr>
            </w:pPr>
            <w:r>
              <w:rPr>
                <w:rFonts w:ascii="Arial" w:cs="Arial" w:eastAsia="Arial" w:hAnsi="Arial"/>
                <w:sz w:val="16"/>
                <w:szCs w:val="16"/>
                <w:color w:val="auto"/>
              </w:rPr>
              <w:t>x</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3.33</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x</w:t>
            </w: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3.41</w:t>
            </w:r>
          </w:p>
        </w:tc>
        <w:tc>
          <w:tcPr>
            <w:tcW w:w="320" w:type="dxa"/>
            <w:vAlign w:val="bottom"/>
          </w:tcPr>
          <w:p>
            <w:pPr>
              <w:ind w:left="40"/>
              <w:spacing w:after="0"/>
              <w:rPr>
                <w:sz w:val="20"/>
                <w:szCs w:val="20"/>
                <w:color w:val="auto"/>
              </w:rPr>
            </w:pPr>
            <w:r>
              <w:rPr>
                <w:rFonts w:ascii="Arial" w:cs="Arial" w:eastAsia="Arial" w:hAnsi="Arial"/>
                <w:sz w:val="16"/>
                <w:szCs w:val="16"/>
                <w:color w:val="auto"/>
              </w:rPr>
              <w:t>x</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3.20</w:t>
            </w:r>
          </w:p>
        </w:tc>
        <w:tc>
          <w:tcPr>
            <w:tcW w:w="240" w:type="dxa"/>
            <w:vAlign w:val="bottom"/>
          </w:tcPr>
          <w:p>
            <w:pPr>
              <w:ind w:left="60"/>
              <w:spacing w:after="0"/>
              <w:rPr>
                <w:sz w:val="20"/>
                <w:szCs w:val="20"/>
                <w:color w:val="auto"/>
              </w:rPr>
            </w:pPr>
            <w:r>
              <w:rPr>
                <w:rFonts w:ascii="Arial" w:cs="Arial" w:eastAsia="Arial" w:hAnsi="Arial"/>
                <w:sz w:val="16"/>
                <w:szCs w:val="16"/>
                <w:color w:val="auto"/>
              </w:rPr>
              <w:t>x</w:t>
            </w: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Including early extinguishment of debt:</w:t>
            </w: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(9)</w:t>
            </w:r>
          </w:p>
        </w:tc>
        <w:tc>
          <w:tcPr>
            <w:tcW w:w="680" w:type="dxa"/>
            <w:vAlign w:val="bottom"/>
          </w:tcPr>
          <w:p>
            <w:pPr>
              <w:ind w:left="300"/>
              <w:spacing w:after="0"/>
              <w:rPr>
                <w:sz w:val="20"/>
                <w:szCs w:val="20"/>
                <w:color w:val="auto"/>
              </w:rPr>
            </w:pPr>
            <w:r>
              <w:rPr>
                <w:rFonts w:ascii="Arial" w:cs="Arial" w:eastAsia="Arial" w:hAnsi="Arial"/>
                <w:sz w:val="16"/>
                <w:szCs w:val="16"/>
                <w:color w:val="auto"/>
              </w:rPr>
              <w:t>2.62</w:t>
            </w:r>
          </w:p>
        </w:tc>
        <w:tc>
          <w:tcPr>
            <w:tcW w:w="340" w:type="dxa"/>
            <w:vAlign w:val="bottom"/>
          </w:tcPr>
          <w:p>
            <w:pPr>
              <w:ind w:left="60"/>
              <w:spacing w:after="0"/>
              <w:rPr>
                <w:sz w:val="20"/>
                <w:szCs w:val="20"/>
                <w:color w:val="auto"/>
              </w:rPr>
            </w:pPr>
            <w:r>
              <w:rPr>
                <w:rFonts w:ascii="Arial" w:cs="Arial" w:eastAsia="Arial" w:hAnsi="Arial"/>
                <w:sz w:val="16"/>
                <w:szCs w:val="16"/>
                <w:color w:val="auto"/>
              </w:rPr>
              <w:t>x</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3.33</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x</w:t>
            </w: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3.29</w:t>
            </w:r>
          </w:p>
        </w:tc>
        <w:tc>
          <w:tcPr>
            <w:tcW w:w="320" w:type="dxa"/>
            <w:vAlign w:val="bottom"/>
          </w:tcPr>
          <w:p>
            <w:pPr>
              <w:ind w:left="40"/>
              <w:spacing w:after="0"/>
              <w:rPr>
                <w:sz w:val="20"/>
                <w:szCs w:val="20"/>
                <w:color w:val="auto"/>
              </w:rPr>
            </w:pPr>
            <w:r>
              <w:rPr>
                <w:rFonts w:ascii="Arial" w:cs="Arial" w:eastAsia="Arial" w:hAnsi="Arial"/>
                <w:sz w:val="16"/>
                <w:szCs w:val="16"/>
                <w:color w:val="auto"/>
              </w:rPr>
              <w:t>x</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3.29</w:t>
            </w:r>
          </w:p>
        </w:tc>
        <w:tc>
          <w:tcPr>
            <w:tcW w:w="240" w:type="dxa"/>
            <w:vAlign w:val="bottom"/>
          </w:tcPr>
          <w:p>
            <w:pPr>
              <w:ind w:left="6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(9)</w:t>
            </w:r>
          </w:p>
        </w:tc>
        <w:tc>
          <w:tcPr>
            <w:tcW w:w="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2.62</w:t>
            </w:r>
          </w:p>
        </w:tc>
        <w:tc>
          <w:tcPr>
            <w:tcW w:w="34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3.33</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3.08</w:t>
            </w: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x</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w:t>
            </w:r>
          </w:p>
        </w:tc>
        <w:tc>
          <w:tcPr>
            <w:tcW w:w="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Mortgages payable do not include our 30% share ($17.1 million) of the $56.9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280" w:hanging="652"/>
        <w:spacing w:after="0" w:line="25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23" w:lineRule="exact"/>
        <w:rPr>
          <w:rFonts w:ascii="Arial" w:cs="Arial" w:eastAsia="Arial" w:hAnsi="Arial"/>
          <w:sz w:val="14"/>
          <w:szCs w:val="14"/>
          <w:color w:val="auto"/>
        </w:rPr>
      </w:pPr>
    </w:p>
    <w:p>
      <w:pPr>
        <w:ind w:left="660" w:right="80" w:hanging="652"/>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from December 1, 2011 through November 1, 2018. The swap agreements effectively fix the rate on the term loan at 3.02% and thus the loan is included in fixed rate debt.</w:t>
      </w:r>
    </w:p>
    <w:p>
      <w:pPr>
        <w:spacing w:after="0" w:line="11" w:lineRule="exact"/>
        <w:rPr>
          <w:rFonts w:ascii="Arial" w:cs="Arial" w:eastAsia="Arial" w:hAnsi="Arial"/>
          <w:sz w:val="14"/>
          <w:szCs w:val="14"/>
          <w:color w:val="auto"/>
        </w:rPr>
      </w:pPr>
    </w:p>
    <w:p>
      <w:pPr>
        <w:ind w:left="660" w:right="40" w:hanging="652"/>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interest rate of 5.73% represents the weighted average interest rate for twelve unsecured fixed rate notes payable. These notes mature between November 15, 2014 and to October 31, 2028.</w:t>
      </w:r>
    </w:p>
    <w:p>
      <w:pPr>
        <w:spacing w:after="0" w:line="11"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right="300" w:hanging="652"/>
        <w:spacing w:after="0" w:line="286" w:lineRule="auto"/>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maximum amount drawn under our revolving credit facility during the three months ended December 31, 2013 was $72.0 million, and the weighted average interest rate on borrowings under our revolving credit facility, before amortization of debt fees was 1.08%. The maximum amount drawn under our revolving credit facility was $76.0 million during 2013, and the weighted average effective interest rate on borrowings under our revolving credit facility, before amortization of debt fees, was 1.27% for 2013.</w:t>
      </w:r>
    </w:p>
    <w:p>
      <w:pPr>
        <w:spacing w:after="0" w:line="5" w:lineRule="exact"/>
        <w:rPr>
          <w:rFonts w:ascii="Arial" w:cs="Arial" w:eastAsia="Arial" w:hAnsi="Arial"/>
          <w:sz w:val="13"/>
          <w:szCs w:val="13"/>
          <w:color w:val="auto"/>
        </w:rPr>
      </w:pPr>
    </w:p>
    <w:p>
      <w:pPr>
        <w:ind w:left="660" w:hanging="652"/>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8.</w:t>
      </w:r>
    </w:p>
    <w:p>
      <w:pPr>
        <w:spacing w:after="0" w:line="55" w:lineRule="exact"/>
        <w:rPr>
          <w:rFonts w:ascii="Arial" w:cs="Arial" w:eastAsia="Arial" w:hAnsi="Arial"/>
          <w:sz w:val="14"/>
          <w:szCs w:val="14"/>
          <w:color w:val="auto"/>
        </w:rPr>
      </w:pPr>
    </w:p>
    <w:p>
      <w:pPr>
        <w:jc w:val="both"/>
        <w:ind w:left="660" w:right="80" w:hanging="652"/>
        <w:spacing w:after="0" w:line="25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balance on December 31, 2013. In addition, the weighted average effective interest rate is calculated using the fixed rate on our term loan of 3.02% as the result of the interest rate swap agreements discussed in Note 3. The term loan is included in fixed rate debt.</w:t>
      </w:r>
    </w:p>
    <w:p>
      <w:pPr>
        <w:spacing w:after="0" w:line="23" w:lineRule="exact"/>
        <w:rPr>
          <w:rFonts w:ascii="Arial" w:cs="Arial" w:eastAsia="Arial" w:hAnsi="Arial"/>
          <w:sz w:val="14"/>
          <w:szCs w:val="14"/>
          <w:color w:val="auto"/>
        </w:rPr>
      </w:pPr>
    </w:p>
    <w:p>
      <w:pPr>
        <w:jc w:val="both"/>
        <w:ind w:left="660" w:right="260" w:hanging="652"/>
        <w:spacing w:after="0" w:line="25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costs related to the early extinguishment of debt, and the portion of rent expense representing an interest factor. EBITDA includes a gain on sale of real estate of $28.9 million and $11.9 million for the year ended December 31, 2013 and 2012, respectively. Adjusted EBITDA is reconciled to net income in the Glossary of Terms.</w:t>
      </w:r>
    </w:p>
    <w:p>
      <w:pPr>
        <w:spacing w:after="0" w:line="23" w:lineRule="exact"/>
        <w:rPr>
          <w:rFonts w:ascii="Arial" w:cs="Arial" w:eastAsia="Arial" w:hAnsi="Arial"/>
          <w:sz w:val="14"/>
          <w:szCs w:val="14"/>
          <w:color w:val="auto"/>
        </w:rPr>
      </w:pPr>
    </w:p>
    <w:p>
      <w:pPr>
        <w:ind w:left="660" w:right="200" w:hanging="652"/>
        <w:spacing w:after="0" w:line="25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Fixed charges exclude the $9.9 million and $13.3 million of early extinguishment of debt charge for the three months and year ended December 31, 2013, respectively, related to the make-whole premiums paid as part of the early redemptions of our 5.40% and 5.95% senior notes, and the prepayment premium paid as part of the early payoff of our 7.50% mortgage loans.</w:t>
      </w:r>
    </w:p>
    <w:p>
      <w:pPr>
        <w:spacing w:after="0" w:line="23" w:lineRule="exact"/>
        <w:rPr>
          <w:rFonts w:ascii="Arial" w:cs="Arial" w:eastAsia="Arial" w:hAnsi="Arial"/>
          <w:sz w:val="14"/>
          <w:szCs w:val="14"/>
          <w:color w:val="auto"/>
        </w:rPr>
      </w:pPr>
    </w:p>
    <w:p>
      <w:pPr>
        <w:ind w:left="660" w:right="60" w:hanging="652"/>
        <w:spacing w:after="0" w:line="312" w:lineRule="auto"/>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Effective January 1, 2014, with the acquisition of the Grove at Shrewsbury and Brook 35 Plaza, we assumed three mortgage loans with principal balances of $11.5 million, $45.4 million, and $11.4 million. These mortgage loans have stated interest rates of 5.46%, 5.82%, 6.38%. and maturity dates of July 1, 2014, October 1, 2017, and March 1, 2018,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38" w:right="239"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10,149</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30,127</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40,276</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8,016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198,391</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206,407</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3,240</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194,013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197,253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3,144</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375,000</w:t>
            </w:r>
          </w:p>
        </w:tc>
        <w:tc>
          <w:tcPr>
            <w:tcW w:w="340" w:type="dxa"/>
            <w:vAlign w:val="bottom"/>
          </w:tcPr>
          <w:p>
            <w:pPr>
              <w:jc w:val="right"/>
              <w:ind w:right="59"/>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378,144</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35.4%</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3,324</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275,000</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278,324</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3,172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23,332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48.4%</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153,176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3,099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6,724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55.3%</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313,618</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314,844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2023</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1,283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330,010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331,293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83.2%</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21,210</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369,201</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390,411</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61,039</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2,259,145</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2,320,184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10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$600.0 million unsecured revolving credit facility matures on April 21, 2017, subject to a one-year extension at our option. As of December 31, 2013, there was no balance outstanding on our revolving credit facility.</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December 31, 2013.</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2013</w:t>
      </w:r>
    </w:p>
    <w:p>
      <w:pPr>
        <w:spacing w:after="0" w:line="248" w:lineRule="exact"/>
        <w:rPr>
          <w:sz w:val="20"/>
          <w:szCs w:val="20"/>
          <w:color w:val="auto"/>
        </w:rPr>
      </w:pPr>
    </w:p>
    <w:p>
      <w:pPr>
        <w:ind w:left="40" w:right="1120"/>
        <w:spacing w:after="0" w:line="293" w:lineRule="auto"/>
        <w:rPr>
          <w:sz w:val="20"/>
          <w:szCs w:val="20"/>
          <w:color w:val="auto"/>
        </w:rPr>
      </w:pPr>
      <w:r>
        <w:rPr>
          <w:rFonts w:ascii="Arial" w:cs="Arial" w:eastAsia="Arial" w:hAnsi="Arial"/>
          <w:sz w:val="16"/>
          <w:szCs w:val="16"/>
          <w:b w:val="1"/>
          <w:bCs w:val="1"/>
          <w:color w:val="auto"/>
        </w:rPr>
        <w:t>The following development and redevelopment opportunities have received or will shortly receive all necessary approvals to proceed and are actively being worked on by the Trust (1) ($ millions)</w:t>
      </w:r>
    </w:p>
    <w:tbl>
      <w:tblPr>
        <w:tblLayout w:type="fixed"/>
        <w:tblInd w:w="0" w:type="dxa"/>
        <w:tblCellMar>
          <w:top w:w="0" w:type="dxa"/>
          <w:left w:w="0" w:type="dxa"/>
          <w:bottom w:w="0" w:type="dxa"/>
          <w:right w:w="0" w:type="dxa"/>
        </w:tblCellMar>
      </w:tblPr>
      <w:tr>
        <w:trPr>
          <w:trHeight w:val="150"/>
        </w:trPr>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Projected</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Cost to</w:t>
            </w:r>
          </w:p>
        </w:tc>
        <w:tc>
          <w:tcPr>
            <w:tcW w:w="10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232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Property</w:t>
            </w:r>
          </w:p>
        </w:tc>
        <w:tc>
          <w:tcPr>
            <w:tcW w:w="13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Location</w:t>
            </w:r>
          </w:p>
        </w:tc>
        <w:tc>
          <w:tcPr>
            <w:tcW w:w="448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Opportunity</w:t>
            </w:r>
          </w:p>
        </w:tc>
        <w:tc>
          <w:tcPr>
            <w:tcW w:w="8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ROI (2)</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Cost (2)</w:t>
            </w: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b w:val="1"/>
                <w:bCs w:val="1"/>
                <w:color w:val="auto"/>
              </w:rPr>
              <w:t>Projects Stabilized in 2013 (4)</w:t>
            </w:r>
          </w:p>
        </w:tc>
        <w:tc>
          <w:tcPr>
            <w:tcW w:w="13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Chelsea Commons</w:t>
            </w:r>
          </w:p>
        </w:tc>
        <w:tc>
          <w:tcPr>
            <w:tcW w:w="1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Chelsea, MA</w:t>
            </w:r>
          </w:p>
        </w:tc>
        <w:tc>
          <w:tcPr>
            <w:tcW w:w="4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Addition of a 56 unit apartment building with above grade parking</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23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4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20" w:type="dxa"/>
            <w:vAlign w:val="bottom"/>
          </w:tcPr>
          <w:p>
            <w:pPr>
              <w:ind w:left="40"/>
              <w:spacing w:after="0" w:line="157" w:lineRule="exact"/>
              <w:rPr>
                <w:sz w:val="20"/>
                <w:szCs w:val="20"/>
                <w:color w:val="auto"/>
              </w:rPr>
            </w:pPr>
            <w:r>
              <w:rPr>
                <w:rFonts w:ascii="Arial" w:cs="Arial" w:eastAsia="Arial" w:hAnsi="Arial"/>
                <w:sz w:val="14"/>
                <w:szCs w:val="14"/>
                <w:color w:val="auto"/>
              </w:rPr>
              <w:t>29th Place</w:t>
            </w:r>
          </w:p>
        </w:tc>
        <w:tc>
          <w:tcPr>
            <w:tcW w:w="1300" w:type="dxa"/>
            <w:vAlign w:val="bottom"/>
          </w:tcPr>
          <w:p>
            <w:pPr>
              <w:ind w:left="120"/>
              <w:spacing w:after="0" w:line="157" w:lineRule="exact"/>
              <w:rPr>
                <w:sz w:val="20"/>
                <w:szCs w:val="20"/>
                <w:color w:val="auto"/>
              </w:rPr>
            </w:pPr>
            <w:r>
              <w:rPr>
                <w:rFonts w:ascii="Arial" w:cs="Arial" w:eastAsia="Arial" w:hAnsi="Arial"/>
                <w:sz w:val="14"/>
                <w:szCs w:val="14"/>
                <w:color w:val="auto"/>
              </w:rPr>
              <w:t>Charlottesville, VA</w:t>
            </w:r>
          </w:p>
        </w:tc>
        <w:tc>
          <w:tcPr>
            <w:tcW w:w="4480" w:type="dxa"/>
            <w:vAlign w:val="bottom"/>
          </w:tcPr>
          <w:p>
            <w:pPr>
              <w:ind w:left="60"/>
              <w:spacing w:after="0" w:line="157" w:lineRule="exact"/>
              <w:rPr>
                <w:sz w:val="20"/>
                <w:szCs w:val="20"/>
                <w:color w:val="auto"/>
              </w:rPr>
            </w:pPr>
            <w:r>
              <w:rPr>
                <w:rFonts w:ascii="Arial" w:cs="Arial" w:eastAsia="Arial" w:hAnsi="Arial"/>
                <w:sz w:val="14"/>
                <w:szCs w:val="14"/>
                <w:color w:val="auto"/>
                <w:w w:val="99"/>
              </w:rPr>
              <w:t>Renovate canopy and reconfigure anchor spaces to accommodate new</w:t>
            </w: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6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8"/>
        </w:trPr>
        <w:tc>
          <w:tcPr>
            <w:tcW w:w="23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448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tenants.</w:t>
            </w:r>
          </w:p>
        </w:tc>
        <w:tc>
          <w:tcPr>
            <w:tcW w:w="8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Projects Stabilized in 2013 (3) (4)</w:t>
            </w:r>
          </w:p>
        </w:tc>
        <w:tc>
          <w:tcPr>
            <w:tcW w:w="4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w:t>
            </w:r>
          </w:p>
        </w:tc>
        <w:tc>
          <w:tcPr>
            <w:tcW w:w="10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Active Redevelopment Projects</w:t>
            </w:r>
          </w:p>
        </w:tc>
        <w:tc>
          <w:tcPr>
            <w:tcW w:w="1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3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40"/>
              <w:spacing w:after="0"/>
              <w:rPr>
                <w:sz w:val="20"/>
                <w:szCs w:val="20"/>
                <w:color w:val="auto"/>
              </w:rPr>
            </w:pPr>
            <w:r>
              <w:rPr>
                <w:rFonts w:ascii="Arial" w:cs="Arial" w:eastAsia="Arial" w:hAnsi="Arial"/>
                <w:sz w:val="14"/>
                <w:szCs w:val="14"/>
                <w:color w:val="auto"/>
              </w:rPr>
              <w:t>The Point</w:t>
            </w:r>
          </w:p>
        </w:tc>
        <w:tc>
          <w:tcPr>
            <w:tcW w:w="1300" w:type="dxa"/>
            <w:vAlign w:val="bottom"/>
          </w:tcPr>
          <w:p>
            <w:pPr>
              <w:ind w:left="120"/>
              <w:spacing w:after="0"/>
              <w:rPr>
                <w:sz w:val="20"/>
                <w:szCs w:val="20"/>
                <w:color w:val="auto"/>
              </w:rPr>
            </w:pPr>
            <w:r>
              <w:rPr>
                <w:rFonts w:ascii="Arial" w:cs="Arial" w:eastAsia="Arial" w:hAnsi="Arial"/>
                <w:sz w:val="14"/>
                <w:szCs w:val="14"/>
                <w:color w:val="auto"/>
              </w:rPr>
              <w:t>El Segundo, CA</w:t>
            </w:r>
          </w:p>
        </w:tc>
        <w:tc>
          <w:tcPr>
            <w:tcW w:w="4480" w:type="dxa"/>
            <w:vAlign w:val="bottom"/>
          </w:tcPr>
          <w:p>
            <w:pPr>
              <w:ind w:left="60"/>
              <w:spacing w:after="0"/>
              <w:rPr>
                <w:sz w:val="20"/>
                <w:szCs w:val="20"/>
                <w:color w:val="auto"/>
              </w:rPr>
            </w:pPr>
            <w:r>
              <w:rPr>
                <w:rFonts w:ascii="Arial" w:cs="Arial" w:eastAsia="Arial" w:hAnsi="Arial"/>
                <w:sz w:val="14"/>
                <w:szCs w:val="14"/>
                <w:color w:val="auto"/>
                <w:w w:val="99"/>
              </w:rPr>
              <w:t>Addition of 90,000 square feet of retail, and 25,000 square feet of office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80" w:type="dxa"/>
            <w:vAlign w:val="bottom"/>
          </w:tcPr>
          <w:p>
            <w:pPr>
              <w:ind w:left="60"/>
              <w:spacing w:after="0"/>
              <w:rPr>
                <w:sz w:val="20"/>
                <w:szCs w:val="20"/>
                <w:color w:val="auto"/>
              </w:rPr>
            </w:pPr>
            <w:r>
              <w:rPr>
                <w:rFonts w:ascii="Arial" w:cs="Arial" w:eastAsia="Arial" w:hAnsi="Arial"/>
                <w:sz w:val="14"/>
                <w:szCs w:val="14"/>
                <w:color w:val="auto"/>
              </w:rPr>
              <w:t>space</w:t>
            </w: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 - Lot 8B</w:t>
            </w:r>
          </w:p>
        </w:tc>
        <w:tc>
          <w:tcPr>
            <w:tcW w:w="1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San Jose, CA</w:t>
            </w:r>
          </w:p>
        </w:tc>
        <w:tc>
          <w:tcPr>
            <w:tcW w:w="4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Addition of a 5-story rental apartment building, which will include 212</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residential units and associated parking</w:t>
            </w: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20" w:type="dxa"/>
            <w:vAlign w:val="bottom"/>
          </w:tcPr>
          <w:p>
            <w:pPr>
              <w:ind w:left="40"/>
              <w:spacing w:after="0"/>
              <w:rPr>
                <w:sz w:val="20"/>
                <w:szCs w:val="20"/>
                <w:color w:val="auto"/>
              </w:rPr>
            </w:pPr>
            <w:r>
              <w:rPr>
                <w:rFonts w:ascii="Arial" w:cs="Arial" w:eastAsia="Arial" w:hAnsi="Arial"/>
                <w:sz w:val="14"/>
                <w:szCs w:val="14"/>
                <w:color w:val="auto"/>
              </w:rPr>
              <w:t>Westgate Center</w:t>
            </w:r>
          </w:p>
        </w:tc>
        <w:tc>
          <w:tcPr>
            <w:tcW w:w="1300" w:type="dxa"/>
            <w:vAlign w:val="bottom"/>
          </w:tcPr>
          <w:p>
            <w:pPr>
              <w:ind w:left="120"/>
              <w:spacing w:after="0"/>
              <w:rPr>
                <w:sz w:val="20"/>
                <w:szCs w:val="20"/>
                <w:color w:val="auto"/>
              </w:rPr>
            </w:pPr>
            <w:r>
              <w:rPr>
                <w:rFonts w:ascii="Arial" w:cs="Arial" w:eastAsia="Arial" w:hAnsi="Arial"/>
                <w:sz w:val="14"/>
                <w:szCs w:val="14"/>
                <w:color w:val="auto"/>
              </w:rPr>
              <w:t>San Jose, CA</w:t>
            </w:r>
          </w:p>
        </w:tc>
        <w:tc>
          <w:tcPr>
            <w:tcW w:w="4480" w:type="dxa"/>
            <w:vAlign w:val="bottom"/>
          </w:tcPr>
          <w:p>
            <w:pPr>
              <w:ind w:left="6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2014/2015</w:t>
            </w:r>
          </w:p>
        </w:tc>
        <w:tc>
          <w:tcPr>
            <w:tcW w:w="0" w:type="dxa"/>
            <w:vAlign w:val="bottom"/>
          </w:tcPr>
          <w:p>
            <w:pPr>
              <w:spacing w:after="0"/>
              <w:rPr>
                <w:sz w:val="1"/>
                <w:szCs w:val="1"/>
                <w:color w:val="auto"/>
              </w:rPr>
            </w:pPr>
          </w:p>
        </w:tc>
      </w:tr>
      <w:tr>
        <w:trPr>
          <w:trHeight w:val="80"/>
        </w:trPr>
        <w:tc>
          <w:tcPr>
            <w:tcW w:w="23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Shops at Willow Lawn</w:t>
            </w:r>
          </w:p>
        </w:tc>
        <w:tc>
          <w:tcPr>
            <w:tcW w:w="13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Richmond, VA</w:t>
            </w:r>
          </w:p>
        </w:tc>
        <w:tc>
          <w:tcPr>
            <w:tcW w:w="448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w w:val="96"/>
              </w:rPr>
              <w:t>Demo interior mall, relocate mall tenants, construct new exterior GLA, and</w:t>
            </w:r>
          </w:p>
        </w:tc>
        <w:tc>
          <w:tcPr>
            <w:tcW w:w="8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7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w:t>
            </w:r>
          </w:p>
        </w:tc>
        <w:tc>
          <w:tcPr>
            <w:tcW w:w="6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$9</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gas station</w:t>
            </w: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20" w:type="dxa"/>
            <w:vAlign w:val="bottom"/>
          </w:tcPr>
          <w:p>
            <w:pPr>
              <w:ind w:left="40"/>
              <w:spacing w:after="0" w:line="157" w:lineRule="exact"/>
              <w:rPr>
                <w:sz w:val="20"/>
                <w:szCs w:val="20"/>
                <w:color w:val="auto"/>
              </w:rPr>
            </w:pPr>
            <w:r>
              <w:rPr>
                <w:rFonts w:ascii="Arial" w:cs="Arial" w:eastAsia="Arial" w:hAnsi="Arial"/>
                <w:sz w:val="14"/>
                <w:szCs w:val="14"/>
                <w:color w:val="auto"/>
              </w:rPr>
              <w:t>Mercer Mall</w:t>
            </w:r>
          </w:p>
        </w:tc>
        <w:tc>
          <w:tcPr>
            <w:tcW w:w="1300" w:type="dxa"/>
            <w:vAlign w:val="bottom"/>
          </w:tcPr>
          <w:p>
            <w:pPr>
              <w:ind w:left="120"/>
              <w:spacing w:after="0" w:line="157" w:lineRule="exact"/>
              <w:rPr>
                <w:sz w:val="20"/>
                <w:szCs w:val="20"/>
                <w:color w:val="auto"/>
              </w:rPr>
            </w:pPr>
            <w:r>
              <w:rPr>
                <w:rFonts w:ascii="Arial" w:cs="Arial" w:eastAsia="Arial" w:hAnsi="Arial"/>
                <w:sz w:val="14"/>
                <w:szCs w:val="14"/>
                <w:color w:val="auto"/>
              </w:rPr>
              <w:t>Lawrenceville, NJ</w:t>
            </w:r>
          </w:p>
        </w:tc>
        <w:tc>
          <w:tcPr>
            <w:tcW w:w="4480" w:type="dxa"/>
            <w:vAlign w:val="bottom"/>
          </w:tcPr>
          <w:p>
            <w:pPr>
              <w:ind w:left="60"/>
              <w:spacing w:after="0" w:line="157" w:lineRule="exact"/>
              <w:rPr>
                <w:sz w:val="20"/>
                <w:szCs w:val="20"/>
                <w:color w:val="auto"/>
              </w:rPr>
            </w:pPr>
            <w:r>
              <w:rPr>
                <w:rFonts w:ascii="Arial" w:cs="Arial" w:eastAsia="Arial" w:hAnsi="Arial"/>
                <w:sz w:val="14"/>
                <w:szCs w:val="14"/>
                <w:color w:val="auto"/>
              </w:rPr>
              <w:t>Addition of 26,000 square feet of space including new in-line space,</w:t>
            </w: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12%</w:t>
            </w: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$9</w:t>
            </w:r>
          </w:p>
        </w:tc>
        <w:tc>
          <w:tcPr>
            <w:tcW w:w="6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80" w:type="dxa"/>
            <w:vAlign w:val="bottom"/>
          </w:tcPr>
          <w:p>
            <w:pPr>
              <w:ind w:left="60"/>
              <w:spacing w:after="0"/>
              <w:rPr>
                <w:sz w:val="20"/>
                <w:szCs w:val="20"/>
                <w:color w:val="auto"/>
              </w:rPr>
            </w:pPr>
            <w:r>
              <w:rPr>
                <w:rFonts w:ascii="Arial" w:cs="Arial" w:eastAsia="Arial" w:hAnsi="Arial"/>
                <w:sz w:val="14"/>
                <w:szCs w:val="14"/>
                <w:color w:val="auto"/>
              </w:rPr>
              <w:t>addition of bank pad and reconfiguration of existing pad site</w:t>
            </w: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Quince Orchard</w:t>
            </w:r>
          </w:p>
        </w:tc>
        <w:tc>
          <w:tcPr>
            <w:tcW w:w="1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Gaithersburg, MD</w:t>
            </w:r>
          </w:p>
        </w:tc>
        <w:tc>
          <w:tcPr>
            <w:tcW w:w="44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7"/>
              </w:rPr>
              <w:t>Property repositioning through demo of non-functional small shop space,</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creation of new anchor box, rightsizing of national office products tenant,</w:t>
            </w:r>
          </w:p>
        </w:tc>
        <w:tc>
          <w:tcPr>
            <w:tcW w:w="8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and creation of new visible small shop space</w:t>
            </w: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20" w:type="dxa"/>
            <w:vAlign w:val="bottom"/>
          </w:tcPr>
          <w:p>
            <w:pPr>
              <w:ind w:left="40"/>
              <w:spacing w:after="0" w:line="157" w:lineRule="exact"/>
              <w:rPr>
                <w:sz w:val="20"/>
                <w:szCs w:val="20"/>
                <w:color w:val="auto"/>
              </w:rPr>
            </w:pPr>
            <w:r>
              <w:rPr>
                <w:rFonts w:ascii="Arial" w:cs="Arial" w:eastAsia="Arial" w:hAnsi="Arial"/>
                <w:sz w:val="14"/>
                <w:szCs w:val="14"/>
                <w:color w:val="auto"/>
              </w:rPr>
              <w:t>Ellisburg</w:t>
            </w:r>
          </w:p>
        </w:tc>
        <w:tc>
          <w:tcPr>
            <w:tcW w:w="1300" w:type="dxa"/>
            <w:vAlign w:val="bottom"/>
          </w:tcPr>
          <w:p>
            <w:pPr>
              <w:ind w:left="120"/>
              <w:spacing w:after="0" w:line="157" w:lineRule="exact"/>
              <w:rPr>
                <w:sz w:val="20"/>
                <w:szCs w:val="20"/>
                <w:color w:val="auto"/>
              </w:rPr>
            </w:pPr>
            <w:r>
              <w:rPr>
                <w:rFonts w:ascii="Arial" w:cs="Arial" w:eastAsia="Arial" w:hAnsi="Arial"/>
                <w:sz w:val="14"/>
                <w:szCs w:val="14"/>
                <w:color w:val="auto"/>
              </w:rPr>
              <w:t>Cherry Hill, NJ</w:t>
            </w:r>
          </w:p>
        </w:tc>
        <w:tc>
          <w:tcPr>
            <w:tcW w:w="4480" w:type="dxa"/>
            <w:vAlign w:val="bottom"/>
          </w:tcPr>
          <w:p>
            <w:pPr>
              <w:ind w:left="60"/>
              <w:spacing w:after="0" w:line="157" w:lineRule="exact"/>
              <w:rPr>
                <w:sz w:val="20"/>
                <w:szCs w:val="20"/>
                <w:color w:val="auto"/>
              </w:rPr>
            </w:pPr>
            <w:r>
              <w:rPr>
                <w:rFonts w:ascii="Arial" w:cs="Arial" w:eastAsia="Arial" w:hAnsi="Arial"/>
                <w:sz w:val="14"/>
                <w:szCs w:val="14"/>
                <w:color w:val="auto"/>
              </w:rPr>
              <w:t>Property repositioning through retenanting, including new grocer and</w:t>
            </w: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18%</w:t>
            </w: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6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80" w:type="dxa"/>
            <w:vAlign w:val="bottom"/>
          </w:tcPr>
          <w:p>
            <w:pPr>
              <w:ind w:left="60"/>
              <w:spacing w:after="0"/>
              <w:rPr>
                <w:sz w:val="20"/>
                <w:szCs w:val="20"/>
                <w:color w:val="auto"/>
              </w:rPr>
            </w:pPr>
            <w:r>
              <w:rPr>
                <w:rFonts w:ascii="Arial" w:cs="Arial" w:eastAsia="Arial" w:hAnsi="Arial"/>
                <w:sz w:val="14"/>
                <w:szCs w:val="14"/>
                <w:color w:val="auto"/>
              </w:rPr>
              <w:t>façade renovation</w:t>
            </w: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Blvd. - Petersen Building</w:t>
            </w:r>
          </w:p>
        </w:tc>
        <w:tc>
          <w:tcPr>
            <w:tcW w:w="1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Hollywood, CA</w:t>
            </w:r>
          </w:p>
        </w:tc>
        <w:tc>
          <w:tcPr>
            <w:tcW w:w="44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7"/>
              </w:rPr>
              <w:t>Redevelop/retenant building and reconfigure space to accommodate 2nd</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94"/>
        </w:trPr>
        <w:tc>
          <w:tcPr>
            <w:tcW w:w="2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floor tenant</w:t>
            </w: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20" w:type="dxa"/>
            <w:vAlign w:val="bottom"/>
          </w:tcPr>
          <w:p>
            <w:pPr>
              <w:ind w:left="40"/>
              <w:spacing w:after="0"/>
              <w:rPr>
                <w:sz w:val="20"/>
                <w:szCs w:val="20"/>
                <w:color w:val="auto"/>
              </w:rPr>
            </w:pPr>
            <w:r>
              <w:rPr>
                <w:rFonts w:ascii="Arial" w:cs="Arial" w:eastAsia="Arial" w:hAnsi="Arial"/>
                <w:sz w:val="14"/>
                <w:szCs w:val="14"/>
                <w:color w:val="auto"/>
              </w:rPr>
              <w:t>Barracks Road</w:t>
            </w:r>
          </w:p>
        </w:tc>
        <w:tc>
          <w:tcPr>
            <w:tcW w:w="1300" w:type="dxa"/>
            <w:vAlign w:val="bottom"/>
          </w:tcPr>
          <w:p>
            <w:pPr>
              <w:ind w:left="120"/>
              <w:spacing w:after="0"/>
              <w:rPr>
                <w:sz w:val="20"/>
                <w:szCs w:val="20"/>
                <w:color w:val="auto"/>
              </w:rPr>
            </w:pPr>
            <w:r>
              <w:rPr>
                <w:rFonts w:ascii="Arial" w:cs="Arial" w:eastAsia="Arial" w:hAnsi="Arial"/>
                <w:sz w:val="14"/>
                <w:szCs w:val="14"/>
                <w:color w:val="auto"/>
              </w:rPr>
              <w:t>Charlottesville, VA</w:t>
            </w:r>
          </w:p>
        </w:tc>
        <w:tc>
          <w:tcPr>
            <w:tcW w:w="4480" w:type="dxa"/>
            <w:vAlign w:val="bottom"/>
          </w:tcPr>
          <w:p>
            <w:pPr>
              <w:ind w:left="60"/>
              <w:spacing w:after="0"/>
              <w:rPr>
                <w:sz w:val="20"/>
                <w:szCs w:val="20"/>
                <w:color w:val="auto"/>
              </w:rPr>
            </w:pPr>
            <w:r>
              <w:rPr>
                <w:rFonts w:ascii="Arial" w:cs="Arial" w:eastAsia="Arial" w:hAnsi="Arial"/>
                <w:sz w:val="14"/>
                <w:szCs w:val="14"/>
                <w:color w:val="auto"/>
              </w:rPr>
              <w:t>11,800 square foot multi-tenant pad building</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80"/>
        </w:trPr>
        <w:tc>
          <w:tcPr>
            <w:tcW w:w="23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Pentagon Row</w:t>
            </w:r>
          </w:p>
        </w:tc>
        <w:tc>
          <w:tcPr>
            <w:tcW w:w="1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Arlington, VA</w:t>
            </w:r>
          </w:p>
        </w:tc>
        <w:tc>
          <w:tcPr>
            <w:tcW w:w="4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Ice rink expansion and 1,500 square feet of new retail space</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80"/>
        </w:trPr>
        <w:tc>
          <w:tcPr>
            <w:tcW w:w="23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4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20" w:type="dxa"/>
            <w:vAlign w:val="bottom"/>
          </w:tcPr>
          <w:p>
            <w:pPr>
              <w:ind w:left="40"/>
              <w:spacing w:after="0"/>
              <w:rPr>
                <w:sz w:val="20"/>
                <w:szCs w:val="20"/>
                <w:color w:val="auto"/>
              </w:rPr>
            </w:pPr>
            <w:r>
              <w:rPr>
                <w:rFonts w:ascii="Arial" w:cs="Arial" w:eastAsia="Arial" w:hAnsi="Arial"/>
                <w:sz w:val="14"/>
                <w:szCs w:val="14"/>
                <w:color w:val="auto"/>
              </w:rPr>
              <w:t>Brick</w:t>
            </w:r>
          </w:p>
        </w:tc>
        <w:tc>
          <w:tcPr>
            <w:tcW w:w="1300" w:type="dxa"/>
            <w:vAlign w:val="bottom"/>
          </w:tcPr>
          <w:p>
            <w:pPr>
              <w:ind w:left="120"/>
              <w:spacing w:after="0"/>
              <w:rPr>
                <w:sz w:val="20"/>
                <w:szCs w:val="20"/>
                <w:color w:val="auto"/>
              </w:rPr>
            </w:pPr>
            <w:r>
              <w:rPr>
                <w:rFonts w:ascii="Arial" w:cs="Arial" w:eastAsia="Arial" w:hAnsi="Arial"/>
                <w:sz w:val="14"/>
                <w:szCs w:val="14"/>
                <w:color w:val="auto"/>
              </w:rPr>
              <w:t>Brick, NJ</w:t>
            </w:r>
          </w:p>
        </w:tc>
        <w:tc>
          <w:tcPr>
            <w:tcW w:w="4480" w:type="dxa"/>
            <w:vAlign w:val="bottom"/>
          </w:tcPr>
          <w:p>
            <w:pPr>
              <w:ind w:left="60"/>
              <w:spacing w:after="0"/>
              <w:rPr>
                <w:sz w:val="20"/>
                <w:szCs w:val="20"/>
                <w:color w:val="auto"/>
              </w:rPr>
            </w:pPr>
            <w:r>
              <w:rPr>
                <w:rFonts w:ascii="Arial" w:cs="Arial" w:eastAsia="Arial" w:hAnsi="Arial"/>
                <w:sz w:val="14"/>
                <w:szCs w:val="14"/>
                <w:color w:val="auto"/>
              </w:rPr>
              <w:t>New restaurant pad building</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80"/>
        </w:trPr>
        <w:tc>
          <w:tcPr>
            <w:tcW w:w="23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Huntington Square</w:t>
            </w:r>
          </w:p>
        </w:tc>
        <w:tc>
          <w:tcPr>
            <w:tcW w:w="13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8"/>
              </w:rPr>
              <w:t>East Northport, NY</w:t>
            </w:r>
          </w:p>
        </w:tc>
        <w:tc>
          <w:tcPr>
            <w:tcW w:w="4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Infrastructure investment to create additional restaurant capacity</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3620" w:type="dxa"/>
            <w:vAlign w:val="bottom"/>
            <w:gridSpan w:val="2"/>
            <w:shd w:val="clear" w:color="auto" w:fill="CCEEFF"/>
          </w:tcPr>
          <w:p>
            <w:pPr>
              <w:spacing w:after="0"/>
              <w:rPr>
                <w:sz w:val="6"/>
                <w:szCs w:val="6"/>
                <w:color w:val="auto"/>
              </w:rPr>
            </w:pPr>
          </w:p>
        </w:tc>
        <w:tc>
          <w:tcPr>
            <w:tcW w:w="4480" w:type="dxa"/>
            <w:vAlign w:val="bottom"/>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 Active Redevelopment projects (4)</w:t>
            </w:r>
          </w:p>
        </w:tc>
        <w:tc>
          <w:tcPr>
            <w:tcW w:w="44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$217</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$130</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development projects reflects the deal specific cash, unleveraged Property Operating Income (POI) generated by the development and is calculated as POI divided by cost. Projected ROI for development and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7"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Mixed Use Projects Phase I</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2013</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Phase I of the following development projects is currently being constructed by the Trust.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Location</w:t>
            </w:r>
          </w:p>
        </w:tc>
        <w:tc>
          <w:tcPr>
            <w:tcW w:w="23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Opportunity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w w:val="99"/>
              </w:rPr>
              <w:t>Total Cost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Costs</w:t>
            </w: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w w:val="97"/>
              </w:rPr>
              <w:t>Anticipated</w:t>
            </w:r>
          </w:p>
        </w:tc>
        <w:tc>
          <w:tcPr>
            <w:tcW w:w="194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Anchor and other</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3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to Date Stabilization Expected Opening Timeframe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significant tenants</w:t>
            </w:r>
          </w:p>
        </w:tc>
        <w:tc>
          <w:tcPr>
            <w:tcW w:w="0" w:type="dxa"/>
            <w:vAlign w:val="bottom"/>
          </w:tcPr>
          <w:p>
            <w:pPr>
              <w:spacing w:after="0"/>
              <w:rPr>
                <w:sz w:val="1"/>
                <w:szCs w:val="1"/>
                <w:color w:val="auto"/>
              </w:rPr>
            </w:pPr>
          </w:p>
        </w:tc>
      </w:tr>
      <w:tr>
        <w:trPr>
          <w:trHeight w:val="156"/>
        </w:trPr>
        <w:tc>
          <w:tcPr>
            <w:tcW w:w="2080" w:type="dxa"/>
            <w:vAlign w:val="bottom"/>
          </w:tcPr>
          <w:p>
            <w:pPr>
              <w:ind w:left="40"/>
              <w:spacing w:after="0" w:line="157" w:lineRule="exact"/>
              <w:rPr>
                <w:sz w:val="20"/>
                <w:szCs w:val="20"/>
                <w:color w:val="auto"/>
              </w:rPr>
            </w:pPr>
            <w:r>
              <w:rPr>
                <w:rFonts w:ascii="Arial" w:cs="Arial" w:eastAsia="Arial" w:hAnsi="Arial"/>
                <w:sz w:val="14"/>
                <w:szCs w:val="14"/>
                <w:color w:val="auto"/>
                <w:w w:val="98"/>
              </w:rPr>
              <w:t>Pike &amp; Rose (Mid-Pike) - Phase I</w:t>
            </w:r>
          </w:p>
        </w:tc>
        <w:tc>
          <w:tcPr>
            <w:tcW w:w="880" w:type="dxa"/>
            <w:vAlign w:val="bottom"/>
          </w:tcPr>
          <w:p>
            <w:pPr>
              <w:ind w:left="80"/>
              <w:spacing w:after="0" w:line="157" w:lineRule="exact"/>
              <w:rPr>
                <w:sz w:val="20"/>
                <w:szCs w:val="20"/>
                <w:color w:val="auto"/>
              </w:rPr>
            </w:pPr>
            <w:r>
              <w:rPr>
                <w:rFonts w:ascii="Arial" w:cs="Arial" w:eastAsia="Arial" w:hAnsi="Arial"/>
                <w:sz w:val="14"/>
                <w:szCs w:val="14"/>
                <w:color w:val="auto"/>
              </w:rPr>
              <w:t>Rockville,</w:t>
            </w:r>
          </w:p>
        </w:tc>
        <w:tc>
          <w:tcPr>
            <w:tcW w:w="2360" w:type="dxa"/>
            <w:vAlign w:val="bottom"/>
          </w:tcPr>
          <w:p>
            <w:pPr>
              <w:ind w:left="120"/>
              <w:spacing w:after="0" w:line="157" w:lineRule="exact"/>
              <w:rPr>
                <w:sz w:val="20"/>
                <w:szCs w:val="20"/>
                <w:color w:val="auto"/>
              </w:rPr>
            </w:pPr>
            <w:r>
              <w:rPr>
                <w:rFonts w:ascii="Arial" w:cs="Arial" w:eastAsia="Arial" w:hAnsi="Arial"/>
                <w:sz w:val="14"/>
                <w:szCs w:val="14"/>
                <w:color w:val="auto"/>
                <w:w w:val="93"/>
              </w:rPr>
              <w:t>Ground up mixed use development on</w:t>
            </w:r>
          </w:p>
        </w:tc>
        <w:tc>
          <w:tcPr>
            <w:tcW w:w="680" w:type="dxa"/>
            <w:vAlign w:val="bottom"/>
          </w:tcPr>
          <w:p>
            <w:pPr>
              <w:jc w:val="center"/>
              <w:spacing w:after="0" w:line="157" w:lineRule="exact"/>
              <w:rPr>
                <w:sz w:val="20"/>
                <w:szCs w:val="20"/>
                <w:color w:val="auto"/>
              </w:rPr>
            </w:pPr>
            <w:r>
              <w:rPr>
                <w:rFonts w:ascii="Arial" w:cs="Arial" w:eastAsia="Arial" w:hAnsi="Arial"/>
                <w:sz w:val="14"/>
                <w:szCs w:val="14"/>
                <w:color w:val="auto"/>
                <w:w w:val="94"/>
              </w:rPr>
              <w:t>8% - 9%</w:t>
            </w:r>
          </w:p>
        </w:tc>
        <w:tc>
          <w:tcPr>
            <w:tcW w:w="780" w:type="dxa"/>
            <w:vAlign w:val="bottom"/>
          </w:tcPr>
          <w:p>
            <w:pPr>
              <w:jc w:val="center"/>
              <w:spacing w:after="0" w:line="157" w:lineRule="exact"/>
              <w:rPr>
                <w:sz w:val="20"/>
                <w:szCs w:val="20"/>
                <w:color w:val="auto"/>
              </w:rPr>
            </w:pPr>
            <w:r>
              <w:rPr>
                <w:rFonts w:ascii="Arial" w:cs="Arial" w:eastAsia="Arial" w:hAnsi="Arial"/>
                <w:sz w:val="14"/>
                <w:szCs w:val="14"/>
                <w:color w:val="auto"/>
                <w:w w:val="93"/>
              </w:rPr>
              <w:t>$245 - $255</w:t>
            </w:r>
          </w:p>
        </w:tc>
        <w:tc>
          <w:tcPr>
            <w:tcW w:w="520" w:type="dxa"/>
            <w:vAlign w:val="bottom"/>
          </w:tcPr>
          <w:p>
            <w:pPr>
              <w:jc w:val="center"/>
              <w:spacing w:after="0" w:line="157" w:lineRule="exact"/>
              <w:rPr>
                <w:sz w:val="20"/>
                <w:szCs w:val="20"/>
                <w:color w:val="auto"/>
              </w:rPr>
            </w:pPr>
            <w:r>
              <w:rPr>
                <w:rFonts w:ascii="Arial" w:cs="Arial" w:eastAsia="Arial" w:hAnsi="Arial"/>
                <w:sz w:val="14"/>
                <w:szCs w:val="14"/>
                <w:color w:val="auto"/>
                <w:w w:val="96"/>
              </w:rPr>
              <w:t>$106</w:t>
            </w: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2015/2016</w:t>
            </w:r>
          </w:p>
        </w:tc>
        <w:tc>
          <w:tcPr>
            <w:tcW w:w="1940" w:type="dxa"/>
            <w:vAlign w:val="bottom"/>
          </w:tcPr>
          <w:p>
            <w:pPr>
              <w:ind w:left="40"/>
              <w:spacing w:after="0" w:line="157" w:lineRule="exact"/>
              <w:rPr>
                <w:sz w:val="20"/>
                <w:szCs w:val="20"/>
                <w:color w:val="auto"/>
              </w:rPr>
            </w:pPr>
            <w:r>
              <w:rPr>
                <w:rFonts w:ascii="Arial" w:cs="Arial" w:eastAsia="Arial" w:hAnsi="Arial"/>
                <w:sz w:val="14"/>
                <w:szCs w:val="14"/>
                <w:color w:val="auto"/>
              </w:rPr>
              <w:t>•174 unit residential building</w:t>
            </w:r>
          </w:p>
        </w:tc>
        <w:tc>
          <w:tcPr>
            <w:tcW w:w="1360" w:type="dxa"/>
            <w:vAlign w:val="bottom"/>
          </w:tcPr>
          <w:p>
            <w:pPr>
              <w:ind w:left="20"/>
              <w:spacing w:after="0" w:line="157" w:lineRule="exact"/>
              <w:rPr>
                <w:sz w:val="20"/>
                <w:szCs w:val="20"/>
                <w:color w:val="auto"/>
              </w:rPr>
            </w:pPr>
            <w:r>
              <w:rPr>
                <w:rFonts w:ascii="Arial" w:cs="Arial" w:eastAsia="Arial" w:hAnsi="Arial"/>
                <w:sz w:val="14"/>
                <w:szCs w:val="14"/>
                <w:color w:val="auto"/>
              </w:rPr>
              <w:t>iPic Theater, Sport &amp;</w:t>
            </w:r>
          </w:p>
        </w:tc>
        <w:tc>
          <w:tcPr>
            <w:tcW w:w="0" w:type="dxa"/>
            <w:vAlign w:val="bottom"/>
          </w:tcPr>
          <w:p>
            <w:pPr>
              <w:spacing w:after="0"/>
              <w:rPr>
                <w:sz w:val="1"/>
                <w:szCs w:val="1"/>
                <w:color w:val="auto"/>
              </w:rPr>
            </w:pPr>
          </w:p>
        </w:tc>
      </w:tr>
      <w:tr>
        <w:trPr>
          <w:trHeight w:val="149"/>
        </w:trPr>
        <w:tc>
          <w:tcPr>
            <w:tcW w:w="2080" w:type="dxa"/>
            <w:vAlign w:val="bottom"/>
          </w:tcPr>
          <w:p>
            <w:pPr>
              <w:ind w:left="40"/>
              <w:spacing w:after="0" w:line="149" w:lineRule="exact"/>
              <w:rPr>
                <w:sz w:val="20"/>
                <w:szCs w:val="20"/>
                <w:color w:val="auto"/>
              </w:rPr>
            </w:pPr>
            <w:r>
              <w:rPr>
                <w:rFonts w:ascii="Arial" w:cs="Arial" w:eastAsia="Arial" w:hAnsi="Arial"/>
                <w:sz w:val="14"/>
                <w:szCs w:val="14"/>
                <w:color w:val="auto"/>
              </w:rPr>
              <w:t>(1)</w:t>
            </w:r>
          </w:p>
        </w:tc>
        <w:tc>
          <w:tcPr>
            <w:tcW w:w="880" w:type="dxa"/>
            <w:vAlign w:val="bottom"/>
          </w:tcPr>
          <w:p>
            <w:pPr>
              <w:ind w:left="80"/>
              <w:spacing w:after="0" w:line="149" w:lineRule="exact"/>
              <w:rPr>
                <w:sz w:val="20"/>
                <w:szCs w:val="20"/>
                <w:color w:val="auto"/>
              </w:rPr>
            </w:pPr>
            <w:r>
              <w:rPr>
                <w:rFonts w:ascii="Arial" w:cs="Arial" w:eastAsia="Arial" w:hAnsi="Arial"/>
                <w:sz w:val="14"/>
                <w:szCs w:val="14"/>
                <w:color w:val="auto"/>
              </w:rPr>
              <w:t>MD</w:t>
            </w: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site of existing Mid-Pike Shopping</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opening Spring 2014 •Grand</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Health, Del Frisco's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Center. Phase I of development</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Opening of Retail Fall 2014</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Grille, M Street</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involves demolition of roughly 25%</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w w:val="98"/>
              </w:rPr>
              <w:t>•Office and 319 unit residential</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Kitchen</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of existing GLA, and construction of</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color w:val="auto"/>
              </w:rPr>
              <w:t>building to deliver in 2015</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w w:val="96"/>
              </w:rPr>
              <w:t>493 residential units, 151,000 square</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w w:val="98"/>
              </w:rPr>
              <w:t>feet of retail, and 79,000 square feet</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4"/>
                <w:szCs w:val="14"/>
                <w:color w:val="auto"/>
              </w:rPr>
              <w:t>of office space.</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Assembly Row - Phase I (1)</w:t>
            </w:r>
          </w:p>
        </w:tc>
        <w:tc>
          <w:tcPr>
            <w:tcW w:w="8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Somerville,</w:t>
            </w: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Ground up mixed use development.</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 - 6%</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$190 - $200</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$115</w:t>
            </w: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2015</w:t>
            </w:r>
          </w:p>
        </w:tc>
        <w:tc>
          <w:tcPr>
            <w:tcW w:w="1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•Opening in Summer 2014 •T</w:t>
            </w:r>
          </w:p>
        </w:tc>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AMC Theater,</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MA</w:t>
            </w: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Initial phase consists of 450</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Station open Summer 2014</w:t>
            </w: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LEGOLand Discovery</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residential units (by AvalonBay), in</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•Office to deliver in 2015</w:t>
            </w: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Center, Saks Off 5th,</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addition to 98,000 square feet of</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Nike, Brooks</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office space and approximately</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Brothers, Legal C Bar,</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326,000 square feet of retail space</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Earl's, Papagayo</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(including a restaurant pad site). A</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new Orange Line T-Stop will also be</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constructed by Massachusetts Bay</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Transit Authority, as part of Phase I.</w:t>
            </w:r>
          </w:p>
        </w:tc>
        <w:tc>
          <w:tcPr>
            <w:tcW w:w="6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4"/>
                <w:szCs w:val="14"/>
                <w:b w:val="1"/>
                <w:bCs w:val="1"/>
                <w:color w:val="auto"/>
              </w:rPr>
              <w:t>Total Mixed Use Projects Phase I</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7%</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$435 - $455</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$221</w:t>
            </w: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63" w:lineRule="exact"/>
        <w:rPr>
          <w:sz w:val="20"/>
          <w:szCs w:val="20"/>
          <w:color w:val="auto"/>
        </w:rPr>
      </w:pPr>
    </w:p>
    <w:p>
      <w:pPr>
        <w:ind w:left="500" w:right="200" w:hanging="465"/>
        <w:spacing w:after="0" w:line="238"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500" w:right="320" w:hanging="465"/>
        <w:spacing w:after="0" w:line="253"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deal specific cash, unleveraged Property Operating Income (POI) generated by the development and is calculated as POI divided by cost.</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2013</w:t>
      </w:r>
    </w:p>
    <w:p>
      <w:pPr>
        <w:spacing w:after="0" w:line="306" w:lineRule="exact"/>
        <w:rPr>
          <w:sz w:val="20"/>
          <w:szCs w:val="20"/>
          <w:color w:val="auto"/>
        </w:rPr>
      </w:pPr>
    </w:p>
    <w:p>
      <w:pPr>
        <w:ind w:lef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53" w:lineRule="exact"/>
        <w:rPr>
          <w:sz w:val="20"/>
          <w:szCs w:val="20"/>
          <w:color w:val="auto"/>
        </w:rPr>
      </w:pPr>
    </w:p>
    <w:p>
      <w:pPr>
        <w:ind w:left="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THE AVENUE @ White</w:t>
            </w:r>
          </w:p>
        </w:tc>
        <w:tc>
          <w:tcPr>
            <w:tcW w:w="20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23"/>
        </w:trPr>
        <w:tc>
          <w:tcPr>
            <w:tcW w:w="2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Marsh</w:t>
            </w:r>
          </w:p>
        </w:tc>
        <w:tc>
          <w:tcPr>
            <w:tcW w:w="2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Baltimore, MD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Flourtown</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Flourtown, PA</w:t>
            </w:r>
          </w:p>
        </w:tc>
      </w:tr>
      <w:tr>
        <w:trPr>
          <w:trHeight w:val="237"/>
        </w:trPr>
        <w:tc>
          <w:tcPr>
            <w:tcW w:w="2440" w:type="dxa"/>
            <w:vAlign w:val="bottom"/>
          </w:tcPr>
          <w:p>
            <w:pPr>
              <w:ind w:left="500"/>
              <w:spacing w:after="0"/>
              <w:rPr>
                <w:sz w:val="20"/>
                <w:szCs w:val="20"/>
                <w:color w:val="auto"/>
              </w:rPr>
            </w:pPr>
            <w:r>
              <w:rPr>
                <w:rFonts w:ascii="Arial" w:cs="Arial" w:eastAsia="Arial" w:hAnsi="Arial"/>
                <w:sz w:val="16"/>
                <w:szCs w:val="16"/>
                <w:b w:val="1"/>
                <w:bCs w:val="1"/>
                <w:color w:val="auto"/>
              </w:rPr>
              <w:t>Bethesda Row</w:t>
            </w:r>
          </w:p>
        </w:tc>
        <w:tc>
          <w:tcPr>
            <w:tcW w:w="2020" w:type="dxa"/>
            <w:vAlign w:val="bottom"/>
          </w:tcPr>
          <w:p>
            <w:pPr>
              <w:ind w:left="240"/>
              <w:spacing w:after="0"/>
              <w:rPr>
                <w:sz w:val="20"/>
                <w:szCs w:val="20"/>
                <w:color w:val="auto"/>
              </w:rPr>
            </w:pPr>
            <w:r>
              <w:rPr>
                <w:rFonts w:ascii="Arial" w:cs="Arial" w:eastAsia="Arial" w:hAnsi="Arial"/>
                <w:sz w:val="16"/>
                <w:szCs w:val="16"/>
                <w:color w:val="auto"/>
              </w:rPr>
              <w:t>Bethesda, MD</w:t>
            </w:r>
          </w:p>
        </w:tc>
        <w:tc>
          <w:tcPr>
            <w:tcW w:w="2020" w:type="dxa"/>
            <w:vAlign w:val="bottom"/>
          </w:tcPr>
          <w:p>
            <w:pPr>
              <w:ind w:left="520"/>
              <w:spacing w:after="0"/>
              <w:rPr>
                <w:sz w:val="20"/>
                <w:szCs w:val="20"/>
                <w:color w:val="auto"/>
              </w:rPr>
            </w:pPr>
            <w:r>
              <w:rPr>
                <w:rFonts w:ascii="Arial" w:cs="Arial" w:eastAsia="Arial" w:hAnsi="Arial"/>
                <w:sz w:val="16"/>
                <w:szCs w:val="16"/>
                <w:b w:val="1"/>
                <w:bCs w:val="1"/>
                <w:color w:val="auto"/>
              </w:rPr>
              <w:t>Fresh Meadows</w:t>
            </w:r>
          </w:p>
        </w:tc>
        <w:tc>
          <w:tcPr>
            <w:tcW w:w="4940" w:type="dxa"/>
            <w:vAlign w:val="bottom"/>
          </w:tcPr>
          <w:p>
            <w:pPr>
              <w:ind w:left="420"/>
              <w:spacing w:after="0"/>
              <w:rPr>
                <w:sz w:val="20"/>
                <w:szCs w:val="20"/>
                <w:color w:val="auto"/>
              </w:rPr>
            </w:pPr>
            <w:r>
              <w:rPr>
                <w:rFonts w:ascii="Arial" w:cs="Arial" w:eastAsia="Arial" w:hAnsi="Arial"/>
                <w:sz w:val="16"/>
                <w:szCs w:val="16"/>
                <w:color w:val="auto"/>
              </w:rPr>
              <w:t>Queens, NY</w:t>
            </w:r>
          </w:p>
        </w:tc>
      </w:tr>
      <w:tr>
        <w:trPr>
          <w:trHeight w:val="33"/>
        </w:trPr>
        <w:tc>
          <w:tcPr>
            <w:tcW w:w="2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Dedham Plaza</w:t>
            </w:r>
          </w:p>
        </w:tc>
        <w:tc>
          <w:tcPr>
            <w:tcW w:w="2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Dedham, MA</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Melville Mall</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Huntington, NY</w:t>
            </w:r>
          </w:p>
        </w:tc>
      </w:tr>
      <w:tr>
        <w:trPr>
          <w:trHeight w:val="237"/>
        </w:trPr>
        <w:tc>
          <w:tcPr>
            <w:tcW w:w="2440" w:type="dxa"/>
            <w:vAlign w:val="bottom"/>
          </w:tcPr>
          <w:p>
            <w:pPr>
              <w:ind w:left="500"/>
              <w:spacing w:after="0"/>
              <w:rPr>
                <w:sz w:val="20"/>
                <w:szCs w:val="20"/>
                <w:color w:val="auto"/>
              </w:rPr>
            </w:pPr>
            <w:r>
              <w:rPr>
                <w:rFonts w:ascii="Arial" w:cs="Arial" w:eastAsia="Arial" w:hAnsi="Arial"/>
                <w:sz w:val="16"/>
                <w:szCs w:val="16"/>
                <w:b w:val="1"/>
                <w:bCs w:val="1"/>
                <w:color w:val="auto"/>
              </w:rPr>
              <w:t>East Bay Bridge</w:t>
            </w:r>
          </w:p>
        </w:tc>
        <w:tc>
          <w:tcPr>
            <w:tcW w:w="2020" w:type="dxa"/>
            <w:vAlign w:val="bottom"/>
          </w:tcPr>
          <w:p>
            <w:pPr>
              <w:ind w:left="240"/>
              <w:spacing w:after="0"/>
              <w:rPr>
                <w:sz w:val="20"/>
                <w:szCs w:val="20"/>
                <w:color w:val="auto"/>
              </w:rPr>
            </w:pPr>
            <w:r>
              <w:rPr>
                <w:rFonts w:ascii="Arial" w:cs="Arial" w:eastAsia="Arial" w:hAnsi="Arial"/>
                <w:sz w:val="16"/>
                <w:szCs w:val="16"/>
                <w:color w:val="auto"/>
              </w:rPr>
              <w:t>Oakland, CA</w:t>
            </w:r>
          </w:p>
        </w:tc>
        <w:tc>
          <w:tcPr>
            <w:tcW w:w="2020" w:type="dxa"/>
            <w:vAlign w:val="bottom"/>
          </w:tcPr>
          <w:p>
            <w:pPr>
              <w:ind w:left="520"/>
              <w:spacing w:after="0"/>
              <w:rPr>
                <w:sz w:val="20"/>
                <w:szCs w:val="20"/>
                <w:color w:val="auto"/>
              </w:rPr>
            </w:pPr>
            <w:r>
              <w:rPr>
                <w:rFonts w:ascii="Arial" w:cs="Arial" w:eastAsia="Arial" w:hAnsi="Arial"/>
                <w:sz w:val="16"/>
                <w:szCs w:val="16"/>
                <w:b w:val="1"/>
                <w:bCs w:val="1"/>
                <w:color w:val="auto"/>
              </w:rPr>
              <w:t>Mercer Mall</w:t>
            </w:r>
          </w:p>
        </w:tc>
        <w:tc>
          <w:tcPr>
            <w:tcW w:w="4940" w:type="dxa"/>
            <w:vAlign w:val="bottom"/>
          </w:tcPr>
          <w:p>
            <w:pPr>
              <w:ind w:left="420"/>
              <w:spacing w:after="0"/>
              <w:rPr>
                <w:sz w:val="20"/>
                <w:szCs w:val="20"/>
                <w:color w:val="auto"/>
              </w:rPr>
            </w:pPr>
            <w:r>
              <w:rPr>
                <w:rFonts w:ascii="Arial" w:cs="Arial" w:eastAsia="Arial" w:hAnsi="Arial"/>
                <w:sz w:val="16"/>
                <w:szCs w:val="16"/>
                <w:color w:val="auto"/>
              </w:rPr>
              <w:t>Lawrenceville, NJ</w:t>
            </w:r>
          </w:p>
        </w:tc>
      </w:tr>
      <w:tr>
        <w:trPr>
          <w:trHeight w:val="33"/>
        </w:trPr>
        <w:tc>
          <w:tcPr>
            <w:tcW w:w="2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Eastgate</w:t>
            </w:r>
          </w:p>
        </w:tc>
        <w:tc>
          <w:tcPr>
            <w:tcW w:w="2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Chapel Hill, NC</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Pan Am</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Fairfax, VA</w:t>
            </w:r>
          </w:p>
        </w:tc>
      </w:tr>
      <w:tr>
        <w:trPr>
          <w:trHeight w:val="237"/>
        </w:trPr>
        <w:tc>
          <w:tcPr>
            <w:tcW w:w="2440" w:type="dxa"/>
            <w:vAlign w:val="bottom"/>
          </w:tcPr>
          <w:p>
            <w:pPr>
              <w:ind w:left="500"/>
              <w:spacing w:after="0"/>
              <w:rPr>
                <w:sz w:val="20"/>
                <w:szCs w:val="20"/>
                <w:color w:val="auto"/>
              </w:rPr>
            </w:pPr>
            <w:r>
              <w:rPr>
                <w:rFonts w:ascii="Arial" w:cs="Arial" w:eastAsia="Arial" w:hAnsi="Arial"/>
                <w:sz w:val="16"/>
                <w:szCs w:val="16"/>
                <w:b w:val="1"/>
                <w:bCs w:val="1"/>
                <w:color w:val="auto"/>
              </w:rPr>
              <w:t>Escondido</w:t>
            </w:r>
          </w:p>
        </w:tc>
        <w:tc>
          <w:tcPr>
            <w:tcW w:w="2020" w:type="dxa"/>
            <w:vAlign w:val="bottom"/>
          </w:tcPr>
          <w:p>
            <w:pPr>
              <w:ind w:left="240"/>
              <w:spacing w:after="0"/>
              <w:rPr>
                <w:sz w:val="20"/>
                <w:szCs w:val="20"/>
                <w:color w:val="auto"/>
              </w:rPr>
            </w:pPr>
            <w:r>
              <w:rPr>
                <w:rFonts w:ascii="Arial" w:cs="Arial" w:eastAsia="Arial" w:hAnsi="Arial"/>
                <w:sz w:val="16"/>
                <w:szCs w:val="16"/>
                <w:color w:val="auto"/>
              </w:rPr>
              <w:t>Escondido, CA</w:t>
            </w:r>
          </w:p>
        </w:tc>
        <w:tc>
          <w:tcPr>
            <w:tcW w:w="2020" w:type="dxa"/>
            <w:vAlign w:val="bottom"/>
          </w:tcPr>
          <w:p>
            <w:pPr>
              <w:ind w:left="520"/>
              <w:spacing w:after="0"/>
              <w:rPr>
                <w:sz w:val="20"/>
                <w:szCs w:val="20"/>
                <w:color w:val="auto"/>
              </w:rPr>
            </w:pPr>
            <w:r>
              <w:rPr>
                <w:rFonts w:ascii="Arial" w:cs="Arial" w:eastAsia="Arial" w:hAnsi="Arial"/>
                <w:sz w:val="16"/>
                <w:szCs w:val="16"/>
                <w:b w:val="1"/>
                <w:bCs w:val="1"/>
                <w:color w:val="auto"/>
              </w:rPr>
              <w:t>Troy</w:t>
            </w:r>
          </w:p>
        </w:tc>
        <w:tc>
          <w:tcPr>
            <w:tcW w:w="4940" w:type="dxa"/>
            <w:vAlign w:val="bottom"/>
          </w:tcPr>
          <w:p>
            <w:pPr>
              <w:ind w:left="420"/>
              <w:spacing w:after="0"/>
              <w:rPr>
                <w:sz w:val="20"/>
                <w:szCs w:val="20"/>
                <w:color w:val="auto"/>
              </w:rPr>
            </w:pPr>
            <w:r>
              <w:rPr>
                <w:rFonts w:ascii="Arial" w:cs="Arial" w:eastAsia="Arial" w:hAnsi="Arial"/>
                <w:sz w:val="16"/>
                <w:szCs w:val="16"/>
                <w:color w:val="auto"/>
              </w:rPr>
              <w:t>Parsippany, NJ</w:t>
            </w:r>
          </w:p>
        </w:tc>
      </w:tr>
      <w:tr>
        <w:trPr>
          <w:trHeight w:val="33"/>
        </w:trPr>
        <w:tc>
          <w:tcPr>
            <w:tcW w:w="2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Federal Plaza</w:t>
            </w:r>
          </w:p>
        </w:tc>
        <w:tc>
          <w:tcPr>
            <w:tcW w:w="2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Rockville, MD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Bethesda, MD</w:t>
            </w:r>
          </w:p>
        </w:tc>
      </w:tr>
      <w:tr>
        <w:trPr>
          <w:trHeight w:val="237"/>
        </w:trPr>
        <w:tc>
          <w:tcPr>
            <w:tcW w:w="2440" w:type="dxa"/>
            <w:vAlign w:val="bottom"/>
          </w:tcPr>
          <w:p>
            <w:pPr>
              <w:ind w:left="500"/>
              <w:spacing w:after="0"/>
              <w:rPr>
                <w:sz w:val="20"/>
                <w:szCs w:val="20"/>
                <w:color w:val="auto"/>
              </w:rPr>
            </w:pPr>
            <w:r>
              <w:rPr>
                <w:rFonts w:ascii="Arial" w:cs="Arial" w:eastAsia="Arial" w:hAnsi="Arial"/>
                <w:sz w:val="16"/>
                <w:szCs w:val="16"/>
                <w:b w:val="1"/>
                <w:bCs w:val="1"/>
                <w:color w:val="auto"/>
              </w:rPr>
              <w:t>Finley Square</w:t>
            </w:r>
          </w:p>
        </w:tc>
        <w:tc>
          <w:tcPr>
            <w:tcW w:w="2020" w:type="dxa"/>
            <w:vAlign w:val="bottom"/>
          </w:tcPr>
          <w:p>
            <w:pPr>
              <w:ind w:left="240"/>
              <w:spacing w:after="0"/>
              <w:rPr>
                <w:sz w:val="20"/>
                <w:szCs w:val="20"/>
                <w:color w:val="auto"/>
              </w:rPr>
            </w:pPr>
            <w:r>
              <w:rPr>
                <w:rFonts w:ascii="Arial" w:cs="Arial" w:eastAsia="Arial" w:hAnsi="Arial"/>
                <w:sz w:val="16"/>
                <w:szCs w:val="16"/>
                <w:color w:val="auto"/>
              </w:rPr>
              <w:t>Downers Grove, IL</w:t>
            </w:r>
          </w:p>
        </w:tc>
        <w:tc>
          <w:tcPr>
            <w:tcW w:w="202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3"/>
        </w:trPr>
        <w:tc>
          <w:tcPr>
            <w:tcW w:w="2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30"/>
        </w:trPr>
        <w:tc>
          <w:tcPr>
            <w:tcW w:w="24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940" w:type="dxa"/>
            <w:vAlign w:val="bottom"/>
            <w:shd w:val="clear" w:color="auto" w:fill="CCEEFF"/>
          </w:tcPr>
          <w:p>
            <w:pPr>
              <w:spacing w:after="0"/>
              <w:rPr>
                <w:sz w:val="19"/>
                <w:szCs w:val="19"/>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Assembly Row</w:t>
            </w:r>
          </w:p>
        </w:tc>
        <w:tc>
          <w:tcPr>
            <w:tcW w:w="2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Somerville, MA</w:t>
            </w:r>
          </w:p>
        </w:tc>
        <w:tc>
          <w:tcPr>
            <w:tcW w:w="2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Mercer Mall</w:t>
            </w:r>
          </w:p>
        </w:tc>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Lawrenceville, NJ</w:t>
            </w:r>
          </w:p>
        </w:tc>
      </w:tr>
      <w:tr>
        <w:trPr>
          <w:trHeight w:val="237"/>
        </w:trPr>
        <w:tc>
          <w:tcPr>
            <w:tcW w:w="2140" w:type="dxa"/>
            <w:vAlign w:val="bottom"/>
          </w:tcPr>
          <w:p>
            <w:pPr>
              <w:ind w:left="500"/>
              <w:spacing w:after="0"/>
              <w:rPr>
                <w:sz w:val="20"/>
                <w:szCs w:val="20"/>
                <w:color w:val="auto"/>
              </w:rPr>
            </w:pPr>
            <w:r>
              <w:rPr>
                <w:rFonts w:ascii="Arial" w:cs="Arial" w:eastAsia="Arial" w:hAnsi="Arial"/>
                <w:sz w:val="16"/>
                <w:szCs w:val="16"/>
                <w:b w:val="1"/>
                <w:bCs w:val="1"/>
                <w:color w:val="auto"/>
              </w:rPr>
              <w:t>Barracks Road</w:t>
            </w:r>
          </w:p>
        </w:tc>
        <w:tc>
          <w:tcPr>
            <w:tcW w:w="2320" w:type="dxa"/>
            <w:vAlign w:val="bottom"/>
          </w:tcPr>
          <w:p>
            <w:pPr>
              <w:ind w:left="540"/>
              <w:spacing w:after="0"/>
              <w:rPr>
                <w:sz w:val="20"/>
                <w:szCs w:val="20"/>
                <w:color w:val="auto"/>
              </w:rPr>
            </w:pPr>
            <w:r>
              <w:rPr>
                <w:rFonts w:ascii="Arial" w:cs="Arial" w:eastAsia="Arial" w:hAnsi="Arial"/>
                <w:sz w:val="16"/>
                <w:szCs w:val="16"/>
                <w:color w:val="auto"/>
              </w:rPr>
              <w:t>Charlottesville, VA</w:t>
            </w:r>
          </w:p>
        </w:tc>
        <w:tc>
          <w:tcPr>
            <w:tcW w:w="2320" w:type="dxa"/>
            <w:vAlign w:val="bottom"/>
          </w:tcPr>
          <w:p>
            <w:pPr>
              <w:ind w:left="520"/>
              <w:spacing w:after="0"/>
              <w:rPr>
                <w:sz w:val="20"/>
                <w:szCs w:val="20"/>
                <w:color w:val="auto"/>
              </w:rPr>
            </w:pPr>
            <w:r>
              <w:rPr>
                <w:rFonts w:ascii="Arial" w:cs="Arial" w:eastAsia="Arial" w:hAnsi="Arial"/>
                <w:sz w:val="16"/>
                <w:szCs w:val="16"/>
                <w:b w:val="1"/>
                <w:bCs w:val="1"/>
                <w:color w:val="auto"/>
              </w:rPr>
              <w:t>Montrose Crossing</w:t>
            </w:r>
          </w:p>
        </w:tc>
        <w:tc>
          <w:tcPr>
            <w:tcW w:w="4640" w:type="dxa"/>
            <w:vAlign w:val="bottom"/>
          </w:tcPr>
          <w:p>
            <w:pPr>
              <w:ind w:left="120"/>
              <w:spacing w:after="0"/>
              <w:rPr>
                <w:sz w:val="20"/>
                <w:szCs w:val="20"/>
                <w:color w:val="auto"/>
              </w:rPr>
            </w:pPr>
            <w:r>
              <w:rPr>
                <w:rFonts w:ascii="Arial" w:cs="Arial" w:eastAsia="Arial" w:hAnsi="Arial"/>
                <w:sz w:val="16"/>
                <w:szCs w:val="16"/>
                <w:color w:val="auto"/>
              </w:rPr>
              <w:t>Rockville, MD</w:t>
            </w:r>
          </w:p>
        </w:tc>
      </w:tr>
      <w:tr>
        <w:trPr>
          <w:trHeight w:val="33"/>
        </w:trPr>
        <w:tc>
          <w:tcPr>
            <w:tcW w:w="2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Bethedsa Row</w:t>
            </w:r>
          </w:p>
        </w:tc>
        <w:tc>
          <w:tcPr>
            <w:tcW w:w="2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Bethesda, MD</w:t>
            </w:r>
          </w:p>
        </w:tc>
        <w:tc>
          <w:tcPr>
            <w:tcW w:w="2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w w:val="98"/>
              </w:rPr>
              <w:t>Third Street Promenade</w:t>
            </w:r>
          </w:p>
        </w:tc>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Santa Monica, CA</w:t>
            </w:r>
          </w:p>
        </w:tc>
      </w:tr>
      <w:tr>
        <w:trPr>
          <w:trHeight w:val="237"/>
        </w:trPr>
        <w:tc>
          <w:tcPr>
            <w:tcW w:w="2140" w:type="dxa"/>
            <w:vAlign w:val="bottom"/>
          </w:tcPr>
          <w:p>
            <w:pPr>
              <w:ind w:left="500"/>
              <w:spacing w:after="0"/>
              <w:rPr>
                <w:sz w:val="20"/>
                <w:szCs w:val="20"/>
                <w:color w:val="auto"/>
              </w:rPr>
            </w:pPr>
            <w:r>
              <w:rPr>
                <w:rFonts w:ascii="Arial" w:cs="Arial" w:eastAsia="Arial" w:hAnsi="Arial"/>
                <w:sz w:val="16"/>
                <w:szCs w:val="16"/>
                <w:b w:val="1"/>
                <w:bCs w:val="1"/>
                <w:color w:val="auto"/>
              </w:rPr>
              <w:t>Crossroads</w:t>
            </w:r>
          </w:p>
        </w:tc>
        <w:tc>
          <w:tcPr>
            <w:tcW w:w="2320" w:type="dxa"/>
            <w:vAlign w:val="bottom"/>
          </w:tcPr>
          <w:p>
            <w:pPr>
              <w:ind w:left="540"/>
              <w:spacing w:after="0"/>
              <w:rPr>
                <w:sz w:val="20"/>
                <w:szCs w:val="20"/>
                <w:color w:val="auto"/>
              </w:rPr>
            </w:pPr>
            <w:r>
              <w:rPr>
                <w:rFonts w:ascii="Arial" w:cs="Arial" w:eastAsia="Arial" w:hAnsi="Arial"/>
                <w:sz w:val="16"/>
                <w:szCs w:val="16"/>
                <w:color w:val="auto"/>
              </w:rPr>
              <w:t>Highland Park, IL</w:t>
            </w:r>
          </w:p>
        </w:tc>
        <w:tc>
          <w:tcPr>
            <w:tcW w:w="2320" w:type="dxa"/>
            <w:vAlign w:val="bottom"/>
          </w:tcPr>
          <w:p>
            <w:pPr>
              <w:ind w:left="520"/>
              <w:spacing w:after="0"/>
              <w:rPr>
                <w:sz w:val="20"/>
                <w:szCs w:val="20"/>
                <w:color w:val="auto"/>
              </w:rPr>
            </w:pPr>
            <w:r>
              <w:rPr>
                <w:rFonts w:ascii="Arial" w:cs="Arial" w:eastAsia="Arial" w:hAnsi="Arial"/>
                <w:sz w:val="16"/>
                <w:szCs w:val="16"/>
                <w:b w:val="1"/>
                <w:bCs w:val="1"/>
                <w:color w:val="auto"/>
              </w:rPr>
              <w:t>Tower Shops</w:t>
            </w:r>
          </w:p>
        </w:tc>
        <w:tc>
          <w:tcPr>
            <w:tcW w:w="4640" w:type="dxa"/>
            <w:vAlign w:val="bottom"/>
          </w:tcPr>
          <w:p>
            <w:pPr>
              <w:ind w:left="120"/>
              <w:spacing w:after="0"/>
              <w:rPr>
                <w:sz w:val="20"/>
                <w:szCs w:val="20"/>
                <w:color w:val="auto"/>
              </w:rPr>
            </w:pPr>
            <w:r>
              <w:rPr>
                <w:rFonts w:ascii="Arial" w:cs="Arial" w:eastAsia="Arial" w:hAnsi="Arial"/>
                <w:sz w:val="16"/>
                <w:szCs w:val="16"/>
                <w:color w:val="auto"/>
              </w:rPr>
              <w:t>Davie, FL</w:t>
            </w:r>
          </w:p>
        </w:tc>
      </w:tr>
      <w:tr>
        <w:trPr>
          <w:trHeight w:val="33"/>
        </w:trPr>
        <w:tc>
          <w:tcPr>
            <w:tcW w:w="2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Darien</w:t>
            </w:r>
          </w:p>
        </w:tc>
        <w:tc>
          <w:tcPr>
            <w:tcW w:w="2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Darien, CT</w:t>
            </w:r>
          </w:p>
        </w:tc>
        <w:tc>
          <w:tcPr>
            <w:tcW w:w="2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Bethesda, MD</w:t>
            </w:r>
          </w:p>
        </w:tc>
      </w:tr>
      <w:tr>
        <w:trPr>
          <w:trHeight w:val="237"/>
        </w:trPr>
        <w:tc>
          <w:tcPr>
            <w:tcW w:w="2140" w:type="dxa"/>
            <w:vAlign w:val="bottom"/>
          </w:tcPr>
          <w:p>
            <w:pPr>
              <w:ind w:left="500"/>
              <w:spacing w:after="0"/>
              <w:rPr>
                <w:sz w:val="20"/>
                <w:szCs w:val="20"/>
                <w:color w:val="auto"/>
              </w:rPr>
            </w:pPr>
            <w:r>
              <w:rPr>
                <w:rFonts w:ascii="Arial" w:cs="Arial" w:eastAsia="Arial" w:hAnsi="Arial"/>
                <w:sz w:val="16"/>
                <w:szCs w:val="16"/>
                <w:b w:val="1"/>
                <w:bCs w:val="1"/>
                <w:color w:val="auto"/>
              </w:rPr>
              <w:t>Fresh Meadows</w:t>
            </w:r>
          </w:p>
        </w:tc>
        <w:tc>
          <w:tcPr>
            <w:tcW w:w="2320" w:type="dxa"/>
            <w:vAlign w:val="bottom"/>
          </w:tcPr>
          <w:p>
            <w:pPr>
              <w:ind w:left="540"/>
              <w:spacing w:after="0"/>
              <w:rPr>
                <w:sz w:val="20"/>
                <w:szCs w:val="20"/>
                <w:color w:val="auto"/>
              </w:rPr>
            </w:pPr>
            <w:r>
              <w:rPr>
                <w:rFonts w:ascii="Arial" w:cs="Arial" w:eastAsia="Arial" w:hAnsi="Arial"/>
                <w:sz w:val="16"/>
                <w:szCs w:val="16"/>
                <w:color w:val="auto"/>
              </w:rPr>
              <w:t>Queens, NY</w:t>
            </w:r>
          </w:p>
        </w:tc>
        <w:tc>
          <w:tcPr>
            <w:tcW w:w="232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3"/>
        </w:trPr>
        <w:tc>
          <w:tcPr>
            <w:tcW w:w="2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230"/>
        </w:trPr>
        <w:tc>
          <w:tcPr>
            <w:tcW w:w="214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Barracks Road</w:t>
            </w:r>
          </w:p>
        </w:tc>
        <w:tc>
          <w:tcPr>
            <w:tcW w:w="2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Charlottesville, VA</w:t>
            </w:r>
          </w:p>
        </w:tc>
        <w:tc>
          <w:tcPr>
            <w:tcW w:w="2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Leesburg Plaza</w:t>
            </w:r>
          </w:p>
        </w:tc>
        <w:tc>
          <w:tcPr>
            <w:tcW w:w="4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Leesburg, VA</w:t>
            </w:r>
          </w:p>
        </w:tc>
      </w:tr>
      <w:tr>
        <w:trPr>
          <w:trHeight w:val="237"/>
        </w:trPr>
        <w:tc>
          <w:tcPr>
            <w:tcW w:w="460" w:type="dxa"/>
            <w:vAlign w:val="bottom"/>
          </w:tcPr>
          <w:p>
            <w:pPr>
              <w:spacing w:after="0"/>
              <w:rPr>
                <w:sz w:val="20"/>
                <w:szCs w:val="20"/>
                <w:color w:val="auto"/>
              </w:rPr>
            </w:pPr>
          </w:p>
        </w:tc>
        <w:tc>
          <w:tcPr>
            <w:tcW w:w="1920" w:type="dxa"/>
            <w:vAlign w:val="bottom"/>
          </w:tcPr>
          <w:p>
            <w:pPr>
              <w:ind w:left="40"/>
              <w:spacing w:after="0"/>
              <w:rPr>
                <w:sz w:val="20"/>
                <w:szCs w:val="20"/>
                <w:color w:val="auto"/>
              </w:rPr>
            </w:pPr>
            <w:r>
              <w:rPr>
                <w:rFonts w:ascii="Arial" w:cs="Arial" w:eastAsia="Arial" w:hAnsi="Arial"/>
                <w:sz w:val="16"/>
                <w:szCs w:val="16"/>
                <w:b w:val="1"/>
                <w:bCs w:val="1"/>
                <w:color w:val="auto"/>
              </w:rPr>
              <w:t>Congressional Plaza</w:t>
            </w:r>
          </w:p>
        </w:tc>
        <w:tc>
          <w:tcPr>
            <w:tcW w:w="2080" w:type="dxa"/>
            <w:vAlign w:val="bottom"/>
          </w:tcPr>
          <w:p>
            <w:pPr>
              <w:ind w:left="300"/>
              <w:spacing w:after="0"/>
              <w:rPr>
                <w:sz w:val="20"/>
                <w:szCs w:val="20"/>
                <w:color w:val="auto"/>
              </w:rPr>
            </w:pPr>
            <w:r>
              <w:rPr>
                <w:rFonts w:ascii="Arial" w:cs="Arial" w:eastAsia="Arial" w:hAnsi="Arial"/>
                <w:sz w:val="16"/>
                <w:szCs w:val="16"/>
                <w:color w:val="auto"/>
              </w:rPr>
              <w:t>Rockville, MD</w:t>
            </w:r>
          </w:p>
        </w:tc>
        <w:tc>
          <w:tcPr>
            <w:tcW w:w="2360" w:type="dxa"/>
            <w:vAlign w:val="bottom"/>
          </w:tcPr>
          <w:p>
            <w:pPr>
              <w:ind w:left="520"/>
              <w:spacing w:after="0"/>
              <w:rPr>
                <w:sz w:val="20"/>
                <w:szCs w:val="20"/>
                <w:color w:val="auto"/>
              </w:rPr>
            </w:pPr>
            <w:r>
              <w:rPr>
                <w:rFonts w:ascii="Arial" w:cs="Arial" w:eastAsia="Arial" w:hAnsi="Arial"/>
                <w:sz w:val="16"/>
                <w:szCs w:val="16"/>
                <w:b w:val="1"/>
                <w:bCs w:val="1"/>
                <w:color w:val="auto"/>
              </w:rPr>
              <w:t>Village of Shirlington</w:t>
            </w:r>
          </w:p>
        </w:tc>
        <w:tc>
          <w:tcPr>
            <w:tcW w:w="4600" w:type="dxa"/>
            <w:vAlign w:val="bottom"/>
          </w:tcPr>
          <w:p>
            <w:pPr>
              <w:ind w:left="80"/>
              <w:spacing w:after="0"/>
              <w:rPr>
                <w:sz w:val="20"/>
                <w:szCs w:val="20"/>
                <w:color w:val="auto"/>
              </w:rPr>
            </w:pPr>
            <w:r>
              <w:rPr>
                <w:rFonts w:ascii="Arial" w:cs="Arial" w:eastAsia="Arial" w:hAnsi="Arial"/>
                <w:sz w:val="16"/>
                <w:szCs w:val="16"/>
                <w:color w:val="auto"/>
              </w:rPr>
              <w:t>Arlington, VA</w:t>
            </w:r>
          </w:p>
        </w:tc>
      </w:tr>
      <w:tr>
        <w:trPr>
          <w:trHeight w:val="33"/>
        </w:trPr>
        <w:tc>
          <w:tcPr>
            <w:tcW w:w="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Del Mar Village</w:t>
            </w:r>
          </w:p>
        </w:tc>
        <w:tc>
          <w:tcPr>
            <w:tcW w:w="2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Boca Raton, FL</w:t>
            </w:r>
          </w:p>
        </w:tc>
        <w:tc>
          <w:tcPr>
            <w:tcW w:w="2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Towson land parcel</w:t>
            </w:r>
          </w:p>
        </w:tc>
        <w:tc>
          <w:tcPr>
            <w:tcW w:w="4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Towson, MD</w:t>
            </w:r>
          </w:p>
        </w:tc>
      </w:tr>
      <w:tr>
        <w:trPr>
          <w:trHeight w:val="230"/>
        </w:trPr>
        <w:tc>
          <w:tcPr>
            <w:tcW w:w="4460" w:type="dxa"/>
            <w:vAlign w:val="bottom"/>
            <w:gridSpan w:val="3"/>
          </w:tcPr>
          <w:p>
            <w:pPr>
              <w:spacing w:after="0"/>
              <w:rPr>
                <w:sz w:val="19"/>
                <w:szCs w:val="19"/>
                <w:color w:val="auto"/>
              </w:rPr>
            </w:pPr>
          </w:p>
        </w:tc>
        <w:tc>
          <w:tcPr>
            <w:tcW w:w="236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237"/>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36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60" w:type="dxa"/>
            <w:vAlign w:val="bottom"/>
          </w:tcPr>
          <w:p>
            <w:pPr>
              <w:ind w:left="520"/>
              <w:spacing w:after="0"/>
              <w:rPr>
                <w:sz w:val="20"/>
                <w:szCs w:val="20"/>
                <w:color w:val="auto"/>
              </w:rPr>
            </w:pPr>
            <w:r>
              <w:rPr>
                <w:rFonts w:ascii="Arial" w:cs="Arial" w:eastAsia="Arial" w:hAnsi="Arial"/>
                <w:sz w:val="16"/>
                <w:szCs w:val="16"/>
                <w:b w:val="1"/>
                <w:bCs w:val="1"/>
                <w:color w:val="auto"/>
              </w:rPr>
              <w:t>Pike &amp; Rose (Mid-Pike)</w:t>
            </w:r>
          </w:p>
        </w:tc>
        <w:tc>
          <w:tcPr>
            <w:tcW w:w="460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1920" w:type="dxa"/>
            <w:vAlign w:val="bottom"/>
          </w:tcPr>
          <w:p>
            <w:pPr>
              <w:ind w:left="40"/>
              <w:spacing w:after="0"/>
              <w:rPr>
                <w:sz w:val="20"/>
                <w:szCs w:val="20"/>
                <w:color w:val="auto"/>
              </w:rPr>
            </w:pPr>
            <w:r>
              <w:rPr>
                <w:rFonts w:ascii="Arial" w:cs="Arial" w:eastAsia="Arial" w:hAnsi="Arial"/>
                <w:sz w:val="16"/>
                <w:szCs w:val="16"/>
                <w:b w:val="1"/>
                <w:bCs w:val="1"/>
                <w:color w:val="auto"/>
              </w:rPr>
              <w:t>Assembly Row (1)</w:t>
            </w:r>
          </w:p>
        </w:tc>
        <w:tc>
          <w:tcPr>
            <w:tcW w:w="2080" w:type="dxa"/>
            <w:vAlign w:val="bottom"/>
          </w:tcPr>
          <w:p>
            <w:pPr>
              <w:ind w:left="300"/>
              <w:spacing w:after="0"/>
              <w:rPr>
                <w:sz w:val="20"/>
                <w:szCs w:val="20"/>
                <w:color w:val="auto"/>
              </w:rPr>
            </w:pPr>
            <w:r>
              <w:rPr>
                <w:rFonts w:ascii="Arial" w:cs="Arial" w:eastAsia="Arial" w:hAnsi="Arial"/>
                <w:sz w:val="16"/>
                <w:szCs w:val="16"/>
                <w:color w:val="auto"/>
              </w:rPr>
              <w:t>Somerville, MA</w:t>
            </w:r>
          </w:p>
        </w:tc>
        <w:tc>
          <w:tcPr>
            <w:tcW w:w="2360" w:type="dxa"/>
            <w:vAlign w:val="bottom"/>
          </w:tcPr>
          <w:p>
            <w:pPr>
              <w:ind w:left="520"/>
              <w:spacing w:after="0"/>
              <w:rPr>
                <w:sz w:val="20"/>
                <w:szCs w:val="20"/>
                <w:color w:val="auto"/>
              </w:rPr>
            </w:pPr>
            <w:r>
              <w:rPr>
                <w:rFonts w:ascii="Arial" w:cs="Arial" w:eastAsia="Arial" w:hAnsi="Arial"/>
                <w:sz w:val="16"/>
                <w:szCs w:val="16"/>
                <w:b w:val="1"/>
                <w:bCs w:val="1"/>
                <w:color w:val="auto"/>
              </w:rPr>
              <w:t>(2)</w:t>
            </w:r>
          </w:p>
        </w:tc>
        <w:tc>
          <w:tcPr>
            <w:tcW w:w="4600" w:type="dxa"/>
            <w:vAlign w:val="bottom"/>
          </w:tcPr>
          <w:p>
            <w:pPr>
              <w:ind w:left="80"/>
              <w:spacing w:after="0"/>
              <w:rPr>
                <w:sz w:val="20"/>
                <w:szCs w:val="20"/>
                <w:color w:val="auto"/>
              </w:rPr>
            </w:pPr>
            <w:r>
              <w:rPr>
                <w:rFonts w:ascii="Arial" w:cs="Arial" w:eastAsia="Arial" w:hAnsi="Arial"/>
                <w:sz w:val="16"/>
                <w:szCs w:val="16"/>
                <w:color w:val="auto"/>
              </w:rPr>
              <w:t>Rockville, MD</w:t>
            </w:r>
          </w:p>
        </w:tc>
      </w:tr>
      <w:tr>
        <w:trPr>
          <w:trHeight w:val="33"/>
        </w:trPr>
        <w:tc>
          <w:tcPr>
            <w:tcW w:w="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Bala Cynwyd, PA</w:t>
            </w:r>
          </w:p>
        </w:tc>
        <w:tc>
          <w:tcPr>
            <w:tcW w:w="2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Santana Row (3)</w:t>
            </w:r>
          </w:p>
        </w:tc>
        <w:tc>
          <w:tcPr>
            <w:tcW w:w="4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San Jose, CA</w:t>
            </w:r>
          </w:p>
        </w:tc>
      </w:tr>
      <w:tr>
        <w:trPr>
          <w:trHeight w:val="237"/>
        </w:trPr>
        <w:tc>
          <w:tcPr>
            <w:tcW w:w="460" w:type="dxa"/>
            <w:vAlign w:val="bottom"/>
          </w:tcPr>
          <w:p>
            <w:pPr>
              <w:spacing w:after="0"/>
              <w:rPr>
                <w:sz w:val="20"/>
                <w:szCs w:val="20"/>
                <w:color w:val="auto"/>
              </w:rPr>
            </w:pPr>
          </w:p>
        </w:tc>
        <w:tc>
          <w:tcPr>
            <w:tcW w:w="1920" w:type="dxa"/>
            <w:vAlign w:val="bottom"/>
          </w:tcPr>
          <w:p>
            <w:pPr>
              <w:ind w:left="40"/>
              <w:spacing w:after="0"/>
              <w:rPr>
                <w:sz w:val="20"/>
                <w:szCs w:val="20"/>
                <w:color w:val="auto"/>
              </w:rPr>
            </w:pPr>
            <w:r>
              <w:rPr>
                <w:rFonts w:ascii="Arial" w:cs="Arial" w:eastAsia="Arial" w:hAnsi="Arial"/>
                <w:sz w:val="16"/>
                <w:szCs w:val="16"/>
                <w:b w:val="1"/>
                <w:bCs w:val="1"/>
                <w:color w:val="auto"/>
              </w:rPr>
              <w:t>Pike 7</w:t>
            </w:r>
          </w:p>
        </w:tc>
        <w:tc>
          <w:tcPr>
            <w:tcW w:w="2080" w:type="dxa"/>
            <w:vAlign w:val="bottom"/>
          </w:tcPr>
          <w:p>
            <w:pPr>
              <w:ind w:left="300"/>
              <w:spacing w:after="0"/>
              <w:rPr>
                <w:sz w:val="20"/>
                <w:szCs w:val="20"/>
                <w:color w:val="auto"/>
              </w:rPr>
            </w:pPr>
            <w:r>
              <w:rPr>
                <w:rFonts w:ascii="Arial" w:cs="Arial" w:eastAsia="Arial" w:hAnsi="Arial"/>
                <w:sz w:val="16"/>
                <w:szCs w:val="16"/>
                <w:color w:val="auto"/>
              </w:rPr>
              <w:t>Vienna, VA</w:t>
            </w:r>
          </w:p>
        </w:tc>
        <w:tc>
          <w:tcPr>
            <w:tcW w:w="236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3"/>
        </w:trPr>
        <w:tc>
          <w:tcPr>
            <w:tcW w:w="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40" w:type="dxa"/>
            <w:vAlign w:val="bottom"/>
            <w:gridSpan w:val="3"/>
          </w:tcPr>
          <w:p>
            <w:pPr>
              <w:spacing w:after="0"/>
              <w:rPr>
                <w:sz w:val="2"/>
                <w:szCs w:val="2"/>
                <w:color w:val="auto"/>
              </w:rPr>
            </w:pPr>
          </w:p>
        </w:tc>
      </w:tr>
      <w:tr>
        <w:trPr>
          <w:trHeight w:val="230"/>
        </w:trPr>
        <w:tc>
          <w:tcPr>
            <w:tcW w:w="4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9040" w:type="dxa"/>
            <w:vAlign w:val="bottom"/>
            <w:gridSpan w:val="3"/>
            <w:shd w:val="clear" w:color="auto" w:fill="CCEEFF"/>
          </w:tcPr>
          <w:p>
            <w:pPr>
              <w:spacing w:after="0"/>
              <w:rPr>
                <w:sz w:val="19"/>
                <w:szCs w:val="19"/>
                <w:color w:val="auto"/>
              </w:rPr>
            </w:pPr>
          </w:p>
        </w:tc>
      </w:tr>
      <w:tr>
        <w:trPr>
          <w:trHeight w:val="220"/>
        </w:trPr>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920" w:type="dxa"/>
            <w:vAlign w:val="bottom"/>
          </w:tcPr>
          <w:p>
            <w:pPr>
              <w:ind w:left="40"/>
              <w:spacing w:after="0"/>
              <w:rPr>
                <w:sz w:val="20"/>
                <w:szCs w:val="20"/>
                <w:color w:val="auto"/>
              </w:rPr>
            </w:pPr>
            <w:r>
              <w:rPr>
                <w:rFonts w:ascii="Arial" w:cs="Arial" w:eastAsia="Arial" w:hAnsi="Arial"/>
                <w:sz w:val="16"/>
                <w:szCs w:val="16"/>
                <w:color w:val="auto"/>
              </w:rPr>
              <w:t>Assembly Row</w:t>
            </w:r>
          </w:p>
        </w:tc>
        <w:tc>
          <w:tcPr>
            <w:tcW w:w="9040" w:type="dxa"/>
            <w:vAlign w:val="bottom"/>
            <w:gridSpan w:val="3"/>
          </w:tcPr>
          <w:p>
            <w:pPr>
              <w:ind w:left="300"/>
              <w:spacing w:after="0"/>
              <w:rPr>
                <w:sz w:val="20"/>
                <w:szCs w:val="20"/>
                <w:color w:val="auto"/>
              </w:rPr>
            </w:pPr>
            <w:r>
              <w:rPr>
                <w:rFonts w:ascii="Arial" w:cs="Arial" w:eastAsia="Arial" w:hAnsi="Arial"/>
                <w:sz w:val="16"/>
                <w:szCs w:val="16"/>
                <w:color w:val="auto"/>
                <w:w w:val="95"/>
              </w:rPr>
              <w:t>Remaining entitlements after Phase 1 include approximately 1.9 million square feet of commercial-use buildings, 1,650 residential</w:t>
            </w:r>
          </w:p>
        </w:tc>
      </w:tr>
      <w:tr>
        <w:trPr>
          <w:trHeight w:val="203"/>
        </w:trPr>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040" w:type="dxa"/>
            <w:vAlign w:val="bottom"/>
            <w:gridSpan w:val="3"/>
          </w:tcPr>
          <w:p>
            <w:pPr>
              <w:ind w:left="300"/>
              <w:spacing w:after="0"/>
              <w:rPr>
                <w:sz w:val="20"/>
                <w:szCs w:val="20"/>
                <w:color w:val="auto"/>
              </w:rPr>
            </w:pPr>
            <w:r>
              <w:rPr>
                <w:rFonts w:ascii="Arial" w:cs="Arial" w:eastAsia="Arial" w:hAnsi="Arial"/>
                <w:sz w:val="16"/>
                <w:szCs w:val="16"/>
                <w:color w:val="auto"/>
                <w:w w:val="97"/>
              </w:rPr>
              <w:t>units, and a 200 room hotel. Additionally, the parcel of land we acquired in October 2013 adjacent to our Assembly Row project</w:t>
            </w:r>
          </w:p>
        </w:tc>
      </w:tr>
      <w:tr>
        <w:trPr>
          <w:trHeight w:val="206"/>
        </w:trPr>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440" w:type="dxa"/>
            <w:vAlign w:val="bottom"/>
            <w:gridSpan w:val="2"/>
          </w:tcPr>
          <w:p>
            <w:pPr>
              <w:ind w:left="300"/>
              <w:spacing w:after="0"/>
              <w:rPr>
                <w:sz w:val="20"/>
                <w:szCs w:val="20"/>
                <w:color w:val="auto"/>
              </w:rPr>
            </w:pPr>
            <w:r>
              <w:rPr>
                <w:rFonts w:ascii="Arial" w:cs="Arial" w:eastAsia="Arial" w:hAnsi="Arial"/>
                <w:sz w:val="16"/>
                <w:szCs w:val="16"/>
                <w:color w:val="auto"/>
                <w:w w:val="95"/>
              </w:rPr>
              <w:t>includes an additional 0.3 million of commercial entitlements.</w:t>
            </w:r>
          </w:p>
        </w:tc>
        <w:tc>
          <w:tcPr>
            <w:tcW w:w="4600" w:type="dxa"/>
            <w:vAlign w:val="bottom"/>
          </w:tcPr>
          <w:p>
            <w:pPr>
              <w:spacing w:after="0"/>
              <w:rPr>
                <w:sz w:val="17"/>
                <w:szCs w:val="17"/>
                <w:color w:val="auto"/>
              </w:rPr>
            </w:pPr>
          </w:p>
        </w:tc>
      </w:tr>
      <w:tr>
        <w:trPr>
          <w:trHeight w:val="33"/>
        </w:trPr>
        <w:tc>
          <w:tcPr>
            <w:tcW w:w="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040" w:type="dxa"/>
            <w:vAlign w:val="bottom"/>
            <w:gridSpan w:val="3"/>
          </w:tcPr>
          <w:p>
            <w:pPr>
              <w:spacing w:after="0"/>
              <w:rPr>
                <w:sz w:val="2"/>
                <w:szCs w:val="2"/>
                <w:color w:val="auto"/>
              </w:rPr>
            </w:pPr>
          </w:p>
        </w:tc>
      </w:tr>
      <w:tr>
        <w:trPr>
          <w:trHeight w:val="237"/>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Pike &amp; Rose (Mid-Pike)</w:t>
            </w:r>
          </w:p>
        </w:tc>
        <w:tc>
          <w:tcPr>
            <w:tcW w:w="90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w w:val="98"/>
              </w:rPr>
              <w:t>Remaining entitlements after Phase 1 include 1.5 million square feet of commercial-use buildings, and 1,090 residential units.</w:t>
            </w:r>
          </w:p>
        </w:tc>
      </w:tr>
      <w:tr>
        <w:trPr>
          <w:trHeight w:val="220"/>
        </w:trPr>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920" w:type="dxa"/>
            <w:vAlign w:val="bottom"/>
          </w:tcPr>
          <w:p>
            <w:pPr>
              <w:ind w:left="40"/>
              <w:spacing w:after="0"/>
              <w:rPr>
                <w:sz w:val="20"/>
                <w:szCs w:val="20"/>
                <w:color w:val="auto"/>
              </w:rPr>
            </w:pPr>
            <w:r>
              <w:rPr>
                <w:rFonts w:ascii="Arial" w:cs="Arial" w:eastAsia="Arial" w:hAnsi="Arial"/>
                <w:sz w:val="16"/>
                <w:szCs w:val="16"/>
                <w:color w:val="auto"/>
              </w:rPr>
              <w:t>Santana Row</w:t>
            </w:r>
          </w:p>
        </w:tc>
        <w:tc>
          <w:tcPr>
            <w:tcW w:w="9040" w:type="dxa"/>
            <w:vAlign w:val="bottom"/>
            <w:gridSpan w:val="3"/>
          </w:tcPr>
          <w:p>
            <w:pPr>
              <w:ind w:left="300"/>
              <w:spacing w:after="0"/>
              <w:rPr>
                <w:sz w:val="20"/>
                <w:szCs w:val="20"/>
                <w:color w:val="auto"/>
              </w:rPr>
            </w:pPr>
            <w:r>
              <w:rPr>
                <w:rFonts w:ascii="Arial" w:cs="Arial" w:eastAsia="Arial" w:hAnsi="Arial"/>
                <w:sz w:val="16"/>
                <w:szCs w:val="16"/>
                <w:color w:val="auto"/>
                <w:w w:val="94"/>
              </w:rPr>
              <w:t>Current remaining entitlements for this property include 348 residential units and 305,000 square feet of commercial space for retail</w:t>
            </w:r>
          </w:p>
        </w:tc>
      </w:tr>
      <w:tr>
        <w:trPr>
          <w:trHeight w:val="206"/>
        </w:trPr>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80" w:type="dxa"/>
            <w:vAlign w:val="bottom"/>
          </w:tcPr>
          <w:p>
            <w:pPr>
              <w:ind w:left="300"/>
              <w:spacing w:after="0"/>
              <w:rPr>
                <w:sz w:val="20"/>
                <w:szCs w:val="20"/>
                <w:color w:val="auto"/>
              </w:rPr>
            </w:pPr>
            <w:r>
              <w:rPr>
                <w:rFonts w:ascii="Arial" w:cs="Arial" w:eastAsia="Arial" w:hAnsi="Arial"/>
                <w:sz w:val="16"/>
                <w:szCs w:val="16"/>
                <w:color w:val="auto"/>
              </w:rPr>
              <w:t>and office.</w:t>
            </w:r>
          </w:p>
        </w:tc>
        <w:tc>
          <w:tcPr>
            <w:tcW w:w="2360" w:type="dxa"/>
            <w:vAlign w:val="bottom"/>
          </w:tcPr>
          <w:p>
            <w:pPr>
              <w:spacing w:after="0"/>
              <w:rPr>
                <w:sz w:val="17"/>
                <w:szCs w:val="17"/>
                <w:color w:val="auto"/>
              </w:rPr>
            </w:pPr>
          </w:p>
        </w:tc>
        <w:tc>
          <w:tcPr>
            <w:tcW w:w="4600" w:type="dxa"/>
            <w:vAlign w:val="bottom"/>
          </w:tcPr>
          <w:p>
            <w:pPr>
              <w:spacing w:after="0"/>
              <w:rPr>
                <w:sz w:val="17"/>
                <w:szCs w:val="17"/>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7"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2013 Significant Acquisition and Dispositions and 2014 Significant Acquisition</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Significant Acquisition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9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Property</w:t>
            </w:r>
          </w:p>
        </w:tc>
        <w:tc>
          <w:tcPr>
            <w:tcW w:w="21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City/State</w:t>
            </w:r>
          </w:p>
        </w:tc>
        <w:tc>
          <w:tcPr>
            <w:tcW w:w="1580" w:type="dxa"/>
            <w:vAlign w:val="bottom"/>
            <w:tcBorders>
              <w:bottom w:val="single" w:sz="8" w:color="auto"/>
            </w:tcBorders>
          </w:tcPr>
          <w:p>
            <w:pPr>
              <w:jc w:val="center"/>
              <w:ind w:left="145"/>
              <w:spacing w:after="0"/>
              <w:rPr>
                <w:sz w:val="20"/>
                <w:szCs w:val="20"/>
                <w:color w:val="auto"/>
              </w:rPr>
            </w:pPr>
            <w:r>
              <w:rPr>
                <w:rFonts w:ascii="Arial" w:cs="Arial" w:eastAsia="Arial" w:hAnsi="Arial"/>
                <w:sz w:val="14"/>
                <w:szCs w:val="14"/>
                <w:b w:val="1"/>
                <w:bCs w:val="1"/>
                <w:color w:val="auto"/>
              </w:rPr>
              <w:t>GLA</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89"/>
              </w:rPr>
              <w:t>Purchase price</w:t>
            </w:r>
          </w:p>
        </w:tc>
        <w:tc>
          <w:tcPr>
            <w:tcW w:w="27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Principal Tenants</w:t>
            </w:r>
          </w:p>
        </w:tc>
      </w:tr>
      <w:tr>
        <w:trPr>
          <w:trHeight w:val="190"/>
        </w:trPr>
        <w:tc>
          <w:tcPr>
            <w:tcW w:w="1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80" w:type="dxa"/>
            <w:vAlign w:val="bottom"/>
          </w:tcPr>
          <w:p>
            <w:pPr>
              <w:jc w:val="center"/>
              <w:ind w:left="145"/>
              <w:spacing w:after="0"/>
              <w:rPr>
                <w:sz w:val="20"/>
                <w:szCs w:val="20"/>
                <w:color w:val="auto"/>
              </w:rPr>
            </w:pPr>
            <w:r>
              <w:rPr>
                <w:rFonts w:ascii="Arial" w:cs="Arial" w:eastAsia="Arial" w:hAnsi="Arial"/>
                <w:sz w:val="14"/>
                <w:szCs w:val="14"/>
                <w:b w:val="1"/>
                <w:bCs w:val="1"/>
                <w:color w:val="auto"/>
                <w:w w:val="91"/>
              </w:rPr>
              <w:t>(in square feet)</w:t>
            </w:r>
          </w:p>
        </w:tc>
        <w:tc>
          <w:tcPr>
            <w:tcW w:w="320" w:type="dxa"/>
            <w:vAlign w:val="bottom"/>
          </w:tcPr>
          <w:p>
            <w:pPr>
              <w:spacing w:after="0"/>
              <w:rPr>
                <w:sz w:val="16"/>
                <w:szCs w:val="16"/>
                <w:color w:val="auto"/>
              </w:rPr>
            </w:pPr>
          </w:p>
        </w:tc>
        <w:tc>
          <w:tcPr>
            <w:tcW w:w="1300" w:type="dxa"/>
            <w:vAlign w:val="bottom"/>
          </w:tcPr>
          <w:p>
            <w:pPr>
              <w:jc w:val="center"/>
              <w:ind w:right="245"/>
              <w:spacing w:after="0"/>
              <w:rPr>
                <w:sz w:val="20"/>
                <w:szCs w:val="20"/>
                <w:color w:val="auto"/>
              </w:rPr>
            </w:pPr>
            <w:r>
              <w:rPr>
                <w:rFonts w:ascii="Arial" w:cs="Arial" w:eastAsia="Arial" w:hAnsi="Arial"/>
                <w:sz w:val="14"/>
                <w:szCs w:val="14"/>
                <w:b w:val="1"/>
                <w:bCs w:val="1"/>
                <w:color w:val="auto"/>
                <w:w w:val="94"/>
              </w:rPr>
              <w:t>(in millions)</w:t>
            </w:r>
          </w:p>
        </w:tc>
        <w:tc>
          <w:tcPr>
            <w:tcW w:w="2760" w:type="dxa"/>
            <w:vAlign w:val="bottom"/>
          </w:tcPr>
          <w:p>
            <w:pPr>
              <w:spacing w:after="0"/>
              <w:rPr>
                <w:sz w:val="16"/>
                <w:szCs w:val="16"/>
                <w:color w:val="auto"/>
              </w:rPr>
            </w:pPr>
          </w:p>
        </w:tc>
      </w:tr>
      <w:tr>
        <w:trPr>
          <w:trHeight w:val="80"/>
        </w:trPr>
        <w:tc>
          <w:tcPr>
            <w:tcW w:w="13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760" w:type="dxa"/>
            <w:vAlign w:val="bottom"/>
          </w:tcPr>
          <w:p>
            <w:pPr>
              <w:spacing w:after="0"/>
              <w:rPr>
                <w:sz w:val="6"/>
                <w:szCs w:val="6"/>
                <w:color w:val="auto"/>
              </w:rPr>
            </w:pPr>
          </w:p>
        </w:tc>
      </w:tr>
      <w:tr>
        <w:trPr>
          <w:trHeight w:val="224"/>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3, 2013</w:t>
            </w:r>
          </w:p>
        </w:tc>
        <w:tc>
          <w:tcPr>
            <w:tcW w:w="19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Darien</w:t>
            </w:r>
          </w:p>
        </w:tc>
        <w:tc>
          <w:tcPr>
            <w:tcW w:w="21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Darien, CT</w:t>
            </w:r>
          </w:p>
        </w:tc>
        <w:tc>
          <w:tcPr>
            <w:tcW w:w="1580" w:type="dxa"/>
            <w:vAlign w:val="bottom"/>
            <w:shd w:val="clear" w:color="auto" w:fill="CCEEFF"/>
          </w:tcPr>
          <w:p>
            <w:pPr>
              <w:jc w:val="center"/>
              <w:ind w:left="145"/>
              <w:spacing w:after="0"/>
              <w:rPr>
                <w:sz w:val="20"/>
                <w:szCs w:val="20"/>
                <w:color w:val="auto"/>
              </w:rPr>
            </w:pPr>
            <w:r>
              <w:rPr>
                <w:rFonts w:ascii="Arial" w:cs="Arial" w:eastAsia="Arial" w:hAnsi="Arial"/>
                <w:sz w:val="16"/>
                <w:szCs w:val="16"/>
                <w:color w:val="auto"/>
                <w:w w:val="89"/>
              </w:rPr>
              <w:t>95,000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5"/>
              <w:spacing w:after="0"/>
              <w:rPr>
                <w:sz w:val="20"/>
                <w:szCs w:val="20"/>
                <w:color w:val="auto"/>
              </w:rPr>
            </w:pPr>
            <w:r>
              <w:rPr>
                <w:rFonts w:ascii="Arial" w:cs="Arial" w:eastAsia="Arial" w:hAnsi="Arial"/>
                <w:sz w:val="16"/>
                <w:szCs w:val="16"/>
                <w:color w:val="auto"/>
              </w:rPr>
              <w:t>47.3</w:t>
            </w:r>
          </w:p>
        </w:tc>
        <w:tc>
          <w:tcPr>
            <w:tcW w:w="2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Equinox / Stop &amp; Shop</w:t>
            </w:r>
          </w:p>
        </w:tc>
      </w:tr>
      <w:tr>
        <w:trPr>
          <w:trHeight w:val="47"/>
        </w:trPr>
        <w:tc>
          <w:tcPr>
            <w:tcW w:w="1380" w:type="dxa"/>
            <w:vAlign w:val="bottom"/>
            <w:shd w:val="clear" w:color="auto" w:fill="CCEEFF"/>
          </w:tcPr>
          <w:p>
            <w:pPr>
              <w:spacing w:after="0"/>
              <w:rPr>
                <w:sz w:val="4"/>
                <w:szCs w:val="4"/>
                <w:color w:val="auto"/>
              </w:rPr>
            </w:pPr>
          </w:p>
        </w:tc>
        <w:tc>
          <w:tcPr>
            <w:tcW w:w="1960" w:type="dxa"/>
            <w:vAlign w:val="bottom"/>
            <w:shd w:val="clear" w:color="auto" w:fill="CCEEFF"/>
          </w:tcPr>
          <w:p>
            <w:pPr>
              <w:spacing w:after="0"/>
              <w:rPr>
                <w:sz w:val="4"/>
                <w:szCs w:val="4"/>
                <w:color w:val="auto"/>
              </w:rPr>
            </w:pPr>
          </w:p>
        </w:tc>
        <w:tc>
          <w:tcPr>
            <w:tcW w:w="212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Significant Dispositions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Property</w:t>
            </w:r>
          </w:p>
        </w:tc>
        <w:tc>
          <w:tcPr>
            <w:tcW w:w="21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City/State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GLA</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Sales Price</w:t>
            </w:r>
          </w:p>
        </w:tc>
      </w:tr>
      <w:tr>
        <w:trPr>
          <w:trHeight w:val="190"/>
        </w:trPr>
        <w:tc>
          <w:tcPr>
            <w:tcW w:w="16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360" w:type="dxa"/>
            <w:vAlign w:val="bottom"/>
          </w:tcPr>
          <w:p>
            <w:pPr>
              <w:spacing w:after="0"/>
              <w:rPr>
                <w:sz w:val="16"/>
                <w:szCs w:val="16"/>
                <w:color w:val="auto"/>
              </w:rPr>
            </w:pPr>
          </w:p>
        </w:tc>
        <w:tc>
          <w:tcPr>
            <w:tcW w:w="1080" w:type="dxa"/>
            <w:vAlign w:val="bottom"/>
          </w:tcPr>
          <w:p>
            <w:pPr>
              <w:jc w:val="right"/>
              <w:ind w:right="183"/>
              <w:spacing w:after="0"/>
              <w:rPr>
                <w:sz w:val="20"/>
                <w:szCs w:val="20"/>
                <w:color w:val="auto"/>
              </w:rPr>
            </w:pPr>
            <w:r>
              <w:rPr>
                <w:rFonts w:ascii="Arial" w:cs="Arial" w:eastAsia="Arial" w:hAnsi="Arial"/>
                <w:sz w:val="14"/>
                <w:szCs w:val="14"/>
                <w:b w:val="1"/>
                <w:bCs w:val="1"/>
                <w:color w:val="auto"/>
              </w:rPr>
              <w:t>(in millions)</w:t>
            </w:r>
          </w:p>
        </w:tc>
      </w:tr>
      <w:tr>
        <w:trPr>
          <w:trHeight w:val="80"/>
        </w:trPr>
        <w:tc>
          <w:tcPr>
            <w:tcW w:w="1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22, 2013</w:t>
            </w:r>
          </w:p>
        </w:tc>
        <w:tc>
          <w:tcPr>
            <w:tcW w:w="1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Fifth Avenue</w:t>
            </w:r>
          </w:p>
        </w:tc>
        <w:tc>
          <w:tcPr>
            <w:tcW w:w="2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San Diego, CA</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18,000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15.3</w:t>
            </w:r>
          </w:p>
        </w:tc>
      </w:tr>
      <w:tr>
        <w:trPr>
          <w:trHeight w:val="237"/>
        </w:trPr>
        <w:tc>
          <w:tcPr>
            <w:tcW w:w="1600" w:type="dxa"/>
            <w:vAlign w:val="bottom"/>
          </w:tcPr>
          <w:p>
            <w:pPr>
              <w:ind w:left="40"/>
              <w:spacing w:after="0"/>
              <w:rPr>
                <w:sz w:val="20"/>
                <w:szCs w:val="20"/>
                <w:color w:val="auto"/>
              </w:rPr>
            </w:pPr>
            <w:r>
              <w:rPr>
                <w:rFonts w:ascii="Arial" w:cs="Arial" w:eastAsia="Arial" w:hAnsi="Arial"/>
                <w:sz w:val="16"/>
                <w:szCs w:val="16"/>
                <w:color w:val="auto"/>
              </w:rPr>
              <w:t>September 10, 2013</w:t>
            </w:r>
          </w:p>
        </w:tc>
        <w:tc>
          <w:tcPr>
            <w:tcW w:w="1900" w:type="dxa"/>
            <w:vAlign w:val="bottom"/>
          </w:tcPr>
          <w:p>
            <w:pPr>
              <w:ind w:left="280"/>
              <w:spacing w:after="0"/>
              <w:rPr>
                <w:sz w:val="20"/>
                <w:szCs w:val="20"/>
                <w:color w:val="auto"/>
              </w:rPr>
            </w:pPr>
            <w:r>
              <w:rPr>
                <w:rFonts w:ascii="Arial" w:cs="Arial" w:eastAsia="Arial" w:hAnsi="Arial"/>
                <w:sz w:val="16"/>
                <w:szCs w:val="16"/>
                <w:color w:val="auto"/>
              </w:rPr>
              <w:t>Forest Hills</w:t>
            </w:r>
          </w:p>
        </w:tc>
        <w:tc>
          <w:tcPr>
            <w:tcW w:w="2120" w:type="dxa"/>
            <w:vAlign w:val="bottom"/>
          </w:tcPr>
          <w:p>
            <w:pPr>
              <w:ind w:left="780"/>
              <w:spacing w:after="0"/>
              <w:rPr>
                <w:sz w:val="20"/>
                <w:szCs w:val="20"/>
                <w:color w:val="auto"/>
              </w:rPr>
            </w:pPr>
            <w:r>
              <w:rPr>
                <w:rFonts w:ascii="Arial" w:cs="Arial" w:eastAsia="Arial" w:hAnsi="Arial"/>
                <w:sz w:val="16"/>
                <w:szCs w:val="16"/>
                <w:color w:val="auto"/>
              </w:rPr>
              <w:t>Forest Hills, NY</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48,000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20.4</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Subsequent Event - 2014 Significant Acquisition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Effective Date</w:t>
            </w:r>
          </w:p>
        </w:tc>
        <w:tc>
          <w:tcPr>
            <w:tcW w:w="27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Property</w:t>
            </w:r>
          </w:p>
        </w:tc>
        <w:tc>
          <w:tcPr>
            <w:tcW w:w="16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City/State</w:t>
            </w:r>
          </w:p>
        </w:tc>
        <w:tc>
          <w:tcPr>
            <w:tcW w:w="1280" w:type="dxa"/>
            <w:vAlign w:val="bottom"/>
            <w:vMerge w:val="restart"/>
          </w:tcPr>
          <w:p>
            <w:pPr>
              <w:jc w:val="center"/>
              <w:ind w:right="5"/>
              <w:spacing w:after="0"/>
              <w:rPr>
                <w:sz w:val="20"/>
                <w:szCs w:val="20"/>
                <w:color w:val="auto"/>
              </w:rPr>
            </w:pPr>
            <w:r>
              <w:rPr>
                <w:rFonts w:ascii="Arial" w:cs="Arial" w:eastAsia="Arial" w:hAnsi="Arial"/>
                <w:sz w:val="14"/>
                <w:szCs w:val="14"/>
                <w:b w:val="1"/>
                <w:bCs w:val="1"/>
                <w:color w:val="auto"/>
              </w:rPr>
              <w:t>GLA</w:t>
            </w:r>
          </w:p>
        </w:tc>
        <w:tc>
          <w:tcPr>
            <w:tcW w:w="32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Arial" w:cs="Arial" w:eastAsia="Arial" w:hAnsi="Arial"/>
                <w:sz w:val="14"/>
                <w:szCs w:val="14"/>
                <w:b w:val="1"/>
                <w:bCs w:val="1"/>
                <w:color w:val="auto"/>
                <w:w w:val="92"/>
              </w:rPr>
              <w:t>Gross Property</w:t>
            </w:r>
          </w:p>
        </w:tc>
        <w:tc>
          <w:tcPr>
            <w:tcW w:w="26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vMerge w:val="continue"/>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06"/>
              <w:spacing w:after="0"/>
              <w:rPr>
                <w:sz w:val="20"/>
                <w:szCs w:val="20"/>
                <w:color w:val="auto"/>
              </w:rPr>
            </w:pPr>
            <w:r>
              <w:rPr>
                <w:rFonts w:ascii="Arial" w:cs="Arial" w:eastAsia="Arial" w:hAnsi="Arial"/>
                <w:sz w:val="14"/>
                <w:szCs w:val="14"/>
                <w:b w:val="1"/>
                <w:bCs w:val="1"/>
                <w:color w:val="auto"/>
                <w:w w:val="90"/>
              </w:rPr>
              <w:t>Value</w:t>
            </w:r>
          </w:p>
        </w:tc>
        <w:tc>
          <w:tcPr>
            <w:tcW w:w="2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80" w:type="dxa"/>
            <w:vAlign w:val="bottom"/>
          </w:tcPr>
          <w:p>
            <w:pPr>
              <w:jc w:val="center"/>
              <w:ind w:right="5"/>
              <w:spacing w:after="0"/>
              <w:rPr>
                <w:sz w:val="20"/>
                <w:szCs w:val="20"/>
                <w:color w:val="auto"/>
              </w:rPr>
            </w:pPr>
            <w:r>
              <w:rPr>
                <w:rFonts w:ascii="Arial" w:cs="Arial" w:eastAsia="Arial" w:hAnsi="Arial"/>
                <w:sz w:val="14"/>
                <w:szCs w:val="14"/>
                <w:b w:val="1"/>
                <w:bCs w:val="1"/>
                <w:color w:val="auto"/>
                <w:w w:val="91"/>
              </w:rPr>
              <w:t>(in square feet)</w:t>
            </w:r>
          </w:p>
        </w:tc>
        <w:tc>
          <w:tcPr>
            <w:tcW w:w="320" w:type="dxa"/>
            <w:vAlign w:val="bottom"/>
          </w:tcPr>
          <w:p>
            <w:pPr>
              <w:spacing w:after="0"/>
              <w:rPr>
                <w:sz w:val="16"/>
                <w:szCs w:val="16"/>
                <w:color w:val="auto"/>
              </w:rPr>
            </w:pPr>
          </w:p>
        </w:tc>
        <w:tc>
          <w:tcPr>
            <w:tcW w:w="1460" w:type="dxa"/>
            <w:vAlign w:val="bottom"/>
          </w:tcPr>
          <w:p>
            <w:pPr>
              <w:jc w:val="center"/>
              <w:ind w:right="406"/>
              <w:spacing w:after="0"/>
              <w:rPr>
                <w:sz w:val="20"/>
                <w:szCs w:val="20"/>
                <w:color w:val="auto"/>
              </w:rPr>
            </w:pPr>
            <w:r>
              <w:rPr>
                <w:rFonts w:ascii="Arial" w:cs="Arial" w:eastAsia="Arial" w:hAnsi="Arial"/>
                <w:sz w:val="14"/>
                <w:szCs w:val="14"/>
                <w:b w:val="1"/>
                <w:bCs w:val="1"/>
                <w:color w:val="auto"/>
                <w:w w:val="94"/>
              </w:rPr>
              <w:t>(in millions)</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2014</w:t>
            </w:r>
          </w:p>
        </w:tc>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6"/>
              </w:rPr>
              <w:t>The Grove at Shrewsbury/ Brook</w:t>
            </w:r>
          </w:p>
        </w:tc>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Shrewsbury, NJ/ Sea</w:t>
            </w:r>
          </w:p>
        </w:tc>
        <w:tc>
          <w:tcPr>
            <w:tcW w:w="1280" w:type="dxa"/>
            <w:vAlign w:val="bottom"/>
            <w:shd w:val="clear" w:color="auto" w:fill="CCEEFF"/>
          </w:tcPr>
          <w:p>
            <w:pPr>
              <w:jc w:val="center"/>
              <w:ind w:right="5"/>
              <w:spacing w:after="0"/>
              <w:rPr>
                <w:sz w:val="20"/>
                <w:szCs w:val="20"/>
                <w:color w:val="auto"/>
              </w:rPr>
            </w:pPr>
            <w:r>
              <w:rPr>
                <w:rFonts w:ascii="Arial" w:cs="Arial" w:eastAsia="Arial" w:hAnsi="Arial"/>
                <w:sz w:val="16"/>
                <w:szCs w:val="16"/>
                <w:color w:val="auto"/>
                <w:w w:val="89"/>
              </w:rPr>
              <w:t>286,000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161.0  (1)</w:t>
            </w: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Anthropologie / Banana Republic /</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35 Plaza</w:t>
            </w:r>
          </w:p>
        </w:tc>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Girt, NJ</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Brooks Brothers / Coach / Pottery</w:t>
            </w:r>
          </w:p>
        </w:tc>
        <w:tc>
          <w:tcPr>
            <w:tcW w:w="0" w:type="dxa"/>
            <w:vAlign w:val="bottom"/>
          </w:tcPr>
          <w:p>
            <w:pPr>
              <w:spacing w:after="0"/>
              <w:rPr>
                <w:sz w:val="1"/>
                <w:szCs w:val="1"/>
                <w:color w:val="auto"/>
              </w:rPr>
            </w:pPr>
          </w:p>
        </w:tc>
      </w:tr>
      <w:tr>
        <w:trPr>
          <w:trHeight w:val="206"/>
        </w:trPr>
        <w:tc>
          <w:tcPr>
            <w:tcW w:w="146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Barn / Williams-Sonoma</w:t>
            </w:r>
          </w:p>
        </w:tc>
        <w:tc>
          <w:tcPr>
            <w:tcW w:w="0" w:type="dxa"/>
            <w:vAlign w:val="bottom"/>
          </w:tcPr>
          <w:p>
            <w:pPr>
              <w:spacing w:after="0"/>
              <w:rPr>
                <w:sz w:val="1"/>
                <w:szCs w:val="1"/>
                <w:color w:val="auto"/>
              </w:rPr>
            </w:pPr>
          </w:p>
        </w:tc>
      </w:tr>
      <w:tr>
        <w:trPr>
          <w:trHeight w:val="33"/>
        </w:trPr>
        <w:tc>
          <w:tcPr>
            <w:tcW w:w="14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0" w:right="320" w:hanging="5"/>
        <w:spacing w:after="0" w:line="293" w:lineRule="auto"/>
        <w:tabs>
          <w:tab w:leader="none" w:pos="27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effective economic interest approximates 84% and was funded by the assumption of our share of $68 million of mortgage debt, 632,000 downREIT units, and $13 million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9"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 PSF</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40" w:type="dxa"/>
            <w:vAlign w:val="bottom"/>
          </w:tcPr>
          <w:p>
            <w:pPr>
              <w:spacing w:after="0"/>
              <w:rPr>
                <w:sz w:val="11"/>
                <w:szCs w:val="11"/>
                <w:color w:val="auto"/>
              </w:rPr>
            </w:pPr>
          </w:p>
        </w:tc>
      </w:tr>
      <w:tr>
        <w:trPr>
          <w:trHeight w:val="174"/>
        </w:trPr>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MSA Description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Year Acquired</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1540" w:type="dxa"/>
            <w:vAlign w:val="bottom"/>
            <w:gridSpan w:val="2"/>
          </w:tcPr>
          <w:p>
            <w:pPr>
              <w:jc w:val="right"/>
              <w:ind w:right="37"/>
              <w:spacing w:after="0" w:line="148" w:lineRule="exact"/>
              <w:rPr>
                <w:sz w:val="20"/>
                <w:szCs w:val="20"/>
                <w:color w:val="auto"/>
              </w:rPr>
            </w:pPr>
            <w:r>
              <w:rPr>
                <w:rFonts w:ascii="Arial" w:cs="Arial" w:eastAsia="Arial" w:hAnsi="Arial"/>
                <w:sz w:val="13"/>
                <w:szCs w:val="13"/>
                <w:color w:val="auto"/>
              </w:rPr>
              <w:t>1993- $ 220,387</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$47.09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Apple Computer / Barnes &amp; Noble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w w:val="89"/>
              </w:rPr>
              <w:t>2006/2008/2010</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Equinox / Landmark Theater</w:t>
            </w:r>
          </w:p>
        </w:tc>
      </w:tr>
      <w:tr>
        <w:trPr>
          <w:trHeight w:val="15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75,801</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35.31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1"/>
              </w:rPr>
              <w:t>Fresh Market</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Buy Buy Baby / Container Store / Last Call</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Studio by Neiman Marcus</w:t>
            </w: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1997</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4,694</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60%</w:t>
            </w:r>
          </w:p>
        </w:tc>
        <w:tc>
          <w:tcPr>
            <w:tcW w:w="580" w:type="dxa"/>
            <w:vAlign w:val="bottom"/>
          </w:tcPr>
          <w:p>
            <w:pPr>
              <w:jc w:val="right"/>
              <w:spacing w:after="0"/>
              <w:rPr>
                <w:sz w:val="20"/>
                <w:szCs w:val="20"/>
                <w:color w:val="auto"/>
              </w:rPr>
            </w:pPr>
            <w:r>
              <w:rPr>
                <w:rFonts w:ascii="Arial" w:cs="Arial" w:eastAsia="Arial" w:hAnsi="Arial"/>
                <w:sz w:val="13"/>
                <w:szCs w:val="13"/>
                <w:color w:val="auto"/>
              </w:rPr>
              <w:t>60%</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22.76</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89"/>
              </w:rPr>
              <w:t>Falls Plaza/Falls Plaza-East</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1967/1972</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12,870</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31.86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Federal Plaza</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1989</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65,650</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32.87</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14,000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w w:val="97"/>
              </w:rPr>
              <w:t>Trader Joe's</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w w:val="95"/>
              </w:rPr>
              <w:t>TJ Maxx / Micro Center / Ross Dress For</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Less</w:t>
            </w:r>
          </w:p>
        </w:tc>
      </w:tr>
      <w:tr>
        <w:trPr>
          <w:trHeight w:val="181"/>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36,184</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29.50</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Maggiano's / Nordstrom Rack</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Gaithersburg Square</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25,595</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77%</w:t>
            </w:r>
          </w:p>
        </w:tc>
        <w:tc>
          <w:tcPr>
            <w:tcW w:w="580" w:type="dxa"/>
            <w:vAlign w:val="bottom"/>
          </w:tcPr>
          <w:p>
            <w:pPr>
              <w:jc w:val="right"/>
              <w:spacing w:after="0"/>
              <w:rPr>
                <w:sz w:val="20"/>
                <w:szCs w:val="20"/>
                <w:color w:val="auto"/>
              </w:rPr>
            </w:pPr>
            <w:r>
              <w:rPr>
                <w:rFonts w:ascii="Arial" w:cs="Arial" w:eastAsia="Arial" w:hAnsi="Arial"/>
                <w:sz w:val="13"/>
                <w:szCs w:val="13"/>
                <w:color w:val="auto"/>
              </w:rPr>
              <w:t>77%</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28.52</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w w:val="90"/>
              </w:rPr>
              <w:t>Bed, Bath &amp; Beyond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Idylwood Plaza</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16,695</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44.11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30,000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1"/>
              </w:rPr>
              <w:t>Whole Foods</w:t>
            </w:r>
          </w:p>
        </w:tc>
        <w:tc>
          <w:tcPr>
            <w:tcW w:w="23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Laurel</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1986</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51,178</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388,000</w:t>
            </w:r>
          </w:p>
        </w:tc>
        <w:tc>
          <w:tcPr>
            <w:tcW w:w="500" w:type="dxa"/>
            <w:vAlign w:val="bottom"/>
          </w:tcPr>
          <w:p>
            <w:pPr>
              <w:jc w:val="right"/>
              <w:spacing w:after="0"/>
              <w:rPr>
                <w:sz w:val="20"/>
                <w:szCs w:val="20"/>
                <w:color w:val="auto"/>
              </w:rPr>
            </w:pPr>
            <w:r>
              <w:rPr>
                <w:rFonts w:ascii="Arial" w:cs="Arial" w:eastAsia="Arial" w:hAnsi="Arial"/>
                <w:sz w:val="13"/>
                <w:szCs w:val="13"/>
                <w:color w:val="auto"/>
              </w:rPr>
              <w:t>77%</w:t>
            </w:r>
          </w:p>
        </w:tc>
        <w:tc>
          <w:tcPr>
            <w:tcW w:w="580" w:type="dxa"/>
            <w:vAlign w:val="bottom"/>
          </w:tcPr>
          <w:p>
            <w:pPr>
              <w:jc w:val="right"/>
              <w:spacing w:after="0"/>
              <w:rPr>
                <w:sz w:val="20"/>
                <w:szCs w:val="20"/>
                <w:color w:val="auto"/>
              </w:rPr>
            </w:pPr>
            <w:r>
              <w:rPr>
                <w:rFonts w:ascii="Arial" w:cs="Arial" w:eastAsia="Arial" w:hAnsi="Arial"/>
                <w:sz w:val="13"/>
                <w:szCs w:val="13"/>
                <w:color w:val="auto"/>
              </w:rPr>
              <w:t>77%</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21.84</w:t>
            </w:r>
          </w:p>
        </w:tc>
        <w:tc>
          <w:tcPr>
            <w:tcW w:w="600" w:type="dxa"/>
            <w:vAlign w:val="bottom"/>
          </w:tcPr>
          <w:p>
            <w:pPr>
              <w:ind w:left="60"/>
              <w:spacing w:after="0"/>
              <w:rPr>
                <w:sz w:val="20"/>
                <w:szCs w:val="20"/>
                <w:color w:val="auto"/>
              </w:rPr>
            </w:pPr>
            <w:r>
              <w:rPr>
                <w:rFonts w:ascii="Arial" w:cs="Arial" w:eastAsia="Arial" w:hAnsi="Arial"/>
                <w:sz w:val="13"/>
                <w:szCs w:val="13"/>
                <w:color w:val="auto"/>
              </w:rPr>
              <w:t>61,000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Leesburg Plaza</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35,403</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23.70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Petsmart / Pier 1 Imports / Office Depot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Loehmann's Plaza</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1983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33,625</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27.04</w:t>
            </w:r>
          </w:p>
        </w:tc>
        <w:tc>
          <w:tcPr>
            <w:tcW w:w="600" w:type="dxa"/>
            <w:vAlign w:val="bottom"/>
          </w:tcPr>
          <w:p>
            <w:pPr>
              <w:ind w:left="60"/>
              <w:spacing w:after="0"/>
              <w:rPr>
                <w:sz w:val="20"/>
                <w:szCs w:val="20"/>
                <w:color w:val="auto"/>
              </w:rPr>
            </w:pPr>
            <w:r>
              <w:rPr>
                <w:rFonts w:ascii="Arial" w:cs="Arial" w:eastAsia="Arial" w:hAnsi="Arial"/>
                <w:sz w:val="13"/>
                <w:szCs w:val="13"/>
                <w:color w:val="auto"/>
              </w:rPr>
              <w:t>58,000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tcPr>
          <w:p>
            <w:pPr>
              <w:ind w:left="60"/>
              <w:spacing w:after="0"/>
              <w:rPr>
                <w:sz w:val="20"/>
                <w:szCs w:val="20"/>
                <w:color w:val="auto"/>
              </w:rPr>
            </w:pPr>
            <w:r>
              <w:rPr>
                <w:rFonts w:ascii="Arial" w:cs="Arial" w:eastAsia="Arial" w:hAnsi="Arial"/>
                <w:sz w:val="13"/>
                <w:szCs w:val="13"/>
                <w:color w:val="auto"/>
              </w:rPr>
              <w:t>L.A. Fitness / Loehmann's Dress Shop</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48"/>
        </w:trPr>
        <w:tc>
          <w:tcPr>
            <w:tcW w:w="150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Mid-Pike Plaza/Pike &amp;</w:t>
            </w: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1982/2007</w:t>
            </w: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182,364</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35.69</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Toys R Us</w:t>
            </w:r>
          </w:p>
        </w:tc>
      </w:tr>
      <w:tr>
        <w:trPr>
          <w:trHeight w:val="17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Rose</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Montrose Crossing</w:t>
            </w:r>
          </w:p>
        </w:tc>
        <w:tc>
          <w:tcPr>
            <w:tcW w:w="280" w:type="dxa"/>
            <w:vAlign w:val="bottom"/>
          </w:tcPr>
          <w:p>
            <w:pPr>
              <w:jc w:val="right"/>
              <w:spacing w:after="0" w:line="148" w:lineRule="exact"/>
              <w:rPr>
                <w:sz w:val="20"/>
                <w:szCs w:val="20"/>
                <w:color w:val="auto"/>
              </w:rPr>
            </w:pPr>
            <w:r>
              <w:rPr>
                <w:rFonts w:ascii="Arial" w:cs="Arial" w:eastAsia="Arial" w:hAnsi="Arial"/>
                <w:sz w:val="13"/>
                <w:szCs w:val="13"/>
                <w:color w:val="auto"/>
              </w:rPr>
              <w:t>(6)</w:t>
            </w: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2011/2013</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152,685</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77,341</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24.44</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73,000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Marshalls / Sports Authority / Barnes &amp;</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Noble / A.C. Moore</w:t>
            </w:r>
          </w:p>
        </w:tc>
      </w:tr>
      <w:tr>
        <w:trPr>
          <w:trHeight w:val="15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Mount Vernon/South</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2003/2006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80,198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16.36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62,000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Shoppers</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Michaels / Home</w:t>
            </w:r>
          </w:p>
        </w:tc>
      </w:tr>
      <w:tr>
        <w:trPr>
          <w:trHeight w:val="135"/>
        </w:trPr>
        <w:tc>
          <w:tcPr>
            <w:tcW w:w="150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Valley/7770 Richmond</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23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9"/>
              </w:rPr>
              <w:t>Depot / TJ Maxx / Gold's Gym / Staples</w:t>
            </w:r>
          </w:p>
        </w:tc>
      </w:tr>
      <w:tr>
        <w:trPr>
          <w:trHeight w:val="17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Hwy</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340" w:type="dxa"/>
            <w:vAlign w:val="bottom"/>
            <w:shd w:val="clear" w:color="auto" w:fill="CCEEFF"/>
          </w:tcPr>
          <w:p>
            <w:pPr>
              <w:spacing w:after="0"/>
              <w:rPr>
                <w:sz w:val="15"/>
                <w:szCs w:val="15"/>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Old Keene Mill</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1976</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6,571</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35.27</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800" w:type="dxa"/>
            <w:vAlign w:val="bottom"/>
          </w:tcPr>
          <w:p>
            <w:pPr>
              <w:ind w:left="80"/>
              <w:spacing w:after="0"/>
              <w:rPr>
                <w:sz w:val="20"/>
                <w:szCs w:val="20"/>
                <w:color w:val="auto"/>
              </w:rPr>
            </w:pPr>
            <w:r>
              <w:rPr>
                <w:rFonts w:ascii="Arial" w:cs="Arial" w:eastAsia="Arial" w:hAnsi="Arial"/>
                <w:sz w:val="13"/>
                <w:szCs w:val="13"/>
                <w:color w:val="auto"/>
                <w:w w:val="91"/>
              </w:rPr>
              <w:t>Whole Foods</w:t>
            </w:r>
          </w:p>
        </w:tc>
        <w:tc>
          <w:tcPr>
            <w:tcW w:w="2340" w:type="dxa"/>
            <w:vAlign w:val="bottom"/>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Pan Am</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28,684</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Safeway</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Pentagon Row</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1998/2010</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96,352</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36.48</w:t>
            </w:r>
          </w:p>
        </w:tc>
        <w:tc>
          <w:tcPr>
            <w:tcW w:w="600" w:type="dxa"/>
            <w:vAlign w:val="bottom"/>
          </w:tcPr>
          <w:p>
            <w:pPr>
              <w:ind w:left="60"/>
              <w:spacing w:after="0"/>
              <w:rPr>
                <w:sz w:val="20"/>
                <w:szCs w:val="20"/>
                <w:color w:val="auto"/>
              </w:rPr>
            </w:pPr>
            <w:r>
              <w:rPr>
                <w:rFonts w:ascii="Arial" w:cs="Arial" w:eastAsia="Arial" w:hAnsi="Arial"/>
                <w:sz w:val="13"/>
                <w:szCs w:val="13"/>
                <w:color w:val="auto"/>
              </w:rPr>
              <w:t>45,000</w:t>
            </w:r>
          </w:p>
        </w:tc>
        <w:tc>
          <w:tcPr>
            <w:tcW w:w="800" w:type="dxa"/>
            <w:vAlign w:val="bottom"/>
          </w:tcPr>
          <w:p>
            <w:pPr>
              <w:ind w:left="80"/>
              <w:spacing w:after="0"/>
              <w:rPr>
                <w:sz w:val="20"/>
                <w:szCs w:val="20"/>
                <w:color w:val="auto"/>
              </w:rPr>
            </w:pPr>
            <w:r>
              <w:rPr>
                <w:rFonts w:ascii="Arial" w:cs="Arial" w:eastAsia="Arial" w:hAnsi="Arial"/>
                <w:sz w:val="13"/>
                <w:szCs w:val="13"/>
                <w:color w:val="auto"/>
                <w:w w:val="92"/>
              </w:rPr>
              <w:t>Harris Teeter</w:t>
            </w:r>
          </w:p>
        </w:tc>
        <w:tc>
          <w:tcPr>
            <w:tcW w:w="2340" w:type="dxa"/>
            <w:vAlign w:val="bottom"/>
          </w:tcPr>
          <w:p>
            <w:pPr>
              <w:ind w:left="60"/>
              <w:spacing w:after="0"/>
              <w:rPr>
                <w:sz w:val="20"/>
                <w:szCs w:val="20"/>
                <w:color w:val="auto"/>
              </w:rPr>
            </w:pPr>
            <w:r>
              <w:rPr>
                <w:rFonts w:ascii="Arial" w:cs="Arial" w:eastAsia="Arial" w:hAnsi="Arial"/>
                <w:sz w:val="13"/>
                <w:szCs w:val="13"/>
                <w:color w:val="auto"/>
                <w:w w:val="95"/>
              </w:rPr>
              <w:t>L.A. Fitness / Bed, Bath &amp; Beyond / DSW</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36,172</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40.82</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27,744</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76%</w:t>
            </w:r>
          </w:p>
        </w:tc>
        <w:tc>
          <w:tcPr>
            <w:tcW w:w="580" w:type="dxa"/>
            <w:vAlign w:val="bottom"/>
          </w:tcPr>
          <w:p>
            <w:pPr>
              <w:jc w:val="right"/>
              <w:spacing w:after="0"/>
              <w:rPr>
                <w:sz w:val="20"/>
                <w:szCs w:val="20"/>
                <w:color w:val="auto"/>
              </w:rPr>
            </w:pPr>
            <w:r>
              <w:rPr>
                <w:rFonts w:ascii="Arial" w:cs="Arial" w:eastAsia="Arial" w:hAnsi="Arial"/>
                <w:sz w:val="13"/>
                <w:szCs w:val="13"/>
                <w:color w:val="auto"/>
              </w:rPr>
              <w:t>75%</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20.20</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L.A. Fitness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Rockville Town Square</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50,628</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4,524</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30.60</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Gold's Gym</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Rollingwood Apartments</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1971</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9,635</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22,521</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N/A</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12,830</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39.31</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Tower</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1998</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21,222</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58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24.37</w:t>
            </w:r>
          </w:p>
        </w:tc>
        <w:tc>
          <w:tcPr>
            <w:tcW w:w="600" w:type="dxa"/>
            <w:vAlign w:val="bottom"/>
          </w:tcPr>
          <w:p>
            <w:pPr>
              <w:ind w:left="60"/>
              <w:spacing w:after="0"/>
              <w:rPr>
                <w:sz w:val="20"/>
                <w:szCs w:val="20"/>
                <w:color w:val="auto"/>
              </w:rPr>
            </w:pPr>
            <w:r>
              <w:rPr>
                <w:rFonts w:ascii="Arial" w:cs="Arial" w:eastAsia="Arial" w:hAnsi="Arial"/>
                <w:sz w:val="13"/>
                <w:szCs w:val="13"/>
                <w:color w:val="auto"/>
              </w:rPr>
              <w:t>26,000</w:t>
            </w:r>
          </w:p>
        </w:tc>
        <w:tc>
          <w:tcPr>
            <w:tcW w:w="800" w:type="dxa"/>
            <w:vAlign w:val="bottom"/>
          </w:tcPr>
          <w:p>
            <w:pPr>
              <w:ind w:left="80"/>
              <w:spacing w:after="0"/>
              <w:rPr>
                <w:sz w:val="20"/>
                <w:szCs w:val="20"/>
                <w:color w:val="auto"/>
              </w:rPr>
            </w:pPr>
            <w:r>
              <w:rPr>
                <w:rFonts w:ascii="Arial" w:cs="Arial" w:eastAsia="Arial" w:hAnsi="Arial"/>
                <w:sz w:val="13"/>
                <w:szCs w:val="13"/>
                <w:color w:val="auto"/>
              </w:rPr>
              <w:t>L.A. Mart</w:t>
            </w:r>
          </w:p>
        </w:tc>
        <w:tc>
          <w:tcPr>
            <w:tcW w:w="2340" w:type="dxa"/>
            <w:vAlign w:val="bottom"/>
          </w:tcPr>
          <w:p>
            <w:pPr>
              <w:ind w:left="60"/>
              <w:spacing w:after="0"/>
              <w:rPr>
                <w:sz w:val="20"/>
                <w:szCs w:val="20"/>
                <w:color w:val="auto"/>
              </w:rPr>
            </w:pPr>
            <w:r>
              <w:rPr>
                <w:rFonts w:ascii="Arial" w:cs="Arial" w:eastAsia="Arial" w:hAnsi="Arial"/>
                <w:sz w:val="13"/>
                <w:szCs w:val="13"/>
                <w:color w:val="auto"/>
              </w:rPr>
              <w:t>Talbots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4,466</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42.70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7"/>
              </w:rPr>
              <w:t>Trader Joe's</w:t>
            </w:r>
          </w:p>
        </w:tc>
        <w:tc>
          <w:tcPr>
            <w:tcW w:w="23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1995</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59,426</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6,446</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34.20</w:t>
            </w:r>
          </w:p>
        </w:tc>
        <w:tc>
          <w:tcPr>
            <w:tcW w:w="600" w:type="dxa"/>
            <w:vAlign w:val="bottom"/>
          </w:tcPr>
          <w:p>
            <w:pPr>
              <w:ind w:left="60"/>
              <w:spacing w:after="0"/>
              <w:rPr>
                <w:sz w:val="20"/>
                <w:szCs w:val="20"/>
                <w:color w:val="auto"/>
              </w:rPr>
            </w:pPr>
            <w:r>
              <w:rPr>
                <w:rFonts w:ascii="Arial" w:cs="Arial" w:eastAsia="Arial" w:hAnsi="Arial"/>
                <w:sz w:val="13"/>
                <w:szCs w:val="13"/>
                <w:color w:val="auto"/>
              </w:rPr>
              <w:t>28,000</w:t>
            </w:r>
          </w:p>
        </w:tc>
        <w:tc>
          <w:tcPr>
            <w:tcW w:w="800" w:type="dxa"/>
            <w:vAlign w:val="bottom"/>
          </w:tcPr>
          <w:p>
            <w:pPr>
              <w:ind w:left="80"/>
              <w:spacing w:after="0"/>
              <w:rPr>
                <w:sz w:val="20"/>
                <w:szCs w:val="20"/>
                <w:color w:val="auto"/>
              </w:rPr>
            </w:pPr>
            <w:r>
              <w:rPr>
                <w:rFonts w:ascii="Arial" w:cs="Arial" w:eastAsia="Arial" w:hAnsi="Arial"/>
                <w:sz w:val="13"/>
                <w:szCs w:val="13"/>
                <w:color w:val="auto"/>
                <w:w w:val="92"/>
              </w:rPr>
              <w:t>Harris Teeter</w:t>
            </w:r>
          </w:p>
        </w:tc>
        <w:tc>
          <w:tcPr>
            <w:tcW w:w="234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18,469</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23,095</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89.46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Balducci's</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60" w:type="dxa"/>
            <w:vAlign w:val="bottom"/>
            <w:gridSpan w:val="2"/>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Total Washington Metropolitan Area</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1,365,528</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5,349,000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31.02</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40" w:type="dxa"/>
            <w:vAlign w:val="bottom"/>
          </w:tcPr>
          <w:p>
            <w:pPr>
              <w:spacing w:after="0"/>
              <w:rPr>
                <w:sz w:val="7"/>
                <w:szCs w:val="7"/>
                <w:color w:val="auto"/>
              </w:rPr>
            </w:pPr>
          </w:p>
        </w:tc>
      </w:tr>
      <w:tr>
        <w:trPr>
          <w:trHeight w:val="149"/>
        </w:trPr>
        <w:tc>
          <w:tcPr>
            <w:tcW w:w="40" w:type="dxa"/>
            <w:vAlign w:val="bottom"/>
            <w:tcBorders>
              <w:bottom w:val="single" w:sz="8" w:color="CCEEFF"/>
            </w:tcBorders>
            <w:shd w:val="clear" w:color="auto" w:fill="CCEEFF"/>
          </w:tcPr>
          <w:p>
            <w:pPr>
              <w:spacing w:after="0"/>
              <w:rPr>
                <w:sz w:val="12"/>
                <w:szCs w:val="12"/>
                <w:color w:val="auto"/>
              </w:rPr>
            </w:pPr>
          </w:p>
        </w:tc>
        <w:tc>
          <w:tcPr>
            <w:tcW w:w="178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9"/>
              </w:rPr>
              <w:t>Philadelphia Metropolitan Area</w:t>
            </w:r>
          </w:p>
        </w:tc>
        <w:tc>
          <w:tcPr>
            <w:tcW w:w="13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2340" w:type="dxa"/>
            <w:vAlign w:val="bottom"/>
            <w:tcBorders>
              <w:bottom w:val="single" w:sz="8" w:color="CCEEFF"/>
            </w:tcBorders>
            <w:shd w:val="clear" w:color="auto" w:fill="CCEEFF"/>
          </w:tcPr>
          <w:p>
            <w:pPr>
              <w:spacing w:after="0"/>
              <w:rPr>
                <w:sz w:val="12"/>
                <w:szCs w:val="12"/>
                <w:color w:val="auto"/>
              </w:rPr>
            </w:pPr>
          </w:p>
        </w:tc>
      </w:tr>
      <w:tr>
        <w:trPr>
          <w:trHeight w:val="102"/>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Andorra</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25,546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15.31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24,000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Markets</w:t>
            </w:r>
          </w:p>
        </w:tc>
        <w:tc>
          <w:tcPr>
            <w:tcW w:w="2340" w:type="dxa"/>
            <w:vAlign w:val="bottom"/>
          </w:tcPr>
          <w:p>
            <w:pPr>
              <w:spacing w:after="0"/>
              <w:rPr>
                <w:sz w:val="14"/>
                <w:szCs w:val="14"/>
                <w:color w:val="auto"/>
              </w:rPr>
            </w:pPr>
          </w:p>
        </w:tc>
      </w:tr>
      <w:tr>
        <w:trPr>
          <w:trHeight w:val="15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39,962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40" w:type="dxa"/>
            <w:vAlign w:val="bottom"/>
            <w:shd w:val="clear" w:color="auto" w:fill="CCEEFF"/>
          </w:tcPr>
          <w:p>
            <w:pPr>
              <w:spacing w:after="0"/>
              <w:rPr>
                <w:sz w:val="15"/>
                <w:szCs w:val="15"/>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Ellisburg Circle</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1992</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31,561</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580" w:type="dxa"/>
            <w:vAlign w:val="bottom"/>
          </w:tcPr>
          <w:p>
            <w:pPr>
              <w:jc w:val="right"/>
              <w:spacing w:after="0"/>
              <w:rPr>
                <w:sz w:val="20"/>
                <w:szCs w:val="20"/>
                <w:color w:val="auto"/>
              </w:rPr>
            </w:pPr>
            <w:r>
              <w:rPr>
                <w:rFonts w:ascii="Arial" w:cs="Arial" w:eastAsia="Arial" w:hAnsi="Arial"/>
                <w:sz w:val="13"/>
                <w:szCs w:val="13"/>
                <w:color w:val="auto"/>
              </w:rPr>
              <w:t>87%</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14.64</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13,915</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20.81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20,827</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15.47</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4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Mkts.</w:t>
            </w:r>
          </w:p>
        </w:tc>
        <w:tc>
          <w:tcPr>
            <w:tcW w:w="2340" w:type="dxa"/>
            <w:vAlign w:val="bottom"/>
          </w:tcPr>
          <w:p>
            <w:pPr>
              <w:spacing w:after="0"/>
              <w:rPr>
                <w:sz w:val="14"/>
                <w:szCs w:val="14"/>
                <w:color w:val="auto"/>
              </w:rPr>
            </w:pPr>
          </w:p>
        </w:tc>
      </w:tr>
      <w:tr>
        <w:trPr>
          <w:trHeight w:val="15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31,316</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26,275</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18.56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HomeGoods</w:t>
            </w: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Northeast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1983</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24,644</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12.50</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w w:val="96"/>
              </w:rPr>
              <w:t>Burlington Coat Factory / Home Gallery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Marshalls</w:t>
            </w:r>
          </w:p>
        </w:tc>
      </w:tr>
      <w:tr>
        <w:trPr>
          <w:trHeight w:val="15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Town Center of New</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14,712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176"/>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Britain</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73"/>
        </w:trPr>
        <w:tc>
          <w:tcPr>
            <w:tcW w:w="150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1984</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29,793</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19.03</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w w:val="93"/>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37,630</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26,777</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26.42</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60" w:type="dxa"/>
            <w:vAlign w:val="bottom"/>
            <w:gridSpan w:val="2"/>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Total Philadelphia Metropolitan Area</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269,906</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2,436,000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17.89</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4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2340" w:type="dxa"/>
            <w:vAlign w:val="bottom"/>
            <w:tcBorders>
              <w:top w:val="single" w:sz="8" w:color="CCEEFF"/>
            </w:tcBorders>
            <w:shd w:val="clear" w:color="auto" w:fill="CCEEFF"/>
          </w:tcPr>
          <w:p>
            <w:pPr>
              <w:spacing w:after="0"/>
              <w:rPr>
                <w:sz w:val="8"/>
                <w:szCs w:val="8"/>
                <w:color w:val="auto"/>
              </w:rPr>
            </w:pPr>
          </w:p>
        </w:tc>
      </w:tr>
      <w:tr>
        <w:trPr>
          <w:trHeight w:val="148"/>
        </w:trPr>
        <w:tc>
          <w:tcPr>
            <w:tcW w:w="15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88"/>
              </w:rPr>
              <w:t>Los Angeles-Long Beach,</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18,121</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38.51</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CA</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81"/>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Crow Canyon</w:t>
            </w: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Ramon, CA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85,453</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20.37</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Loehmann's Dress Shop / Rite Aid</w:t>
            </w:r>
          </w:p>
        </w:tc>
      </w:tr>
      <w:tr>
        <w:trPr>
          <w:trHeight w:val="43"/>
        </w:trPr>
        <w:tc>
          <w:tcPr>
            <w:tcW w:w="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649"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649"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Average</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460" w:type="dxa"/>
            <w:vAlign w:val="bottom"/>
          </w:tcPr>
          <w:p>
            <w:pPr>
              <w:spacing w:after="0"/>
              <w:rPr>
                <w:sz w:val="11"/>
                <w:szCs w:val="11"/>
                <w:color w:val="auto"/>
              </w:rPr>
            </w:pPr>
          </w:p>
        </w:tc>
      </w:tr>
      <w:tr>
        <w:trPr>
          <w:trHeight w:val="174"/>
        </w:trPr>
        <w:tc>
          <w:tcPr>
            <w:tcW w:w="156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70"/>
        </w:trPr>
        <w:tc>
          <w:tcPr>
            <w:tcW w:w="1560" w:type="dxa"/>
            <w:vAlign w:val="bottom"/>
            <w:gridSpan w:val="5"/>
          </w:tcPr>
          <w:p>
            <w:pPr>
              <w:ind w:left="40"/>
              <w:spacing w:after="0"/>
              <w:rPr>
                <w:sz w:val="20"/>
                <w:szCs w:val="20"/>
                <w:color w:val="auto"/>
              </w:rPr>
            </w:pPr>
            <w:r>
              <w:rPr>
                <w:rFonts w:ascii="Arial" w:cs="Arial" w:eastAsia="Arial" w:hAnsi="Arial"/>
                <w:sz w:val="13"/>
                <w:szCs w:val="13"/>
                <w:color w:val="auto"/>
              </w:rPr>
              <w:t>East Bay Bridge</w:t>
            </w:r>
          </w:p>
        </w:tc>
        <w:tc>
          <w:tcPr>
            <w:tcW w:w="3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w w:val="98"/>
              </w:rPr>
              <w:t>San Francisco-Oakland-</w:t>
            </w:r>
          </w:p>
        </w:tc>
        <w:tc>
          <w:tcPr>
            <w:tcW w:w="680" w:type="dxa"/>
            <w:vAlign w:val="bottom"/>
          </w:tcPr>
          <w:p>
            <w:pPr>
              <w:jc w:val="right"/>
              <w:spacing w:after="0"/>
              <w:rPr>
                <w:sz w:val="20"/>
                <w:szCs w:val="20"/>
                <w:color w:val="auto"/>
              </w:rPr>
            </w:pPr>
            <w:r>
              <w:rPr>
                <w:rFonts w:ascii="Arial" w:cs="Arial" w:eastAsia="Arial" w:hAnsi="Arial"/>
                <w:sz w:val="13"/>
                <w:szCs w:val="13"/>
                <w:color w:val="auto"/>
              </w:rPr>
              <w:t>2012</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167,509</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61,980</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15.56</w:t>
            </w:r>
          </w:p>
        </w:tc>
        <w:tc>
          <w:tcPr>
            <w:tcW w:w="580" w:type="dxa"/>
            <w:vAlign w:val="bottom"/>
          </w:tcPr>
          <w:p>
            <w:pPr>
              <w:ind w:left="40"/>
              <w:spacing w:after="0"/>
              <w:rPr>
                <w:sz w:val="20"/>
                <w:szCs w:val="20"/>
                <w:color w:val="auto"/>
              </w:rPr>
            </w:pPr>
            <w:r>
              <w:rPr>
                <w:rFonts w:ascii="Arial" w:cs="Arial" w:eastAsia="Arial" w:hAnsi="Arial"/>
                <w:sz w:val="13"/>
                <w:szCs w:val="13"/>
                <w:color w:val="auto"/>
              </w:rPr>
              <w:t>59,000</w:t>
            </w:r>
          </w:p>
        </w:tc>
        <w:tc>
          <w:tcPr>
            <w:tcW w:w="840" w:type="dxa"/>
            <w:vAlign w:val="bottom"/>
          </w:tcPr>
          <w:p>
            <w:pPr>
              <w:ind w:left="80"/>
              <w:spacing w:after="0"/>
              <w:rPr>
                <w:sz w:val="20"/>
                <w:szCs w:val="20"/>
                <w:color w:val="auto"/>
              </w:rPr>
            </w:pPr>
            <w:r>
              <w:rPr>
                <w:rFonts w:ascii="Arial" w:cs="Arial" w:eastAsia="Arial" w:hAnsi="Arial"/>
                <w:sz w:val="13"/>
                <w:szCs w:val="13"/>
                <w:color w:val="auto"/>
              </w:rPr>
              <w:t>Pak-N-Save</w:t>
            </w:r>
          </w:p>
        </w:tc>
        <w:tc>
          <w:tcPr>
            <w:tcW w:w="2460" w:type="dxa"/>
            <w:vAlign w:val="bottom"/>
          </w:tcPr>
          <w:p>
            <w:pPr>
              <w:ind w:left="40"/>
              <w:spacing w:after="0"/>
              <w:rPr>
                <w:sz w:val="20"/>
                <w:szCs w:val="20"/>
                <w:color w:val="auto"/>
              </w:rPr>
            </w:pPr>
            <w:r>
              <w:rPr>
                <w:rFonts w:ascii="Arial" w:cs="Arial" w:eastAsia="Arial" w:hAnsi="Arial"/>
                <w:sz w:val="13"/>
                <w:szCs w:val="13"/>
                <w:color w:val="auto"/>
              </w:rPr>
              <w:t>Home Depot / Michaels / Target</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Fremont,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56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Escondido</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47,016</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23.13</w:t>
            </w: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TJ Maxx / Toys R Us / Dick’s Sporting Goods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Ross Dress For Less</w:t>
            </w:r>
          </w:p>
        </w:tc>
      </w:tr>
      <w:tr>
        <w:trPr>
          <w:trHeight w:val="148"/>
        </w:trPr>
        <w:tc>
          <w:tcPr>
            <w:tcW w:w="156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Hermosa Ave</w:t>
            </w:r>
          </w:p>
        </w:tc>
        <w:tc>
          <w:tcPr>
            <w:tcW w:w="3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w w:val="92"/>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5,835</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36.32</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56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Los Angeles-Long Beach,</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41,142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28.87</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15,000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Fresh &amp; Easy</w:t>
            </w: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 / L.A. Fitness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156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Kings Court</w:t>
            </w:r>
          </w:p>
        </w:tc>
        <w:tc>
          <w:tcPr>
            <w:tcW w:w="340" w:type="dxa"/>
            <w:vAlign w:val="bottom"/>
          </w:tcPr>
          <w:p>
            <w:pPr>
              <w:jc w:val="center"/>
              <w:spacing w:after="0" w:line="148" w:lineRule="exact"/>
              <w:rPr>
                <w:sz w:val="20"/>
                <w:szCs w:val="20"/>
                <w:color w:val="auto"/>
              </w:rPr>
            </w:pPr>
            <w:r>
              <w:rPr>
                <w:rFonts w:ascii="Arial" w:cs="Arial" w:eastAsia="Arial" w:hAnsi="Arial"/>
                <w:sz w:val="13"/>
                <w:szCs w:val="13"/>
                <w:color w:val="auto"/>
                <w:w w:val="87"/>
              </w:rPr>
              <w:t>(8)</w:t>
            </w: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11,644</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29.32</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25,000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Lunardi's</w:t>
            </w: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w w:val="94"/>
              </w:rPr>
              <w:t>Super Market</w:t>
            </w:r>
          </w:p>
        </w:tc>
        <w:tc>
          <w:tcPr>
            <w:tcW w:w="2460" w:type="dxa"/>
            <w:vAlign w:val="bottom"/>
          </w:tcPr>
          <w:p>
            <w:pPr>
              <w:spacing w:after="0"/>
              <w:rPr>
                <w:sz w:val="14"/>
                <w:szCs w:val="14"/>
                <w:color w:val="auto"/>
              </w:rPr>
            </w:pPr>
          </w:p>
        </w:tc>
      </w:tr>
      <w:tr>
        <w:trPr>
          <w:trHeight w:val="204"/>
        </w:trPr>
        <w:tc>
          <w:tcPr>
            <w:tcW w:w="15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3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37,199</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35.07</w:t>
            </w:r>
          </w:p>
        </w:tc>
        <w:tc>
          <w:tcPr>
            <w:tcW w:w="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Anthropologie / Banana Republic / Gap</w:t>
            </w:r>
          </w:p>
        </w:tc>
      </w:tr>
      <w:tr>
        <w:trPr>
          <w:trHeight w:val="148"/>
        </w:trPr>
        <w:tc>
          <w:tcPr>
            <w:tcW w:w="156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340" w:type="dxa"/>
            <w:vAlign w:val="bottom"/>
          </w:tcPr>
          <w:p>
            <w:pPr>
              <w:jc w:val="center"/>
              <w:spacing w:after="0" w:line="148" w:lineRule="exact"/>
              <w:rPr>
                <w:sz w:val="20"/>
                <w:szCs w:val="20"/>
                <w:color w:val="auto"/>
              </w:rPr>
            </w:pPr>
            <w:r>
              <w:rPr>
                <w:rFonts w:ascii="Arial" w:cs="Arial" w:eastAsia="Arial" w:hAnsi="Arial"/>
                <w:sz w:val="13"/>
                <w:szCs w:val="13"/>
                <w:color w:val="auto"/>
                <w:w w:val="87"/>
              </w:rPr>
              <w:t>(6)</w:t>
            </w: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w w:val="92"/>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225,584</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37.35</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w w:val="95"/>
              </w:rPr>
              <w:t>Anthropologie / Best Buy / Container Store /</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w w:val="87"/>
              </w:rPr>
              <w:t>(9)</w:t>
            </w:r>
          </w:p>
        </w:tc>
        <w:tc>
          <w:tcPr>
            <w:tcW w:w="1440" w:type="dxa"/>
            <w:vAlign w:val="bottom"/>
          </w:tcPr>
          <w:p>
            <w:pPr>
              <w:ind w:left="4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w w:val="95"/>
              </w:rPr>
              <w:t>Dick's Sporting Goods / H&amp;M / HomeGoods</w:t>
            </w:r>
          </w:p>
        </w:tc>
      </w:tr>
      <w:tr>
        <w:trPr>
          <w:trHeight w:val="156"/>
        </w:trPr>
        <w:tc>
          <w:tcPr>
            <w:tcW w:w="156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Santana Row</w:t>
            </w:r>
          </w:p>
        </w:tc>
        <w:tc>
          <w:tcPr>
            <w:tcW w:w="34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673,964</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48.72</w:t>
            </w: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Crate &amp; Barrel / Container Store / Best Buy /</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CineArts Theatre / Hotel Valencia / H&amp;M</w:t>
            </w:r>
          </w:p>
        </w:tc>
      </w:tr>
      <w:tr>
        <w:trPr>
          <w:trHeight w:val="148"/>
        </w:trPr>
        <w:tc>
          <w:tcPr>
            <w:tcW w:w="156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Third St Promenade</w:t>
            </w:r>
          </w:p>
        </w:tc>
        <w:tc>
          <w:tcPr>
            <w:tcW w:w="3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w w:val="92"/>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1996-2000</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78,106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64.88</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J. Crew / Banana Republic / Old Navy /</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Abercrombie &amp; Fitch</w:t>
            </w:r>
          </w:p>
        </w:tc>
      </w:tr>
      <w:tr>
        <w:trPr>
          <w:trHeight w:val="156"/>
        </w:trPr>
        <w:tc>
          <w:tcPr>
            <w:tcW w:w="156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Westgate Center</w:t>
            </w:r>
          </w:p>
        </w:tc>
        <w:tc>
          <w:tcPr>
            <w:tcW w:w="34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134,565</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14.11</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38,000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Walmart</w:t>
            </w: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Target / Burlington Coat Factory / Ross Dress</w:t>
            </w:r>
          </w:p>
        </w:tc>
      </w:tr>
      <w:tr>
        <w:trPr>
          <w:trHeight w:val="135"/>
        </w:trPr>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0"/>
              </w:rPr>
              <w:t>Neighborhood</w:t>
            </w:r>
          </w:p>
        </w:tc>
        <w:tc>
          <w:tcPr>
            <w:tcW w:w="24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For Less / Michaels / Nordstrom Rack</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460" w:type="dxa"/>
            <w:vAlign w:val="bottom"/>
            <w:shd w:val="clear" w:color="auto" w:fill="CCEEFF"/>
          </w:tcPr>
          <w:p>
            <w:pPr>
              <w:spacing w:after="0"/>
              <w:rPr>
                <w:sz w:val="15"/>
                <w:szCs w:val="15"/>
                <w:color w:val="auto"/>
              </w:rPr>
            </w:pPr>
          </w:p>
        </w:tc>
      </w:tr>
      <w:tr>
        <w:trPr>
          <w:trHeight w:val="173"/>
        </w:trPr>
        <w:tc>
          <w:tcPr>
            <w:tcW w:w="1560" w:type="dxa"/>
            <w:vAlign w:val="bottom"/>
            <w:gridSpan w:val="5"/>
          </w:tcPr>
          <w:p>
            <w:pPr>
              <w:ind w:left="40"/>
              <w:spacing w:after="0"/>
              <w:rPr>
                <w:sz w:val="20"/>
                <w:szCs w:val="20"/>
                <w:color w:val="auto"/>
              </w:rPr>
            </w:pPr>
            <w:r>
              <w:rPr>
                <w:rFonts w:ascii="Arial" w:cs="Arial" w:eastAsia="Arial" w:hAnsi="Arial"/>
                <w:sz w:val="13"/>
                <w:szCs w:val="13"/>
                <w:color w:val="auto"/>
              </w:rPr>
              <w:t>150 Post Street</w:t>
            </w:r>
          </w:p>
        </w:tc>
        <w:tc>
          <w:tcPr>
            <w:tcW w:w="340" w:type="dxa"/>
            <w:vAlign w:val="bottom"/>
          </w:tcPr>
          <w:p>
            <w:pPr>
              <w:spacing w:after="0"/>
              <w:rPr>
                <w:sz w:val="15"/>
                <w:szCs w:val="15"/>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San Francisco,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37,026</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103,000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43.60</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Brooks Brothers / H&amp;M</w:t>
            </w:r>
          </w:p>
        </w:tc>
      </w:tr>
      <w:tr>
        <w:trPr>
          <w:trHeight w:val="97"/>
        </w:trPr>
        <w:tc>
          <w:tcPr>
            <w:tcW w:w="4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52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44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246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1,563,164</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3,363,000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31.11</w:t>
            </w: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46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20" w:type="dxa"/>
            <w:vAlign w:val="bottom"/>
            <w:gridSpan w:val="4"/>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48"/>
        </w:trPr>
        <w:tc>
          <w:tcPr>
            <w:tcW w:w="156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Brick Plaza</w:t>
            </w:r>
          </w:p>
        </w:tc>
        <w:tc>
          <w:tcPr>
            <w:tcW w:w="340" w:type="dxa"/>
            <w:vAlign w:val="bottom"/>
            <w:shd w:val="clear" w:color="auto" w:fill="CCEEFF"/>
          </w:tcPr>
          <w:p>
            <w:pPr>
              <w:spacing w:after="0"/>
              <w:rPr>
                <w:sz w:val="12"/>
                <w:szCs w:val="12"/>
                <w:color w:val="auto"/>
              </w:rPr>
            </w:pPr>
          </w:p>
        </w:tc>
        <w:tc>
          <w:tcPr>
            <w:tcW w:w="14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Monmouth-Ocean, 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1989</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59,755</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27,254</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416,000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16.60</w:t>
            </w:r>
          </w:p>
        </w:tc>
        <w:tc>
          <w:tcPr>
            <w:tcW w:w="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66,000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A&amp;P</w:t>
            </w:r>
          </w:p>
        </w:tc>
        <w:tc>
          <w:tcPr>
            <w:tcW w:w="24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AMC Loews / Barnes &amp; Noble / Sports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Authority</w:t>
            </w:r>
          </w:p>
        </w:tc>
      </w:tr>
      <w:tr>
        <w:trPr>
          <w:trHeight w:val="148"/>
        </w:trPr>
        <w:tc>
          <w:tcPr>
            <w:tcW w:w="156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Darien</w:t>
            </w:r>
          </w:p>
        </w:tc>
        <w:tc>
          <w:tcPr>
            <w:tcW w:w="3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48,116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27.39</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45,000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Equinox</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Stamford-Waterbury</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04"/>
        </w:trPr>
        <w:tc>
          <w:tcPr>
            <w:tcW w:w="15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Fresh Meadows</w:t>
            </w:r>
          </w:p>
        </w:tc>
        <w:tc>
          <w:tcPr>
            <w:tcW w:w="3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New York,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79,370</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406,000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29.06</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15,000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2"/>
              </w:rPr>
              <w:t>Island of Gold</w:t>
            </w: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AMC Loews / Kohl's / Michaels / Modell's</w:t>
            </w:r>
          </w:p>
        </w:tc>
      </w:tr>
      <w:tr>
        <w:trPr>
          <w:trHeight w:val="148"/>
        </w:trPr>
        <w:tc>
          <w:tcPr>
            <w:tcW w:w="156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3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13,969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61.00</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Stamford-Waterbury</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04"/>
        </w:trPr>
        <w:tc>
          <w:tcPr>
            <w:tcW w:w="15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3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27,799</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13,974</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27.60</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61,000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AC Moore</w:t>
            </w:r>
          </w:p>
        </w:tc>
      </w:tr>
      <w:tr>
        <w:trPr>
          <w:trHeight w:val="148"/>
        </w:trPr>
        <w:tc>
          <w:tcPr>
            <w:tcW w:w="156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Huntington</w:t>
            </w:r>
          </w:p>
        </w:tc>
        <w:tc>
          <w:tcPr>
            <w:tcW w:w="3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43,490</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25.33</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Buy Buy Baby / Bed, Bath &amp; Beyond /</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Michaels / Nordstrom Rack</w:t>
            </w:r>
          </w:p>
        </w:tc>
      </w:tr>
      <w:tr>
        <w:trPr>
          <w:trHeight w:val="204"/>
        </w:trPr>
        <w:tc>
          <w:tcPr>
            <w:tcW w:w="15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Huntington Square</w:t>
            </w:r>
          </w:p>
        </w:tc>
        <w:tc>
          <w:tcPr>
            <w:tcW w:w="3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11,389</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26.28</w:t>
            </w:r>
          </w:p>
        </w:tc>
        <w:tc>
          <w:tcPr>
            <w:tcW w:w="5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Barnes &amp; Noble</w:t>
            </w:r>
          </w:p>
        </w:tc>
      </w:tr>
      <w:tr>
        <w:trPr>
          <w:trHeight w:val="173"/>
        </w:trPr>
        <w:tc>
          <w:tcPr>
            <w:tcW w:w="1560" w:type="dxa"/>
            <w:vAlign w:val="bottom"/>
            <w:gridSpan w:val="5"/>
          </w:tcPr>
          <w:p>
            <w:pPr>
              <w:ind w:left="40"/>
              <w:spacing w:after="0"/>
              <w:rPr>
                <w:sz w:val="20"/>
                <w:szCs w:val="20"/>
                <w:color w:val="auto"/>
              </w:rPr>
            </w:pPr>
            <w:r>
              <w:rPr>
                <w:rFonts w:ascii="Arial" w:cs="Arial" w:eastAsia="Arial" w:hAnsi="Arial"/>
                <w:sz w:val="13"/>
                <w:szCs w:val="13"/>
                <w:color w:val="auto"/>
              </w:rPr>
              <w:t>Melville Mall</w:t>
            </w:r>
          </w:p>
        </w:tc>
        <w:tc>
          <w:tcPr>
            <w:tcW w:w="340" w:type="dxa"/>
            <w:vAlign w:val="bottom"/>
          </w:tcPr>
          <w:p>
            <w:pPr>
              <w:jc w:val="center"/>
              <w:spacing w:after="0"/>
              <w:rPr>
                <w:sz w:val="20"/>
                <w:szCs w:val="20"/>
                <w:color w:val="auto"/>
              </w:rPr>
            </w:pPr>
            <w:r>
              <w:rPr>
                <w:rFonts w:ascii="Arial" w:cs="Arial" w:eastAsia="Arial" w:hAnsi="Arial"/>
                <w:sz w:val="13"/>
                <w:szCs w:val="13"/>
                <w:color w:val="auto"/>
                <w:w w:val="86"/>
              </w:rPr>
              <w:t>(11)</w:t>
            </w:r>
          </w:p>
        </w:tc>
        <w:tc>
          <w:tcPr>
            <w:tcW w:w="144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69,583</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20,705</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246,000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19.43</w:t>
            </w:r>
          </w:p>
        </w:tc>
        <w:tc>
          <w:tcPr>
            <w:tcW w:w="580" w:type="dxa"/>
            <w:vAlign w:val="bottom"/>
          </w:tcPr>
          <w:p>
            <w:pPr>
              <w:ind w:left="40"/>
              <w:spacing w:after="0"/>
              <w:rPr>
                <w:sz w:val="20"/>
                <w:szCs w:val="20"/>
                <w:color w:val="auto"/>
              </w:rPr>
            </w:pPr>
            <w:r>
              <w:rPr>
                <w:rFonts w:ascii="Arial" w:cs="Arial" w:eastAsia="Arial" w:hAnsi="Arial"/>
                <w:sz w:val="13"/>
                <w:szCs w:val="13"/>
                <w:color w:val="auto"/>
              </w:rPr>
              <w:t>54,000</w:t>
            </w:r>
          </w:p>
        </w:tc>
        <w:tc>
          <w:tcPr>
            <w:tcW w:w="840" w:type="dxa"/>
            <w:vAlign w:val="bottom"/>
          </w:tcPr>
          <w:p>
            <w:pPr>
              <w:ind w:left="80"/>
              <w:spacing w:after="0"/>
              <w:rPr>
                <w:sz w:val="20"/>
                <w:szCs w:val="20"/>
                <w:color w:val="auto"/>
              </w:rPr>
            </w:pPr>
            <w:r>
              <w:rPr>
                <w:rFonts w:ascii="Arial" w:cs="Arial" w:eastAsia="Arial" w:hAnsi="Arial"/>
                <w:sz w:val="13"/>
                <w:szCs w:val="13"/>
                <w:color w:val="auto"/>
              </w:rPr>
              <w:t>Waldbaum's</w:t>
            </w:r>
          </w:p>
        </w:tc>
        <w:tc>
          <w:tcPr>
            <w:tcW w:w="2460" w:type="dxa"/>
            <w:vAlign w:val="bottom"/>
          </w:tcPr>
          <w:p>
            <w:pPr>
              <w:ind w:left="40"/>
              <w:spacing w:after="0"/>
              <w:rPr>
                <w:sz w:val="20"/>
                <w:szCs w:val="20"/>
                <w:color w:val="auto"/>
              </w:rPr>
            </w:pPr>
            <w:r>
              <w:rPr>
                <w:rFonts w:ascii="Arial" w:cs="Arial" w:eastAsia="Arial" w:hAnsi="Arial"/>
                <w:sz w:val="13"/>
                <w:szCs w:val="13"/>
                <w:color w:val="auto"/>
                <w:w w:val="99"/>
              </w:rPr>
              <w:t>Dick’s Sporting Goods / Kohl's / Marshalls</w:t>
            </w:r>
          </w:p>
        </w:tc>
      </w:tr>
      <w:tr>
        <w:trPr>
          <w:trHeight w:val="43"/>
        </w:trPr>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148"/>
        </w:trPr>
        <w:tc>
          <w:tcPr>
            <w:tcW w:w="156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Mercer Mall</w:t>
            </w:r>
          </w:p>
        </w:tc>
        <w:tc>
          <w:tcPr>
            <w:tcW w:w="3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(5)</w:t>
            </w:r>
          </w:p>
        </w:tc>
        <w:tc>
          <w:tcPr>
            <w:tcW w:w="14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Trenton, 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109,981</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55,794</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501,000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21.63</w:t>
            </w:r>
          </w:p>
        </w:tc>
        <w:tc>
          <w:tcPr>
            <w:tcW w:w="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75,000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 Rite</w:t>
            </w:r>
          </w:p>
        </w:tc>
        <w:tc>
          <w:tcPr>
            <w:tcW w:w="24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Bed, Bath &amp; Beyond / DSW / TJ Maxx /</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Raymour &amp; Flanigan</w:t>
            </w:r>
          </w:p>
        </w:tc>
      </w:tr>
      <w:tr>
        <w:trPr>
          <w:trHeight w:val="173"/>
        </w:trPr>
        <w:tc>
          <w:tcPr>
            <w:tcW w:w="1560" w:type="dxa"/>
            <w:vAlign w:val="bottom"/>
            <w:gridSpan w:val="5"/>
          </w:tcPr>
          <w:p>
            <w:pPr>
              <w:ind w:left="40"/>
              <w:spacing w:after="0"/>
              <w:rPr>
                <w:sz w:val="20"/>
                <w:szCs w:val="20"/>
                <w:color w:val="auto"/>
              </w:rPr>
            </w:pPr>
            <w:r>
              <w:rPr>
                <w:rFonts w:ascii="Arial" w:cs="Arial" w:eastAsia="Arial" w:hAnsi="Arial"/>
                <w:sz w:val="13"/>
                <w:szCs w:val="13"/>
                <w:color w:val="auto"/>
              </w:rPr>
              <w:t>Troy</w:t>
            </w:r>
          </w:p>
        </w:tc>
        <w:tc>
          <w:tcPr>
            <w:tcW w:w="340" w:type="dxa"/>
            <w:vAlign w:val="bottom"/>
          </w:tcPr>
          <w:p>
            <w:pPr>
              <w:spacing w:after="0"/>
              <w:rPr>
                <w:sz w:val="15"/>
                <w:szCs w:val="15"/>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Newark, NJ</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30,175</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20.08</w:t>
            </w:r>
          </w:p>
        </w:tc>
        <w:tc>
          <w:tcPr>
            <w:tcW w:w="580" w:type="dxa"/>
            <w:vAlign w:val="bottom"/>
          </w:tcPr>
          <w:p>
            <w:pPr>
              <w:ind w:left="40"/>
              <w:spacing w:after="0"/>
              <w:rPr>
                <w:sz w:val="20"/>
                <w:szCs w:val="20"/>
                <w:color w:val="auto"/>
              </w:rPr>
            </w:pPr>
            <w:r>
              <w:rPr>
                <w:rFonts w:ascii="Arial" w:cs="Arial" w:eastAsia="Arial" w:hAnsi="Arial"/>
                <w:sz w:val="13"/>
                <w:szCs w:val="13"/>
                <w:color w:val="auto"/>
              </w:rPr>
              <w:t>64,000</w:t>
            </w:r>
          </w:p>
        </w:tc>
        <w:tc>
          <w:tcPr>
            <w:tcW w:w="840" w:type="dxa"/>
            <w:vAlign w:val="bottom"/>
          </w:tcPr>
          <w:p>
            <w:pPr>
              <w:ind w:left="80"/>
              <w:spacing w:after="0"/>
              <w:rPr>
                <w:sz w:val="20"/>
                <w:szCs w:val="20"/>
                <w:color w:val="auto"/>
              </w:rPr>
            </w:pPr>
            <w:r>
              <w:rPr>
                <w:rFonts w:ascii="Arial" w:cs="Arial" w:eastAsia="Arial" w:hAnsi="Arial"/>
                <w:sz w:val="13"/>
                <w:szCs w:val="13"/>
                <w:color w:val="auto"/>
              </w:rPr>
              <w:t>Pathmark</w:t>
            </w:r>
          </w:p>
        </w:tc>
        <w:tc>
          <w:tcPr>
            <w:tcW w:w="2460" w:type="dxa"/>
            <w:vAlign w:val="bottom"/>
          </w:tcPr>
          <w:p>
            <w:pPr>
              <w:ind w:left="40"/>
              <w:spacing w:after="0"/>
              <w:rPr>
                <w:sz w:val="20"/>
                <w:szCs w:val="20"/>
                <w:color w:val="auto"/>
              </w:rPr>
            </w:pPr>
            <w:r>
              <w:rPr>
                <w:rFonts w:ascii="Arial" w:cs="Arial" w:eastAsia="Arial" w:hAnsi="Arial"/>
                <w:sz w:val="13"/>
                <w:szCs w:val="13"/>
                <w:color w:val="auto"/>
              </w:rPr>
              <w:t>L.A. Fitness</w:t>
            </w:r>
          </w:p>
        </w:tc>
      </w:tr>
      <w:tr>
        <w:trPr>
          <w:trHeight w:val="43"/>
        </w:trPr>
        <w:tc>
          <w:tcPr>
            <w:tcW w:w="4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r>
      <w:tr>
        <w:trPr>
          <w:trHeight w:val="129"/>
        </w:trPr>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Total New York / New</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493,627</w:t>
            </w: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9"/>
              </w:rPr>
              <w:t>2,393,000</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w:t>
            </w:r>
          </w:p>
        </w:tc>
        <w:tc>
          <w:tcPr>
            <w:tcW w:w="500" w:type="dxa"/>
            <w:vAlign w:val="bottom"/>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rPr>
              <w:t>23.48</w:t>
            </w: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Jersey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9"/>
        </w:trPr>
        <w:tc>
          <w:tcPr>
            <w:tcW w:w="40" w:type="dxa"/>
            <w:vAlign w:val="bottom"/>
          </w:tcPr>
          <w:p>
            <w:pPr>
              <w:spacing w:after="0"/>
              <w:rPr>
                <w:sz w:val="12"/>
                <w:szCs w:val="12"/>
                <w:color w:val="auto"/>
              </w:rPr>
            </w:pPr>
          </w:p>
        </w:tc>
        <w:tc>
          <w:tcPr>
            <w:tcW w:w="1520" w:type="dxa"/>
            <w:vAlign w:val="bottom"/>
            <w:gridSpan w:val="4"/>
          </w:tcPr>
          <w:p>
            <w:pPr>
              <w:ind w:left="60"/>
              <w:spacing w:after="0"/>
              <w:rPr>
                <w:sz w:val="20"/>
                <w:szCs w:val="20"/>
                <w:color w:val="auto"/>
              </w:rPr>
            </w:pPr>
            <w:r>
              <w:rPr>
                <w:rFonts w:ascii="Arial" w:cs="Arial" w:eastAsia="Arial" w:hAnsi="Arial"/>
                <w:sz w:val="13"/>
                <w:szCs w:val="13"/>
                <w:b w:val="1"/>
                <w:bCs w:val="1"/>
                <w:color w:val="auto"/>
              </w:rPr>
              <w:t>New England</w:t>
            </w: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48"/>
        </w:trPr>
        <w:tc>
          <w:tcPr>
            <w:tcW w:w="156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Assembly Square</w:t>
            </w:r>
          </w:p>
        </w:tc>
        <w:tc>
          <w:tcPr>
            <w:tcW w:w="3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(7)</w:t>
            </w:r>
          </w:p>
        </w:tc>
        <w:tc>
          <w:tcPr>
            <w:tcW w:w="14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2005-2011</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359,716</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336,000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17.55</w:t>
            </w: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AC Moore / Bed, Bath &amp; Beyond / Christmas</w:t>
            </w:r>
          </w:p>
        </w:tc>
      </w:tr>
      <w:tr>
        <w:trPr>
          <w:trHeight w:val="135"/>
        </w:trPr>
        <w:tc>
          <w:tcPr>
            <w:tcW w:w="1560" w:type="dxa"/>
            <w:vAlign w:val="bottom"/>
            <w:gridSpan w:val="5"/>
            <w:shd w:val="clear" w:color="auto" w:fill="CCEEFF"/>
          </w:tcPr>
          <w:p>
            <w:pPr>
              <w:ind w:left="40"/>
              <w:spacing w:after="0" w:line="135" w:lineRule="exact"/>
              <w:rPr>
                <w:sz w:val="20"/>
                <w:szCs w:val="20"/>
                <w:color w:val="auto"/>
              </w:rPr>
            </w:pPr>
            <w:r>
              <w:rPr>
                <w:rFonts w:ascii="Arial" w:cs="Arial" w:eastAsia="Arial" w:hAnsi="Arial"/>
                <w:sz w:val="13"/>
                <w:szCs w:val="13"/>
                <w:color w:val="auto"/>
                <w:w w:val="93"/>
              </w:rPr>
              <w:t>Marketplace/Assembly Row</w:t>
            </w:r>
          </w:p>
        </w:tc>
        <w:tc>
          <w:tcPr>
            <w:tcW w:w="340" w:type="dxa"/>
            <w:vAlign w:val="bottom"/>
            <w:shd w:val="clear" w:color="auto" w:fill="CCEEFF"/>
          </w:tcPr>
          <w:p>
            <w:pPr>
              <w:spacing w:after="0"/>
              <w:rPr>
                <w:sz w:val="11"/>
                <w:szCs w:val="11"/>
                <w:color w:val="auto"/>
              </w:rPr>
            </w:pPr>
          </w:p>
        </w:tc>
        <w:tc>
          <w:tcPr>
            <w:tcW w:w="14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8"/>
              </w:rPr>
              <w:t>Tree Shops / Kmart / Staples / Sports Authority</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TJ Maxx</w:t>
            </w:r>
          </w:p>
        </w:tc>
      </w:tr>
      <w:tr>
        <w:trPr>
          <w:trHeight w:val="148"/>
        </w:trPr>
        <w:tc>
          <w:tcPr>
            <w:tcW w:w="156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3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2006-2008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42,719</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7,269</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11.28</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16,000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Sav-A-Lot</w:t>
            </w: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56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34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34,580</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14.93</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80,000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24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156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Linden Square</w:t>
            </w:r>
          </w:p>
        </w:tc>
        <w:tc>
          <w:tcPr>
            <w:tcW w:w="3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146,378</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44.85</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50,000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56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34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15.71</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48,000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24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156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34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18,143</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15.92</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50,000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56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Saugus Plaza</w:t>
            </w:r>
          </w:p>
        </w:tc>
        <w:tc>
          <w:tcPr>
            <w:tcW w:w="34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14,815</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11.63</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55,000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5"/>
              </w:rPr>
              <w:t>Super Stop &amp;</w:t>
            </w: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Kmart</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246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Total New England</w:t>
            </w:r>
          </w:p>
        </w:tc>
        <w:tc>
          <w:tcPr>
            <w:tcW w:w="68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625,719</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1,390,000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19.25</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6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2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3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4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2460" w:type="dxa"/>
            <w:vAlign w:val="bottom"/>
            <w:tcBorders>
              <w:top w:val="single" w:sz="8" w:color="CCEEFF"/>
            </w:tcBorders>
            <w:shd w:val="clear" w:color="auto" w:fill="CCEEFF"/>
          </w:tcPr>
          <w:p>
            <w:pPr>
              <w:spacing w:after="0"/>
              <w:rPr>
                <w:sz w:val="8"/>
                <w:szCs w:val="8"/>
                <w:color w:val="auto"/>
              </w:rPr>
            </w:pPr>
          </w:p>
        </w:tc>
      </w:tr>
      <w:tr>
        <w:trPr>
          <w:trHeight w:val="173"/>
        </w:trPr>
        <w:tc>
          <w:tcPr>
            <w:tcW w:w="1560" w:type="dxa"/>
            <w:vAlign w:val="bottom"/>
            <w:gridSpan w:val="5"/>
          </w:tcPr>
          <w:p>
            <w:pPr>
              <w:ind w:left="40"/>
              <w:spacing w:after="0"/>
              <w:rPr>
                <w:sz w:val="20"/>
                <w:szCs w:val="20"/>
                <w:color w:val="auto"/>
              </w:rPr>
            </w:pPr>
            <w:r>
              <w:rPr>
                <w:rFonts w:ascii="Arial" w:cs="Arial" w:eastAsia="Arial" w:hAnsi="Arial"/>
                <w:sz w:val="13"/>
                <w:szCs w:val="13"/>
                <w:color w:val="auto"/>
              </w:rPr>
              <w:t>Governor Plaza</w:t>
            </w:r>
          </w:p>
        </w:tc>
        <w:tc>
          <w:tcPr>
            <w:tcW w:w="340" w:type="dxa"/>
            <w:vAlign w:val="bottom"/>
          </w:tcPr>
          <w:p>
            <w:pPr>
              <w:spacing w:after="0"/>
              <w:rPr>
                <w:sz w:val="15"/>
                <w:szCs w:val="15"/>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rPr>
                <w:sz w:val="20"/>
                <w:szCs w:val="20"/>
                <w:color w:val="auto"/>
              </w:rPr>
            </w:pPr>
            <w:r>
              <w:rPr>
                <w:rFonts w:ascii="Arial" w:cs="Arial" w:eastAsia="Arial" w:hAnsi="Arial"/>
                <w:sz w:val="13"/>
                <w:szCs w:val="13"/>
                <w:color w:val="auto"/>
              </w:rPr>
              <w:t>1985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26,633</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18.04</w:t>
            </w:r>
          </w:p>
        </w:tc>
        <w:tc>
          <w:tcPr>
            <w:tcW w:w="580" w:type="dxa"/>
            <w:vAlign w:val="bottom"/>
          </w:tcPr>
          <w:p>
            <w:pPr>
              <w:ind w:left="40"/>
              <w:spacing w:after="0"/>
              <w:rPr>
                <w:sz w:val="20"/>
                <w:szCs w:val="20"/>
                <w:color w:val="auto"/>
              </w:rPr>
            </w:pPr>
            <w:r>
              <w:rPr>
                <w:rFonts w:ascii="Arial" w:cs="Arial" w:eastAsia="Arial" w:hAnsi="Arial"/>
                <w:sz w:val="13"/>
                <w:szCs w:val="13"/>
                <w:color w:val="auto"/>
              </w:rPr>
              <w:t>16,500</w:t>
            </w:r>
          </w:p>
        </w:tc>
        <w:tc>
          <w:tcPr>
            <w:tcW w:w="840" w:type="dxa"/>
            <w:vAlign w:val="bottom"/>
          </w:tcPr>
          <w:p>
            <w:pPr>
              <w:ind w:left="80"/>
              <w:spacing w:after="0"/>
              <w:rPr>
                <w:sz w:val="20"/>
                <w:szCs w:val="20"/>
                <w:color w:val="auto"/>
              </w:rPr>
            </w:pPr>
            <w:r>
              <w:rPr>
                <w:rFonts w:ascii="Arial" w:cs="Arial" w:eastAsia="Arial" w:hAnsi="Arial"/>
                <w:sz w:val="13"/>
                <w:szCs w:val="13"/>
                <w:color w:val="auto"/>
              </w:rPr>
              <w:t>Aldi</w:t>
            </w:r>
          </w:p>
        </w:tc>
        <w:tc>
          <w:tcPr>
            <w:tcW w:w="2460" w:type="dxa"/>
            <w:vAlign w:val="bottom"/>
          </w:tcPr>
          <w:p>
            <w:pPr>
              <w:ind w:left="40"/>
              <w:spacing w:after="0"/>
              <w:rPr>
                <w:sz w:val="20"/>
                <w:szCs w:val="20"/>
                <w:color w:val="auto"/>
              </w:rPr>
            </w:pPr>
            <w:r>
              <w:rPr>
                <w:rFonts w:ascii="Arial" w:cs="Arial" w:eastAsia="Arial" w:hAnsi="Arial"/>
                <w:sz w:val="13"/>
                <w:szCs w:val="13"/>
                <w:color w:val="auto"/>
              </w:rPr>
              <w:t>L.A. Fitness / Dick’s Sporting Goods</w:t>
            </w: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8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40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9"/>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440" w:type="dxa"/>
            <w:vAlign w:val="bottom"/>
            <w:gridSpan w:val="5"/>
            <w:shd w:val="clear" w:color="auto" w:fill="CCEEFF"/>
          </w:tcPr>
          <w:p>
            <w:pPr>
              <w:spacing w:after="0" w:line="148" w:lineRule="exact"/>
              <w:rPr>
                <w:sz w:val="20"/>
                <w:szCs w:val="20"/>
                <w:color w:val="auto"/>
              </w:rPr>
            </w:pPr>
            <w:r>
              <w:rPr>
                <w:rFonts w:ascii="Arial" w:cs="Arial" w:eastAsia="Arial" w:hAnsi="Arial"/>
                <w:sz w:val="13"/>
                <w:szCs w:val="13"/>
                <w:color w:val="auto"/>
              </w:rPr>
              <w:t>Perring Plaza</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Baltimore, MD</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29,898</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13.86</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58,000</w:t>
            </w:r>
          </w:p>
        </w:tc>
        <w:tc>
          <w:tcPr>
            <w:tcW w:w="8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Shoppers</w:t>
            </w:r>
          </w:p>
        </w:tc>
        <w:tc>
          <w:tcPr>
            <w:tcW w:w="24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3"/>
              </w:rPr>
              <w:t>Home Depot / Burlington Coat Factory / Jo-</w:t>
            </w:r>
          </w:p>
        </w:tc>
      </w:tr>
      <w:tr>
        <w:trPr>
          <w:trHeight w:val="135"/>
        </w:trPr>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24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Ann Stores / Micro Center</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40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1440" w:type="dxa"/>
            <w:vAlign w:val="bottom"/>
            <w:gridSpan w:val="5"/>
          </w:tcPr>
          <w:p>
            <w:pPr>
              <w:spacing w:after="0" w:line="148" w:lineRule="exact"/>
              <w:rPr>
                <w:sz w:val="20"/>
                <w:szCs w:val="20"/>
                <w:color w:val="auto"/>
              </w:rPr>
            </w:pPr>
            <w:r>
              <w:rPr>
                <w:rFonts w:ascii="Arial" w:cs="Arial" w:eastAsia="Arial" w:hAnsi="Arial"/>
                <w:sz w:val="13"/>
                <w:szCs w:val="13"/>
                <w:color w:val="auto"/>
              </w:rPr>
              <w:t>THE AVENUE at White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w:t>
            </w: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97,179</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54,112</w:t>
            </w: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297,000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23.27</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ind w:left="60"/>
              <w:spacing w:after="0" w:line="148" w:lineRule="exact"/>
              <w:rPr>
                <w:sz w:val="20"/>
                <w:szCs w:val="20"/>
                <w:color w:val="auto"/>
              </w:rPr>
            </w:pPr>
            <w:r>
              <w:rPr>
                <w:rFonts w:ascii="Arial" w:cs="Arial" w:eastAsia="Arial" w:hAnsi="Arial"/>
                <w:sz w:val="13"/>
                <w:szCs w:val="13"/>
                <w:color w:val="auto"/>
                <w:w w:val="95"/>
              </w:rPr>
              <w:t>AMC Loews / Old Navy / Barnes &amp; Noble /</w:t>
            </w:r>
          </w:p>
        </w:tc>
      </w:tr>
      <w:tr>
        <w:trPr>
          <w:trHeight w:val="168"/>
        </w:trPr>
        <w:tc>
          <w:tcPr>
            <w:tcW w:w="40" w:type="dxa"/>
            <w:vAlign w:val="bottom"/>
          </w:tcPr>
          <w:p>
            <w:pPr>
              <w:spacing w:after="0"/>
              <w:rPr>
                <w:sz w:val="14"/>
                <w:szCs w:val="14"/>
                <w:color w:val="auto"/>
              </w:rPr>
            </w:pPr>
          </w:p>
        </w:tc>
        <w:tc>
          <w:tcPr>
            <w:tcW w:w="1440" w:type="dxa"/>
            <w:vAlign w:val="bottom"/>
            <w:gridSpan w:val="5"/>
          </w:tcPr>
          <w:p>
            <w:pPr>
              <w:spacing w:after="0"/>
              <w:rPr>
                <w:sz w:val="20"/>
                <w:szCs w:val="20"/>
                <w:color w:val="auto"/>
              </w:rPr>
            </w:pPr>
            <w:r>
              <w:rPr>
                <w:rFonts w:ascii="Arial" w:cs="Arial" w:eastAsia="Arial" w:hAnsi="Arial"/>
                <w:sz w:val="13"/>
                <w:szCs w:val="13"/>
                <w:color w:val="auto"/>
              </w:rPr>
              <w:t>Marsh</w:t>
            </w: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AC Moore</w:t>
            </w:r>
          </w:p>
        </w:tc>
      </w:tr>
      <w:tr>
        <w:trPr>
          <w:trHeight w:val="156"/>
        </w:trPr>
        <w:tc>
          <w:tcPr>
            <w:tcW w:w="40" w:type="dxa"/>
            <w:vAlign w:val="bottom"/>
            <w:shd w:val="clear" w:color="auto" w:fill="CCEEFF"/>
          </w:tcPr>
          <w:p>
            <w:pPr>
              <w:spacing w:after="0"/>
              <w:rPr>
                <w:sz w:val="13"/>
                <w:szCs w:val="13"/>
                <w:color w:val="auto"/>
              </w:rPr>
            </w:pPr>
          </w:p>
        </w:tc>
        <w:tc>
          <w:tcPr>
            <w:tcW w:w="1440" w:type="dxa"/>
            <w:vAlign w:val="bottom"/>
            <w:gridSpan w:val="5"/>
            <w:shd w:val="clear" w:color="auto" w:fill="CCEEFF"/>
          </w:tcPr>
          <w:p>
            <w:pPr>
              <w:spacing w:after="0"/>
              <w:rPr>
                <w:sz w:val="20"/>
                <w:szCs w:val="20"/>
                <w:color w:val="auto"/>
              </w:rPr>
            </w:pPr>
            <w:r>
              <w:rPr>
                <w:rFonts w:ascii="Arial" w:cs="Arial" w:eastAsia="Arial" w:hAnsi="Arial"/>
                <w:sz w:val="13"/>
                <w:szCs w:val="13"/>
                <w:color w:val="auto"/>
                <w:w w:val="87"/>
              </w:rPr>
              <w:t>The Shoppes at Nottingham</w:t>
            </w: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17,344</w:t>
            </w:r>
          </w:p>
        </w:tc>
        <w:tc>
          <w:tcPr>
            <w:tcW w:w="6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45.30</w:t>
            </w: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144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Square</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Arial" w:cs="Arial" w:eastAsia="Arial" w:hAnsi="Arial"/>
                <w:sz w:val="13"/>
                <w:szCs w:val="13"/>
                <w:color w:val="auto"/>
              </w:rPr>
              <w:t>White Marsh Plaza</w:t>
            </w:r>
          </w:p>
        </w:tc>
        <w:tc>
          <w:tcPr>
            <w:tcW w:w="320" w:type="dxa"/>
            <w:vAlign w:val="bottom"/>
          </w:tcPr>
          <w:p>
            <w:pPr>
              <w:spacing w:after="0"/>
              <w:rPr>
                <w:sz w:val="15"/>
                <w:szCs w:val="15"/>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25,089</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80,000</w:t>
            </w:r>
          </w:p>
        </w:tc>
        <w:tc>
          <w:tcPr>
            <w:tcW w:w="54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right"/>
              <w:spacing w:after="0"/>
              <w:rPr>
                <w:sz w:val="20"/>
                <w:szCs w:val="20"/>
                <w:color w:val="auto"/>
              </w:rPr>
            </w:pPr>
            <w:r>
              <w:rPr>
                <w:rFonts w:ascii="Arial" w:cs="Arial" w:eastAsia="Arial" w:hAnsi="Arial"/>
                <w:sz w:val="13"/>
                <w:szCs w:val="13"/>
                <w:color w:val="auto"/>
              </w:rPr>
              <w:t>97%</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20.69</w:t>
            </w:r>
          </w:p>
        </w:tc>
        <w:tc>
          <w:tcPr>
            <w:tcW w:w="600" w:type="dxa"/>
            <w:vAlign w:val="bottom"/>
          </w:tcPr>
          <w:p>
            <w:pPr>
              <w:ind w:left="60"/>
              <w:spacing w:after="0"/>
              <w:rPr>
                <w:sz w:val="20"/>
                <w:szCs w:val="20"/>
                <w:color w:val="auto"/>
              </w:rPr>
            </w:pPr>
            <w:r>
              <w:rPr>
                <w:rFonts w:ascii="Arial" w:cs="Arial" w:eastAsia="Arial" w:hAnsi="Arial"/>
                <w:sz w:val="13"/>
                <w:szCs w:val="13"/>
                <w:color w:val="auto"/>
              </w:rPr>
              <w:t>54,000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40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0" w:type="dxa"/>
            <w:vAlign w:val="bottom"/>
          </w:tcPr>
          <w:p>
            <w:pPr>
              <w:spacing w:after="0"/>
              <w:rPr>
                <w:sz w:val="3"/>
                <w:szCs w:val="3"/>
                <w:color w:val="auto"/>
              </w:rPr>
            </w:pP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3"/>
                <w:szCs w:val="13"/>
                <w:color w:val="auto"/>
              </w:rPr>
              <w:t>White Marsh Other</w:t>
            </w:r>
          </w:p>
        </w:tc>
        <w:tc>
          <w:tcPr>
            <w:tcW w:w="3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36,196</w:t>
            </w:r>
          </w:p>
        </w:tc>
        <w:tc>
          <w:tcPr>
            <w:tcW w:w="6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70,000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30.80</w:t>
            </w:r>
          </w:p>
        </w:tc>
        <w:tc>
          <w:tcPr>
            <w:tcW w:w="6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Total Baltimore</w:t>
            </w:r>
          </w:p>
        </w:tc>
        <w:tc>
          <w:tcPr>
            <w:tcW w:w="66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232,339</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1,141,000</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5"/>
              </w:rPr>
              <w:t>19.75</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4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14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Arial" w:cs="Arial" w:eastAsia="Arial" w:hAnsi="Arial"/>
                <w:sz w:val="13"/>
                <w:szCs w:val="13"/>
                <w:color w:val="auto"/>
              </w:rPr>
              <w:t>Crossroads</w:t>
            </w:r>
          </w:p>
        </w:tc>
        <w:tc>
          <w:tcPr>
            <w:tcW w:w="320" w:type="dxa"/>
            <w:vAlign w:val="bottom"/>
          </w:tcPr>
          <w:p>
            <w:pPr>
              <w:spacing w:after="0"/>
              <w:rPr>
                <w:sz w:val="15"/>
                <w:szCs w:val="15"/>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Chicago, IL</w:t>
            </w:r>
          </w:p>
        </w:tc>
        <w:tc>
          <w:tcPr>
            <w:tcW w:w="660" w:type="dxa"/>
            <w:vAlign w:val="bottom"/>
          </w:tcPr>
          <w:p>
            <w:pPr>
              <w:jc w:val="right"/>
              <w:spacing w:after="0"/>
              <w:rPr>
                <w:sz w:val="20"/>
                <w:szCs w:val="20"/>
                <w:color w:val="auto"/>
              </w:rPr>
            </w:pPr>
            <w:r>
              <w:rPr>
                <w:rFonts w:ascii="Arial" w:cs="Arial" w:eastAsia="Arial" w:hAnsi="Arial"/>
                <w:sz w:val="13"/>
                <w:szCs w:val="13"/>
                <w:color w:val="auto"/>
              </w:rPr>
              <w:t>1993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31,063</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168,000</w:t>
            </w:r>
          </w:p>
        </w:tc>
        <w:tc>
          <w:tcPr>
            <w:tcW w:w="54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21.26</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0" w:type="dxa"/>
            <w:vAlign w:val="bottom"/>
          </w:tcPr>
          <w:p>
            <w:pPr>
              <w:spacing w:after="0"/>
              <w:rPr>
                <w:sz w:val="3"/>
                <w:szCs w:val="3"/>
                <w:color w:val="auto"/>
              </w:rPr>
            </w:pPr>
          </w:p>
        </w:tc>
      </w:tr>
      <w:tr>
        <w:trPr>
          <w:trHeight w:val="148"/>
        </w:trPr>
        <w:tc>
          <w:tcPr>
            <w:tcW w:w="40" w:type="dxa"/>
            <w:vAlign w:val="bottom"/>
            <w:shd w:val="clear" w:color="auto" w:fill="CCEEFF"/>
          </w:tcPr>
          <w:p>
            <w:pPr>
              <w:spacing w:after="0"/>
              <w:rPr>
                <w:sz w:val="12"/>
                <w:szCs w:val="12"/>
                <w:color w:val="auto"/>
              </w:rPr>
            </w:pPr>
          </w:p>
        </w:tc>
        <w:tc>
          <w:tcPr>
            <w:tcW w:w="1440" w:type="dxa"/>
            <w:vAlign w:val="bottom"/>
            <w:gridSpan w:val="5"/>
            <w:shd w:val="clear" w:color="auto" w:fill="CCEEFF"/>
          </w:tcPr>
          <w:p>
            <w:pPr>
              <w:spacing w:after="0" w:line="148" w:lineRule="exact"/>
              <w:rPr>
                <w:sz w:val="20"/>
                <w:szCs w:val="20"/>
                <w:color w:val="auto"/>
              </w:rPr>
            </w:pPr>
            <w:r>
              <w:rPr>
                <w:rFonts w:ascii="Arial" w:cs="Arial" w:eastAsia="Arial" w:hAnsi="Arial"/>
                <w:sz w:val="13"/>
                <w:szCs w:val="13"/>
                <w:color w:val="auto"/>
              </w:rPr>
              <w:t>Finley Square</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Chicago, IL</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32,546</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313,000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11.52</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Bed, Bath &amp; Beyond / Buy Buy Baby /</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Petsmart</w:t>
            </w:r>
          </w:p>
        </w:tc>
      </w:tr>
      <w:tr>
        <w:trPr>
          <w:trHeight w:val="148"/>
        </w:trPr>
        <w:tc>
          <w:tcPr>
            <w:tcW w:w="40" w:type="dxa"/>
            <w:vAlign w:val="bottom"/>
          </w:tcPr>
          <w:p>
            <w:pPr>
              <w:spacing w:after="0"/>
              <w:rPr>
                <w:sz w:val="12"/>
                <w:szCs w:val="12"/>
                <w:color w:val="auto"/>
              </w:rPr>
            </w:pPr>
          </w:p>
        </w:tc>
        <w:tc>
          <w:tcPr>
            <w:tcW w:w="1440" w:type="dxa"/>
            <w:vAlign w:val="bottom"/>
            <w:gridSpan w:val="5"/>
          </w:tcPr>
          <w:p>
            <w:pPr>
              <w:spacing w:after="0" w:line="148" w:lineRule="exact"/>
              <w:rPr>
                <w:sz w:val="20"/>
                <w:szCs w:val="20"/>
                <w:color w:val="auto"/>
              </w:rPr>
            </w:pPr>
            <w:r>
              <w:rPr>
                <w:rFonts w:ascii="Arial" w:cs="Arial" w:eastAsia="Arial" w:hAnsi="Arial"/>
                <w:sz w:val="13"/>
                <w:szCs w:val="13"/>
                <w:color w:val="auto"/>
              </w:rPr>
              <w:t>Garden Market</w:t>
            </w:r>
          </w:p>
        </w:tc>
        <w:tc>
          <w:tcPr>
            <w:tcW w:w="32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Chicago, IL</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12,304</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12.24</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63,000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Mariano's</w:t>
            </w:r>
          </w:p>
        </w:tc>
        <w:tc>
          <w:tcPr>
            <w:tcW w:w="2400" w:type="dxa"/>
            <w:vAlign w:val="bottom"/>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w w:val="91"/>
              </w:rPr>
              <w:t>Fresh Market</w:t>
            </w:r>
          </w:p>
        </w:tc>
        <w:tc>
          <w:tcPr>
            <w:tcW w:w="2400" w:type="dxa"/>
            <w:vAlign w:val="bottom"/>
          </w:tcPr>
          <w:p>
            <w:pPr>
              <w:spacing w:after="0"/>
              <w:rPr>
                <w:sz w:val="14"/>
                <w:szCs w:val="14"/>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3"/>
                <w:szCs w:val="13"/>
                <w:color w:val="auto"/>
              </w:rPr>
              <w:t>North Lake Commons</w:t>
            </w:r>
          </w:p>
        </w:tc>
        <w:tc>
          <w:tcPr>
            <w:tcW w:w="3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Chicago, IL</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16,526</w:t>
            </w:r>
          </w:p>
        </w:tc>
        <w:tc>
          <w:tcPr>
            <w:tcW w:w="6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129,000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12.21</w:t>
            </w:r>
          </w:p>
        </w:tc>
        <w:tc>
          <w:tcPr>
            <w:tcW w:w="6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b w:val="1"/>
                <w:bCs w:val="1"/>
                <w:color w:val="auto"/>
              </w:rPr>
              <w:t>Total Chicago</w:t>
            </w:r>
          </w:p>
        </w:tc>
        <w:tc>
          <w:tcPr>
            <w:tcW w:w="66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92,439</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750,000</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5"/>
              </w:rPr>
              <w:t>13.93</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4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South Florida</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14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Arial" w:cs="Arial" w:eastAsia="Arial" w:hAnsi="Arial"/>
                <w:sz w:val="13"/>
                <w:szCs w:val="13"/>
                <w:color w:val="auto"/>
              </w:rPr>
              <w:t>Courtyard Shops</w:t>
            </w:r>
          </w:p>
        </w:tc>
        <w:tc>
          <w:tcPr>
            <w:tcW w:w="320" w:type="dxa"/>
            <w:vAlign w:val="bottom"/>
          </w:tcPr>
          <w:p>
            <w:pPr>
              <w:spacing w:after="0"/>
              <w:rPr>
                <w:sz w:val="15"/>
                <w:szCs w:val="15"/>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Miami-Ft Lauderdale</w:t>
            </w:r>
          </w:p>
        </w:tc>
        <w:tc>
          <w:tcPr>
            <w:tcW w:w="66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40,587</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130,000</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right"/>
              <w:spacing w:after="0"/>
              <w:rPr>
                <w:sz w:val="20"/>
                <w:szCs w:val="20"/>
                <w:color w:val="auto"/>
              </w:rPr>
            </w:pPr>
            <w:r>
              <w:rPr>
                <w:rFonts w:ascii="Arial" w:cs="Arial" w:eastAsia="Arial" w:hAnsi="Arial"/>
                <w:sz w:val="13"/>
                <w:szCs w:val="13"/>
                <w:color w:val="auto"/>
              </w:rPr>
              <w:t>94%</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20.32</w:t>
            </w:r>
          </w:p>
        </w:tc>
        <w:tc>
          <w:tcPr>
            <w:tcW w:w="600" w:type="dxa"/>
            <w:vAlign w:val="bottom"/>
          </w:tcPr>
          <w:p>
            <w:pPr>
              <w:ind w:left="60"/>
              <w:spacing w:after="0"/>
              <w:rPr>
                <w:sz w:val="20"/>
                <w:szCs w:val="20"/>
                <w:color w:val="auto"/>
              </w:rPr>
            </w:pPr>
            <w:r>
              <w:rPr>
                <w:rFonts w:ascii="Arial" w:cs="Arial" w:eastAsia="Arial" w:hAnsi="Arial"/>
                <w:sz w:val="13"/>
                <w:szCs w:val="13"/>
                <w:color w:val="auto"/>
              </w:rPr>
              <w:t>49,000</w:t>
            </w:r>
          </w:p>
        </w:tc>
        <w:tc>
          <w:tcPr>
            <w:tcW w:w="800" w:type="dxa"/>
            <w:vAlign w:val="bottom"/>
          </w:tcPr>
          <w:p>
            <w:pPr>
              <w:ind w:left="80"/>
              <w:spacing w:after="0"/>
              <w:rPr>
                <w:sz w:val="20"/>
                <w:szCs w:val="20"/>
                <w:color w:val="auto"/>
              </w:rPr>
            </w:pPr>
            <w:r>
              <w:rPr>
                <w:rFonts w:ascii="Arial" w:cs="Arial" w:eastAsia="Arial" w:hAnsi="Arial"/>
                <w:sz w:val="13"/>
                <w:szCs w:val="13"/>
                <w:color w:val="auto"/>
              </w:rPr>
              <w:t>Publix</w:t>
            </w:r>
          </w:p>
        </w:tc>
        <w:tc>
          <w:tcPr>
            <w:tcW w:w="240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0" w:type="dxa"/>
            <w:vAlign w:val="bottom"/>
          </w:tcPr>
          <w:p>
            <w:pPr>
              <w:spacing w:after="0"/>
              <w:rPr>
                <w:sz w:val="3"/>
                <w:szCs w:val="3"/>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3"/>
                <w:szCs w:val="13"/>
                <w:color w:val="auto"/>
              </w:rPr>
              <w:t>Del Mar Village</w:t>
            </w:r>
          </w:p>
        </w:tc>
        <w:tc>
          <w:tcPr>
            <w:tcW w:w="3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Miami-Ft Lauderdale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55,907</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179,000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15.34</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44,000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2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48"/>
        </w:trPr>
        <w:tc>
          <w:tcPr>
            <w:tcW w:w="40" w:type="dxa"/>
            <w:vAlign w:val="bottom"/>
          </w:tcPr>
          <w:p>
            <w:pPr>
              <w:spacing w:after="0"/>
              <w:rPr>
                <w:sz w:val="12"/>
                <w:szCs w:val="12"/>
                <w:color w:val="auto"/>
              </w:rPr>
            </w:pPr>
          </w:p>
        </w:tc>
        <w:tc>
          <w:tcPr>
            <w:tcW w:w="1440" w:type="dxa"/>
            <w:vAlign w:val="bottom"/>
            <w:gridSpan w:val="5"/>
          </w:tcPr>
          <w:p>
            <w:pPr>
              <w:spacing w:after="0" w:line="148" w:lineRule="exact"/>
              <w:rPr>
                <w:sz w:val="20"/>
                <w:szCs w:val="20"/>
                <w:color w:val="auto"/>
              </w:rPr>
            </w:pPr>
            <w:r>
              <w:rPr>
                <w:rFonts w:ascii="Arial" w:cs="Arial" w:eastAsia="Arial" w:hAnsi="Arial"/>
                <w:sz w:val="13"/>
                <w:szCs w:val="13"/>
                <w:color w:val="auto"/>
              </w:rPr>
              <w:t>Tower Shops</w:t>
            </w:r>
          </w:p>
        </w:tc>
        <w:tc>
          <w:tcPr>
            <w:tcW w:w="320" w:type="dxa"/>
            <w:vAlign w:val="bottom"/>
          </w:tcPr>
          <w:p>
            <w:pPr>
              <w:spacing w:after="0"/>
              <w:rPr>
                <w:sz w:val="12"/>
                <w:szCs w:val="12"/>
                <w:color w:val="auto"/>
              </w:rPr>
            </w:pPr>
          </w:p>
        </w:tc>
        <w:tc>
          <w:tcPr>
            <w:tcW w:w="1440" w:type="dxa"/>
            <w:vAlign w:val="bottom"/>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78,072</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369,000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17.55</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ind w:left="60"/>
              <w:spacing w:after="0" w:line="148" w:lineRule="exact"/>
              <w:rPr>
                <w:sz w:val="20"/>
                <w:szCs w:val="20"/>
                <w:color w:val="auto"/>
              </w:rPr>
            </w:pPr>
            <w:r>
              <w:rPr>
                <w:rFonts w:ascii="Arial" w:cs="Arial" w:eastAsia="Arial" w:hAnsi="Arial"/>
                <w:sz w:val="13"/>
                <w:szCs w:val="13"/>
                <w:color w:val="auto"/>
                <w:w w:val="89"/>
              </w:rPr>
              <w:t>Best Buy / DSW / Old Navy / Ross Dress For</w:t>
            </w:r>
          </w:p>
        </w:tc>
      </w:tr>
      <w:tr>
        <w:trPr>
          <w:trHeight w:val="170"/>
        </w:trPr>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Less / TJ Maxx / Ulta</w:t>
            </w:r>
          </w:p>
        </w:tc>
      </w:tr>
      <w:tr>
        <w:trPr>
          <w:trHeight w:val="173"/>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174,566</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678,000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17.60</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40" w:type="dxa"/>
            <w:vAlign w:val="bottom"/>
            <w:gridSpan w:val="5"/>
          </w:tcPr>
          <w:p>
            <w:pPr>
              <w:ind w:left="60"/>
              <w:spacing w:after="0"/>
              <w:rPr>
                <w:sz w:val="20"/>
                <w:szCs w:val="20"/>
                <w:color w:val="auto"/>
              </w:rPr>
            </w:pPr>
            <w:r>
              <w:rPr>
                <w:rFonts w:ascii="Arial" w:cs="Arial" w:eastAsia="Arial" w:hAnsi="Arial"/>
                <w:sz w:val="13"/>
                <w:szCs w:val="13"/>
                <w:b w:val="1"/>
                <w:bCs w:val="1"/>
                <w:color w:val="auto"/>
              </w:rPr>
              <w:t>Other</w:t>
            </w: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1440" w:type="dxa"/>
            <w:vAlign w:val="bottom"/>
            <w:gridSpan w:val="5"/>
            <w:shd w:val="clear" w:color="auto" w:fill="CCEEFF"/>
          </w:tcPr>
          <w:p>
            <w:pPr>
              <w:spacing w:after="0" w:line="148" w:lineRule="exact"/>
              <w:rPr>
                <w:sz w:val="20"/>
                <w:szCs w:val="20"/>
                <w:color w:val="auto"/>
              </w:rPr>
            </w:pPr>
            <w:r>
              <w:rPr>
                <w:rFonts w:ascii="Arial" w:cs="Arial" w:eastAsia="Arial" w:hAnsi="Arial"/>
                <w:sz w:val="13"/>
                <w:szCs w:val="13"/>
                <w:color w:val="auto"/>
              </w:rPr>
              <w:t>Barracks Road</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Charlottesville, VA</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59,177</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37,069</w:t>
            </w: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497,000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23.60</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99,000</w:t>
            </w:r>
          </w:p>
        </w:tc>
        <w:tc>
          <w:tcPr>
            <w:tcW w:w="320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Harris Teeter / Anthropologie / Bed, Bath &amp; Beyond /</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Barnes &amp; Noble / Old Navy / Michaels / Ulta</w:t>
            </w:r>
          </w:p>
        </w:tc>
      </w:tr>
      <w:tr>
        <w:trPr>
          <w:trHeight w:val="173"/>
        </w:trPr>
        <w:tc>
          <w:tcPr>
            <w:tcW w:w="4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Arial" w:cs="Arial" w:eastAsia="Arial" w:hAnsi="Arial"/>
                <w:sz w:val="13"/>
                <w:szCs w:val="13"/>
                <w:color w:val="auto"/>
              </w:rPr>
              <w:t>Bristol Plaza</w:t>
            </w:r>
          </w:p>
        </w:tc>
        <w:tc>
          <w:tcPr>
            <w:tcW w:w="320" w:type="dxa"/>
            <w:vAlign w:val="bottom"/>
          </w:tcPr>
          <w:p>
            <w:pPr>
              <w:spacing w:after="0"/>
              <w:rPr>
                <w:sz w:val="15"/>
                <w:szCs w:val="15"/>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Hartford, CT</w:t>
            </w:r>
          </w:p>
        </w:tc>
        <w:tc>
          <w:tcPr>
            <w:tcW w:w="66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29,646</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right"/>
              <w:spacing w:after="0"/>
              <w:rPr>
                <w:sz w:val="20"/>
                <w:szCs w:val="20"/>
                <w:color w:val="auto"/>
              </w:rPr>
            </w:pPr>
            <w:r>
              <w:rPr>
                <w:rFonts w:ascii="Arial" w:cs="Arial" w:eastAsia="Arial" w:hAnsi="Arial"/>
                <w:sz w:val="13"/>
                <w:szCs w:val="13"/>
                <w:color w:val="auto"/>
              </w:rPr>
              <w:t>94%</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12.52</w:t>
            </w:r>
          </w:p>
        </w:tc>
        <w:tc>
          <w:tcPr>
            <w:tcW w:w="600" w:type="dxa"/>
            <w:vAlign w:val="bottom"/>
          </w:tcPr>
          <w:p>
            <w:pPr>
              <w:ind w:left="60"/>
              <w:spacing w:after="0"/>
              <w:rPr>
                <w:sz w:val="20"/>
                <w:szCs w:val="20"/>
                <w:color w:val="auto"/>
              </w:rPr>
            </w:pPr>
            <w:r>
              <w:rPr>
                <w:rFonts w:ascii="Arial" w:cs="Arial" w:eastAsia="Arial" w:hAnsi="Arial"/>
                <w:sz w:val="13"/>
                <w:szCs w:val="13"/>
                <w:color w:val="auto"/>
              </w:rPr>
              <w:t>74,000</w:t>
            </w:r>
          </w:p>
        </w:tc>
        <w:tc>
          <w:tcPr>
            <w:tcW w:w="800" w:type="dxa"/>
            <w:vAlign w:val="bottom"/>
          </w:tcPr>
          <w:p>
            <w:pPr>
              <w:ind w:left="80"/>
              <w:spacing w:after="0"/>
              <w:rPr>
                <w:sz w:val="20"/>
                <w:szCs w:val="20"/>
                <w:color w:val="auto"/>
              </w:rPr>
            </w:pPr>
            <w:r>
              <w:rPr>
                <w:rFonts w:ascii="Arial" w:cs="Arial" w:eastAsia="Arial" w:hAnsi="Arial"/>
                <w:sz w:val="13"/>
                <w:szCs w:val="13"/>
                <w:color w:val="auto"/>
                <w:w w:val="95"/>
              </w:rPr>
              <w:t>Stop &amp; Shop</w:t>
            </w:r>
          </w:p>
        </w:tc>
        <w:tc>
          <w:tcPr>
            <w:tcW w:w="2400" w:type="dxa"/>
            <w:vAlign w:val="bottom"/>
          </w:tcPr>
          <w:p>
            <w:pPr>
              <w:ind w:left="60"/>
              <w:spacing w:after="0"/>
              <w:rPr>
                <w:sz w:val="20"/>
                <w:szCs w:val="20"/>
                <w:color w:val="auto"/>
              </w:rPr>
            </w:pPr>
            <w:r>
              <w:rPr>
                <w:rFonts w:ascii="Arial" w:cs="Arial" w:eastAsia="Arial" w:hAnsi="Arial"/>
                <w:sz w:val="13"/>
                <w:szCs w:val="13"/>
                <w:color w:val="auto"/>
              </w:rPr>
              <w:t>TJ Maxx</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0" w:type="dxa"/>
            <w:vAlign w:val="bottom"/>
          </w:tcPr>
          <w:p>
            <w:pPr>
              <w:spacing w:after="0"/>
              <w:rPr>
                <w:sz w:val="3"/>
                <w:szCs w:val="3"/>
                <w:color w:val="auto"/>
              </w:rPr>
            </w:pPr>
          </w:p>
        </w:tc>
      </w:tr>
      <w:tr>
        <w:trPr>
          <w:trHeight w:val="148"/>
        </w:trPr>
        <w:tc>
          <w:tcPr>
            <w:tcW w:w="40" w:type="dxa"/>
            <w:vAlign w:val="bottom"/>
            <w:shd w:val="clear" w:color="auto" w:fill="CCEEFF"/>
          </w:tcPr>
          <w:p>
            <w:pPr>
              <w:spacing w:after="0"/>
              <w:rPr>
                <w:sz w:val="12"/>
                <w:szCs w:val="12"/>
                <w:color w:val="auto"/>
              </w:rPr>
            </w:pPr>
          </w:p>
        </w:tc>
        <w:tc>
          <w:tcPr>
            <w:tcW w:w="1440" w:type="dxa"/>
            <w:vAlign w:val="bottom"/>
            <w:gridSpan w:val="5"/>
            <w:shd w:val="clear" w:color="auto" w:fill="CCEEFF"/>
          </w:tcPr>
          <w:p>
            <w:pPr>
              <w:spacing w:after="0" w:line="148" w:lineRule="exact"/>
              <w:rPr>
                <w:sz w:val="20"/>
                <w:szCs w:val="20"/>
                <w:color w:val="auto"/>
              </w:rPr>
            </w:pPr>
            <w:r>
              <w:rPr>
                <w:rFonts w:ascii="Arial" w:cs="Arial" w:eastAsia="Arial" w:hAnsi="Arial"/>
                <w:sz w:val="13"/>
                <w:szCs w:val="13"/>
                <w:color w:val="auto"/>
              </w:rPr>
              <w:t>Eastgate</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Raleigh-Durham-Chapel</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26,827</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23.23</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13,000</w:t>
            </w:r>
          </w:p>
        </w:tc>
        <w:tc>
          <w:tcPr>
            <w:tcW w:w="8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7"/>
              </w:rPr>
              <w:t>Trader Joe's</w:t>
            </w:r>
          </w:p>
        </w:tc>
        <w:tc>
          <w:tcPr>
            <w:tcW w:w="24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Hill, NC</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Arial" w:cs="Arial" w:eastAsia="Arial" w:hAnsi="Arial"/>
                <w:sz w:val="13"/>
                <w:szCs w:val="13"/>
                <w:color w:val="auto"/>
              </w:rPr>
              <w:t>Gratiot Plaza</w:t>
            </w:r>
          </w:p>
        </w:tc>
        <w:tc>
          <w:tcPr>
            <w:tcW w:w="320" w:type="dxa"/>
            <w:vAlign w:val="bottom"/>
          </w:tcPr>
          <w:p>
            <w:pPr>
              <w:spacing w:after="0"/>
              <w:rPr>
                <w:sz w:val="15"/>
                <w:szCs w:val="15"/>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Detroit, MI</w:t>
            </w:r>
          </w:p>
        </w:tc>
        <w:tc>
          <w:tcPr>
            <w:tcW w:w="660" w:type="dxa"/>
            <w:vAlign w:val="bottom"/>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19,055</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217,000</w:t>
            </w:r>
          </w:p>
        </w:tc>
        <w:tc>
          <w:tcPr>
            <w:tcW w:w="54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right"/>
              <w:spacing w:after="0"/>
              <w:rPr>
                <w:sz w:val="20"/>
                <w:szCs w:val="20"/>
                <w:color w:val="auto"/>
              </w:rPr>
            </w:pPr>
            <w:r>
              <w:rPr>
                <w:rFonts w:ascii="Arial" w:cs="Arial" w:eastAsia="Arial" w:hAnsi="Arial"/>
                <w:sz w:val="13"/>
                <w:szCs w:val="13"/>
                <w:color w:val="auto"/>
              </w:rPr>
              <w:t>99%</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11.82</w:t>
            </w:r>
          </w:p>
        </w:tc>
        <w:tc>
          <w:tcPr>
            <w:tcW w:w="600" w:type="dxa"/>
            <w:vAlign w:val="bottom"/>
          </w:tcPr>
          <w:p>
            <w:pPr>
              <w:ind w:left="60"/>
              <w:spacing w:after="0"/>
              <w:rPr>
                <w:sz w:val="20"/>
                <w:szCs w:val="20"/>
                <w:color w:val="auto"/>
              </w:rPr>
            </w:pPr>
            <w:r>
              <w:rPr>
                <w:rFonts w:ascii="Arial" w:cs="Arial" w:eastAsia="Arial" w:hAnsi="Arial"/>
                <w:sz w:val="13"/>
                <w:szCs w:val="13"/>
                <w:color w:val="auto"/>
              </w:rPr>
              <w:t>69,000</w:t>
            </w:r>
          </w:p>
        </w:tc>
        <w:tc>
          <w:tcPr>
            <w:tcW w:w="800" w:type="dxa"/>
            <w:vAlign w:val="bottom"/>
          </w:tcPr>
          <w:p>
            <w:pPr>
              <w:ind w:left="80"/>
              <w:spacing w:after="0"/>
              <w:rPr>
                <w:sz w:val="20"/>
                <w:szCs w:val="20"/>
                <w:color w:val="auto"/>
              </w:rPr>
            </w:pPr>
            <w:r>
              <w:rPr>
                <w:rFonts w:ascii="Arial" w:cs="Arial" w:eastAsia="Arial" w:hAnsi="Arial"/>
                <w:sz w:val="13"/>
                <w:szCs w:val="13"/>
                <w:color w:val="auto"/>
              </w:rPr>
              <w:t>Kroger</w:t>
            </w:r>
          </w:p>
        </w:tc>
        <w:tc>
          <w:tcPr>
            <w:tcW w:w="2400" w:type="dxa"/>
            <w:vAlign w:val="bottom"/>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0" w:type="dxa"/>
            <w:vAlign w:val="bottom"/>
          </w:tcPr>
          <w:p>
            <w:pPr>
              <w:spacing w:after="0"/>
              <w:rPr>
                <w:sz w:val="3"/>
                <w:szCs w:val="3"/>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3"/>
                <w:szCs w:val="13"/>
                <w:color w:val="auto"/>
              </w:rPr>
              <w:t>Houston St</w:t>
            </w:r>
          </w:p>
        </w:tc>
        <w:tc>
          <w:tcPr>
            <w:tcW w:w="3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San Antonio, TX</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61,485</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175,000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24.46</w:t>
            </w:r>
          </w:p>
        </w:tc>
        <w:tc>
          <w:tcPr>
            <w:tcW w:w="6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Hotel Valencia / Walgreens</w:t>
            </w:r>
          </w:p>
        </w:tc>
      </w:tr>
      <w:tr>
        <w:trPr>
          <w:trHeight w:val="173"/>
        </w:trPr>
        <w:tc>
          <w:tcPr>
            <w:tcW w:w="4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Arial" w:cs="Arial" w:eastAsia="Arial" w:hAnsi="Arial"/>
                <w:sz w:val="13"/>
                <w:szCs w:val="13"/>
                <w:color w:val="auto"/>
              </w:rPr>
              <w:t>Lancaster</w:t>
            </w:r>
          </w:p>
        </w:tc>
        <w:tc>
          <w:tcPr>
            <w:tcW w:w="320" w:type="dxa"/>
            <w:vAlign w:val="bottom"/>
          </w:tcPr>
          <w:p>
            <w:pPr>
              <w:jc w:val="right"/>
              <w:spacing w:after="0"/>
              <w:rPr>
                <w:sz w:val="20"/>
                <w:szCs w:val="20"/>
                <w:color w:val="auto"/>
              </w:rPr>
            </w:pPr>
            <w:r>
              <w:rPr>
                <w:rFonts w:ascii="Arial" w:cs="Arial" w:eastAsia="Arial" w:hAnsi="Arial"/>
                <w:sz w:val="13"/>
                <w:szCs w:val="13"/>
                <w:color w:val="auto"/>
              </w:rPr>
              <w:t>(10)</w:t>
            </w:r>
          </w:p>
        </w:tc>
        <w:tc>
          <w:tcPr>
            <w:tcW w:w="1440" w:type="dxa"/>
            <w:vAlign w:val="bottom"/>
          </w:tcPr>
          <w:p>
            <w:pPr>
              <w:ind w:left="40"/>
              <w:spacing w:after="0"/>
              <w:rPr>
                <w:sz w:val="20"/>
                <w:szCs w:val="20"/>
                <w:color w:val="auto"/>
              </w:rPr>
            </w:pPr>
            <w:r>
              <w:rPr>
                <w:rFonts w:ascii="Arial" w:cs="Arial" w:eastAsia="Arial" w:hAnsi="Arial"/>
                <w:sz w:val="13"/>
                <w:szCs w:val="13"/>
                <w:color w:val="auto"/>
              </w:rPr>
              <w:t>Lancaster, PA</w:t>
            </w:r>
          </w:p>
        </w:tc>
        <w:tc>
          <w:tcPr>
            <w:tcW w:w="660" w:type="dxa"/>
            <w:vAlign w:val="bottom"/>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13,538</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4,907</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127,000</w:t>
            </w:r>
          </w:p>
        </w:tc>
        <w:tc>
          <w:tcPr>
            <w:tcW w:w="54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right"/>
              <w:spacing w:after="0"/>
              <w:rPr>
                <w:sz w:val="20"/>
                <w:szCs w:val="20"/>
                <w:color w:val="auto"/>
              </w:rPr>
            </w:pPr>
            <w:r>
              <w:rPr>
                <w:rFonts w:ascii="Arial" w:cs="Arial" w:eastAsia="Arial" w:hAnsi="Arial"/>
                <w:sz w:val="13"/>
                <w:szCs w:val="13"/>
                <w:color w:val="auto"/>
              </w:rPr>
              <w:t>97%</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16.72</w:t>
            </w:r>
          </w:p>
        </w:tc>
        <w:tc>
          <w:tcPr>
            <w:tcW w:w="600" w:type="dxa"/>
            <w:vAlign w:val="bottom"/>
          </w:tcPr>
          <w:p>
            <w:pPr>
              <w:ind w:left="60"/>
              <w:spacing w:after="0"/>
              <w:rPr>
                <w:sz w:val="20"/>
                <w:szCs w:val="20"/>
                <w:color w:val="auto"/>
              </w:rPr>
            </w:pPr>
            <w:r>
              <w:rPr>
                <w:rFonts w:ascii="Arial" w:cs="Arial" w:eastAsia="Arial" w:hAnsi="Arial"/>
                <w:sz w:val="13"/>
                <w:szCs w:val="13"/>
                <w:color w:val="auto"/>
              </w:rPr>
              <w:t>75,000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400" w:type="dxa"/>
            <w:vAlign w:val="bottom"/>
          </w:tcPr>
          <w:p>
            <w:pPr>
              <w:ind w:left="60"/>
              <w:spacing w:after="0"/>
              <w:rPr>
                <w:sz w:val="20"/>
                <w:szCs w:val="20"/>
                <w:color w:val="auto"/>
              </w:rPr>
            </w:pPr>
            <w:r>
              <w:rPr>
                <w:rFonts w:ascii="Arial" w:cs="Arial" w:eastAsia="Arial" w:hAnsi="Arial"/>
                <w:sz w:val="13"/>
                <w:szCs w:val="13"/>
                <w:color w:val="auto"/>
              </w:rPr>
              <w:t>Michaels</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0" w:type="dxa"/>
            <w:vAlign w:val="bottom"/>
          </w:tcPr>
          <w:p>
            <w:pPr>
              <w:spacing w:after="0"/>
              <w:rPr>
                <w:sz w:val="3"/>
                <w:szCs w:val="3"/>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3"/>
                <w:szCs w:val="13"/>
                <w:color w:val="auto"/>
              </w:rPr>
              <w:t>29th Place</w:t>
            </w:r>
          </w:p>
        </w:tc>
        <w:tc>
          <w:tcPr>
            <w:tcW w:w="3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Charlottesville, VA</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39,931</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5,119</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169,000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16.89</w:t>
            </w:r>
          </w:p>
        </w:tc>
        <w:tc>
          <w:tcPr>
            <w:tcW w:w="6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97"/>
              </w:rPr>
              <w:t>DSW / HomeGoods / Staples / Stein Mart</w:t>
            </w:r>
          </w:p>
        </w:tc>
      </w:tr>
      <w:tr>
        <w:trPr>
          <w:trHeight w:val="173"/>
        </w:trPr>
        <w:tc>
          <w:tcPr>
            <w:tcW w:w="4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Arial" w:cs="Arial" w:eastAsia="Arial" w:hAnsi="Arial"/>
                <w:sz w:val="13"/>
                <w:szCs w:val="13"/>
                <w:color w:val="auto"/>
              </w:rPr>
              <w:t>Shops at Willow Lawn</w:t>
            </w:r>
          </w:p>
        </w:tc>
        <w:tc>
          <w:tcPr>
            <w:tcW w:w="320" w:type="dxa"/>
            <w:vAlign w:val="bottom"/>
          </w:tcPr>
          <w:p>
            <w:pPr>
              <w:spacing w:after="0"/>
              <w:rPr>
                <w:sz w:val="15"/>
                <w:szCs w:val="15"/>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w w:val="91"/>
              </w:rPr>
              <w:t>Richmond-Petersburg, VA</w:t>
            </w:r>
          </w:p>
        </w:tc>
        <w:tc>
          <w:tcPr>
            <w:tcW w:w="660" w:type="dxa"/>
            <w:vAlign w:val="bottom"/>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82,516</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439,000</w:t>
            </w:r>
          </w:p>
        </w:tc>
        <w:tc>
          <w:tcPr>
            <w:tcW w:w="54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right"/>
              <w:spacing w:after="0"/>
              <w:rPr>
                <w:sz w:val="20"/>
                <w:szCs w:val="20"/>
                <w:color w:val="auto"/>
              </w:rPr>
            </w:pPr>
            <w:r>
              <w:rPr>
                <w:rFonts w:ascii="Arial" w:cs="Arial" w:eastAsia="Arial" w:hAnsi="Arial"/>
                <w:sz w:val="13"/>
                <w:szCs w:val="13"/>
                <w:color w:val="auto"/>
              </w:rPr>
              <w:t>92%</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17.11</w:t>
            </w:r>
          </w:p>
        </w:tc>
        <w:tc>
          <w:tcPr>
            <w:tcW w:w="600" w:type="dxa"/>
            <w:vAlign w:val="bottom"/>
          </w:tcPr>
          <w:p>
            <w:pPr>
              <w:ind w:left="60"/>
              <w:spacing w:after="0"/>
              <w:rPr>
                <w:sz w:val="20"/>
                <w:szCs w:val="20"/>
                <w:color w:val="auto"/>
              </w:rPr>
            </w:pPr>
            <w:r>
              <w:rPr>
                <w:rFonts w:ascii="Arial" w:cs="Arial" w:eastAsia="Arial" w:hAnsi="Arial"/>
                <w:sz w:val="13"/>
                <w:szCs w:val="13"/>
                <w:color w:val="auto"/>
              </w:rPr>
              <w:t>66,000</w:t>
            </w:r>
          </w:p>
        </w:tc>
        <w:tc>
          <w:tcPr>
            <w:tcW w:w="800" w:type="dxa"/>
            <w:vAlign w:val="bottom"/>
          </w:tcPr>
          <w:p>
            <w:pPr>
              <w:ind w:left="80"/>
              <w:spacing w:after="0"/>
              <w:rPr>
                <w:sz w:val="20"/>
                <w:szCs w:val="20"/>
                <w:color w:val="auto"/>
              </w:rPr>
            </w:pPr>
            <w:r>
              <w:rPr>
                <w:rFonts w:ascii="Arial" w:cs="Arial" w:eastAsia="Arial" w:hAnsi="Arial"/>
                <w:sz w:val="13"/>
                <w:szCs w:val="13"/>
                <w:color w:val="auto"/>
              </w:rPr>
              <w:t>Kroger</w:t>
            </w:r>
          </w:p>
        </w:tc>
        <w:tc>
          <w:tcPr>
            <w:tcW w:w="2400" w:type="dxa"/>
            <w:vAlign w:val="bottom"/>
          </w:tcPr>
          <w:p>
            <w:pPr>
              <w:ind w:left="60"/>
              <w:spacing w:after="0"/>
              <w:rPr>
                <w:sz w:val="20"/>
                <w:szCs w:val="20"/>
                <w:color w:val="auto"/>
              </w:rPr>
            </w:pPr>
            <w:r>
              <w:rPr>
                <w:rFonts w:ascii="Arial" w:cs="Arial" w:eastAsia="Arial" w:hAnsi="Arial"/>
                <w:sz w:val="13"/>
                <w:szCs w:val="13"/>
                <w:color w:val="auto"/>
                <w:w w:val="96"/>
              </w:rPr>
              <w:t>Old Navy / Staples / Ross Dress For Less</w:t>
            </w:r>
          </w:p>
        </w:tc>
      </w:tr>
      <w:tr>
        <w:trPr>
          <w:trHeight w:val="43"/>
        </w:trPr>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2400" w:type="dxa"/>
            <w:vAlign w:val="bottom"/>
            <w:tcBorders>
              <w:bottom w:val="single" w:sz="8" w:color="CCEEFF"/>
            </w:tcBorders>
          </w:tcPr>
          <w:p>
            <w:pPr>
              <w:spacing w:after="0"/>
              <w:rPr>
                <w:sz w:val="3"/>
                <w:szCs w:val="3"/>
                <w:color w:val="auto"/>
              </w:rPr>
            </w:pPr>
          </w:p>
        </w:tc>
      </w:tr>
      <w:tr>
        <w:trPr>
          <w:trHeight w:val="167"/>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Other</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332,175</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2,044,000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18.55</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120" w:type="dxa"/>
            <w:vAlign w:val="bottom"/>
            <w:gridSpan w:val="2"/>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r>
      <w:tr>
        <w:trPr>
          <w:trHeight w:val="135"/>
        </w:trPr>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r>
      <w:tr>
        <w:trPr>
          <w:trHeight w:val="167"/>
        </w:trPr>
        <w:tc>
          <w:tcPr>
            <w:tcW w:w="40" w:type="dxa"/>
            <w:vAlign w:val="bottom"/>
            <w:shd w:val="clear" w:color="auto" w:fill="CCEEFF"/>
          </w:tcPr>
          <w:p>
            <w:pPr>
              <w:spacing w:after="0"/>
              <w:rPr>
                <w:sz w:val="14"/>
                <w:szCs w:val="14"/>
                <w:color w:val="auto"/>
              </w:rPr>
            </w:pPr>
          </w:p>
        </w:tc>
        <w:tc>
          <w:tcPr>
            <w:tcW w:w="1440" w:type="dxa"/>
            <w:vAlign w:val="bottom"/>
            <w:gridSpan w:val="5"/>
            <w:shd w:val="clear" w:color="auto" w:fill="CCEEFF"/>
          </w:tcPr>
          <w:p>
            <w:pPr>
              <w:spacing w:after="0"/>
              <w:rPr>
                <w:sz w:val="20"/>
                <w:szCs w:val="20"/>
                <w:color w:val="auto"/>
              </w:rPr>
            </w:pPr>
            <w:r>
              <w:rPr>
                <w:rFonts w:ascii="Arial" w:cs="Arial" w:eastAsia="Arial" w:hAnsi="Arial"/>
                <w:sz w:val="13"/>
                <w:szCs w:val="13"/>
                <w:b w:val="1"/>
                <w:bCs w:val="1"/>
                <w:color w:val="auto"/>
              </w:rPr>
              <w:t>Grand Total</w:t>
            </w: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7"/>
              </w:rPr>
              <w:t>$ 5,149,463</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3"/>
              </w:rPr>
              <w:t>$ 650,162</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9"/>
              </w:rPr>
              <w:t>19,544,000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96%</w:t>
            </w:r>
          </w:p>
        </w:tc>
        <w:tc>
          <w:tcPr>
            <w:tcW w:w="11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95% $ 24.54</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r>
      <w:tr>
        <w:trPr>
          <w:trHeight w:val="97"/>
        </w:trPr>
        <w:tc>
          <w:tcPr>
            <w:tcW w:w="4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44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2400" w:type="dxa"/>
            <w:vAlign w:val="bottom"/>
            <w:tcBorders>
              <w:bottom w:val="single" w:sz="8" w:color="auto"/>
            </w:tcBorders>
            <w:shd w:val="clear" w:color="auto" w:fill="CCEEFF"/>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1440" w:type="dxa"/>
            <w:vAlign w:val="bottom"/>
            <w:gridSpan w:val="5"/>
          </w:tcPr>
          <w:p>
            <w:pPr>
              <w:spacing w:after="0"/>
              <w:rPr>
                <w:sz w:val="20"/>
                <w:szCs w:val="20"/>
                <w:color w:val="auto"/>
              </w:rPr>
            </w:pPr>
            <w:r>
              <w:rPr>
                <w:rFonts w:ascii="Arial" w:cs="Arial" w:eastAsia="Arial" w:hAnsi="Arial"/>
                <w:sz w:val="13"/>
                <w:szCs w:val="13"/>
                <w:color w:val="auto"/>
              </w:rPr>
              <w:t>Notes:</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940" w:type="dxa"/>
            <w:vAlign w:val="bottom"/>
            <w:gridSpan w:val="12"/>
          </w:tcPr>
          <w:p>
            <w:pPr>
              <w:spacing w:after="0" w:line="20" w:lineRule="exact"/>
              <w:rPr>
                <w:sz w:val="1"/>
                <w:szCs w:val="1"/>
                <w:color w:val="auto"/>
              </w:rPr>
            </w:pPr>
          </w:p>
        </w:tc>
      </w:tr>
      <w:tr>
        <w:trPr>
          <w:trHeight w:val="19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940" w:type="dxa"/>
            <w:vAlign w:val="bottom"/>
            <w:gridSpan w:val="12"/>
          </w:tcPr>
          <w:p>
            <w:pPr>
              <w:ind w:left="20"/>
              <w:spacing w:after="0"/>
              <w:rPr>
                <w:sz w:val="20"/>
                <w:szCs w:val="20"/>
                <w:color w:val="auto"/>
              </w:rPr>
            </w:pPr>
            <w:r>
              <w:rPr>
                <w:rFonts w:ascii="Arial" w:cs="Arial" w:eastAsia="Arial" w:hAnsi="Arial"/>
                <w:sz w:val="13"/>
                <w:szCs w:val="13"/>
                <w:color w:val="auto"/>
                <w:w w:val="95"/>
              </w:rPr>
              <w:t>The mortgage or capital lease obligations differ from the total reported on the consolidated balance sheet due to the unamortized discount or premium on certain mortgage payables.</w:t>
            </w: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140" w:type="dxa"/>
            <w:vAlign w:val="bottom"/>
            <w:gridSpan w:val="9"/>
          </w:tcPr>
          <w:p>
            <w:pPr>
              <w:ind w:left="20"/>
              <w:spacing w:after="0"/>
              <w:rPr>
                <w:sz w:val="20"/>
                <w:szCs w:val="20"/>
                <w:color w:val="auto"/>
              </w:rPr>
            </w:pPr>
            <w:r>
              <w:rPr>
                <w:rFonts w:ascii="Arial" w:cs="Arial" w:eastAsia="Arial" w:hAnsi="Arial"/>
                <w:sz w:val="13"/>
                <w:szCs w:val="13"/>
                <w:color w:val="auto"/>
                <w:w w:val="87"/>
              </w:rPr>
              <w:t>Excludes newly created redevelopment square footage not yet in service, as well as residential and hotel square footage.</w:t>
            </w: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gridSpan w:val="7"/>
          </w:tcPr>
          <w:p>
            <w:pPr>
              <w:ind w:left="20"/>
              <w:spacing w:after="0"/>
              <w:rPr>
                <w:sz w:val="20"/>
                <w:szCs w:val="20"/>
                <w:color w:val="auto"/>
              </w:rPr>
            </w:pPr>
            <w:r>
              <w:rPr>
                <w:rFonts w:ascii="Arial" w:cs="Arial" w:eastAsia="Arial" w:hAnsi="Arial"/>
                <w:sz w:val="13"/>
                <w:szCs w:val="13"/>
                <w:color w:val="auto"/>
                <w:w w:val="88"/>
              </w:rPr>
              <w:t>For purposes of this schedule, "occupied" refers to spaces where the lease term has commenced.</w:t>
            </w: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940" w:type="dxa"/>
            <w:vAlign w:val="bottom"/>
            <w:gridSpan w:val="12"/>
          </w:tcPr>
          <w:p>
            <w:pPr>
              <w:ind w:left="20"/>
              <w:spacing w:after="0"/>
              <w:rPr>
                <w:sz w:val="20"/>
                <w:szCs w:val="20"/>
                <w:color w:val="auto"/>
              </w:rPr>
            </w:pPr>
            <w:r>
              <w:rPr>
                <w:rFonts w:ascii="Arial" w:cs="Arial" w:eastAsia="Arial" w:hAnsi="Arial"/>
                <w:sz w:val="13"/>
                <w:szCs w:val="13"/>
                <w:color w:val="auto"/>
              </w:rPr>
              <w:t>Calculated as the aggregate, annualized in-place contractual (cash basis) minimum rent for all occupied spaces divided by the aggregate GLA of all occupied spaces.</w:t>
            </w: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140" w:type="dxa"/>
            <w:vAlign w:val="bottom"/>
            <w:gridSpan w:val="4"/>
          </w:tcPr>
          <w:p>
            <w:pPr>
              <w:ind w:left="20"/>
              <w:spacing w:after="0"/>
              <w:rPr>
                <w:sz w:val="20"/>
                <w:szCs w:val="20"/>
                <w:color w:val="auto"/>
              </w:rPr>
            </w:pPr>
            <w:r>
              <w:rPr>
                <w:rFonts w:ascii="Arial" w:cs="Arial" w:eastAsia="Arial" w:hAnsi="Arial"/>
                <w:sz w:val="13"/>
                <w:szCs w:val="13"/>
                <w:color w:val="auto"/>
              </w:rPr>
              <w:t>Portion of property subject to capital lease obligation.</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140" w:type="dxa"/>
            <w:vAlign w:val="bottom"/>
            <w:gridSpan w:val="4"/>
          </w:tcPr>
          <w:p>
            <w:pPr>
              <w:ind w:left="20"/>
              <w:spacing w:after="0"/>
              <w:rPr>
                <w:sz w:val="20"/>
                <w:szCs w:val="20"/>
                <w:color w:val="auto"/>
              </w:rPr>
            </w:pPr>
            <w:r>
              <w:rPr>
                <w:rFonts w:ascii="Arial" w:cs="Arial" w:eastAsia="Arial" w:hAnsi="Arial"/>
                <w:sz w:val="13"/>
                <w:szCs w:val="13"/>
                <w:color w:val="auto"/>
                <w:w w:val="90"/>
              </w:rPr>
              <w:t>The Trust has a controlling financial interest in this property.</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20" w:type="dxa"/>
            <w:vAlign w:val="bottom"/>
            <w:gridSpan w:val="8"/>
          </w:tcPr>
          <w:p>
            <w:pPr>
              <w:ind w:left="20"/>
              <w:spacing w:after="0"/>
              <w:rPr>
                <w:sz w:val="20"/>
                <w:szCs w:val="20"/>
                <w:color w:val="auto"/>
              </w:rPr>
            </w:pPr>
            <w:r>
              <w:rPr>
                <w:rFonts w:ascii="Arial" w:cs="Arial" w:eastAsia="Arial" w:hAnsi="Arial"/>
                <w:sz w:val="13"/>
                <w:szCs w:val="13"/>
                <w:color w:val="auto"/>
                <w:w w:val="91"/>
              </w:rPr>
              <w:t>Portion of property is currently under development. See further discussion in Mixed Use Phase I schedule.</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940" w:type="dxa"/>
            <w:vAlign w:val="bottom"/>
            <w:gridSpan w:val="12"/>
          </w:tcPr>
          <w:p>
            <w:pPr>
              <w:ind w:left="20"/>
              <w:spacing w:after="0"/>
              <w:rPr>
                <w:sz w:val="20"/>
                <w:szCs w:val="20"/>
                <w:color w:val="auto"/>
              </w:rPr>
            </w:pPr>
            <w:r>
              <w:rPr>
                <w:rFonts w:ascii="Arial" w:cs="Arial" w:eastAsia="Arial" w:hAnsi="Arial"/>
                <w:sz w:val="13"/>
                <w:szCs w:val="13"/>
                <w:color w:val="auto"/>
                <w:w w:val="93"/>
              </w:rPr>
              <w:t>All or a portion of the property is owned in a "downreit" partnership, of which a wholly owned subsidiary of the Trust is the sole general partner, with third party partners holding operating</w:t>
            </w: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partnership units.</w:t>
            </w: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80" w:type="dxa"/>
            <w:vAlign w:val="bottom"/>
            <w:gridSpan w:val="6"/>
          </w:tcPr>
          <w:p>
            <w:pPr>
              <w:ind w:left="20"/>
              <w:spacing w:after="0"/>
              <w:rPr>
                <w:sz w:val="20"/>
                <w:szCs w:val="20"/>
                <w:color w:val="auto"/>
              </w:rPr>
            </w:pPr>
            <w:r>
              <w:rPr>
                <w:rFonts w:ascii="Arial" w:cs="Arial" w:eastAsia="Arial" w:hAnsi="Arial"/>
                <w:sz w:val="13"/>
                <w:szCs w:val="13"/>
                <w:color w:val="auto"/>
                <w:w w:val="89"/>
              </w:rPr>
              <w:t>Includes a 100% owned, 8.1 acre land parcel to be used for The Point redevelopment.</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tcPr>
          <w:p>
            <w:pPr>
              <w:spacing w:after="0"/>
              <w:rPr>
                <w:sz w:val="16"/>
                <w:szCs w:val="16"/>
                <w:color w:val="auto"/>
              </w:rPr>
            </w:pPr>
          </w:p>
        </w:tc>
      </w:tr>
    </w:tbl>
    <w:p>
      <w:pPr>
        <w:spacing w:after="0" w:line="29" w:lineRule="exact"/>
        <w:rPr>
          <w:sz w:val="20"/>
          <w:szCs w:val="20"/>
          <w:color w:val="auto"/>
        </w:rPr>
      </w:pPr>
    </w:p>
    <w:p>
      <w:pPr>
        <w:ind w:left="1500" w:hanging="1465"/>
        <w:spacing w:after="0"/>
        <w:tabs>
          <w:tab w:leader="none" w:pos="1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Property subject to capital lease obligation.</w:t>
      </w:r>
    </w:p>
    <w:p>
      <w:pPr>
        <w:spacing w:after="0" w:line="39" w:lineRule="exact"/>
        <w:rPr>
          <w:rFonts w:ascii="Arial" w:cs="Arial" w:eastAsia="Arial" w:hAnsi="Arial"/>
          <w:sz w:val="13"/>
          <w:szCs w:val="13"/>
          <w:color w:val="auto"/>
        </w:rPr>
      </w:pPr>
    </w:p>
    <w:p>
      <w:pPr>
        <w:ind w:left="1500" w:right="140" w:hanging="1465"/>
        <w:spacing w:after="0" w:line="237" w:lineRule="auto"/>
        <w:tabs>
          <w:tab w:leader="none" w:pos="1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ectPr>
          <w:pgSz w:w="11900" w:h="16838" w:orient="portrait"/>
          <w:cols w:equalWidth="0" w:num="1">
            <w:col w:w="11420"/>
          </w:cols>
          <w:pgMar w:left="240" w:top="74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2013</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2013</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395,906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27.24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$ 21.73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2,182,320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7,040,879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17.78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2013</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273,505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39.12</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$ 32.66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1,767,856</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5,355,091</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19.58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2013</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446,334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30.96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$ 25.42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2,476,132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8,518,843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19.09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2013</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254,282</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35.78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$ 31.89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989,501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7,291,311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28.67</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1,370,027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32.41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$ 27.00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7,415,809</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28,206,124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20.59</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120" w:type="dxa"/>
            <w:vAlign w:val="bottom"/>
            <w:gridSpan w:val="8"/>
            <w:shd w:val="clear" w:color="auto" w:fill="CCEEFF"/>
          </w:tcPr>
          <w:p>
            <w:pPr>
              <w:spacing w:after="0"/>
              <w:rPr>
                <w:sz w:val="20"/>
                <w:szCs w:val="20"/>
                <w:color w:val="auto"/>
              </w:rPr>
            </w:pPr>
            <w:r>
              <w:rPr>
                <w:rFonts w:ascii="Arial" w:cs="Arial" w:eastAsia="Arial" w:hAnsi="Arial"/>
                <w:sz w:val="14"/>
                <w:szCs w:val="14"/>
                <w:b w:val="1"/>
                <w:bCs w:val="1"/>
                <w:color w:val="auto"/>
              </w:rPr>
              <w:t>New Lease Summary - Comparable (2)</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tcBorders>
              <w:top w:val="single" w:sz="8" w:color="CCEEFF"/>
            </w:tcBorders>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2013</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109,673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$ 23.43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878,831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6,458,712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58.89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2013</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104,298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44.09</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$ 31.78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1,283,589</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4,636,228</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44.45</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2013</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233,544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31.30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$ 22.21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2,122,806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8,499,743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36.39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2013</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138,922</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29.47</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$ 23.69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803,391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7,278,811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52.39</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586,437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33.17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$ 24.49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5,088,617</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26,873,494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45.83</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120" w:type="dxa"/>
            <w:vAlign w:val="bottom"/>
            <w:gridSpan w:val="8"/>
            <w:shd w:val="clear" w:color="auto" w:fill="CCEEFF"/>
          </w:tcPr>
          <w:p>
            <w:pPr>
              <w:spacing w:after="0"/>
              <w:rPr>
                <w:sz w:val="20"/>
                <w:szCs w:val="20"/>
                <w:color w:val="auto"/>
              </w:rPr>
            </w:pPr>
            <w:r>
              <w:rPr>
                <w:rFonts w:ascii="Arial" w:cs="Arial" w:eastAsia="Arial" w:hAnsi="Arial"/>
                <w:sz w:val="14"/>
                <w:szCs w:val="14"/>
                <w:b w:val="1"/>
                <w:bCs w:val="1"/>
                <w:color w:val="auto"/>
              </w:rPr>
              <w:t>Renewal Lease Summary - Comparable (2) (8)</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tcBorders>
              <w:top w:val="single" w:sz="8" w:color="CCEEFF"/>
            </w:tcBorders>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2013</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286,233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25.63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$ 21.08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1,303,489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582,167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2.03</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2013</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169,207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36.06</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$ 33.19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484,267</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718,863</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4.25</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2013</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212,790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30.60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$ 28.94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353,326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19,100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0.09</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2013</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115,360</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43.39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$ 41.77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186,110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12,500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0.11</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783,590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31.85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$ 28.88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2,327,192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1,332,630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1.70</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060" w:type="dxa"/>
            <w:vAlign w:val="bottom"/>
            <w:gridSpan w:val="11"/>
            <w:shd w:val="clear" w:color="auto" w:fill="CCEEFF"/>
          </w:tcPr>
          <w:p>
            <w:pPr>
              <w:spacing w:after="0"/>
              <w:rPr>
                <w:sz w:val="20"/>
                <w:szCs w:val="20"/>
                <w:color w:val="auto"/>
              </w:rPr>
            </w:pPr>
            <w:r>
              <w:rPr>
                <w:rFonts w:ascii="Arial" w:cs="Arial" w:eastAsia="Arial" w:hAnsi="Arial"/>
                <w:sz w:val="14"/>
                <w:szCs w:val="14"/>
                <w:b w:val="1"/>
                <w:bCs w:val="1"/>
                <w:color w:val="auto"/>
                <w:w w:val="95"/>
              </w:rPr>
              <w:t>Total Lease Summary - Comparable and Non-comparable (2) (9)</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560" w:type="dxa"/>
            <w:vAlign w:val="bottom"/>
            <w:gridSpan w:val="5"/>
          </w:tcPr>
          <w:p>
            <w:pPr>
              <w:ind w:left="38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2013</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484,144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27.84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7,723,079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15.95</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2013</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398,637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34.20</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6,813,820</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17.09</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2013</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480,107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32.26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8,973,443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18.69</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2013</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266,451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36.67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7,358,311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27.62</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3"/>
              </w:rPr>
              <w:t>1,629,339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32.14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30,868,653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18.95</w:t>
            </w:r>
          </w:p>
        </w:tc>
        <w:tc>
          <w:tcPr>
            <w:tcW w:w="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vMerge w:val="restart"/>
          </w:tcPr>
          <w:p>
            <w:pPr>
              <w:spacing w:after="0"/>
              <w:rPr>
                <w:sz w:val="20"/>
                <w:szCs w:val="20"/>
                <w:color w:val="auto"/>
              </w:rPr>
            </w:pPr>
            <w:r>
              <w:rPr>
                <w:rFonts w:ascii="Arial" w:cs="Arial" w:eastAsia="Arial" w:hAnsi="Arial"/>
                <w:sz w:val="14"/>
                <w:szCs w:val="14"/>
                <w:color w:val="auto"/>
                <w:w w:val="88"/>
              </w:rPr>
              <w:t>Notes:</w:t>
            </w:r>
          </w:p>
        </w:tc>
        <w:tc>
          <w:tcPr>
            <w:tcW w:w="108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0" w:type="dxa"/>
            <w:vAlign w:val="bottom"/>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1080" w:type="dxa"/>
            <w:vAlign w:val="bottom"/>
          </w:tcPr>
          <w:p>
            <w:pPr>
              <w:spacing w:after="0"/>
              <w:rPr>
                <w:sz w:val="18"/>
                <w:szCs w:val="18"/>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8"/>
              </w:rPr>
              <w:t>Leases on this report represent retail activity only; office and residential leases are not included.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(2)</w:t>
            </w:r>
          </w:p>
        </w:tc>
        <w:tc>
          <w:tcPr>
            <w:tcW w:w="1080" w:type="dxa"/>
            <w:vAlign w:val="bottom"/>
          </w:tcPr>
          <w:p>
            <w:pPr>
              <w:spacing w:after="0"/>
              <w:rPr>
                <w:sz w:val="17"/>
                <w:szCs w:val="17"/>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6"/>
              </w:rPr>
              <w:t>Comparable leases represent those leases signed on spaces for which there was a former tenant.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(3)</w:t>
            </w:r>
          </w:p>
        </w:tc>
        <w:tc>
          <w:tcPr>
            <w:tcW w:w="1080" w:type="dxa"/>
            <w:vAlign w:val="bottom"/>
          </w:tcPr>
          <w:p>
            <w:pPr>
              <w:spacing w:after="0"/>
              <w:rPr>
                <w:sz w:val="17"/>
                <w:szCs w:val="17"/>
                <w:color w:val="auto"/>
              </w:rPr>
            </w:pPr>
          </w:p>
        </w:tc>
        <w:tc>
          <w:tcPr>
            <w:tcW w:w="6780" w:type="dxa"/>
            <w:vAlign w:val="bottom"/>
            <w:gridSpan w:val="23"/>
          </w:tcPr>
          <w:p>
            <w:pPr>
              <w:ind w:left="20"/>
              <w:spacing w:after="0"/>
              <w:rPr>
                <w:sz w:val="20"/>
                <w:szCs w:val="20"/>
                <w:color w:val="auto"/>
              </w:rPr>
            </w:pPr>
            <w:r>
              <w:rPr>
                <w:rFonts w:ascii="Arial" w:cs="Arial" w:eastAsia="Arial" w:hAnsi="Arial"/>
                <w:sz w:val="14"/>
                <w:szCs w:val="14"/>
                <w:color w:val="auto"/>
                <w:w w:val="99"/>
              </w:rPr>
              <w:t>Contractual rent represents contractual minimum rent under the new lease for the first 12 months of the term.</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(4)</w:t>
            </w:r>
          </w:p>
        </w:tc>
        <w:tc>
          <w:tcPr>
            <w:tcW w:w="1080" w:type="dxa"/>
            <w:vAlign w:val="bottom"/>
          </w:tcPr>
          <w:p>
            <w:pPr>
              <w:spacing w:after="0"/>
              <w:rPr>
                <w:sz w:val="17"/>
                <w:szCs w:val="17"/>
                <w:color w:val="auto"/>
              </w:rPr>
            </w:pPr>
          </w:p>
        </w:tc>
        <w:tc>
          <w:tcPr>
            <w:tcW w:w="7580" w:type="dxa"/>
            <w:vAlign w:val="bottom"/>
            <w:gridSpan w:val="25"/>
          </w:tcPr>
          <w:p>
            <w:pPr>
              <w:ind w:left="20"/>
              <w:spacing w:after="0"/>
              <w:rPr>
                <w:sz w:val="20"/>
                <w:szCs w:val="20"/>
                <w:color w:val="auto"/>
              </w:rPr>
            </w:pPr>
            <w:r>
              <w:rPr>
                <w:rFonts w:ascii="Arial" w:cs="Arial" w:eastAsia="Arial" w:hAnsi="Arial"/>
                <w:sz w:val="14"/>
                <w:szCs w:val="14"/>
                <w:color w:val="auto"/>
              </w:rPr>
              <w:t>Prior rent represents minimum rent and percentage rent, if any, paid by the prior tenant in the final 12 months of the term.</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(5)</w:t>
            </w:r>
          </w:p>
        </w:tc>
        <w:tc>
          <w:tcPr>
            <w:tcW w:w="1080" w:type="dxa"/>
            <w:vAlign w:val="bottom"/>
          </w:tcPr>
          <w:p>
            <w:pPr>
              <w:spacing w:after="0"/>
              <w:rPr>
                <w:sz w:val="17"/>
                <w:szCs w:val="17"/>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5"/>
              </w:rPr>
              <w:t>Weighted average is determined on the basis of contractual rent for the first 12 months of the term.</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(6)</w:t>
            </w:r>
          </w:p>
        </w:tc>
        <w:tc>
          <w:tcPr>
            <w:tcW w:w="1080" w:type="dxa"/>
            <w:vAlign w:val="bottom"/>
          </w:tcPr>
          <w:p>
            <w:pPr>
              <w:spacing w:after="0"/>
              <w:rPr>
                <w:sz w:val="17"/>
                <w:szCs w:val="17"/>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color w:val="auto"/>
              </w:rPr>
              <w:t>See Glossary of Terms.</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(7)</w:t>
            </w:r>
          </w:p>
        </w:tc>
        <w:tc>
          <w:tcPr>
            <w:tcW w:w="1080" w:type="dxa"/>
            <w:vAlign w:val="bottom"/>
          </w:tcPr>
          <w:p>
            <w:pPr>
              <w:spacing w:after="0"/>
              <w:rPr>
                <w:sz w:val="14"/>
                <w:szCs w:val="14"/>
                <w:color w:val="auto"/>
              </w:rPr>
            </w:pPr>
          </w:p>
        </w:tc>
        <w:tc>
          <w:tcPr>
            <w:tcW w:w="9920" w:type="dxa"/>
            <w:vAlign w:val="bottom"/>
            <w:gridSpan w:val="31"/>
          </w:tcPr>
          <w:p>
            <w:pPr>
              <w:ind w:left="20"/>
              <w:spacing w:after="0"/>
              <w:rPr>
                <w:sz w:val="20"/>
                <w:szCs w:val="20"/>
                <w:color w:val="auto"/>
              </w:rPr>
            </w:pPr>
            <w:r>
              <w:rPr>
                <w:rFonts w:ascii="Arial" w:cs="Arial" w:eastAsia="Arial" w:hAnsi="Arial"/>
                <w:sz w:val="14"/>
                <w:szCs w:val="14"/>
                <w:color w:val="auto"/>
                <w:w w:val="95"/>
              </w:rPr>
              <w:t>Approximately $1.5 million ($3.09 per square foot) in 4th Quarter 2013, $2.5 million ($6.23 per square foot) in 3rd Quarter 2013 and $4.1 million ($6.75 per square foot)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580" w:type="dxa"/>
            <w:vAlign w:val="bottom"/>
            <w:gridSpan w:val="30"/>
          </w:tcPr>
          <w:p>
            <w:pPr>
              <w:ind w:left="20"/>
              <w:spacing w:after="0" w:line="149" w:lineRule="exact"/>
              <w:rPr>
                <w:sz w:val="20"/>
                <w:szCs w:val="20"/>
                <w:color w:val="auto"/>
              </w:rPr>
            </w:pPr>
            <w:r>
              <w:rPr>
                <w:rFonts w:ascii="Arial" w:cs="Arial" w:eastAsia="Arial" w:hAnsi="Arial"/>
                <w:sz w:val="14"/>
                <w:szCs w:val="14"/>
                <w:color w:val="auto"/>
                <w:w w:val="95"/>
              </w:rPr>
              <w:t>in 2nd Quarter 2013 of the Tenant Improvements &amp; Incentives are for properties under active redevelopment (e.g. Westgate Center, Willow Lawn, Barracks Road,</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700" w:type="dxa"/>
            <w:vAlign w:val="bottom"/>
            <w:gridSpan w:val="28"/>
          </w:tcPr>
          <w:p>
            <w:pPr>
              <w:ind w:left="20"/>
              <w:spacing w:after="0"/>
              <w:rPr>
                <w:sz w:val="20"/>
                <w:szCs w:val="20"/>
                <w:color w:val="auto"/>
              </w:rPr>
            </w:pPr>
            <w:r>
              <w:rPr>
                <w:rFonts w:ascii="Arial" w:cs="Arial" w:eastAsia="Arial" w:hAnsi="Arial"/>
                <w:sz w:val="14"/>
                <w:szCs w:val="14"/>
                <w:color w:val="auto"/>
                <w:w w:val="94"/>
              </w:rPr>
              <w:t>Hollywood Boulevard) and are included in the Projected Cost for those projects on the Summary of Development and Redevelopment Opportunities.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(8)</w:t>
            </w:r>
          </w:p>
        </w:tc>
        <w:tc>
          <w:tcPr>
            <w:tcW w:w="1080" w:type="dxa"/>
            <w:vAlign w:val="bottom"/>
          </w:tcPr>
          <w:p>
            <w:pPr>
              <w:spacing w:after="0"/>
              <w:rPr>
                <w:sz w:val="17"/>
                <w:szCs w:val="17"/>
                <w:color w:val="auto"/>
              </w:rPr>
            </w:pPr>
          </w:p>
        </w:tc>
        <w:tc>
          <w:tcPr>
            <w:tcW w:w="8700" w:type="dxa"/>
            <w:vAlign w:val="bottom"/>
            <w:gridSpan w:val="28"/>
          </w:tcPr>
          <w:p>
            <w:pPr>
              <w:ind w:left="20"/>
              <w:spacing w:after="0"/>
              <w:rPr>
                <w:sz w:val="20"/>
                <w:szCs w:val="20"/>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(9)</w:t>
            </w:r>
          </w:p>
        </w:tc>
        <w:tc>
          <w:tcPr>
            <w:tcW w:w="1080" w:type="dxa"/>
            <w:vAlign w:val="bottom"/>
          </w:tcPr>
          <w:p>
            <w:pPr>
              <w:spacing w:after="0"/>
              <w:rPr>
                <w:sz w:val="14"/>
                <w:szCs w:val="14"/>
                <w:color w:val="auto"/>
              </w:rPr>
            </w:pPr>
          </w:p>
        </w:tc>
        <w:tc>
          <w:tcPr>
            <w:tcW w:w="9920" w:type="dxa"/>
            <w:vAlign w:val="bottom"/>
            <w:gridSpan w:val="31"/>
          </w:tcPr>
          <w:p>
            <w:pPr>
              <w:ind w:left="20"/>
              <w:spacing w:after="0"/>
              <w:rPr>
                <w:sz w:val="20"/>
                <w:szCs w:val="20"/>
                <w:color w:val="auto"/>
              </w:rPr>
            </w:pPr>
            <w:r>
              <w:rPr>
                <w:rFonts w:ascii="Arial" w:cs="Arial" w:eastAsia="Arial" w:hAnsi="Arial"/>
                <w:sz w:val="14"/>
                <w:szCs w:val="14"/>
                <w:color w:val="auto"/>
                <w:w w:val="92"/>
              </w:rPr>
              <w:t>The Number of Leases Signed, GLA Signed, Contractual Rent Per Sq Ft and Weighted Average Lease Term columns include information for leases signed at our Assembly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920" w:type="dxa"/>
            <w:vAlign w:val="bottom"/>
            <w:gridSpan w:val="31"/>
          </w:tcPr>
          <w:p>
            <w:pPr>
              <w:ind w:left="20"/>
              <w:spacing w:after="0" w:line="149" w:lineRule="exact"/>
              <w:rPr>
                <w:sz w:val="20"/>
                <w:szCs w:val="20"/>
                <w:color w:val="auto"/>
              </w:rPr>
            </w:pPr>
            <w:r>
              <w:rPr>
                <w:rFonts w:ascii="Arial" w:cs="Arial" w:eastAsia="Arial" w:hAnsi="Arial"/>
                <w:sz w:val="14"/>
                <w:szCs w:val="14"/>
                <w:color w:val="auto"/>
                <w:w w:val="95"/>
              </w:rPr>
              <w:t>Row and Pike &amp; Rose projects. The Tenant Improvements&amp; Incentives and Tenant Improvements &amp; Incentives Per Sq Ft columns do not include information on leases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920" w:type="dxa"/>
            <w:vAlign w:val="bottom"/>
            <w:gridSpan w:val="31"/>
          </w:tcPr>
          <w:p>
            <w:pPr>
              <w:ind w:left="20"/>
              <w:spacing w:after="0" w:line="149" w:lineRule="exact"/>
              <w:rPr>
                <w:sz w:val="20"/>
                <w:szCs w:val="20"/>
                <w:color w:val="auto"/>
              </w:rPr>
            </w:pPr>
            <w:r>
              <w:rPr>
                <w:rFonts w:ascii="Arial" w:cs="Arial" w:eastAsia="Arial" w:hAnsi="Arial"/>
                <w:sz w:val="14"/>
                <w:szCs w:val="14"/>
                <w:color w:val="auto"/>
                <w:w w:val="94"/>
              </w:rPr>
              <w:t>signed for those projects; these amounts for leases signed for Assembly Row and Pike &amp; Rose are included in the Projected Cost column for those projects shown on the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0" w:type="dxa"/>
            <w:vAlign w:val="bottom"/>
            <w:gridSpan w:val="9"/>
          </w:tcPr>
          <w:p>
            <w:pPr>
              <w:ind w:left="20"/>
              <w:spacing w:after="0"/>
              <w:rPr>
                <w:sz w:val="20"/>
                <w:szCs w:val="20"/>
                <w:color w:val="auto"/>
              </w:rPr>
            </w:pPr>
            <w:r>
              <w:rPr>
                <w:rFonts w:ascii="Arial" w:cs="Arial" w:eastAsia="Arial" w:hAnsi="Arial"/>
                <w:sz w:val="14"/>
                <w:szCs w:val="14"/>
                <w:color w:val="auto"/>
              </w:rPr>
              <w:t>Mixed Use Projects Phase I schedule.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60" w:right="23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828,000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816,000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14.81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979,000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33.10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1,796,000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1,451,000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16.97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1,099,000</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35.58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2,550,000</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1,660,000</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16.76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536,000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34.92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2,196,000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673,000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20.61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431,000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37.39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1,104,000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490,000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23.37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425,000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36.74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914,000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16.75</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43.58</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21.31</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11,004,000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17.03</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7,540,000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35.50</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18,544,000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613,000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773,000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58,000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51.07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565,000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33.98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623,000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35.57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215,000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22.71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617,000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37.75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832,000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33.87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439,000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17.76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392,000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37.43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831,000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27.04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215,000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15.43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589,000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34.67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804,000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348,000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16.79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373,000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38.29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721,000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8,890,000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35.58</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11,370,000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11,004,000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17.03</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7,540,000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35.50</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18,544,000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December 31, 2013.</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occupied square footage as of December 31, 2013.</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6" w:name="page27"/>
    <w:bookmarkEnd w:id="26"/>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December 31, 2013</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(4)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2013</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2012</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19,544,000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18,714,000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19,554,000</w:t>
            </w: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18,640,000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95.3%</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1,169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1,108</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1,058</w:t>
            </w: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1,007</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95.2%</w:t>
            </w:r>
          </w:p>
        </w:tc>
      </w:tr>
      <w:tr>
        <w:trPr>
          <w:trHeight w:val="864"/>
        </w:trPr>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2013</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2012</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2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17,074,000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16,378,000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95.9%</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17,050,000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16,239,000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w:t>
            </w:r>
          </w:p>
        </w:tc>
      </w:tr>
      <w:tr>
        <w:trPr>
          <w:trHeight w:val="270"/>
        </w:trPr>
        <w:tc>
          <w:tcPr>
            <w:tcW w:w="34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2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1,058</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997</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94.2%</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1,058</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1,007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r>
      <w:tr>
        <w:trPr>
          <w:trHeight w:val="33"/>
        </w:trPr>
        <w:tc>
          <w:tcPr>
            <w:tcW w:w="34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December 31, 2013 leased percentage was 99.1% for anchor tenants and 91.3% for small shop tenants.</w:t>
      </w:r>
    </w:p>
    <w:p>
      <w:pPr>
        <w:spacing w:after="0" w:line="72" w:lineRule="exact"/>
        <w:rPr>
          <w:rFonts w:ascii="Arial" w:cs="Arial" w:eastAsia="Arial" w:hAnsi="Arial"/>
          <w:sz w:val="16"/>
          <w:szCs w:val="16"/>
          <w:color w:val="auto"/>
        </w:rPr>
      </w:pPr>
    </w:p>
    <w:p>
      <w:pPr>
        <w:ind w:left="700" w:right="100" w:hanging="665"/>
        <w:spacing w:after="0" w:line="293"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Occupied percentage was 95.1% and 94.9% at December 31, 2013 and 2012, respectively and same center occupied percentage was 95.4% and 94.9% at December 31, 2013 and 2012, respectively.</w:t>
      </w:r>
    </w:p>
    <w:p>
      <w:pPr>
        <w:spacing w:after="0" w:line="9" w:lineRule="exact"/>
        <w:rPr>
          <w:rFonts w:ascii="Arial" w:cs="Arial" w:eastAsia="Arial" w:hAnsi="Arial"/>
          <w:sz w:val="16"/>
          <w:szCs w:val="16"/>
          <w:color w:val="auto"/>
        </w:rPr>
      </w:pPr>
    </w:p>
    <w:p>
      <w:pPr>
        <w:ind w:left="700" w:hanging="665"/>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15,925,000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12,393,000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2.72%</w:t>
            </w:r>
          </w:p>
        </w:tc>
        <w:tc>
          <w:tcPr>
            <w:tcW w:w="980" w:type="dxa"/>
            <w:vAlign w:val="bottom"/>
          </w:tcPr>
          <w:p>
            <w:pPr>
              <w:jc w:val="right"/>
              <w:spacing w:after="0"/>
              <w:rPr>
                <w:sz w:val="20"/>
                <w:szCs w:val="20"/>
                <w:color w:val="auto"/>
              </w:rPr>
            </w:pPr>
            <w:r>
              <w:rPr>
                <w:rFonts w:ascii="Arial" w:cs="Arial" w:eastAsia="Arial" w:hAnsi="Arial"/>
                <w:sz w:val="16"/>
                <w:szCs w:val="16"/>
                <w:color w:val="auto"/>
              </w:rPr>
              <w:t>728,000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8,276,000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1.82%</w:t>
            </w:r>
          </w:p>
        </w:tc>
        <w:tc>
          <w:tcPr>
            <w:tcW w:w="980" w:type="dxa"/>
            <w:vAlign w:val="bottom"/>
          </w:tcPr>
          <w:p>
            <w:pPr>
              <w:jc w:val="right"/>
              <w:spacing w:after="0"/>
              <w:rPr>
                <w:sz w:val="20"/>
                <w:szCs w:val="20"/>
                <w:color w:val="auto"/>
              </w:rPr>
            </w:pPr>
            <w:r>
              <w:rPr>
                <w:rFonts w:ascii="Arial" w:cs="Arial" w:eastAsia="Arial" w:hAnsi="Arial"/>
                <w:sz w:val="16"/>
                <w:szCs w:val="16"/>
                <w:color w:val="auto"/>
              </w:rPr>
              <w:t>417,000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6,708,000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1.47%</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5,806,000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1.28%</w:t>
            </w:r>
          </w:p>
        </w:tc>
        <w:tc>
          <w:tcPr>
            <w:tcW w:w="980" w:type="dxa"/>
            <w:vAlign w:val="bottom"/>
          </w:tcPr>
          <w:p>
            <w:pPr>
              <w:jc w:val="right"/>
              <w:spacing w:after="0"/>
              <w:rPr>
                <w:sz w:val="20"/>
                <w:szCs w:val="20"/>
                <w:color w:val="auto"/>
              </w:rPr>
            </w:pPr>
            <w:r>
              <w:rPr>
                <w:rFonts w:ascii="Arial" w:cs="Arial" w:eastAsia="Arial" w:hAnsi="Arial"/>
                <w:sz w:val="16"/>
                <w:szCs w:val="16"/>
                <w:color w:val="auto"/>
              </w:rPr>
              <w:t>212,000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5,075,000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1.12%</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4,424,000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0.97%</w:t>
            </w:r>
          </w:p>
        </w:tc>
        <w:tc>
          <w:tcPr>
            <w:tcW w:w="980" w:type="dxa"/>
            <w:vAlign w:val="bottom"/>
          </w:tcPr>
          <w:p>
            <w:pPr>
              <w:jc w:val="right"/>
              <w:spacing w:after="0"/>
              <w:rPr>
                <w:sz w:val="20"/>
                <w:szCs w:val="20"/>
                <w:color w:val="auto"/>
              </w:rPr>
            </w:pPr>
            <w:r>
              <w:rPr>
                <w:rFonts w:ascii="Arial" w:cs="Arial" w:eastAsia="Arial" w:hAnsi="Arial"/>
                <w:sz w:val="16"/>
                <w:szCs w:val="16"/>
                <w:color w:val="auto"/>
              </w:rPr>
              <w:t>167,000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Dick's Sporting Goods,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3,679,000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0.81%</w:t>
            </w:r>
          </w:p>
        </w:tc>
        <w:tc>
          <w:tcPr>
            <w:tcW w:w="980" w:type="dxa"/>
            <w:vAlign w:val="bottom"/>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Riverbed Technology,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3,579,000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0.79%</w:t>
            </w:r>
          </w:p>
        </w:tc>
        <w:tc>
          <w:tcPr>
            <w:tcW w:w="980" w:type="dxa"/>
            <w:vAlign w:val="bottom"/>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Dress Barn,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3,185,000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Pr>
          <w:p>
            <w:pPr>
              <w:jc w:val="right"/>
              <w:spacing w:after="0"/>
              <w:rPr>
                <w:sz w:val="20"/>
                <w:szCs w:val="20"/>
                <w:color w:val="auto"/>
              </w:rPr>
            </w:pPr>
            <w:r>
              <w:rPr>
                <w:rFonts w:ascii="Arial" w:cs="Arial" w:eastAsia="Arial" w:hAnsi="Arial"/>
                <w:sz w:val="16"/>
                <w:szCs w:val="16"/>
                <w:color w:val="auto"/>
              </w:rPr>
              <w:t>133,000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3,150,000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Kohl's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A.C. Moore,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3,107,000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Sports Authority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Container Store,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3,071,000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Wakefern Food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136,089,000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29.90%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6,664,000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34.07%</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455,094,000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19,544,000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482"/>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97" w:lineRule="exact"/>
        <w:rPr>
          <w:rFonts w:ascii="Arial" w:cs="Arial" w:eastAsia="Arial" w:hAnsi="Arial"/>
          <w:sz w:val="15"/>
          <w:szCs w:val="15"/>
          <w:color w:val="auto"/>
        </w:rPr>
      </w:pPr>
    </w:p>
    <w:p>
      <w:pPr>
        <w:ind w:left="720" w:right="540" w:hanging="482"/>
        <w:spacing w:after="0" w:line="293"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December 31, 2013.</w:t>
      </w:r>
    </w:p>
    <w:p>
      <w:pPr>
        <w:spacing w:after="0" w:line="23" w:lineRule="exact"/>
        <w:rPr>
          <w:rFonts w:ascii="Arial" w:cs="Arial" w:eastAsia="Arial" w:hAnsi="Arial"/>
          <w:sz w:val="16"/>
          <w:szCs w:val="16"/>
          <w:color w:val="auto"/>
        </w:rPr>
      </w:pPr>
    </w:p>
    <w:p>
      <w:pPr>
        <w:ind w:left="720" w:hanging="48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2014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4"/>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4"/>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332</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r>
      <w:tr>
        <w:trPr>
          <w:trHeight w:val="284"/>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4.86</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 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4,972</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19,030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18,984</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4,994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19,209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19,051</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3,007</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2,227</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5,508</w:t>
            </w: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11,505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10,742</w:t>
            </w:r>
          </w:p>
        </w:tc>
      </w:tr>
      <w:tr>
        <w:trPr>
          <w:trHeight w:val="237"/>
        </w:trPr>
        <w:tc>
          <w:tcPr>
            <w:tcW w:w="40" w:type="dxa"/>
            <w:vAlign w:val="bottom"/>
          </w:tcPr>
          <w:p>
            <w:pPr>
              <w:spacing w:after="0"/>
              <w:rPr>
                <w:sz w:val="20"/>
                <w:szCs w:val="20"/>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7,704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8,309</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r>
      <w:tr>
        <w:trPr>
          <w:trHeight w:val="25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4,341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4,933</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21"/>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210,703</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209,056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170,867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174,509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5,668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178,745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182,780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56,922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117,723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120,854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178,745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182,780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27</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right"/>
              <w:ind w:right="15"/>
              <w:spacing w:after="0"/>
              <w:rPr>
                <w:sz w:val="20"/>
                <w:szCs w:val="20"/>
                <w:color w:val="auto"/>
              </w:rPr>
            </w:pPr>
            <w:r>
              <w:rPr>
                <w:rFonts w:ascii="Arial" w:cs="Arial" w:eastAsia="Arial" w:hAnsi="Arial"/>
                <w:sz w:val="14"/>
                <w:szCs w:val="14"/>
                <w:b w:val="1"/>
                <w:bCs w:val="1"/>
                <w:color w:val="auto"/>
              </w:rPr>
              <w:t>Stated Interest Rate as of</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December 31, 2013</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Plaza del Mercado</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7/5/2014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12,037</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Atlantic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89"/>
              </w:rPr>
              <w:t>12/1/2014</w:t>
            </w:r>
          </w:p>
        </w:tc>
        <w:tc>
          <w:tcPr>
            <w:tcW w:w="2020" w:type="dxa"/>
            <w:vAlign w:val="bottom"/>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10,500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Pr>
          <w:p>
            <w:pPr>
              <w:jc w:val="right"/>
              <w:spacing w:after="0"/>
              <w:rPr>
                <w:sz w:val="20"/>
                <w:szCs w:val="20"/>
                <w:color w:val="auto"/>
              </w:rPr>
            </w:pPr>
            <w:r>
              <w:rPr>
                <w:rFonts w:ascii="Arial" w:cs="Arial" w:eastAsia="Arial" w:hAnsi="Arial"/>
                <w:sz w:val="18"/>
                <w:szCs w:val="18"/>
                <w:color w:val="auto"/>
              </w:rPr>
              <w:t>5.90%</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Total Fixed Rate Debt</w:t>
            </w: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56,922</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Scheduled Amortization</w:t>
            </w:r>
          </w:p>
        </w:tc>
        <w:tc>
          <w:tcPr>
            <w:tcW w:w="340" w:type="dxa"/>
            <w:vAlign w:val="bottom"/>
          </w:tcPr>
          <w:p>
            <w:pPr>
              <w:spacing w:after="0"/>
              <w:rPr>
                <w:sz w:val="14"/>
                <w:szCs w:val="14"/>
                <w:color w:val="auto"/>
              </w:rPr>
            </w:pPr>
          </w:p>
        </w:tc>
        <w:tc>
          <w:tcPr>
            <w:tcW w:w="13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2014</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22,537</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3"/>
        </w:trPr>
        <w:tc>
          <w:tcPr>
            <w:tcW w:w="1660" w:type="dxa"/>
            <w:vAlign w:val="bottom"/>
          </w:tcPr>
          <w:p>
            <w:pPr>
              <w:jc w:val="right"/>
              <w:ind w:right="14"/>
              <w:spacing w:after="0"/>
              <w:rPr>
                <w:sz w:val="20"/>
                <w:szCs w:val="20"/>
                <w:color w:val="auto"/>
              </w:rPr>
            </w:pPr>
            <w:r>
              <w:rPr>
                <w:rFonts w:ascii="Arial" w:cs="Arial" w:eastAsia="Arial" w:hAnsi="Arial"/>
                <w:sz w:val="18"/>
                <w:szCs w:val="18"/>
                <w:color w:val="auto"/>
              </w:rPr>
              <w:t>2015</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2016</w:t>
            </w:r>
          </w:p>
        </w:tc>
        <w:tc>
          <w:tcPr>
            <w:tcW w:w="7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1660" w:type="dxa"/>
            <w:vAlign w:val="bottom"/>
          </w:tcPr>
          <w:p>
            <w:pPr>
              <w:jc w:val="right"/>
              <w:ind w:right="14"/>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56,780</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56,922</w:t>
            </w:r>
          </w:p>
        </w:tc>
        <w:tc>
          <w:tcPr>
            <w:tcW w:w="66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660" w:right="40" w:hanging="652"/>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1" w:name="page32"/>
    <w:bookmarkEnd w:id="31"/>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2013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0"/>
              </w:rPr>
              <w:t>and/or</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7"/>
              </w:rPr>
              <w:t>Real</w:t>
            </w:r>
          </w:p>
        </w:tc>
        <w:tc>
          <w:tcPr>
            <w:tcW w:w="120" w:type="dxa"/>
            <w:vAlign w:val="bottom"/>
          </w:tcPr>
          <w:p>
            <w:pPr>
              <w:spacing w:after="0"/>
              <w:rPr>
                <w:sz w:val="11"/>
                <w:szCs w:val="11"/>
                <w:color w:val="auto"/>
              </w:rPr>
            </w:pPr>
          </w:p>
        </w:tc>
        <w:tc>
          <w:tcPr>
            <w:tcW w:w="5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2"/>
              </w:rPr>
              <w:t>Capital</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Avg</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ind w:left="320"/>
              <w:spacing w:after="0" w:line="135"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1"/>
                <w:szCs w:val="11"/>
                <w:color w:val="auto"/>
              </w:rPr>
            </w:pPr>
          </w:p>
        </w:tc>
        <w:tc>
          <w:tcPr>
            <w:tcW w:w="5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Estate at</w:t>
            </w:r>
          </w:p>
        </w:tc>
        <w:tc>
          <w:tcPr>
            <w:tcW w:w="120" w:type="dxa"/>
            <w:vAlign w:val="bottom"/>
          </w:tcPr>
          <w:p>
            <w:pPr>
              <w:spacing w:after="0"/>
              <w:rPr>
                <w:sz w:val="11"/>
                <w:szCs w:val="11"/>
                <w:color w:val="auto"/>
              </w:rPr>
            </w:pPr>
          </w:p>
        </w:tc>
        <w:tc>
          <w:tcPr>
            <w:tcW w:w="5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Lease</w:t>
            </w:r>
          </w:p>
        </w:tc>
        <w:tc>
          <w:tcPr>
            <w:tcW w:w="52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Occupied</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60" w:type="dxa"/>
            <w:vAlign w:val="bottom"/>
          </w:tcPr>
          <w:p>
            <w:pPr>
              <w:spacing w:after="0"/>
              <w:rPr>
                <w:sz w:val="11"/>
                <w:szCs w:val="1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Property Name</w:t>
            </w:r>
          </w:p>
        </w:tc>
        <w:tc>
          <w:tcPr>
            <w:tcW w:w="198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MSA Description</w:t>
            </w: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99"/>
              </w:rPr>
              <w:t>Acquired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Cost</w:t>
            </w: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3"/>
              </w:rPr>
              <w:t>Obligation</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(1)</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(2)</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color w:val="auto"/>
              </w:rPr>
              <w:t>(in</w:t>
            </w:r>
          </w:p>
        </w:tc>
        <w:tc>
          <w:tcPr>
            <w:tcW w:w="680" w:type="dxa"/>
            <w:vAlign w:val="bottom"/>
            <w:gridSpan w:val="2"/>
          </w:tcPr>
          <w:p>
            <w:pPr>
              <w:ind w:left="60"/>
              <w:spacing w:after="0"/>
              <w:rPr>
                <w:sz w:val="20"/>
                <w:szCs w:val="20"/>
                <w:color w:val="auto"/>
              </w:rPr>
            </w:pPr>
            <w:r>
              <w:rPr>
                <w:rFonts w:ascii="Arial" w:cs="Arial" w:eastAsia="Arial" w:hAnsi="Arial"/>
                <w:sz w:val="11"/>
                <w:szCs w:val="11"/>
                <w:color w:val="auto"/>
              </w:rPr>
              <w:t>(in</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color w:val="auto"/>
              </w:rPr>
              <w:t>thousands)</w:t>
            </w:r>
          </w:p>
        </w:tc>
        <w:tc>
          <w:tcPr>
            <w:tcW w:w="680" w:type="dxa"/>
            <w:vAlign w:val="bottom"/>
            <w:gridSpan w:val="2"/>
          </w:tcPr>
          <w:p>
            <w:pPr>
              <w:ind w:left="40"/>
              <w:spacing w:after="0"/>
              <w:rPr>
                <w:sz w:val="20"/>
                <w:szCs w:val="20"/>
                <w:color w:val="auto"/>
              </w:rPr>
            </w:pPr>
            <w:r>
              <w:rPr>
                <w:rFonts w:ascii="Arial" w:cs="Arial" w:eastAsia="Arial" w:hAnsi="Arial"/>
                <w:sz w:val="11"/>
                <w:szCs w:val="11"/>
                <w:color w:val="auto"/>
              </w:rPr>
              <w:t>thousands)</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gridSpan w:val="5"/>
            <w:shd w:val="clear" w:color="auto" w:fill="CCEEFF"/>
          </w:tcPr>
          <w:p>
            <w:pPr>
              <w:ind w:left="60"/>
              <w:spacing w:after="0"/>
              <w:rPr>
                <w:sz w:val="20"/>
                <w:szCs w:val="20"/>
                <w:color w:val="auto"/>
              </w:rPr>
            </w:pPr>
            <w:r>
              <w:rPr>
                <w:rFonts w:ascii="Arial" w:cs="Arial" w:eastAsia="Arial" w:hAnsi="Arial"/>
                <w:sz w:val="13"/>
                <w:szCs w:val="13"/>
                <w:b w:val="1"/>
                <w:bCs w:val="1"/>
                <w:color w:val="auto"/>
                <w:w w:val="89"/>
              </w:rPr>
              <w:t>Washington Metropolitan Area</w:t>
            </w:r>
          </w:p>
        </w:tc>
        <w:tc>
          <w:tcPr>
            <w:tcW w:w="1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62"/>
        </w:trPr>
        <w:tc>
          <w:tcPr>
            <w:tcW w:w="20" w:type="dxa"/>
            <w:vAlign w:val="bottom"/>
          </w:tcPr>
          <w:p>
            <w:pPr>
              <w:spacing w:after="0"/>
              <w:rPr>
                <w:sz w:val="22"/>
                <w:szCs w:val="22"/>
                <w:color w:val="auto"/>
              </w:rPr>
            </w:pPr>
          </w:p>
        </w:tc>
        <w:tc>
          <w:tcPr>
            <w:tcW w:w="1300" w:type="dxa"/>
            <w:vAlign w:val="bottom"/>
            <w:gridSpan w:val="4"/>
          </w:tcPr>
          <w:p>
            <w:pPr>
              <w:spacing w:after="0"/>
              <w:rPr>
                <w:sz w:val="20"/>
                <w:szCs w:val="20"/>
                <w:color w:val="auto"/>
              </w:rPr>
            </w:pPr>
            <w:r>
              <w:rPr>
                <w:rFonts w:ascii="Arial" w:cs="Arial" w:eastAsia="Arial" w:hAnsi="Arial"/>
                <w:sz w:val="13"/>
                <w:szCs w:val="13"/>
                <w:color w:val="auto"/>
              </w:rPr>
              <w:t>Barcroft Plaza</w:t>
            </w:r>
          </w:p>
        </w:tc>
        <w:tc>
          <w:tcPr>
            <w:tcW w:w="1980" w:type="dxa"/>
            <w:vAlign w:val="bottom"/>
            <w:gridSpan w:val="2"/>
          </w:tcPr>
          <w:p>
            <w:pPr>
              <w:ind w:left="280"/>
              <w:spacing w:after="0"/>
              <w:rPr>
                <w:sz w:val="20"/>
                <w:szCs w:val="20"/>
                <w:color w:val="auto"/>
              </w:rPr>
            </w:pPr>
            <w:r>
              <w:rPr>
                <w:rFonts w:ascii="Arial" w:cs="Arial" w:eastAsia="Arial" w:hAnsi="Arial"/>
                <w:sz w:val="13"/>
                <w:szCs w:val="13"/>
                <w:color w:val="auto"/>
              </w:rPr>
              <w:t>Washington, DC-MD-VA</w:t>
            </w:r>
          </w:p>
        </w:tc>
        <w:tc>
          <w:tcPr>
            <w:tcW w:w="760" w:type="dxa"/>
            <w:vAlign w:val="bottom"/>
          </w:tcPr>
          <w:p>
            <w:pPr>
              <w:ind w:left="120"/>
              <w:spacing w:after="0"/>
              <w:rPr>
                <w:sz w:val="20"/>
                <w:szCs w:val="20"/>
                <w:color w:val="auto"/>
              </w:rPr>
            </w:pPr>
            <w:r>
              <w:rPr>
                <w:rFonts w:ascii="Arial" w:cs="Arial" w:eastAsia="Arial" w:hAnsi="Arial"/>
                <w:sz w:val="13"/>
                <w:szCs w:val="13"/>
                <w:color w:val="auto"/>
                <w:w w:val="99"/>
              </w:rPr>
              <w:t>2006-2007</w:t>
            </w:r>
          </w:p>
        </w:tc>
        <w:tc>
          <w:tcPr>
            <w:tcW w:w="100" w:type="dxa"/>
            <w:vAlign w:val="bottom"/>
          </w:tcPr>
          <w:p>
            <w:pPr>
              <w:ind w:left="40"/>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34,619</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20,785</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101,000</w:t>
            </w:r>
          </w:p>
        </w:tc>
        <w:tc>
          <w:tcPr>
            <w:tcW w:w="520" w:type="dxa"/>
            <w:vAlign w:val="bottom"/>
          </w:tcPr>
          <w:p>
            <w:pPr>
              <w:jc w:val="right"/>
              <w:spacing w:after="0"/>
              <w:rPr>
                <w:sz w:val="20"/>
                <w:szCs w:val="20"/>
                <w:color w:val="auto"/>
              </w:rPr>
            </w:pPr>
            <w:r>
              <w:rPr>
                <w:rFonts w:ascii="Arial" w:cs="Arial" w:eastAsia="Arial" w:hAnsi="Arial"/>
                <w:sz w:val="13"/>
                <w:szCs w:val="13"/>
                <w:color w:val="auto"/>
              </w:rPr>
              <w:t>78%</w:t>
            </w:r>
          </w:p>
        </w:tc>
        <w:tc>
          <w:tcPr>
            <w:tcW w:w="600" w:type="dxa"/>
            <w:vAlign w:val="bottom"/>
          </w:tcPr>
          <w:p>
            <w:pPr>
              <w:jc w:val="right"/>
              <w:spacing w:after="0"/>
              <w:rPr>
                <w:sz w:val="20"/>
                <w:szCs w:val="20"/>
                <w:color w:val="auto"/>
              </w:rPr>
            </w:pPr>
            <w:r>
              <w:rPr>
                <w:rFonts w:ascii="Arial" w:cs="Arial" w:eastAsia="Arial" w:hAnsi="Arial"/>
                <w:sz w:val="13"/>
                <w:szCs w:val="13"/>
                <w:color w:val="auto"/>
              </w:rPr>
              <w:t>78%</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87"/>
              </w:rPr>
              <w:t>$ 23.63</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86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36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56"/>
        </w:trPr>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Free State Shopping</w:t>
            </w:r>
          </w:p>
        </w:tc>
        <w:tc>
          <w:tcPr>
            <w:tcW w:w="4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8"/>
              </w:rPr>
              <w:t>TJ Maxx / Ross Dress For Less / Office</w:t>
            </w:r>
          </w:p>
        </w:tc>
      </w:tr>
      <w:tr>
        <w:trPr>
          <w:trHeight w:val="176"/>
        </w:trPr>
        <w:tc>
          <w:tcPr>
            <w:tcW w:w="2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Center</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Washington, DC-MD-VA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66,911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16.53</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Depot</w:t>
            </w:r>
          </w:p>
        </w:tc>
      </w:tr>
      <w:tr>
        <w:trPr>
          <w:trHeight w:val="264"/>
        </w:trPr>
        <w:tc>
          <w:tcPr>
            <w:tcW w:w="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Plaza del Mercado</w:t>
            </w:r>
          </w:p>
        </w:tc>
        <w:tc>
          <w:tcPr>
            <w:tcW w:w="1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Washington, DC-MD-VA</w:t>
            </w:r>
          </w:p>
        </w:tc>
        <w:tc>
          <w:tcPr>
            <w:tcW w:w="7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2004</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21,692</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12,037</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27.67</w:t>
            </w:r>
          </w:p>
        </w:tc>
        <w:tc>
          <w:tcPr>
            <w:tcW w:w="6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134"/>
        </w:trPr>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280"/>
              <w:spacing w:after="0" w:line="134" w:lineRule="exact"/>
              <w:rPr>
                <w:sz w:val="20"/>
                <w:szCs w:val="20"/>
                <w:color w:val="auto"/>
              </w:rPr>
            </w:pPr>
            <w:r>
              <w:rPr>
                <w:rFonts w:ascii="Arial" w:cs="Arial" w:eastAsia="Arial" w:hAnsi="Arial"/>
                <w:sz w:val="13"/>
                <w:szCs w:val="13"/>
                <w:color w:val="auto"/>
                <w:w w:val="95"/>
              </w:rPr>
              <w:t>Total Washington Metropolitan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Area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123,222</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476,000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19.73</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b w:val="1"/>
                <w:bCs w:val="1"/>
                <w:color w:val="auto"/>
              </w:rPr>
              <w:t>New York / New</w:t>
            </w: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Jersey</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60" w:type="dxa"/>
            <w:vAlign w:val="bottom"/>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Greenlawn Plaza</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Nassau-Suffolk, NY</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2006</w:t>
            </w: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20,653</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13,600</w:t>
            </w: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9"/>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17.18</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9"/>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gridSpan w:val="2"/>
          </w:tcPr>
          <w:p>
            <w:pPr>
              <w:ind w:left="280"/>
              <w:spacing w:after="0"/>
              <w:rPr>
                <w:sz w:val="20"/>
                <w:szCs w:val="20"/>
                <w:color w:val="auto"/>
              </w:rPr>
            </w:pPr>
            <w:r>
              <w:rPr>
                <w:rFonts w:ascii="Arial" w:cs="Arial" w:eastAsia="Arial" w:hAnsi="Arial"/>
                <w:sz w:val="13"/>
                <w:szCs w:val="13"/>
                <w:color w:val="auto"/>
              </w:rPr>
              <w:t>Total New York / New Jersey</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20,653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right"/>
              <w:spacing w:after="0"/>
              <w:rPr>
                <w:sz w:val="20"/>
                <w:szCs w:val="20"/>
                <w:color w:val="auto"/>
              </w:rPr>
            </w:pPr>
            <w:r>
              <w:rPr>
                <w:rFonts w:ascii="Arial" w:cs="Arial" w:eastAsia="Arial" w:hAnsi="Arial"/>
                <w:sz w:val="13"/>
                <w:szCs w:val="13"/>
                <w:color w:val="auto"/>
              </w:rPr>
              <w:t>97%</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17.18</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58"/>
        </w:trPr>
        <w:tc>
          <w:tcPr>
            <w:tcW w:w="2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New England</w:t>
            </w:r>
          </w:p>
        </w:tc>
        <w:tc>
          <w:tcPr>
            <w:tcW w:w="4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w w:val="93"/>
              </w:rPr>
              <w:t>Atlantic Plaza</w:t>
            </w:r>
          </w:p>
        </w:tc>
        <w:tc>
          <w:tcPr>
            <w:tcW w:w="540" w:type="dxa"/>
            <w:vAlign w:val="bottom"/>
            <w:tcBorders>
              <w:top w:val="single" w:sz="8" w:color="CCEEFF"/>
            </w:tcBorders>
            <w:gridSpan w:val="2"/>
          </w:tcPr>
          <w:p>
            <w:pPr>
              <w:spacing w:after="0"/>
              <w:rPr>
                <w:sz w:val="12"/>
                <w:szCs w:val="12"/>
                <w:color w:val="auto"/>
              </w:rPr>
            </w:pPr>
          </w:p>
        </w:tc>
        <w:tc>
          <w:tcPr>
            <w:tcW w:w="1980" w:type="dxa"/>
            <w:vAlign w:val="bottom"/>
            <w:tcBorders>
              <w:top w:val="single" w:sz="8" w:color="CCEEFF"/>
            </w:tcBorders>
            <w:gridSpan w:val="2"/>
          </w:tcPr>
          <w:p>
            <w:pPr>
              <w:ind w:left="280"/>
              <w:spacing w:after="0" w:line="148" w:lineRule="exact"/>
              <w:rPr>
                <w:sz w:val="20"/>
                <w:szCs w:val="20"/>
                <w:color w:val="auto"/>
              </w:rPr>
            </w:pPr>
            <w:r>
              <w:rPr>
                <w:rFonts w:ascii="Arial" w:cs="Arial" w:eastAsia="Arial" w:hAnsi="Arial"/>
                <w:sz w:val="13"/>
                <w:szCs w:val="13"/>
                <w:color w:val="auto"/>
                <w:w w:val="99"/>
              </w:rPr>
              <w:t>Boston-Worcester-Lawrence-</w:t>
            </w:r>
          </w:p>
        </w:tc>
        <w:tc>
          <w:tcPr>
            <w:tcW w:w="760" w:type="dxa"/>
            <w:vAlign w:val="bottom"/>
            <w:tcBorders>
              <w:top w:val="single" w:sz="8" w:color="CCEEFF"/>
            </w:tcBorders>
          </w:tcPr>
          <w:p>
            <w:pPr>
              <w:ind w:left="120"/>
              <w:spacing w:after="0" w:line="148" w:lineRule="exact"/>
              <w:rPr>
                <w:sz w:val="20"/>
                <w:szCs w:val="20"/>
                <w:color w:val="auto"/>
              </w:rPr>
            </w:pPr>
            <w:r>
              <w:rPr>
                <w:rFonts w:ascii="Arial" w:cs="Arial" w:eastAsia="Arial" w:hAnsi="Arial"/>
                <w:sz w:val="13"/>
                <w:szCs w:val="13"/>
                <w:color w:val="auto"/>
              </w:rPr>
              <w:t>2004</w:t>
            </w: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jc w:val="right"/>
              <w:ind w:right="37"/>
              <w:spacing w:after="0" w:line="148" w:lineRule="exact"/>
              <w:rPr>
                <w:sz w:val="20"/>
                <w:szCs w:val="20"/>
                <w:color w:val="auto"/>
              </w:rPr>
            </w:pPr>
            <w:r>
              <w:rPr>
                <w:rFonts w:ascii="Arial" w:cs="Arial" w:eastAsia="Arial" w:hAnsi="Arial"/>
                <w:sz w:val="13"/>
                <w:szCs w:val="13"/>
                <w:color w:val="auto"/>
              </w:rPr>
              <w:t>20,052</w:t>
            </w: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jc w:val="right"/>
              <w:ind w:right="57"/>
              <w:spacing w:after="0" w:line="148" w:lineRule="exact"/>
              <w:rPr>
                <w:sz w:val="20"/>
                <w:szCs w:val="20"/>
                <w:color w:val="auto"/>
              </w:rPr>
            </w:pPr>
            <w:r>
              <w:rPr>
                <w:rFonts w:ascii="Arial" w:cs="Arial" w:eastAsia="Arial" w:hAnsi="Arial"/>
                <w:sz w:val="13"/>
                <w:szCs w:val="13"/>
                <w:color w:val="auto"/>
              </w:rPr>
              <w:t>10,500</w:t>
            </w:r>
          </w:p>
        </w:tc>
        <w:tc>
          <w:tcPr>
            <w:tcW w:w="520" w:type="dxa"/>
            <w:vAlign w:val="bottom"/>
            <w:tcBorders>
              <w:top w:val="single" w:sz="8" w:color="CCEEFF"/>
            </w:tcBorders>
          </w:tcPr>
          <w:p>
            <w:pPr>
              <w:jc w:val="right"/>
              <w:ind w:right="17"/>
              <w:spacing w:after="0" w:line="148" w:lineRule="exact"/>
              <w:rPr>
                <w:sz w:val="20"/>
                <w:szCs w:val="20"/>
                <w:color w:val="auto"/>
              </w:rPr>
            </w:pPr>
            <w:r>
              <w:rPr>
                <w:rFonts w:ascii="Arial" w:cs="Arial" w:eastAsia="Arial" w:hAnsi="Arial"/>
                <w:sz w:val="13"/>
                <w:szCs w:val="13"/>
                <w:color w:val="auto"/>
                <w:w w:val="89"/>
              </w:rPr>
              <w:t>123,000</w:t>
            </w:r>
          </w:p>
        </w:tc>
        <w:tc>
          <w:tcPr>
            <w:tcW w:w="52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70%</w:t>
            </w:r>
          </w:p>
        </w:tc>
        <w:tc>
          <w:tcPr>
            <w:tcW w:w="60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70%</w:t>
            </w:r>
          </w:p>
        </w:tc>
        <w:tc>
          <w:tcPr>
            <w:tcW w:w="520" w:type="dxa"/>
            <w:vAlign w:val="bottom"/>
            <w:tcBorders>
              <w:top w:val="single" w:sz="8" w:color="CCEEFF"/>
            </w:tcBorders>
          </w:tcPr>
          <w:p>
            <w:pPr>
              <w:jc w:val="right"/>
              <w:ind w:right="57"/>
              <w:spacing w:after="0" w:line="148" w:lineRule="exact"/>
              <w:rPr>
                <w:sz w:val="20"/>
                <w:szCs w:val="20"/>
                <w:color w:val="auto"/>
              </w:rPr>
            </w:pPr>
            <w:r>
              <w:rPr>
                <w:rFonts w:ascii="Arial" w:cs="Arial" w:eastAsia="Arial" w:hAnsi="Arial"/>
                <w:sz w:val="13"/>
                <w:szCs w:val="13"/>
                <w:color w:val="auto"/>
              </w:rPr>
              <w:t>16.86</w:t>
            </w:r>
          </w:p>
        </w:tc>
        <w:tc>
          <w:tcPr>
            <w:tcW w:w="60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860" w:type="dxa"/>
            <w:vAlign w:val="bottom"/>
            <w:tcBorders>
              <w:top w:val="single" w:sz="8" w:color="CCEEFF"/>
            </w:tcBorders>
          </w:tcPr>
          <w:p>
            <w:pPr>
              <w:ind w:left="80"/>
              <w:spacing w:after="0" w:line="148" w:lineRule="exact"/>
              <w:rPr>
                <w:sz w:val="20"/>
                <w:szCs w:val="20"/>
                <w:color w:val="auto"/>
              </w:rPr>
            </w:pPr>
            <w:r>
              <w:rPr>
                <w:rFonts w:ascii="Arial" w:cs="Arial" w:eastAsia="Arial" w:hAnsi="Arial"/>
                <w:sz w:val="13"/>
                <w:szCs w:val="13"/>
                <w:color w:val="auto"/>
              </w:rPr>
              <w:t>Stop &amp; Shop</w:t>
            </w:r>
          </w:p>
        </w:tc>
        <w:tc>
          <w:tcPr>
            <w:tcW w:w="2360" w:type="dxa"/>
            <w:vAlign w:val="bottom"/>
            <w:tcBorders>
              <w:top w:val="single" w:sz="8" w:color="CCEEFF"/>
            </w:tcBorders>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2"/>
          </w:tcPr>
          <w:p>
            <w:pPr>
              <w:ind w:left="280"/>
              <w:spacing w:after="0"/>
              <w:rPr>
                <w:sz w:val="20"/>
                <w:szCs w:val="20"/>
                <w:color w:val="auto"/>
              </w:rPr>
            </w:pPr>
            <w:r>
              <w:rPr>
                <w:rFonts w:ascii="Arial" w:cs="Arial" w:eastAsia="Arial" w:hAnsi="Arial"/>
                <w:sz w:val="13"/>
                <w:szCs w:val="13"/>
                <w:color w:val="auto"/>
              </w:rPr>
              <w:t>Lowell-Brockton, MA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Campus Plaza</w:t>
            </w: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9"/>
              </w:rPr>
              <w:t>Boston-Worcester-Lawrence-</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22,906</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116,000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13.95</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Lowell-Brockton, MA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1300" w:type="dxa"/>
            <w:vAlign w:val="bottom"/>
            <w:gridSpan w:val="4"/>
          </w:tcPr>
          <w:p>
            <w:pPr>
              <w:spacing w:after="0" w:line="148" w:lineRule="exact"/>
              <w:rPr>
                <w:sz w:val="20"/>
                <w:szCs w:val="20"/>
                <w:color w:val="auto"/>
              </w:rPr>
            </w:pPr>
            <w:r>
              <w:rPr>
                <w:rFonts w:ascii="Arial" w:cs="Arial" w:eastAsia="Arial" w:hAnsi="Arial"/>
                <w:sz w:val="13"/>
                <w:szCs w:val="13"/>
                <w:color w:val="auto"/>
              </w:rPr>
              <w:t>Pleasant Shops</w:t>
            </w:r>
          </w:p>
        </w:tc>
        <w:tc>
          <w:tcPr>
            <w:tcW w:w="1980" w:type="dxa"/>
            <w:vAlign w:val="bottom"/>
            <w:gridSpan w:val="2"/>
          </w:tcPr>
          <w:p>
            <w:pPr>
              <w:ind w:left="280"/>
              <w:spacing w:after="0" w:line="148" w:lineRule="exact"/>
              <w:rPr>
                <w:sz w:val="20"/>
                <w:szCs w:val="20"/>
                <w:color w:val="auto"/>
              </w:rPr>
            </w:pPr>
            <w:r>
              <w:rPr>
                <w:rFonts w:ascii="Arial" w:cs="Arial" w:eastAsia="Arial" w:hAnsi="Arial"/>
                <w:sz w:val="13"/>
                <w:szCs w:val="13"/>
                <w:color w:val="auto"/>
                <w:w w:val="99"/>
              </w:rPr>
              <w:t>Boston-Worcester-Lawrence-</w:t>
            </w:r>
          </w:p>
        </w:tc>
        <w:tc>
          <w:tcPr>
            <w:tcW w:w="760" w:type="dxa"/>
            <w:vAlign w:val="bottom"/>
          </w:tcPr>
          <w:p>
            <w:pPr>
              <w:ind w:left="120"/>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23,870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jc w:val="right"/>
              <w:ind w:right="17"/>
              <w:spacing w:after="0" w:line="148" w:lineRule="exact"/>
              <w:rPr>
                <w:sz w:val="20"/>
                <w:szCs w:val="20"/>
                <w:color w:val="auto"/>
              </w:rPr>
            </w:pPr>
            <w:r>
              <w:rPr>
                <w:rFonts w:ascii="Arial" w:cs="Arial" w:eastAsia="Arial" w:hAnsi="Arial"/>
                <w:sz w:val="13"/>
                <w:szCs w:val="13"/>
                <w:color w:val="auto"/>
                <w:w w:val="89"/>
              </w:rPr>
              <w:t>130,000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13.97</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38,000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w w:val="99"/>
              </w:rPr>
              <w:t>Whole Foods</w:t>
            </w:r>
          </w:p>
        </w:tc>
        <w:tc>
          <w:tcPr>
            <w:tcW w:w="2360" w:type="dxa"/>
            <w:vAlign w:val="bottom"/>
          </w:tcPr>
          <w:p>
            <w:pPr>
              <w:ind w:left="12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Lowell-Brockton, MA</w:t>
            </w: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r>
      <w:tr>
        <w:trPr>
          <w:trHeight w:val="250"/>
        </w:trPr>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Total New England</w:t>
            </w: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66,828</w:t>
            </w: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9"/>
              </w:rPr>
              <w:t>369,000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14.75</w:t>
            </w:r>
          </w:p>
        </w:tc>
        <w:tc>
          <w:tcPr>
            <w:tcW w:w="6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spacing w:after="0"/>
              <w:rPr>
                <w:sz w:val="21"/>
                <w:szCs w:val="2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Grand Totals</w:t>
            </w: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3"/>
              </w:rPr>
              <w:t>210,703</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56,922</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9"/>
              </w:rPr>
              <w:t>951,000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w:t>
            </w:r>
          </w:p>
        </w:tc>
        <w:tc>
          <w:tcPr>
            <w:tcW w:w="11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85% $ 17.40</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121" w:lineRule="exact"/>
        <w:rPr>
          <w:sz w:val="20"/>
          <w:szCs w:val="20"/>
          <w:color w:val="auto"/>
        </w:rPr>
      </w:pPr>
    </w:p>
    <w:p>
      <w:pPr>
        <w:ind w:left="200" w:hanging="171"/>
        <w:spacing w:after="0"/>
        <w:tabs>
          <w:tab w:leader="none" w:pos="2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purposes of this schedule, "occupied" refers to spaces where the lease term and obligation to pay rent have commenced.</w:t>
      </w:r>
    </w:p>
    <w:p>
      <w:pPr>
        <w:spacing w:after="0" w:line="39" w:lineRule="exact"/>
        <w:rPr>
          <w:rFonts w:ascii="Arial" w:cs="Arial" w:eastAsia="Arial" w:hAnsi="Arial"/>
          <w:sz w:val="13"/>
          <w:szCs w:val="13"/>
          <w:color w:val="auto"/>
        </w:rPr>
      </w:pPr>
    </w:p>
    <w:p>
      <w:pPr>
        <w:ind w:left="20" w:right="3740" w:firstLine="9"/>
        <w:spacing w:after="0" w:line="237" w:lineRule="auto"/>
        <w:tabs>
          <w:tab w:leader="none" w:pos="198" w:val="left"/>
        </w:tabs>
        <w:numPr>
          <w:ilvl w:val="0"/>
          <w:numId w:val="18"/>
        </w:numPr>
        <w:rPr>
          <w:rFonts w:ascii="Arial" w:cs="Arial" w:eastAsia="Arial" w:hAnsi="Arial"/>
          <w:sz w:val="13"/>
          <w:szCs w:val="13"/>
          <w:color w:val="auto"/>
        </w:rPr>
      </w:pPr>
      <w:r>
        <w:rPr>
          <w:rFonts w:ascii="Arial" w:cs="Arial" w:eastAsia="Arial" w:hAnsi="Arial"/>
          <w:sz w:val="13"/>
          <w:szCs w:val="13"/>
          <w:color w:val="auto"/>
        </w:rPr>
        <w:t>Calculated as the aggregate, annualized in-place contractual (cash basis) minimum rent for all occupied spaces divided by the aggregate GLA of all occupied spaces.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60" w:top="958"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and year ended December 31, 2013 and 2012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29,603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167,608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156,232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41,213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161,099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142,039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24,663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104,977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113,336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13,304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105,116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101,678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446,555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410,918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105,116</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101,678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417,700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399,058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real estate related depreciation and amortization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 In addition to FFO, we have also included FFO excluding the current period "early extinguishment of debt" charge which relates to the early redemption of our 5.40% senior notes, 5.95% senior notes, and 7.50% mortgage loans. We believe the unusual nature of this charge, being a make-whole payment on the remaining principal and interest on the redeemed notes/mortgages, is worthy of separate evaluation and consequently have provided both relevant metrics.</w:t>
      </w:r>
    </w:p>
    <w:p>
      <w:pPr>
        <w:spacing w:after="0" w:line="16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0"/>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2019-12-05T09:07:16Z</dcterms:created>
  <dcterms:modified xsi:type="dcterms:W3CDTF">2019-12-05T09:07:16Z</dcterms:modified>
</cp:coreProperties>
</file>