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CURRENT REPORT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reported): May 6, 2015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Federal Realty Investment Trust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0980"/>
          </w:cols>
          <w:pgMar w:left="240" w:top="679" w:right="679" w:bottom="1440" w:gutter="0" w:footer="0" w:header="0"/>
        </w:sectPr>
      </w:pP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Maryland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1-07533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52-0782497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800" w:space="720"/>
            <w:col w:w="2580" w:space="720"/>
            <w:col w:w="2160"/>
          </w:cols>
          <w:pgMar w:left="240" w:top="679" w:right="67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(State or other jurisdiction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(IRS Employer</w:t>
      </w:r>
    </w:p>
    <w:p>
      <w:pPr>
        <w:jc w:val="center"/>
        <w:ind w:righ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Identification No.)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40" w:space="720"/>
            <w:col w:w="2580" w:space="720"/>
            <w:col w:w="2220"/>
          </w:cols>
          <w:pgMar w:left="240" w:top="679" w:right="67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1626 East Jefferson Street, Rockville, Maryland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20852-4041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280" w:space="720"/>
            <w:col w:w="2980"/>
          </w:cols>
          <w:pgMar w:left="240" w:top="679" w:right="679" w:bottom="1440" w:gutter="0" w:footer="0" w:header="0"/>
          <w:type w:val="continuous"/>
        </w:sectPr>
      </w:pPr>
    </w:p>
    <w:p>
      <w:pPr>
        <w:ind w:left="2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(Zip Code)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420" w:space="720"/>
            <w:col w:w="2840"/>
          </w:cols>
          <w:pgMar w:left="240" w:top="679" w:right="679" w:bottom="1440" w:gutter="0" w:footer="0" w:header="0"/>
          <w:type w:val="continuous"/>
        </w:sect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Registrant's telephone number including area code: 301/998-8100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firstLine="432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640" w:hanging="112"/>
        <w:spacing w:after="0"/>
        <w:tabs>
          <w:tab w:leader="none" w:pos="6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 Written communications pursuant to Rule 425 under the Securities Act (17 CFR 230.425)</w:t>
      </w: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14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40" w:hanging="112"/>
        <w:spacing w:after="0"/>
        <w:tabs>
          <w:tab w:leader="none" w:pos="6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 Soliciting material pursuant to Rule 14a-12 under the Exchange Act (17 CFR 240.14a-12)</w:t>
      </w: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14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40" w:hanging="112"/>
        <w:spacing w:after="0"/>
        <w:tabs>
          <w:tab w:leader="none" w:pos="6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 Pre-commencement communications pursuant to Rule 14d-2(b) under the Exchange Act (17 CFR 240.14d-2(b))</w:t>
      </w: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14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40" w:hanging="112"/>
        <w:spacing w:after="0"/>
        <w:tabs>
          <w:tab w:leader="none" w:pos="6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 Pre-commencement communications pursuant to Rule 13e-4(c) under the Exchange Act (17 CFR 240.13e-4(c))</w:t>
      </w:r>
    </w:p>
    <w:p>
      <w:pPr>
        <w:sectPr>
          <w:pgSz w:w="11900" w:h="16838" w:orient="portrait"/>
          <w:cols w:equalWidth="0" w:num="1">
            <w:col w:w="10980"/>
          </w:cols>
          <w:pgMar w:left="240" w:top="679" w:right="67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Item 5.07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Submission of Matters to a Vote of Security Holders.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right="46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The annual meeting of shareholders of the Trust was held on May 6, 2015 in North Bethesda, Maryland. The following table sets forth the matters presented for a vote by the shareholders and the voting results with respect to such matters: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0"/>
              </w:rPr>
              <w:t>Votes Withheld/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Broker</w:t>
            </w:r>
          </w:p>
        </w:tc>
      </w:tr>
      <w:tr>
        <w:trPr>
          <w:trHeight w:val="256"/>
        </w:trPr>
        <w:tc>
          <w:tcPr>
            <w:tcW w:w="5120" w:type="dxa"/>
            <w:vAlign w:val="bottom"/>
            <w:gridSpan w:val="2"/>
          </w:tcPr>
          <w:p>
            <w:pPr>
              <w:ind w:left="2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Matter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Votes For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87"/>
              </w:rPr>
              <w:t>Against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Abstentions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Non-Votes</w:t>
            </w:r>
          </w:p>
        </w:tc>
      </w:tr>
      <w:tr>
        <w:trPr>
          <w:trHeight w:val="23"/>
        </w:trPr>
        <w:tc>
          <w:tcPr>
            <w:tcW w:w="4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4"/>
        </w:trPr>
        <w:tc>
          <w:tcPr>
            <w:tcW w:w="5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Proposal 1: Election of Trustees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4"/>
        </w:trPr>
        <w:tc>
          <w:tcPr>
            <w:tcW w:w="5120" w:type="dxa"/>
            <w:vAlign w:val="bottom"/>
            <w:tcBorders>
              <w:bottom w:val="single" w:sz="8" w:color="CCEEFF"/>
            </w:tcBorders>
            <w:gridSpan w:val="2"/>
            <w:shd w:val="clear" w:color="auto" w:fill="CCEEFF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Jon E. Bortz</w:t>
            </w:r>
          </w:p>
        </w:tc>
        <w:tc>
          <w:tcPr>
            <w:tcW w:w="134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60,010,523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188,541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3,051,550</w:t>
            </w:r>
          </w:p>
        </w:tc>
      </w:tr>
      <w:tr>
        <w:trPr>
          <w:trHeight w:val="261"/>
        </w:trPr>
        <w:tc>
          <w:tcPr>
            <w:tcW w:w="51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David W. Faeder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59,692,368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506,696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3,051,550</w:t>
            </w:r>
          </w:p>
        </w:tc>
      </w:tr>
      <w:tr>
        <w:trPr>
          <w:trHeight w:val="23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4"/>
        </w:trPr>
        <w:tc>
          <w:tcPr>
            <w:tcW w:w="5120" w:type="dxa"/>
            <w:vAlign w:val="bottom"/>
            <w:tcBorders>
              <w:bottom w:val="single" w:sz="8" w:color="CCEEFF"/>
            </w:tcBorders>
            <w:gridSpan w:val="2"/>
            <w:shd w:val="clear" w:color="auto" w:fill="CCEEFF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Kristin Gamble</w:t>
            </w:r>
          </w:p>
        </w:tc>
        <w:tc>
          <w:tcPr>
            <w:tcW w:w="134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59,640,451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558,613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3,051,550</w:t>
            </w:r>
          </w:p>
        </w:tc>
      </w:tr>
      <w:tr>
        <w:trPr>
          <w:trHeight w:val="261"/>
        </w:trPr>
        <w:tc>
          <w:tcPr>
            <w:tcW w:w="51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Gail P. Steinel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60,096,770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102,295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3,051,550</w:t>
            </w:r>
          </w:p>
        </w:tc>
      </w:tr>
      <w:tr>
        <w:trPr>
          <w:trHeight w:val="23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4"/>
        </w:trPr>
        <w:tc>
          <w:tcPr>
            <w:tcW w:w="5120" w:type="dxa"/>
            <w:vAlign w:val="bottom"/>
            <w:tcBorders>
              <w:bottom w:val="single" w:sz="8" w:color="CCEEFF"/>
            </w:tcBorders>
            <w:gridSpan w:val="2"/>
            <w:shd w:val="clear" w:color="auto" w:fill="CCEEFF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Warren M. Thompson</w:t>
            </w:r>
          </w:p>
        </w:tc>
        <w:tc>
          <w:tcPr>
            <w:tcW w:w="134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59,994,350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204,714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3,051,550</w:t>
            </w:r>
          </w:p>
        </w:tc>
      </w:tr>
      <w:tr>
        <w:trPr>
          <w:trHeight w:val="261"/>
        </w:trPr>
        <w:tc>
          <w:tcPr>
            <w:tcW w:w="51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Joseph S. Vassalluzzo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59,570,885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628,179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3,051,550</w:t>
            </w:r>
          </w:p>
        </w:tc>
      </w:tr>
      <w:tr>
        <w:trPr>
          <w:trHeight w:val="23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4"/>
        </w:trPr>
        <w:tc>
          <w:tcPr>
            <w:tcW w:w="5120" w:type="dxa"/>
            <w:vAlign w:val="bottom"/>
            <w:tcBorders>
              <w:bottom w:val="single" w:sz="8" w:color="CCEEFF"/>
            </w:tcBorders>
            <w:gridSpan w:val="2"/>
            <w:shd w:val="clear" w:color="auto" w:fill="CCEEFF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Donald C. Wood</w:t>
            </w:r>
          </w:p>
        </w:tc>
        <w:tc>
          <w:tcPr>
            <w:tcW w:w="134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59,799,935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399,130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3,051,550</w:t>
            </w:r>
          </w:p>
        </w:tc>
      </w:tr>
      <w:tr>
        <w:trPr>
          <w:trHeight w:val="284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4"/>
        </w:trPr>
        <w:tc>
          <w:tcPr>
            <w:tcW w:w="5120" w:type="dxa"/>
            <w:vAlign w:val="bottom"/>
            <w:gridSpan w:val="2"/>
            <w:shd w:val="clear" w:color="auto" w:fill="CCEEFF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Proposal 2: Ratification of the appointment of Grant</w:t>
            </w:r>
          </w:p>
        </w:tc>
        <w:tc>
          <w:tcPr>
            <w:tcW w:w="134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5120" w:type="dxa"/>
            <w:vAlign w:val="bottom"/>
            <w:gridSpan w:val="2"/>
            <w:shd w:val="clear" w:color="auto" w:fill="CCEEFF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Thornton LLP as the Trust's independent registered</w:t>
            </w:r>
          </w:p>
        </w:tc>
        <w:tc>
          <w:tcPr>
            <w:tcW w:w="134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5120" w:type="dxa"/>
            <w:vAlign w:val="bottom"/>
            <w:gridSpan w:val="2"/>
            <w:shd w:val="clear" w:color="auto" w:fill="CCEEFF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4"/>
              </w:rPr>
              <w:t>public accounting firm for the year ending December 31,</w:t>
            </w:r>
          </w:p>
        </w:tc>
        <w:tc>
          <w:tcPr>
            <w:tcW w:w="134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9"/>
        </w:trPr>
        <w:tc>
          <w:tcPr>
            <w:tcW w:w="49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2015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62,774,464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410,599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65,552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</w:tr>
      <w:tr>
        <w:trPr>
          <w:trHeight w:val="270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4"/>
        </w:trPr>
        <w:tc>
          <w:tcPr>
            <w:tcW w:w="5120" w:type="dxa"/>
            <w:vAlign w:val="bottom"/>
            <w:gridSpan w:val="2"/>
            <w:shd w:val="clear" w:color="auto" w:fill="CCEEFF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1"/>
              </w:rPr>
              <w:t>Proposal 3: Advisory vote on compensation of our named</w:t>
            </w:r>
          </w:p>
        </w:tc>
        <w:tc>
          <w:tcPr>
            <w:tcW w:w="134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5120" w:type="dxa"/>
            <w:vAlign w:val="bottom"/>
            <w:tcBorders>
              <w:bottom w:val="single" w:sz="8" w:color="CCEEFF"/>
            </w:tcBorders>
            <w:gridSpan w:val="2"/>
            <w:shd w:val="clear" w:color="auto" w:fill="CCEEFF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executive officers</w:t>
            </w:r>
          </w:p>
        </w:tc>
        <w:tc>
          <w:tcPr>
            <w:tcW w:w="134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58,979,862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1,096,384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122,815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3,051,553</w:t>
            </w:r>
          </w:p>
        </w:tc>
      </w:tr>
      <w:tr>
        <w:trPr>
          <w:trHeight w:val="270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4"/>
        </w:trPr>
        <w:tc>
          <w:tcPr>
            <w:tcW w:w="5120" w:type="dxa"/>
            <w:vAlign w:val="bottom"/>
            <w:gridSpan w:val="2"/>
            <w:shd w:val="clear" w:color="auto" w:fill="CCEEFF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4"/>
              </w:rPr>
              <w:t>Proposal 4: Re-approval of the performance goals under</w:t>
            </w:r>
          </w:p>
        </w:tc>
        <w:tc>
          <w:tcPr>
            <w:tcW w:w="134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5120" w:type="dxa"/>
            <w:vAlign w:val="bottom"/>
            <w:gridSpan w:val="2"/>
            <w:shd w:val="clear" w:color="auto" w:fill="CCEEFF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our 2010 Performance Incentive Plan</w:t>
            </w:r>
          </w:p>
        </w:tc>
        <w:tc>
          <w:tcPr>
            <w:tcW w:w="1340" w:type="dxa"/>
            <w:vAlign w:val="bottom"/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59,287,164</w:t>
            </w: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794,206</w:t>
            </w: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117,689</w:t>
            </w: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3,051,556</w:t>
            </w:r>
          </w:p>
        </w:tc>
      </w:tr>
      <w:tr>
        <w:trPr>
          <w:trHeight w:val="23"/>
        </w:trPr>
        <w:tc>
          <w:tcPr>
            <w:tcW w:w="496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576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firstLine="648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left="4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FEDERAL REALTY INVESTMENT TRUST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820" w:val="left"/>
          <w:tab w:leader="none" w:pos="4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auto"/>
        </w:rPr>
        <w:t>May 11, 2015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 xml:space="preserve">By: </w:t>
      </w:r>
      <w:r>
        <w:rPr>
          <w:rFonts w:ascii="Arial" w:cs="Arial" w:eastAsia="Arial" w:hAnsi="Arial"/>
          <w:sz w:val="19"/>
          <w:szCs w:val="19"/>
          <w:u w:val="single" w:color="auto"/>
          <w:color w:val="auto"/>
        </w:rPr>
        <w:t>/s/ Dawn M. Becker</w:t>
      </w: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ind w:left="4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Dawn M. Becker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Executive Vice President-General Counsel and Secretary</w:t>
      </w:r>
    </w:p>
    <w:sectPr>
      <w:pgSz w:w="11900" w:h="16838" w:orient="portrait"/>
      <w:cols w:equalWidth="0" w:num="1">
        <w:col w:w="11420"/>
      </w:cols>
      <w:pgMar w:left="240" w:top="57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2019-12-05T09:42:11Z</dcterms:created>
  <dcterms:modified xsi:type="dcterms:W3CDTF">2019-12-05T09:42:11Z</dcterms:modified>
</cp:coreProperties>
</file>