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460" w:right="1460" w:hanging="452"/>
        <w:spacing w:after="0" w:line="461"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THE SECTION 13 OR 15(D) OF THE SECURITIES EXCHANGE ACT OF 1934 For the quarterly period ended June 30, 2008</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1"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5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80"/>
          </w:cols>
          <w:pgMar w:left="240" w:top="327" w:right="379" w:bottom="1440" w:gutter="0" w:footer="0" w:header="0"/>
        </w:sectPr>
      </w:pPr>
    </w:p>
    <w:p>
      <w:pPr>
        <w:spacing w:after="0" w:line="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3">
            <w:col w:w="6360" w:space="720"/>
            <w:col w:w="1920" w:space="100"/>
            <w:col w:w="2180"/>
          </w:cols>
          <w:pgMar w:left="240" w:top="327" w:right="379" w:bottom="1440" w:gutter="0" w:footer="0" w:header="0"/>
          <w:type w:val="continuous"/>
        </w:sectPr>
      </w:pPr>
    </w:p>
    <w:p>
      <w:pPr>
        <w:ind w:right="194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July 28, 2008 was 58,913,384.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27"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80" w:type="dxa"/>
            <w:vAlign w:val="bottom"/>
            <w:gridSpan w:val="11"/>
          </w:tcPr>
          <w:p>
            <w:pPr>
              <w:jc w:val="center"/>
              <w:ind w:right="1180"/>
              <w:spacing w:after="0"/>
              <w:rPr>
                <w:sz w:val="20"/>
                <w:szCs w:val="20"/>
                <w:color w:val="auto"/>
              </w:rPr>
            </w:pPr>
            <w:r>
              <w:rPr>
                <w:rFonts w:ascii="Arial" w:cs="Arial" w:eastAsia="Arial" w:hAnsi="Arial"/>
                <w:sz w:val="18"/>
                <w:szCs w:val="18"/>
                <w:b w:val="1"/>
                <w:bCs w:val="1"/>
                <w:color w:val="auto"/>
                <w:w w:val="99"/>
              </w:rPr>
              <w:t>FEDERAL REALTY INVESTMENT TRUST</w:t>
            </w:r>
          </w:p>
        </w:tc>
        <w:tc>
          <w:tcPr>
            <w:tcW w:w="1980" w:type="dxa"/>
            <w:vAlign w:val="bottom"/>
          </w:tcPr>
          <w:p>
            <w:pPr>
              <w:spacing w:after="0"/>
              <w:rPr>
                <w:sz w:val="19"/>
                <w:szCs w:val="19"/>
                <w:color w:val="auto"/>
              </w:rPr>
            </w:pPr>
          </w:p>
        </w:tc>
      </w:tr>
      <w:tr>
        <w:trPr>
          <w:trHeight w:val="366"/>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80" w:type="dxa"/>
            <w:vAlign w:val="bottom"/>
            <w:gridSpan w:val="11"/>
          </w:tcPr>
          <w:p>
            <w:pPr>
              <w:jc w:val="center"/>
              <w:ind w:right="1180"/>
              <w:spacing w:after="0"/>
              <w:rPr>
                <w:sz w:val="20"/>
                <w:szCs w:val="20"/>
                <w:color w:val="auto"/>
              </w:rPr>
            </w:pPr>
            <w:r>
              <w:rPr>
                <w:rFonts w:ascii="Arial" w:cs="Arial" w:eastAsia="Arial" w:hAnsi="Arial"/>
                <w:sz w:val="18"/>
                <w:szCs w:val="18"/>
                <w:b w:val="1"/>
                <w:bCs w:val="1"/>
                <w:color w:val="auto"/>
                <w:w w:val="97"/>
              </w:rPr>
              <w:t>QUARTERLY REPORT ON FORM 10-Q</w:t>
            </w:r>
          </w:p>
        </w:tc>
        <w:tc>
          <w:tcPr>
            <w:tcW w:w="1980" w:type="dxa"/>
            <w:vAlign w:val="bottom"/>
          </w:tcPr>
          <w:p>
            <w:pPr>
              <w:spacing w:after="0"/>
              <w:rPr>
                <w:sz w:val="24"/>
                <w:szCs w:val="24"/>
                <w:color w:val="auto"/>
              </w:rPr>
            </w:pPr>
          </w:p>
        </w:tc>
      </w:tr>
      <w:tr>
        <w:trPr>
          <w:trHeight w:val="228"/>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80" w:type="dxa"/>
            <w:vAlign w:val="bottom"/>
            <w:gridSpan w:val="11"/>
          </w:tcPr>
          <w:p>
            <w:pPr>
              <w:jc w:val="center"/>
              <w:ind w:right="1180"/>
              <w:spacing w:after="0"/>
              <w:rPr>
                <w:sz w:val="20"/>
                <w:szCs w:val="20"/>
                <w:color w:val="auto"/>
              </w:rPr>
            </w:pPr>
            <w:r>
              <w:rPr>
                <w:rFonts w:ascii="Arial" w:cs="Arial" w:eastAsia="Arial" w:hAnsi="Arial"/>
                <w:sz w:val="18"/>
                <w:szCs w:val="18"/>
                <w:b w:val="1"/>
                <w:bCs w:val="1"/>
                <w:color w:val="auto"/>
                <w:w w:val="94"/>
              </w:rPr>
              <w:t>QUARTER ENDED JUNE 30, 2008</w:t>
            </w:r>
          </w:p>
        </w:tc>
        <w:tc>
          <w:tcPr>
            <w:tcW w:w="1980" w:type="dxa"/>
            <w:vAlign w:val="bottom"/>
          </w:tcPr>
          <w:p>
            <w:pPr>
              <w:spacing w:after="0"/>
              <w:rPr>
                <w:sz w:val="19"/>
                <w:szCs w:val="19"/>
                <w:color w:val="auto"/>
              </w:rPr>
            </w:pPr>
          </w:p>
        </w:tc>
      </w:tr>
      <w:tr>
        <w:trPr>
          <w:trHeight w:val="378"/>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6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6"/>
              </w:rPr>
              <w:t>TABLE OF CONTENTS</w:t>
            </w:r>
          </w:p>
        </w:tc>
        <w:tc>
          <w:tcPr>
            <w:tcW w:w="1980" w:type="dxa"/>
            <w:vAlign w:val="bottom"/>
          </w:tcPr>
          <w:p>
            <w:pPr>
              <w:spacing w:after="0"/>
              <w:rPr>
                <w:sz w:val="24"/>
                <w:szCs w:val="24"/>
                <w:color w:val="auto"/>
              </w:rPr>
            </w:pPr>
          </w:p>
        </w:tc>
      </w:tr>
      <w:tr>
        <w:trPr>
          <w:trHeight w:val="380"/>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6340" w:type="dxa"/>
            <w:vAlign w:val="bottom"/>
            <w:gridSpan w:val="12"/>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854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64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June 30, 2008 (unaudited) and December 31, 2007</w:t>
              </w:r>
            </w:hyperlink>
          </w:p>
        </w:tc>
        <w:tc>
          <w:tcPr>
            <w:tcW w:w="2900" w:type="dxa"/>
            <w:vAlign w:val="bottom"/>
            <w:gridSpan w:val="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674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Operations (unaudited) three months ended June 30, 2008 and 2007</w:t>
              </w:r>
            </w:hyperlink>
          </w:p>
        </w:tc>
        <w:tc>
          <w:tcPr>
            <w:tcW w:w="1800" w:type="dxa"/>
            <w:vAlign w:val="bottom"/>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Pr>
          <w:p>
            <w:pPr>
              <w:spacing w:after="0"/>
              <w:rPr>
                <w:sz w:val="17"/>
                <w:szCs w:val="17"/>
                <w:color w:val="auto"/>
              </w:rPr>
            </w:pPr>
          </w:p>
        </w:tc>
        <w:tc>
          <w:tcPr>
            <w:tcW w:w="85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six months ended June 30, 2008 and 2007</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00" w:type="dxa"/>
            <w:vAlign w:val="bottom"/>
          </w:tcPr>
          <w:p>
            <w:pPr>
              <w:spacing w:after="0"/>
              <w:rPr>
                <w:sz w:val="17"/>
                <w:szCs w:val="17"/>
                <w:color w:val="auto"/>
              </w:rPr>
            </w:pPr>
          </w:p>
        </w:tc>
        <w:tc>
          <w:tcPr>
            <w:tcW w:w="6580" w:type="dxa"/>
            <w:vAlign w:val="bottom"/>
            <w:tcBorders>
              <w:top w:val="single" w:sz="8" w:color="0000EE"/>
            </w:tcBorders>
            <w:gridSpan w:val="18"/>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 of Shareholders’ Equity (unaudited) six months ended June 30, 2008</w:t>
              </w:r>
            </w:hyperlink>
          </w:p>
        </w:tc>
        <w:tc>
          <w:tcPr>
            <w:tcW w:w="1960" w:type="dxa"/>
            <w:vAlign w:val="bottom"/>
            <w:gridSpan w:val="3"/>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54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six months ended June 30, 2008 and 2007</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00" w:type="dxa"/>
            <w:vAlign w:val="bottom"/>
          </w:tcPr>
          <w:p>
            <w:pPr>
              <w:spacing w:after="0"/>
              <w:rPr>
                <w:sz w:val="17"/>
                <w:szCs w:val="17"/>
                <w:color w:val="auto"/>
              </w:rPr>
            </w:pPr>
          </w:p>
        </w:tc>
        <w:tc>
          <w:tcPr>
            <w:tcW w:w="66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90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2240" w:type="dxa"/>
            <w:vAlign w:val="bottom"/>
            <w:gridSpan w:val="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54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4340" w:type="dxa"/>
            <w:vAlign w:val="bottom"/>
            <w:gridSpan w:val="8"/>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OTHER INFORMATION</w:t>
              </w:r>
            </w:hyperlink>
          </w:p>
        </w:tc>
        <w:tc>
          <w:tcPr>
            <w:tcW w:w="6700" w:type="dxa"/>
            <w:vAlign w:val="bottom"/>
            <w:gridSpan w:val="1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854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7240" w:type="dxa"/>
            <w:vAlign w:val="bottom"/>
            <w:gridSpan w:val="16"/>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54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4300" w:type="dxa"/>
            <w:vAlign w:val="bottom"/>
            <w:gridSpan w:val="7"/>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Submission of Matters to a Vote of Security Holders</w:t>
              </w:r>
            </w:hyperlink>
          </w:p>
        </w:tc>
        <w:tc>
          <w:tcPr>
            <w:tcW w:w="4860" w:type="dxa"/>
            <w:vAlign w:val="bottom"/>
            <w:gridSpan w:val="10"/>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54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7260" w:type="dxa"/>
            <w:vAlign w:val="bottom"/>
            <w:gridSpan w:val="17"/>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960" w:type="dxa"/>
            <w:vAlign w:val="bottom"/>
            <w:gridSpan w:val="19"/>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944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3"/>
        </w:trPr>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60" w:type="dxa"/>
            <w:vAlign w:val="bottom"/>
            <w:gridSpan w:val="14"/>
          </w:tcPr>
          <w:p>
            <w:pPr>
              <w:jc w:val="center"/>
              <w:ind w:left="3732"/>
              <w:spacing w:after="0"/>
              <w:rPr>
                <w:sz w:val="20"/>
                <w:szCs w:val="20"/>
                <w:color w:val="auto"/>
              </w:rPr>
            </w:pPr>
            <w:r>
              <w:rPr>
                <w:rFonts w:ascii="Arial" w:cs="Arial" w:eastAsia="Arial" w:hAnsi="Arial"/>
                <w:sz w:val="18"/>
                <w:szCs w:val="18"/>
                <w:color w:val="auto"/>
                <w:w w:val="79"/>
              </w:rPr>
              <w:t>2</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1—FINANCIAL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balance sheet as of December 31, 2007,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six months ended June 30, 2008 are not necessarily indicative of the results that may be expected for the full year.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(In thousands,</w:t>
            </w:r>
          </w:p>
        </w:tc>
        <w:tc>
          <w:tcPr>
            <w:tcW w:w="1340" w:type="dxa"/>
            <w:vAlign w:val="bottom"/>
            <w:gridSpan w:val="3"/>
          </w:tcPr>
          <w:p>
            <w:pPr>
              <w:jc w:val="right"/>
              <w:ind w:right="73"/>
              <w:spacing w:after="0" w:line="129" w:lineRule="exact"/>
              <w:rPr>
                <w:sz w:val="20"/>
                <w:szCs w:val="20"/>
                <w:color w:val="auto"/>
              </w:rPr>
            </w:pPr>
            <w:r>
              <w:rPr>
                <w:rFonts w:ascii="Arial" w:cs="Arial" w:eastAsia="Arial" w:hAnsi="Arial"/>
                <w:sz w:val="14"/>
                <w:szCs w:val="14"/>
                <w:b w:val="1"/>
                <w:bCs w:val="1"/>
                <w:color w:val="auto"/>
                <w:w w:val="94"/>
              </w:rPr>
              <w:t>except share data)</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3,458,460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3,304,922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110,929</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3,569,389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3,452,847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(801,752)</w:t>
            </w: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(756,703)</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2,767,637</w:t>
            </w: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2,696,144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20,281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Mortgage notes receivable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40,488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40,638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95,757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$5,715 and $4,815, respectively</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60" w:type="dxa"/>
            <w:vAlign w:val="bottom"/>
            <w:shd w:val="clear" w:color="auto" w:fill="CCEEFF"/>
          </w:tcPr>
          <w:p>
            <w:pPr>
              <w:spacing w:after="0"/>
              <w:rPr>
                <w:sz w:val="18"/>
                <w:szCs w:val="18"/>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3,026,547</w:t>
            </w: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2,989,297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Mortgages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370,942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75,589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977,470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977,556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36,297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70,100</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1,883,266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1,842,847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32,037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Commitments and contingencies (Note 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Preferred stock, authorized 15,000,000 shares, $.01 par: 5.417% Series 1 Cumulative Convertible Preferred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60,392,445 and 60,133,270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issued, respectively</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1,550,612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1,541,020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(420,469)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(407,376)</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shares at cost, 1,488,310 and 1,487,605 shares, respectively</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(28,807)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(28,807)</w:t>
            </w: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8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(803)</w:t>
            </w: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1,111,244</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1,114,632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3,026,547</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2,989,297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123,952</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4,624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129,694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26,306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14,346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7,039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54,208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(24,476)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30,383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28,974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28,839</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246,673</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8,010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256,917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53,633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26,909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13,973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109,207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(48,829)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8"/>
                <w:szCs w:val="18"/>
                <w:color w:val="auto"/>
              </w:rPr>
              <w:t>61,701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1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58,960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58,689</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For the Six Months Ended June 30, 2008</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88"/>
              </w:rPr>
              <w:t>Preferred Stock</w:t>
            </w:r>
          </w:p>
        </w:tc>
        <w:tc>
          <w:tcPr>
            <w:tcW w:w="60" w:type="dxa"/>
            <w:vAlign w:val="bottom"/>
          </w:tcPr>
          <w:p>
            <w:pPr>
              <w:spacing w:after="0"/>
              <w:rPr>
                <w:sz w:val="11"/>
                <w:szCs w:val="11"/>
                <w:color w:val="auto"/>
              </w:rPr>
            </w:pPr>
          </w:p>
        </w:tc>
        <w:tc>
          <w:tcPr>
            <w:tcW w:w="11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3"/>
              </w:rPr>
              <w:t>Common Shares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3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Treasury Shares</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7"/>
              </w:rPr>
              <w:t>Additional</w:t>
            </w:r>
          </w:p>
        </w:tc>
        <w:tc>
          <w:tcPr>
            <w:tcW w:w="40" w:type="dxa"/>
            <w:vAlign w:val="bottom"/>
          </w:tcPr>
          <w:p>
            <w:pPr>
              <w:spacing w:after="0"/>
              <w:rPr>
                <w:sz w:val="12"/>
                <w:szCs w:val="12"/>
                <w:color w:val="auto"/>
              </w:rPr>
            </w:pPr>
          </w:p>
        </w:tc>
        <w:tc>
          <w:tcPr>
            <w:tcW w:w="8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Dividends in</w:t>
            </w:r>
          </w:p>
        </w:tc>
        <w:tc>
          <w:tcPr>
            <w:tcW w:w="13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Notes Receivable</w:t>
            </w:r>
          </w:p>
        </w:tc>
        <w:tc>
          <w:tcPr>
            <w:tcW w:w="80" w:type="dxa"/>
            <w:vAlign w:val="bottom"/>
          </w:tcPr>
          <w:p>
            <w:pPr>
              <w:spacing w:after="0"/>
              <w:rPr>
                <w:sz w:val="12"/>
                <w:szCs w:val="12"/>
                <w:color w:val="auto"/>
              </w:rPr>
            </w:pPr>
          </w:p>
        </w:tc>
        <w:tc>
          <w:tcPr>
            <w:tcW w:w="9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Excess of Net</w:t>
            </w: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from the Issuance of</w:t>
            </w:r>
          </w:p>
        </w:tc>
        <w:tc>
          <w:tcPr>
            <w:tcW w:w="9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Shares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4"/>
              </w:rPr>
              <w:t>Common Shares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w w:val="88"/>
              </w:rPr>
              <w:t>(In thousands, except share data)</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399,896</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9,997 60,133,270</w:t>
            </w: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601</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$1,541,020</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(407,376) (1,487,605)</w:t>
            </w:r>
          </w:p>
        </w:tc>
        <w:tc>
          <w:tcPr>
            <w:tcW w:w="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$(28,807)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(803)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1,114,632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58,960</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58,960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Change in valuation of interest rate swaps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40"/>
              <w:spacing w:after="0" w:line="149" w:lineRule="exact"/>
              <w:rPr>
                <w:sz w:val="20"/>
                <w:szCs w:val="20"/>
                <w:color w:val="auto"/>
              </w:rPr>
            </w:pPr>
            <w:r>
              <w:rPr>
                <w:rFonts w:ascii="Arial" w:cs="Arial" w:eastAsia="Arial" w:hAnsi="Arial"/>
                <w:sz w:val="14"/>
                <w:szCs w:val="14"/>
                <w:color w:val="auto"/>
                <w:w w:val="96"/>
              </w:rPr>
              <w:t>(46)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Dividends declared to common shareholders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(71,782)</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to preferred shareholders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Common shares issued</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ind w:left="480"/>
              <w:spacing w:after="0" w:line="149" w:lineRule="exact"/>
              <w:rPr>
                <w:sz w:val="20"/>
                <w:szCs w:val="20"/>
                <w:color w:val="auto"/>
              </w:rPr>
            </w:pPr>
            <w:r>
              <w:rPr>
                <w:rFonts w:ascii="Arial" w:cs="Arial" w:eastAsia="Arial" w:hAnsi="Arial"/>
                <w:sz w:val="14"/>
                <w:szCs w:val="14"/>
                <w:color w:val="auto"/>
                <w:w w:val="85"/>
              </w:rPr>
              <w:t>117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142,445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1</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18,266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Share-based compensation expense (SFAS No 123 (R))</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98,347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Conversion and redemption of OP units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shares forfeited</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(705)</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Loans paid</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ind w:left="900"/>
              <w:spacing w:after="0" w:line="149" w:lineRule="exact"/>
              <w:rPr>
                <w:sz w:val="20"/>
                <w:szCs w:val="20"/>
                <w:color w:val="auto"/>
              </w:rPr>
            </w:pPr>
            <w:r>
              <w:rPr>
                <w:rFonts w:ascii="Arial" w:cs="Arial" w:eastAsia="Arial" w:hAnsi="Arial"/>
                <w:sz w:val="14"/>
                <w:szCs w:val="14"/>
                <w:color w:val="auto"/>
                <w:w w:val="76"/>
              </w:rPr>
              <w:t>156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JUNE 30, 2008</w:t>
            </w: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399,896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9,997 60,392,445</w:t>
            </w: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604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1,550,612</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xml:space="preserve">(420,469) (1,488,310) </w:t>
            </w:r>
            <w:r>
              <w:rPr>
                <w:rFonts w:ascii="Arial" w:cs="Arial" w:eastAsia="Arial" w:hAnsi="Arial"/>
                <w:sz w:val="14"/>
                <w:szCs w:val="14"/>
                <w:u w:val="single" w:color="auto"/>
                <w:color w:val="auto"/>
                <w:w w:val="99"/>
              </w:rPr>
              <w:t>$</w:t>
            </w:r>
            <w:r>
              <w:rPr>
                <w:rFonts w:ascii="Arial" w:cs="Arial" w:eastAsia="Arial" w:hAnsi="Arial"/>
                <w:sz w:val="14"/>
                <w:szCs w:val="14"/>
                <w:color w:val="auto"/>
                <w:w w:val="99"/>
              </w:rPr>
              <w:t>(28,807) $</w:t>
            </w:r>
          </w:p>
        </w:tc>
        <w:tc>
          <w:tcPr>
            <w:tcW w:w="1200" w:type="dxa"/>
            <w:vAlign w:val="bottom"/>
            <w:gridSpan w:val="2"/>
            <w:shd w:val="clear" w:color="auto" w:fill="CCEEFF"/>
          </w:tcPr>
          <w:p>
            <w:pPr>
              <w:ind w:left="840"/>
              <w:spacing w:after="0" w:line="149" w:lineRule="exact"/>
              <w:rPr>
                <w:sz w:val="20"/>
                <w:szCs w:val="20"/>
                <w:color w:val="auto"/>
              </w:rPr>
            </w:pPr>
            <w:r>
              <w:rPr>
                <w:rFonts w:ascii="Arial" w:cs="Arial" w:eastAsia="Arial" w:hAnsi="Arial"/>
                <w:sz w:val="14"/>
                <w:szCs w:val="14"/>
                <w:color w:val="auto"/>
              </w:rPr>
              <w:t>(647)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w w:val="96"/>
              </w:rPr>
              <w:t>(46)</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1,111,244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4"/>
          </w:tcPr>
          <w:p>
            <w:pPr>
              <w:jc w:val="right"/>
              <w:ind w:right="393"/>
              <w:spacing w:after="0" w:line="142"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58,960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(Increase) decrease in accounts receivable</w:t>
            </w:r>
          </w:p>
        </w:tc>
        <w:tc>
          <w:tcPr>
            <w:tcW w:w="100" w:type="dxa"/>
            <w:vAlign w:val="bottom"/>
          </w:tcPr>
          <w:p>
            <w:pPr>
              <w:spacing w:after="0"/>
              <w:rPr>
                <w:sz w:val="18"/>
                <w:szCs w:val="18"/>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(1,809)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tcPr>
          <w:p>
            <w:pPr>
              <w:spacing w:after="0"/>
              <w:rPr>
                <w:sz w:val="18"/>
                <w:szCs w:val="18"/>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(3,583)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security deposits and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122,983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tcPr>
          <w:p>
            <w:pPr>
              <w:spacing w:after="0"/>
              <w:rPr>
                <w:sz w:val="18"/>
                <w:szCs w:val="18"/>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(42,630)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(49,498)</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(48,828)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(63,009)</w:t>
            </w: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Capital expenditures—other</w:t>
            </w:r>
          </w:p>
        </w:tc>
        <w:tc>
          <w:tcPr>
            <w:tcW w:w="100" w:type="dxa"/>
            <w:vAlign w:val="bottom"/>
          </w:tcPr>
          <w:p>
            <w:pPr>
              <w:spacing w:after="0"/>
              <w:rPr>
                <w:sz w:val="18"/>
                <w:szCs w:val="18"/>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(12,569)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(20,414)</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(5,484)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repayment of mortgage and other notes receivable,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w w:val="85"/>
              </w:rPr>
              <w:t>(109,657)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(92,747)</w:t>
            </w: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Net borrowings under revolving credit facility, net of costs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(3,758)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(71,896)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(64,229)</w:t>
            </w:r>
          </w:p>
        </w:tc>
        <w:tc>
          <w:tcPr>
            <w:tcW w:w="0" w:type="dxa"/>
            <w:vAlign w:val="bottom"/>
          </w:tcPr>
          <w:p>
            <w:pPr>
              <w:spacing w:after="0"/>
              <w:rPr>
                <w:sz w:val="1"/>
                <w:szCs w:val="1"/>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Distributions to minority interests</w:t>
            </w:r>
          </w:p>
        </w:tc>
        <w:tc>
          <w:tcPr>
            <w:tcW w:w="100" w:type="dxa"/>
            <w:vAlign w:val="bottom"/>
          </w:tcPr>
          <w:p>
            <w:pPr>
              <w:spacing w:after="0"/>
              <w:rPr>
                <w:sz w:val="18"/>
                <w:szCs w:val="18"/>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(2,716)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(43,736)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(17,261)</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(30,410)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20,281</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June 30, 2008, we owned or had a majority interest in community and neighborhood shopping centers and mixed-use properties which are operated as 83 predominantly retail real estate projects.</w:t>
      </w:r>
    </w:p>
    <w:p>
      <w:pPr>
        <w:spacing w:after="0" w:line="11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REIT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The sales of condominiums at Santana Row, which occurred between August 2005 and August 2006, and the sales of Bath Shopping Center, Key Road Plaza and Riverside Plaza in 2007 were conducted through a TRS. Other than these sales, our TRS activities have not been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or manage, using the equity method of accounting. Certain amounts in the 2007 consolidated financial statements have been reclassified to conform to current period presentation.</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9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4"/>
          </w:tcPr>
          <w:p>
            <w:pPr>
              <w:jc w:val="right"/>
              <w:ind w:right="374"/>
              <w:spacing w:after="0" w:line="142" w:lineRule="exact"/>
              <w:rPr>
                <w:sz w:val="20"/>
                <w:szCs w:val="20"/>
                <w:color w:val="auto"/>
              </w:rPr>
            </w:pPr>
            <w:r>
              <w:rPr>
                <w:rFonts w:ascii="Arial" w:cs="Arial" w:eastAsia="Arial" w:hAnsi="Arial"/>
                <w:sz w:val="14"/>
                <w:szCs w:val="14"/>
                <w:b w:val="1"/>
                <w:bCs w:val="1"/>
                <w:color w:val="auto"/>
                <w:w w:val="74"/>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52,098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23"/>
        </w:trPr>
        <w:tc>
          <w:tcPr>
            <w:tcW w:w="9600" w:type="dxa"/>
            <w:vAlign w:val="bottom"/>
          </w:tcPr>
          <w:p>
            <w:pPr>
              <w:ind w:left="440"/>
              <w:spacing w:after="0"/>
              <w:rPr>
                <w:sz w:val="20"/>
                <w:szCs w:val="20"/>
                <w:color w:val="auto"/>
              </w:rPr>
            </w:pPr>
            <w:r>
              <w:rPr>
                <w:rFonts w:ascii="Arial" w:cs="Arial" w:eastAsia="Arial" w:hAnsi="Arial"/>
                <w:sz w:val="18"/>
                <w:szCs w:val="18"/>
                <w:color w:val="auto"/>
              </w:rPr>
              <w:t>Interest expense related to discontinued operations</w:t>
            </w:r>
          </w:p>
        </w:tc>
        <w:tc>
          <w:tcPr>
            <w:tcW w:w="8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46,142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NON-CASH FINANCING AND INVESTING TRANSACTIONS: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valuation of interest rate swap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Note payable issued with acquisition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2,221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loans assumed with acquisition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Common shares issued with acquisition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shares issued with acquisition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tcPr>
          <w:p>
            <w:pPr>
              <w:ind w:left="440"/>
              <w:spacing w:after="0"/>
              <w:rPr>
                <w:sz w:val="20"/>
                <w:szCs w:val="20"/>
                <w:color w:val="auto"/>
              </w:rPr>
            </w:pPr>
            <w:r>
              <w:rPr>
                <w:rFonts w:ascii="Arial" w:cs="Arial" w:eastAsia="Arial" w:hAnsi="Arial"/>
                <w:sz w:val="18"/>
                <w:szCs w:val="18"/>
                <w:color w:val="auto"/>
              </w:rPr>
              <w:t>DownREIT operating partnership units issued with acquisition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adopted the recognition and disclosure provisions of SFAS No. 157 for financial assets and financial liabilities and for nonfinancial assets and nonfinancial liabilities that are re-measured at least annually effective January 1, 2008; the adoption did not have a material impact on our financial position, results of operations or cash flows. In accordance with FSP SFAS No. 157-2, “Effective Date of FASB Statement No. 157”, we are required to adopt the provisions of SFAS No. 157 for all other nonfinancial assets and nonfinancial liabilities effective January 1, 2009 and do not expect the adoption to have a material impact on our financial position, results of operations or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SFAS No. 157 establishes a hierarchy for inputs used in measuring fair value as follows: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 quoted prices in active markets for identical assets or liabilities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 observable inputs other than quoted prices in active markets for identical assets and liabilities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 unobservable inputs</w:t>
      </w:r>
    </w:p>
    <w:p>
      <w:pPr>
        <w:spacing w:after="0" w:line="16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 Our derivative instruments, as further discussed in Note D, are measured using Level 2 inputs.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did not make this fair value election when we adopted SFAS No. 159 effective January 1, 2008, and, therefore, it did not have an impact on our financial position, results of operations, or cash flows.</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do not expect the adoption of SFAS No. 161 to have a material impact on our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B—REAL ESTATE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significant acquisition we made during the six months ended June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25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Property</w:t>
            </w:r>
          </w:p>
        </w:tc>
        <w:tc>
          <w:tcPr>
            <w:tcW w:w="420" w:type="dxa"/>
            <w:vAlign w:val="bottom"/>
          </w:tcPr>
          <w:p>
            <w:pPr>
              <w:spacing w:after="0"/>
              <w:rPr>
                <w:sz w:val="14"/>
                <w:szCs w:val="14"/>
                <w:color w:val="auto"/>
              </w:rPr>
            </w:pPr>
          </w:p>
        </w:tc>
        <w:tc>
          <w:tcPr>
            <w:tcW w:w="25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City, State</w:t>
            </w:r>
          </w:p>
        </w:tc>
        <w:tc>
          <w:tcPr>
            <w:tcW w:w="4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Leasable Area</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square feet)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May 30, 2008</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Del Mar Village</w:t>
            </w:r>
          </w:p>
        </w:tc>
        <w:tc>
          <w:tcPr>
            <w:tcW w:w="4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Boca Raton, FL</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154,000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As part of the preliminary purchase price allocation, approximately $2.6 million and $6.6 million of the net assets acquired were allocated to other assets for “above market leases” and liabilities for “below market leases,” respectively. This allocation will be finalized after various valuation studies are complete.</w:t>
      </w:r>
    </w:p>
    <w:p>
      <w:pPr>
        <w:spacing w:after="0" w:line="8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conjunction with the acquisition, we entered into a Reverse Section 1031 like-kind exchange agreement with a third party intermediary. The exchange agreement is for a maximum of 180 days and allows us to defer gains on sale of other properties sold within this period. Until the earlier of termination of this exchange agreement or November 26, 2008, the third party intermediary is the legal owner of the property, although we control the property and retain all of the economic benefits and risks associated with the property. This property is held in a variable interest entity for which we are the primary beneficiary. Accordingly, as of May 30, 2008, we consolidated the property and its operations.</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the six months ended June 30, 2008, we had no dispositions. The revenues from all properties included in discontinued operations were $6.1 million and $13.8 million for the three and six months ended June 30,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a joint venture arrangement (“the Partnership”) with affiliates of a discretionary fund created and advised by ING Clarion (“Clarion”). We own 30% of the equity in the Partnership, and Clarion owns 70%. We are the manager of the Partnership and its properties, earning fees for acquisitions, dispositions, management, leasing, and financing. We also have the opportunity to receive performance-based earnings through our Partnership interest. We account for our interest in the Partnership using the equity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24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Revenue</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4,806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4,437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9,486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2,505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2,270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7,152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1,313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1,102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2,334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60" w:type="dxa"/>
            <w:vAlign w:val="bottom"/>
            <w:vMerge w:val="restart"/>
          </w:tcPr>
          <w:p>
            <w:pPr>
              <w:jc w:val="right"/>
              <w:ind w:right="273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93"/>
              </w:rPr>
              <w:t>(In</w:t>
            </w:r>
          </w:p>
        </w:tc>
        <w:tc>
          <w:tcPr>
            <w:tcW w:w="1140" w:type="dxa"/>
            <w:vAlign w:val="bottom"/>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w w:val="8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Real estate, net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189,656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2,484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6,516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198,656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81,454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81,540</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7,624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Partners’ capital</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109,578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198,656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24,436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24,462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29,400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assess effectiveness of our cash flow hedges both at inception and on an ongoing basis. The effective portion of changes in fair value of our cash flow hedges is recorded in other comprehensive income, and the ineffective portion of changes in the fair value of our cash flow hedges is recognized in earnings in the period affected. Hedge ineffectiveness did not have an impact on earnings for the six months ended June 30, 2008. The fair value of these swaps at June 30, 2008 is a liability of $46,000, which is included in accounts payable and accrued expenses on the balance sheet and accumulated other comprehensive loss in the statement of shareholders’ equity. The fair value of the interest rate swap agreements are based upon the estimated amounts we would receive or pay to terminate the contracts at the reporting date and are determined using interest rate market pricing models and observable inputs. Amounts reported in accumulated other comprehensive loss will be reclassified to interest expense as interest payments are made on the variable rate debt through the termination date of November 6, 2008.</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and six months ended June 30, 2008, the maximum amount of borrowings outstanding under our $300 million revolving credit facility was $48.0 million. The weighted average amount of borrowings outstanding was $18.0 million and $9.4 million for the three months and six months ended June 30, 2008, respectively. Our revolving credit facility had a weighted average interest rate, before amortization of debt fees, of 2.98% and 3.04% for the three and six months ended June 30, 2008, respectively.</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As of June 30, 2008, we were in compliance with all loan covenants.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June 16, 2008, we received notice that a holder of our 7.48% debentures will redeem $20.8 million of the outstanding balance on August 15, 2008. The notice period for additional redemptions on the debentures expired as of June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3" w:right="239" w:bottom="1440" w:gutter="0" w:footer="0" w:header="0"/>
        </w:sectPr>
      </w:pPr>
    </w:p>
    <w:bookmarkStart w:id="12" w:name="page13"/>
    <w:bookmarkEnd w:id="12"/>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A trial as to liability only was held in June 2006 and a jury rendered a verdict against us. A trial on the issue of damages was held in April 2008; however, the judge has not yet issued a ruling. Reports from our experts and the plaintiff’s experts show potential damages ranging from $600,000 to $24 million. Pending the judge’s ruling, we cannot make a reasonable estimate of potential damages. We intend to appeal the jury verdict; however, no appeal of the judgment can be taken until the judge issues his ruling on damages. If we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w:t>
      </w:r>
    </w:p>
    <w:p>
      <w:pPr>
        <w:spacing w:after="0" w:line="12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was concluded in April 2007, and in May 2008, a judgment was entered that ruled in our favor on certain legal issues and against us on other legal issues. As to those matters where the court ruled against us and determined that we are liable, a trial as to damages will be held but no trial date has yet been set. Because we have not completed discovery on the issue of damages, we cannot make a reasonable estimate of potential damages at this time. In lieu of pursuing an indemnification claim against the third party management agent that negotiated the lease on our behalf, we have entered into an agreement with the management agent that provides a framework for sharing litigation costs and payment of any damages that may be awarded to the plaintiff. Depending on the amount of damages actually awarded in this matter, and subject to the arrangement in place with the third party management agent, it is possible that there may be a material adverse impact on our net income in the period in which it becomes both probable that we will have to pay the damages and such damages can be reasonably estimated.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 any event, management does not believe that either matter, individually or in the aggregate, will have a material impact on our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2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Paid</w:t>
            </w:r>
          </w:p>
        </w:tc>
        <w:tc>
          <w:tcPr>
            <w:tcW w:w="32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r>
      <w:tr>
        <w:trPr>
          <w:trHeight w:val="20"/>
        </w:trPr>
        <w:tc>
          <w:tcPr>
            <w:tcW w:w="8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$ 1.220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$1.220</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$ 1.150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$1.150</w:t>
            </w:r>
          </w:p>
        </w:tc>
        <w:tc>
          <w:tcPr>
            <w:tcW w:w="220" w:type="dxa"/>
            <w:vAlign w:val="bottom"/>
            <w:shd w:val="clear" w:color="auto" w:fill="CCEEFF"/>
          </w:tcPr>
          <w:p>
            <w:pPr>
              <w:spacing w:after="0"/>
              <w:rPr>
                <w:sz w:val="18"/>
                <w:szCs w:val="18"/>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$ 0.677</w:t>
            </w:r>
          </w:p>
        </w:tc>
        <w:tc>
          <w:tcPr>
            <w:tcW w:w="30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$0.677</w:t>
            </w:r>
          </w:p>
        </w:tc>
        <w:tc>
          <w:tcPr>
            <w:tcW w:w="1040" w:type="dxa"/>
            <w:vAlign w:val="bottom"/>
            <w:gridSpan w:val="2"/>
          </w:tcPr>
          <w:p>
            <w:pPr>
              <w:spacing w:after="0"/>
              <w:rPr>
                <w:sz w:val="20"/>
                <w:szCs w:val="20"/>
                <w:color w:val="auto"/>
              </w:rPr>
            </w:pPr>
            <w:r>
              <w:rPr>
                <w:rFonts w:ascii="Arial" w:cs="Arial" w:eastAsia="Arial" w:hAnsi="Arial"/>
                <w:sz w:val="18"/>
                <w:szCs w:val="18"/>
                <w:color w:val="auto"/>
              </w:rPr>
              <w:t>$ 0.429(1)</w:t>
            </w:r>
          </w:p>
        </w:tc>
        <w:tc>
          <w:tcPr>
            <w:tcW w:w="720" w:type="dxa"/>
            <w:vAlign w:val="bottom"/>
            <w:gridSpan w:val="2"/>
          </w:tcPr>
          <w:p>
            <w:pPr>
              <w:spacing w:after="0"/>
              <w:rPr>
                <w:sz w:val="20"/>
                <w:szCs w:val="20"/>
                <w:color w:val="auto"/>
              </w:rPr>
            </w:pPr>
            <w:r>
              <w:rPr>
                <w:rFonts w:ascii="Arial" w:cs="Arial" w:eastAsia="Arial" w:hAnsi="Arial"/>
                <w:sz w:val="18"/>
                <w:szCs w:val="18"/>
                <w:color w:val="auto"/>
                <w:w w:val="90"/>
              </w:rPr>
              <w:t>$0.090(1)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Series 1 Preferred Shares were issued on March 8, 2007. The dividend declared on the Series 1 Preferred Shares is for the period from March 8, 2007 through and including June 30, 2007. The dividend paid is for the period March 8, 2007 through and including June 30,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9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91,759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87,378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$ 182,046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$ 170,295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3,733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Cost reimbursement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21,077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49,724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1,449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123,952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6"/>
              </w:rPr>
              <w:t>115,281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$ 246,673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$ 227,045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Minimum rents include $1.4 million and $2.7 million for the three months ended June 30, 2008 and 2007, respectively, and $3.0 million and $4.4 million for the six months ended June 30, 2008 and 2007, respectively, to recognize minimum rents on a straight-line basis. In addition, minimum rents include $0.7 million and $0.4 million for the three months ended June 30, 2008 and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respectively, and $1.3 million for each of the six months ended June 30, 2008 and 2007, to recognize income from the amortization of in-place leases in accordance with SFAS No. 141. Residential minimum rents consist of the rental amounts for residential units at Rollingwood Apartments, the Crest at Congressional Plaza Apartments, Santana Row, and for 2008, Arlington East (Bethesda Row). The first rental units at Arlington East were delivered and became rent paying in late May 2008. Lease-up of these rental units will continue through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9"/>
          </w:tcPr>
          <w:p>
            <w:pPr>
              <w:jc w:val="center"/>
              <w:ind w:right="52"/>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8"/>
          </w:tcPr>
          <w:p>
            <w:pPr>
              <w:jc w:val="center"/>
              <w:ind w:right="432"/>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ind w:lef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Grants of common shares</w:t>
            </w: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$ 1,605</w:t>
            </w:r>
          </w:p>
        </w:tc>
        <w:tc>
          <w:tcPr>
            <w:tcW w:w="100" w:type="dxa"/>
            <w:vAlign w:val="bottom"/>
          </w:tcPr>
          <w:p>
            <w:pPr>
              <w:spacing w:after="0"/>
              <w:rPr>
                <w:sz w:val="18"/>
                <w:szCs w:val="18"/>
                <w:color w:val="auto"/>
              </w:rPr>
            </w:pP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8"/>
                <w:szCs w:val="18"/>
                <w:color w:val="auto"/>
                <w:w w:val="98"/>
              </w:rPr>
              <w:t>$3,451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1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4,177</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$ 1,702</w:t>
            </w:r>
          </w:p>
        </w:tc>
        <w:tc>
          <w:tcPr>
            <w:tcW w:w="1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3,574</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I—EARNINGS PER SHARE</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80" w:type="dxa"/>
            <w:vAlign w:val="bottom"/>
            <w:gridSpan w:val="2"/>
          </w:tcPr>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10"/>
          </w:tcPr>
          <w:p>
            <w:pPr>
              <w:jc w:val="center"/>
              <w:ind w:right="312"/>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6"/>
          </w:tcPr>
          <w:p>
            <w:pPr>
              <w:jc w:val="center"/>
              <w:ind w:left="40"/>
              <w:spacing w:after="0"/>
              <w:rPr>
                <w:sz w:val="20"/>
                <w:szCs w:val="20"/>
                <w:color w:val="auto"/>
              </w:rPr>
            </w:pPr>
            <w:r>
              <w:rPr>
                <w:rFonts w:ascii="Arial" w:cs="Arial" w:eastAsia="Arial" w:hAnsi="Arial"/>
                <w:sz w:val="14"/>
                <w:szCs w:val="14"/>
                <w:b w:val="1"/>
                <w:bCs w:val="1"/>
                <w:color w:val="auto"/>
                <w:w w:val="85"/>
              </w:rPr>
              <w:t>June 30,</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61"/>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15"/>
          </w:tcPr>
          <w:p>
            <w:pPr>
              <w:jc w:val="right"/>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$28,974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ind w:right="160"/>
              <w:spacing w:after="0"/>
              <w:rPr>
                <w:sz w:val="20"/>
                <w:szCs w:val="20"/>
                <w:color w:val="auto"/>
              </w:rPr>
            </w:pPr>
            <w:r>
              <w:rPr>
                <w:rFonts w:ascii="Arial" w:cs="Arial" w:eastAsia="Arial" w:hAnsi="Arial"/>
                <w:sz w:val="18"/>
                <w:szCs w:val="18"/>
                <w:color w:val="auto"/>
                <w:w w:val="89"/>
              </w:rPr>
              <w:t>$23,639</w:t>
            </w: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$58,960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$45,392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(271)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28,839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23,504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58,689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5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28,839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26,583</w:t>
            </w:r>
          </w:p>
        </w:tc>
        <w:tc>
          <w:tcPr>
            <w:tcW w:w="1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58,689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ind w:right="160"/>
              <w:spacing w:after="0"/>
              <w:rPr>
                <w:sz w:val="20"/>
                <w:szCs w:val="20"/>
                <w:color w:val="auto"/>
              </w:rPr>
            </w:pPr>
            <w:r>
              <w:rPr>
                <w:rFonts w:ascii="Arial" w:cs="Arial" w:eastAsia="Arial" w:hAnsi="Arial"/>
                <w:sz w:val="18"/>
                <w:szCs w:val="18"/>
                <w:color w:val="auto"/>
              </w:rPr>
              <w:t>56,168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58,570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Unvested stock</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outstanding—diluted (1)</w:t>
            </w: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58,934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56,591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58,872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0.42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0.47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0.42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0.47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conversions of downREIT operating partnership units and Series 1 Preferred Shares are anti-dilutive for all periods presented. Accordingly, downREIT operating partnership units and Series 1 Preferred Shares have been excluded from the weighted average common shares used to compute diluted earnings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J—SEGMENT INFORMATION</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7"/>
              </w:rPr>
              <w:t>Three Months Ended June 30, 2008</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5"/>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4"/>
              </w:rPr>
              <w:t>27,017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(18,308)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(26,306)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71,327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w w:val="94"/>
              </w:rPr>
              <w:t>17,715</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(27,795)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(24,476)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51,820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9,839</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(31,276)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51,820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9,839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(32,685)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2,018,555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925,749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82,243</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3,026,547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7"/>
              </w:rPr>
              <w:t>Three Months Ended June 30, 2007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5"/>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89,205</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4"/>
              </w:rPr>
              <w:t>26,076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66,505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w w:val="94"/>
              </w:rPr>
              <w:t>17,733</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(17,689)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58"/>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(25,493)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(28,178)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(28,178)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48,985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w w:val="94"/>
              </w:rPr>
              <w:t>10,211</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(34,173)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48,985</w:t>
            </w:r>
          </w:p>
        </w:tc>
        <w:tc>
          <w:tcPr>
            <w:tcW w:w="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18"/>
              <w:spacing w:after="0"/>
              <w:rPr>
                <w:sz w:val="20"/>
                <w:szCs w:val="20"/>
                <w:color w:val="auto"/>
              </w:rPr>
            </w:pPr>
            <w:r>
              <w:rPr>
                <w:rFonts w:ascii="Arial" w:cs="Arial" w:eastAsia="Arial" w:hAnsi="Arial"/>
                <w:sz w:val="18"/>
                <w:szCs w:val="18"/>
                <w:color w:val="auto"/>
                <w:w w:val="94"/>
              </w:rPr>
              <w:t>10,211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(32,478)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vMerge w:val="restart"/>
          </w:tcPr>
          <w:p>
            <w:pPr>
              <w:jc w:val="right"/>
              <w:ind w:right="169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88"/>
              </w:rPr>
              <w:t>Six Months Ended June 30, 2008</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8"/>
              </w:rPr>
              <w:t>54,281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(38,851)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w w:val="89"/>
              </w:rPr>
              <w:t>(14,782)</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(53,633)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(5,074)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36,692</w:t>
            </w: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176,375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(13,973)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(37,414)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w w:val="89"/>
              </w:rPr>
              <w:t>(15,391)</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(53,195)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(48,829)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(48,829)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21,452</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(62,419)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21,452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(65,160)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2,018,555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925,749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82,243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3,026,547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88"/>
              </w:rPr>
              <w:t>Six Months Ended June 30, 2007</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175,470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8"/>
              </w:rPr>
              <w:t>51,575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(33,944)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w w:val="89"/>
              </w:rPr>
              <w:t>(13,855)</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(47,799)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(4,339)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128,917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35,719</w:t>
            </w:r>
          </w:p>
        </w:tc>
        <w:tc>
          <w:tcPr>
            <w:tcW w:w="10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(11,722)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(35,040)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58"/>
              <w:spacing w:after="0"/>
              <w:rPr>
                <w:sz w:val="20"/>
                <w:szCs w:val="20"/>
                <w:color w:val="auto"/>
              </w:rPr>
            </w:pPr>
            <w:r>
              <w:rPr>
                <w:rFonts w:ascii="Arial" w:cs="Arial" w:eastAsia="Arial" w:hAnsi="Arial"/>
                <w:sz w:val="18"/>
                <w:szCs w:val="18"/>
                <w:color w:val="auto"/>
                <w:w w:val="89"/>
              </w:rPr>
              <w:t>(15,163)</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(50,405)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(55,515)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(55,515)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20,635</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(66,792)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94,230</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18"/>
              <w:spacing w:after="0"/>
              <w:rPr>
                <w:sz w:val="20"/>
                <w:szCs w:val="20"/>
                <w:color w:val="auto"/>
              </w:rPr>
            </w:pPr>
            <w:r>
              <w:rPr>
                <w:rFonts w:ascii="Arial" w:cs="Arial" w:eastAsia="Arial" w:hAnsi="Arial"/>
                <w:sz w:val="18"/>
                <w:szCs w:val="18"/>
                <w:color w:val="auto"/>
                <w:w w:val="98"/>
              </w:rPr>
              <w:t>20,635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(65,011)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vMerge w:val="restart"/>
          </w:tcPr>
          <w:p>
            <w:pPr>
              <w:jc w:val="right"/>
              <w:ind w:right="1692"/>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K—SUBSEQUENT EVENTS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July 1, 2008, we paid off the $9.6 million mortgage loan on Leesburg Plaza which had an original maturity date of October 1, 2008. This loan was repaid with funds borrowed on our $300 million revolving credit facility.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July 11, 2008, we acquired the fee interest in 7015 and 7045 Beracasa Way in Boca Raton, Florida, for $6.7 million. These two buildings total approximately 25,000 square feet and are adjacent to our Del Mar Village shopping center.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July 15, 2008, we exercised a one-year extension for our $200 million term note and extended the maturity date to November 6, 2009.</w:t>
      </w:r>
    </w:p>
    <w:p>
      <w:pPr>
        <w:spacing w:after="0" w:line="17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On July 16, 2008, we acquired the fee interest in Phase 2 of Chelsea Commons, which is located in the Boston suburb of Chelsea, Massachusetts, for $8.0 million. This property includes four pad sites that total approximately 26,000 square feet and is adjacent to our Chelsea Commons property.</w:t>
      </w:r>
    </w:p>
    <w:p>
      <w:pPr>
        <w:spacing w:after="0" w:line="201"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2007 filed with the Securities and Exchange Commission on February 27, 2008.</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2007,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high quality retail and mixed-use properties located primarily in densely populated and affluent communities in strategically selected metropolitan markets in the Northeast and Mid-Atlantic regions of the United States, as well as in California. As of June 30, 2008, we owned or had a majority interest in community and neighborhood shopping centers and mixed-use properties which are operated as 83 predominantly retail real estate projects comprising approximately 18.4 million square feet. In total, the real estate projects were 95.8% leased and 94.3% occupied at June 30, 2008. A joint venture in which we own a 30% interest owned seven retail real estate projects totaling approximately 1.0 million square feet as of June 30, 2008. In total, the joint venture properties in which we own an interest were 97.9% leased and 97.7% occupied at June 30,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Property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significant acquisition we made during the six months ended June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25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Property</w:t>
            </w:r>
          </w:p>
        </w:tc>
        <w:tc>
          <w:tcPr>
            <w:tcW w:w="420" w:type="dxa"/>
            <w:vAlign w:val="bottom"/>
          </w:tcPr>
          <w:p>
            <w:pPr>
              <w:spacing w:after="0"/>
              <w:rPr>
                <w:sz w:val="14"/>
                <w:szCs w:val="14"/>
                <w:color w:val="auto"/>
              </w:rPr>
            </w:pPr>
          </w:p>
        </w:tc>
        <w:tc>
          <w:tcPr>
            <w:tcW w:w="25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City, State</w:t>
            </w:r>
          </w:p>
        </w:tc>
        <w:tc>
          <w:tcPr>
            <w:tcW w:w="4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Leasable Area</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square feet)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May 30, 2008</w:t>
            </w: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Del Mar Village</w:t>
            </w:r>
          </w:p>
        </w:tc>
        <w:tc>
          <w:tcPr>
            <w:tcW w:w="4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Boca Raton, FL</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154,000</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As part of the preliminary purchase price allocation, approximately $2.6 million and $6.6 million of the net assets acquired were allocated to other assets for “above market leases” and liabilities for “below market leases,” respectively. This allocation will be finalized after various valuation studies are complete.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conjunction with the acquisition, we entered into a Reverse Section 1031 like-kind exchange agreement with a third party intermediary. The exchange agreement is for a maximum of 180 days and allows us to defer gains on sale of other properties sold within this period. Until the earlier of termination of this exchange agreement or November 26, 2008, the third party intermediary is the legal owner of the property, although we control the property and retain all of the economic benefits and risks associated with the property. This property is held in a variable interest entity for which we are the primary beneficiary. Accordingly, as of May 30, 2008, we consolidated the property and its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Significant Debt, Equity and Other Transactions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 which was a liability of $46,000 at June 30, 2008.</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June 16, 2008, we received notice that a holder of our 7.48% debentures will redeem $20.8 million of the outstanding balance on August 15, 2008. The notice period for additional redemptions on the debentures has expired as of June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same-center growth is primarily driven by increases in rental rates on new leases. The infill nature and strong demographics of our properties provide a strategic advantage allowing us to maintain high occupancy and continue to increase rental rates. We seek to maintain a mix of strong national, regional, and local retailers. At June 30, 2008, no single tenant accounted for more than 2.7% of annualized base rent.</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continue to see a positive impact from redevelopment of our shopping centers. In 2008 and 2009, we have redevelopment projects with projected costs of approximately $93 million and $73 million, respectively, stabilizing. As redevelopment properties are completed, spaces that were out of service and newly created spaces begin generating revenue. In addition, spaces that were not out of service and that have expiring leases may generate higher revenue because we generally receive higher rent on new leases at improved centers.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continue to review acquisition opportunities in our primary markets in the East and West regions that complement our portfolio and provide long term opportunities. Additionally, in May 2008, we acquired our first property in South Florida and continue to evaluate further acquisitions in the South Florida market. Generally, our acquisitions do not initially contribute significantly to earnings growth; however, they provide long 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w:t>
      </w:r>
    </w:p>
    <w:p>
      <w:pPr>
        <w:spacing w:after="0" w:line="1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current economic environment may impact the success of our tenants’ retail operations and therefore the amount of rent and expense reimbursements we receive from our tenants. Any reduction in our tenants’ ability to pay base rent, percentage rent or other charges, including the filing by any of our tenants for bankruptcy protection, may adversely affect our financial condition and results of operations. We believe the locations of our centers and diverse tenant base should minimize the negative impact of the economic environment; however, we continue to monitor our tenants’ operating performance as well as trends in the retail industry.</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continue to maintain a strong balance sheet and a conservative capital structure. We seek to maintain a staggered schedule of debt maturities such that a disproportionate amount of debt maturities does not occur in any one year.</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June 30, 2008, the leasable square feet in our shopping centers was 94.3% occupied and 95.8%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Same-Center</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JUNE 30, 2008 AND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(Dollar amounts</w:t>
            </w:r>
          </w:p>
        </w:tc>
        <w:tc>
          <w:tcPr>
            <w:tcW w:w="2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123,952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2"/>
              </w:rPr>
              <w:t>115,281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property income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2,078</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129,694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w w:val="82"/>
              </w:rPr>
              <w:t>118,954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10,740</w:t>
            </w:r>
          </w:p>
        </w:tc>
        <w:tc>
          <w:tcPr>
            <w:tcW w:w="3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Real estate taxes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14,346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11,215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3,131</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34,716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89,042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84,238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4,804</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(24,476)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(28,178)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(27,795)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(25,493)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(2,302)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line="20" w:lineRule="exact"/>
              <w:rPr>
                <w:sz w:val="1"/>
                <w:szCs w:val="1"/>
                <w:color w:val="auto"/>
              </w:rPr>
            </w:pPr>
          </w:p>
        </w:tc>
      </w:tr>
      <w:tr>
        <w:trPr>
          <w:trHeight w:val="230"/>
        </w:trPr>
        <w:tc>
          <w:tcPr>
            <w:tcW w:w="6360" w:type="dxa"/>
            <w:vAlign w:val="bottom"/>
            <w:gridSpan w:val="2"/>
            <w:vMerge w:val="continue"/>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(58,659)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w w:val="89"/>
              </w:rPr>
              <w:t>(59,215)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minority interests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Minority interests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(1,230)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(1,849)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property revenue increased $10.7 million, or 9.0%, to $129.7 million in the three months ended June 30, 2008 compared to $119.0 million in the three months ended June 30, 2007. The percentage occupied at our shopping centers decreased slightly to 94.3% at June 30, 2008 compared to 94.7% at June 30, 2007.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0"/>
        <w:spacing w:after="0" w:line="357" w:lineRule="auto"/>
        <w:rPr>
          <w:sz w:val="20"/>
          <w:szCs w:val="20"/>
          <w:color w:val="auto"/>
        </w:rPr>
      </w:pPr>
      <w:r>
        <w:rPr>
          <w:rFonts w:ascii="Arial" w:cs="Arial" w:eastAsia="Arial" w:hAnsi="Arial"/>
          <w:sz w:val="15"/>
          <w:szCs w:val="15"/>
          <w:color w:val="auto"/>
        </w:rPr>
        <w:t>Rental income consists primarily of minimum rent, cost reimbursements from tenants and percentage rent. Rental income increased $8.7 million, or 7.5%, to $124.0 million in the three months ended June 30, 2008 compared to $115.3 million in the three months ended June 30, 2007 due primarily to the following:</w:t>
      </w:r>
    </w:p>
    <w:p>
      <w:pPr>
        <w:ind w:left="900" w:right="5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$4.8 million at same-center properties due to increased rental rates on new leases, increased cost reimbursements and increased percentage rent,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 increase of $2.2 million at redevelopment properties due primarily to increased rental rates on new leases and increased cost reimbursements,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$1.7 million attributable to properties acquired in 2007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Other property income increased $2.1 million, or 81.6%, to $4.6 million in the three months ended June 30, 2008 compared to $2.5 million in the three months ended June 30, 2007. Included in other property income are items which, although recurring, tend to fluctuate more than rental income from period to period, such as lease termination fees. This increase is due primarily to an increase in lease termination fees at same-center and redevelopment properties.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Expenses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property expenses increased $5.9 million, or 17.1%, to $40.7 million in the three months ended June 30, 2008 compared to $34.7 million in the three months ended June 30, 2007.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$2.8 million, or 11.9%, to $26.3 million in the three months ended June 30, 2008 compared to $23.5 million in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2007. This increase is due primarily to the following:</w:t>
      </w:r>
    </w:p>
    <w:p>
      <w:pPr>
        <w:spacing w:after="0" w:line="84"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$1.8 million in repairs and maintenance at same-center and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$0.5 million attributable to properties acquired in 2007 and 2008,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$0.4 million in bad debt expense at same-center and redevelopment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$0.4 million in insurance expense at same-center properties.</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20.5% in the three months ended June 30, 2008 from 19.9% in the three months ended June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Real estate tax expense increased $3.1 million, or 27.9%, to $14.3 million in the three months ended June 30, 2008 compared to $11.2 million in the three months ended June 30, 2007. This increase is due primarily to an increase of $2.7 million related to higher tax assessments at same-center and redevelopment properties and an increase of $0.4 million related to properties acquired in 2007 and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Property operating income increased $4.8 million, or 5.7%, to $89.0 million in the three months ended June 30, 2008 compared to $84.2 million in the three months ended June 30, 2007.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 and 2008,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in earnings at redevelopment properties.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decreased $3.7 million, or 13.1%, to $24.5 million in the three months ended June 30, 2008 compared to $28.2 million in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2007. This decrease is due primarily to the following:</w:t>
      </w:r>
    </w:p>
    <w:p>
      <w:pPr>
        <w:spacing w:after="0" w:line="8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$1.6 million due to lower borrowings,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$1.4 million due to the termination of the Mid-Pike and Huntington capital leases on October 26, 2007, as part of the acquisition of the fee interests in these properties,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$1.3 million due to a lower overall weighted average borrowing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$0.7 million in capitalized interest.</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Gross interest costs were $26.0 million and $30.3 million in the three months ended June 30, 2008 and 2007, respectively. Capitalized interest was $1.5 million and $2.2 million in the three months ended June 30,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General and administrative expense increased $0.9 million, or 15.1%, to $7.0 million in the three months ended June 30, 2008 compared to $6.1 million in the three months ended June 30, 2007. Approximately $0.5 million of the increase is due to legal and other fees related to the litigation over a parcel of land adjacent to Santana Row and other legal matters.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Depreciation and Amortization</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Depreciation and amortization expense increased $2.3 million, or 9.0%, to $27.8 million in the three months ended June 30, 2008 from $25.5 million in the three months ended June 30, 2007. This increase is due primarily to capital improvements at same-center and redevelopment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No properties were sold for the three months ended June 30, 2008. The reported operating income of $1.2 million for the three months ended June 30, 2007, represents the operating income for the period during which we owned properties sold in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properties were sold in the three months ended June 30, 2008. The gain on sale of real estate from discontinued operations of $1.8 million for the three months ended June 30, 2007 was due to the sales of Bath Shopping Center, Key Road Plaza and Riverside Plaza.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our business on an asset management model, where asset management teams are responsible for a portfolio of assets. We manage our portfolio as two operating regions: East and West. Asset management teams consist of asset managers, leasing agents, development staff and financial personnel, each of whom has responsibility for a distinct portfolio.</w:t>
      </w:r>
    </w:p>
    <w:p>
      <w:pPr>
        <w:spacing w:after="0" w:line="140" w:lineRule="exact"/>
        <w:rPr>
          <w:sz w:val="20"/>
          <w:szCs w:val="20"/>
          <w:color w:val="auto"/>
        </w:rPr>
      </w:pPr>
    </w:p>
    <w:p>
      <w:pPr>
        <w:ind w:right="220"/>
        <w:spacing w:after="0" w:line="331" w:lineRule="auto"/>
        <w:rPr>
          <w:sz w:val="20"/>
          <w:szCs w:val="20"/>
          <w:color w:val="auto"/>
        </w:rPr>
      </w:pPr>
      <w:r>
        <w:rPr>
          <w:rFonts w:ascii="Arial" w:cs="Arial" w:eastAsia="Arial" w:hAnsi="Arial"/>
          <w:sz w:val="16"/>
          <w:szCs w:val="16"/>
          <w:color w:val="auto"/>
        </w:rPr>
        <w:t>The following table provides selected key segment data for the three months ended June 30, 2008 and 2007. The results of properties classified as discontinued operations have been excluded for rental income, total revenue and property operating income from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June 30,</w:t>
            </w:r>
          </w:p>
        </w:tc>
      </w:tr>
      <w:tr>
        <w:trPr>
          <w:trHeight w:val="142"/>
        </w:trPr>
        <w:tc>
          <w:tcPr>
            <w:tcW w:w="6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(Dollars and</w:t>
            </w: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square feet in</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96,935</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89,205</w:t>
            </w: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101,377</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91,743</w:t>
            </w: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71,327</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66,505</w:t>
            </w: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15,769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16,842</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27,017</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26,076</w:t>
            </w: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28,317</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27,211</w:t>
            </w:r>
          </w:p>
        </w:tc>
      </w:tr>
      <w:tr>
        <w:trPr>
          <w:trHeight w:val="216"/>
        </w:trPr>
        <w:tc>
          <w:tcPr>
            <w:tcW w:w="644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17,715</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17,733</w:t>
            </w: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2"/>
        </w:trPr>
        <w:tc>
          <w:tcPr>
            <w:tcW w:w="644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12"/>
              <w:spacing w:after="0"/>
              <w:rPr>
                <w:sz w:val="20"/>
                <w:szCs w:val="20"/>
                <w:color w:val="auto"/>
              </w:rPr>
            </w:pPr>
            <w:r>
              <w:rPr>
                <w:rFonts w:ascii="Arial" w:cs="Arial" w:eastAsia="Arial" w:hAnsi="Arial"/>
                <w:sz w:val="18"/>
                <w:szCs w:val="18"/>
                <w:color w:val="auto"/>
              </w:rPr>
              <w:t>2,630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Rental income for the East region increased $7.7 million, or 8.7%, to $96.9 million in the three months ended June 30, 2008 compared to $89.2 million in the three months ended June 30, 2007 due primarily to the following:</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$4.0 million at same-center properties due primarily to increased rental rates on new leases and increased cost reimbursements,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$2.0 million at redevelopment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$1.7 million attributable to properties acquired in 2007 and 2008.</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Property operating income for the East region increased $4.8 million due primarily to the increase in rental income discussed above and an increase in lease termination income. These increases in income were partially offset by a $2.1 million increase in rental expense due to increases in expenses at same-center and redevelopment properties and the acquisition of properties, and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$2.7 million increase in real estate taxes due primarily to higher assessments and tax rates on our same-center and redevelopment properties and property acquisitions. As a result of these changes, the ratio of property operating income to total revenue for the East region decreased to 70.4% in the three months ended June 30, 2008 from 72.5% in the three months ended June 30, 2007. The gross leaseable area in the East region decreased 1.1 million square feet due primarily to the sale of six properties in New Jersey in October 2007, the results of which are included in discontinued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Rental income for the West region increased $0.9 million, or 3.6%, to $27.0 million in the three months ended June 30, 2008 from $26.1 million in the three months ended June 30, 2007 due primarily to the following:</w:t>
      </w:r>
    </w:p>
    <w:p>
      <w:pPr>
        <w:spacing w:after="0" w:line="51" w:lineRule="exact"/>
        <w:rPr>
          <w:sz w:val="20"/>
          <w:szCs w:val="20"/>
          <w:color w:val="auto"/>
        </w:rPr>
      </w:pPr>
    </w:p>
    <w:p>
      <w:pPr>
        <w:ind w:left="900" w:right="1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$0.8 million at same-center properties due primarily to increased residential rental rates at Santana Row, increased rental rates on new retail leases, and increased percentage rent,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$0.2 million at redevelopment projects.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Property operating income for the West region remained constant at $17.7 million due primarily to the increase in rental income discussed above offset by a $0.4 million increase in demolition costs in connection with a redevelopment project and a $0.7 million increase in other rental expenses and real estate taxes. As a result of these changes, the ratio of property operating income to total revenue for the West region decreased to 62.6% in the three months ended June 30, 2008 from 65.2% in the three months ended June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OPERATIONS—SIX MONTHS ENDED JUNE 30, 2008 AND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(Dollar amounts</w:t>
            </w:r>
          </w:p>
        </w:tc>
        <w:tc>
          <w:tcPr>
            <w:tcW w:w="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246,673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227,045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19,628</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8,010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3,094</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256,917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234,218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22,699</w:t>
            </w:r>
          </w:p>
        </w:tc>
        <w:tc>
          <w:tcPr>
            <w:tcW w:w="3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10,960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176,375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164,636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11,739</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(48,829)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8"/>
              </w:rPr>
              <w:t>(55,515)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(13,973)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w w:val="98"/>
              </w:rPr>
              <w:t>(11,722)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(2,251)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(53,195)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8"/>
              </w:rPr>
              <w:t>(50,405)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(2,790)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30"/>
        </w:trPr>
        <w:tc>
          <w:tcPr>
            <w:tcW w:w="79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(114,674)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w w:val="85"/>
              </w:rPr>
              <w:t>(116,563)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1,889</w:t>
            </w:r>
          </w:p>
        </w:tc>
        <w:tc>
          <w:tcPr>
            <w:tcW w:w="3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minority interests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13,628</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(2,613)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(1,849)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Total property revenue increased $22.7 million, or 9.7%, to $256.9 million in the six months ended June 30, 2008 compared to $234.2 million in the six months ended June 30, 2007. The percentage occupied at our shopping centers decreased slightly to 94.3% at June 30, 2008 compared to 94.7% at June 30, 2007.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$19.6 million, or 8.6%, to $246.7 million in the six months ended June 30, 2008 compared to $227.0 million in the six months ended June 30, 2007 due primarily to the following:</w:t>
      </w:r>
    </w:p>
    <w:p>
      <w:pPr>
        <w:spacing w:after="0" w:line="4" w:lineRule="exact"/>
        <w:rPr>
          <w:sz w:val="20"/>
          <w:szCs w:val="20"/>
          <w:color w:val="auto"/>
        </w:rPr>
      </w:pPr>
    </w:p>
    <w:p>
      <w:pPr>
        <w:ind w:left="5620" w:right="4920" w:hanging="5166"/>
        <w:spacing w:after="0" w:line="525" w:lineRule="auto"/>
        <w:tabs>
          <w:tab w:leader="none" w:pos="893"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of $8.9 million attributable to properties acquired in 2007 and 2008, 22</w:t>
      </w:r>
    </w:p>
    <w:p>
      <w:pPr>
        <w:sectPr>
          <w:pgSz w:w="11900" w:h="16838" w:orient="portrait"/>
          <w:cols w:equalWidth="0" w:num="1">
            <w:col w:w="11420"/>
          </w:cols>
          <w:pgMar w:left="240" w:top="280" w:right="239" w:bottom="1440" w:gutter="0" w:footer="0" w:header="0"/>
        </w:sectPr>
      </w:pPr>
    </w:p>
    <w:bookmarkStart w:id="22" w:name="page23"/>
    <w:bookmarkEnd w:id="22"/>
    <w:p>
      <w:pPr>
        <w:ind w:left="900" w:right="4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increase of $7.2 million at same-center properties due to increased rental rates on new leases, increased cost reimbursements and increased percentage rent,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of $3.6 million at redevelopment properties due primarily to increased rental rates on new leases and increased cost reimbursements.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Other property income increased $3.1 million, or 62.9%, to $8.0 million in the six months ended June 30, 2008 compared to $4.9 million in the six months ended June 30, 2007. Included in other property income are items which, although recurring, tend to fluctuate more than rental income from period to period, such as lease termination fees. This increase is due primarily to an increase in lease termination fees at same-center and redevelopment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Total property expenses increased $11.0 million, or 15.8%, to $80.5 million in the six months ended June 30, 2008 compared to $69.6 million in the six months ended June 30, 2007.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$5.8 million, or 12.2%, to $53.6 million in the six months ended June 30, 2008 compared to $47.8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2007. This increase is due primarily to the following:</w:t>
      </w:r>
    </w:p>
    <w:p>
      <w:pPr>
        <w:spacing w:after="0" w:line="8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$2.5 million in repairs and maintenance at same-center and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$2.0 million attributable to properties acquired in 2007 and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$0.8 million in marketing expense at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$0.8 million in bad debt expense at same-center and redevelopment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$0.7 million in insurance expense at same-center properties.</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21.1% in the six months ended June 30, 2008 from 20.6% in the six months ended June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Real estate tax expense increased $5.1 million, or 23.5%, to $26.9 million in the six months ended June 30, 2008 compared to $21.8 million in the six months ended June 30, 2007. This increase is due primarily to an increase of $3.3 million related to higher tax assessments at same-center and redevelopment properties and an increase of $1.8 million related to properties acquired in 2007 and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Property operating income increased $11.7 million, or 7.1%, to $176.4 million in the six months ended June 30, 2008 compared to $164.6 million in the six months ended June 30, 2007.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 and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same-center earnings,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earnings at redevelopment properties.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$6.7 million, or 12.0%, to $48.8 million in the six months ended June 30, 2008 compared to $55.5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2007. This decrease is due primarily to the following:</w:t>
      </w:r>
    </w:p>
    <w:p>
      <w:pPr>
        <w:spacing w:after="0" w:line="84" w:lineRule="exact"/>
        <w:rPr>
          <w:sz w:val="20"/>
          <w:szCs w:val="20"/>
          <w:color w:val="auto"/>
        </w:rPr>
      </w:pPr>
    </w:p>
    <w:p>
      <w:pPr>
        <w:ind w:left="900" w:right="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$2.9 million due to the termination of the Mid-Pike and Huntington capital leases on October 26, 2007, as part of the acquisition of the fee interests in these properties,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$2.4 million due to a lower overall weighted average borrowing rate,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$2.2 million due to lower borrowings,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partially offset by</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$0.8 million in capitalized interest.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Gross interest costs were $52.1 million and $59.6 million in the six months ended June 30, 2008 and 2007, respectively. Capitalized interest was $3.3 million and $4.1 million in the six months ended June 30,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 increased $2.3 million, or 19.2%, to $14.0 million in the six months ended June 30, 2008 compared to $11.7 million in the six months ended June 30, 2007. Approximately $1.4 million of the increase is due to legal and other fees related to the litigation over a parcel of land adjacent to Santana Row and other legal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Depreciation and amortization expense increased $2.8 million, or 5.5%, to $53.2 million in the six months ended June 30, 2008 from $50.4 million in the six months ended June 30, 2007. This increase is due primarily to acquisitions and capital improvements at same-center and redevelopment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No properties were sold for the six months ended June 30, 2008. The reported operating income of $2.6 million for the six months ended June 30, 2007, represents the operating income for the period during which we owned properties sold in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No properties were sold in the six months ended June 30, 2008. The gain on sale of real estate from discontinued operations of $1.8 million for the six months ended June 30, 2007 was due to the sales of Bath Shopping Center, Key Road Plaza and Riverside Plaza.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our business on an asset management model, where asset management teams are responsible for a portfolio of assets. We manage our portfolio as two operating regions: East and West. Asset management teams consist of asset managers, leasing agents, development staff and financial personnel, each of whom has responsibility for a distinct portfolio.</w:t>
      </w:r>
    </w:p>
    <w:p>
      <w:pPr>
        <w:spacing w:after="0" w:line="14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following table provides selected key segment data for the six months ended June 30, 2008 and 2007.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(Dollars and</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7"/>
              </w:rPr>
              <w:t>square feet</w:t>
            </w:r>
          </w:p>
        </w:tc>
        <w:tc>
          <w:tcPr>
            <w:tcW w:w="1000" w:type="dxa"/>
            <w:vAlign w:val="bottom"/>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32"/>
              <w:spacing w:after="0"/>
              <w:rPr>
                <w:sz w:val="20"/>
                <w:szCs w:val="20"/>
                <w:color w:val="auto"/>
              </w:rPr>
            </w:pPr>
            <w:r>
              <w:rPr>
                <w:rFonts w:ascii="Arial" w:cs="Arial" w:eastAsia="Arial" w:hAnsi="Arial"/>
                <w:sz w:val="18"/>
                <w:szCs w:val="18"/>
                <w:color w:val="auto"/>
              </w:rPr>
              <w:t>192,392</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175,470</w:t>
            </w: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200,369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180,305</w:t>
            </w: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32"/>
              <w:spacing w:after="0"/>
              <w:rPr>
                <w:sz w:val="20"/>
                <w:szCs w:val="20"/>
                <w:color w:val="auto"/>
              </w:rPr>
            </w:pPr>
            <w:r>
              <w:rPr>
                <w:rFonts w:ascii="Arial" w:cs="Arial" w:eastAsia="Arial" w:hAnsi="Arial"/>
                <w:sz w:val="18"/>
                <w:szCs w:val="18"/>
                <w:color w:val="auto"/>
              </w:rPr>
              <w:t>139,683</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128,917</w:t>
            </w: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40" w:type="dxa"/>
            <w:vAlign w:val="bottom"/>
          </w:tcPr>
          <w:p>
            <w:pPr>
              <w:spacing w:after="0"/>
              <w:rPr>
                <w:sz w:val="18"/>
                <w:szCs w:val="18"/>
                <w:color w:val="auto"/>
              </w:rPr>
            </w:pPr>
          </w:p>
        </w:tc>
        <w:tc>
          <w:tcPr>
            <w:tcW w:w="1420" w:type="dxa"/>
            <w:vAlign w:val="bottom"/>
            <w:gridSpan w:val="2"/>
          </w:tcPr>
          <w:p>
            <w:pPr>
              <w:jc w:val="right"/>
              <w:ind w:right="532"/>
              <w:spacing w:after="0"/>
              <w:rPr>
                <w:sz w:val="20"/>
                <w:szCs w:val="20"/>
                <w:color w:val="auto"/>
              </w:rPr>
            </w:pPr>
            <w:r>
              <w:rPr>
                <w:rFonts w:ascii="Arial" w:cs="Arial" w:eastAsia="Arial" w:hAnsi="Arial"/>
                <w:sz w:val="18"/>
                <w:szCs w:val="18"/>
                <w:color w:val="auto"/>
              </w:rPr>
              <w:t>15,769</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16,842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32"/>
              <w:spacing w:after="0"/>
              <w:rPr>
                <w:sz w:val="20"/>
                <w:szCs w:val="20"/>
                <w:color w:val="auto"/>
              </w:rPr>
            </w:pPr>
            <w:r>
              <w:rPr>
                <w:rFonts w:ascii="Arial" w:cs="Arial" w:eastAsia="Arial" w:hAnsi="Arial"/>
                <w:sz w:val="18"/>
                <w:szCs w:val="18"/>
                <w:color w:val="auto"/>
              </w:rPr>
              <w:t>54,281</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51,575</w:t>
            </w: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56,548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53,913</w:t>
            </w: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532"/>
              <w:spacing w:after="0"/>
              <w:rPr>
                <w:sz w:val="20"/>
                <w:szCs w:val="20"/>
                <w:color w:val="auto"/>
              </w:rPr>
            </w:pPr>
            <w:r>
              <w:rPr>
                <w:rFonts w:ascii="Arial" w:cs="Arial" w:eastAsia="Arial" w:hAnsi="Arial"/>
                <w:sz w:val="18"/>
                <w:szCs w:val="18"/>
                <w:color w:val="auto"/>
              </w:rPr>
              <w:t>36,692</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35,719</w:t>
            </w: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2"/>
        </w:trPr>
        <w:tc>
          <w:tcPr>
            <w:tcW w:w="87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140" w:type="dxa"/>
            <w:vAlign w:val="bottom"/>
          </w:tcPr>
          <w:p>
            <w:pPr>
              <w:spacing w:after="0"/>
              <w:rPr>
                <w:sz w:val="19"/>
                <w:szCs w:val="19"/>
                <w:color w:val="auto"/>
              </w:rPr>
            </w:pPr>
          </w:p>
        </w:tc>
        <w:tc>
          <w:tcPr>
            <w:tcW w:w="1420" w:type="dxa"/>
            <w:vAlign w:val="bottom"/>
            <w:gridSpan w:val="2"/>
          </w:tcPr>
          <w:p>
            <w:pPr>
              <w:jc w:val="right"/>
              <w:ind w:right="532"/>
              <w:spacing w:after="0"/>
              <w:rPr>
                <w:sz w:val="20"/>
                <w:szCs w:val="20"/>
                <w:color w:val="auto"/>
              </w:rPr>
            </w:pPr>
            <w:r>
              <w:rPr>
                <w:rFonts w:ascii="Arial" w:cs="Arial" w:eastAsia="Arial" w:hAnsi="Arial"/>
                <w:sz w:val="18"/>
                <w:szCs w:val="18"/>
                <w:color w:val="auto"/>
              </w:rPr>
              <w:t>2,630</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East</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Rental income for the East region increased $16.9 million, or 9.6%, to $192.4 million in the six months ended June 30, 2008 compared to $175.5 million in the six months ended June 30, 2007 due primarily to the following:</w:t>
      </w:r>
    </w:p>
    <w:p>
      <w:pPr>
        <w:spacing w:after="0" w:line="51"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$8.7 million attributable to properties acquired in 2007 and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 increase of $5.2 million at same-center properties due primarily to increased rental rates on new leases and increased cost reimbursements,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$3.1 million at redevelopment properties.</w:t>
      </w:r>
    </w:p>
    <w:p>
      <w:pPr>
        <w:spacing w:after="0" w:line="17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Property operating income for the East region increased $10.8 million due primarily to the increase in rental income discussed above and an increase in lease termination income. These increases in income were partially offset by a $4.9 million increase in rental expense due to the acquisition of properties and increases in expenses at same-center and redevelopment properties, and a $4.4 million increase in real estate taxes due primarily to the acquisition of properties and higher assessments on our same-center properties. As a result of these changes, the ratio of property operating income to total revenue for the East region decreased to 69.7% in the six months ended June 30, 2008 from 71.5% in the six months ended June 30, 2007. The gross leaseable area in the East region decreased 1.1 million square feet due primarily to the sale of six properties in New Jersey in October 2007, the results of which are included in discontinued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Rental income for the West region increased $2.7 million, or 5.2%, to $54.3 million in the six months ended June 30, 2008 from $51.6 million in the six months ended June 30, 2007 due primarily to the following:</w:t>
      </w:r>
    </w:p>
    <w:p>
      <w:pPr>
        <w:spacing w:after="0" w:line="51" w:lineRule="exact"/>
        <w:rPr>
          <w:sz w:val="20"/>
          <w:szCs w:val="20"/>
          <w:color w:val="auto"/>
        </w:rPr>
      </w:pPr>
    </w:p>
    <w:p>
      <w:pPr>
        <w:ind w:left="900" w:right="1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$2.0 million at same-center properties due primarily to increased residential rental rates at Santana Row, increased rental rates on new retail leases, and increased percentage rent,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$0.5 million at redevelopment projects,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$0.1 million attributable to a property acquired in 2007.</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Property operating income for the West region increased $1.0 million due primarily to the increase in rental income discussed above partially offset by a $0.2 million increase in demolition costs in connection with redevelopment and a $1.5 million increase in other rental expenses and real estate taxes. As a result of these changes, the ratio of property operating income to total revenue for the West region decreased to 64.9% in the six months ended June 30, 2008 from 66.3% in the six months ended June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adopted the recognition and disclosure provisions of SFAS No. 157 for financial assets and financial liabilities and for nonfinancial assets and nonfinancial liabilities that are re-measured at least annually effective January 1, 2008; the adoption did not have a material impact on our financial position, results of operations or cash flows. In accordance with FSP SFAS No. 157-2, “Effective Date of FASB Statement No. 157”, we are required to adopt the provisions of SFAS No. 157 for all other nonfinancial assets and nonfinancial liabilities effective January 1, 2009 and do not expect the adoption to have a material impact on our financial position, results of operations or cash flows.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did not make this fair value election when we adopted SFAS No. 159 effective January 1, 2008, and, therefore, it did not have an impact on our financial position, results of operations, or cash flows.</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do not expect the adoption of SFAS No. 161 to have a material impact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As a REIT, we must generally make annual distributions to shareholders of at least 90% of our REIT taxable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Overall capital requirements in 2008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900" w:right="3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equity may prohibit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seek to maintain a staggered schedule of debt maturities such that a disproportionate amount of debt maturities does not occur in any one year. In July 2008, we extended the maturity date of our $200 million term loan from November 6, 2008 to November 6, 2009. Consistent therewith, as of June 30, 2008, we had approximately $35 million of debt maturities occurring through December 31, 2008.</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and cash equivalents were $20.3 million at June 30, 2008, which is a $30.4 million decrease from the balance of cash and cash equivalents at December 31, 2007. Cash and cash equivalents are not a good indicator of our liquidity. We have a $300.0 million unsecured revolving credit facility that matures July 27, 2010, subject to a one-year extension at our option. We utilize our revolving credit facility to finance the initial acquisition of properties and meet other short-term working capital requirements.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9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4"/>
          </w:tcPr>
          <w:p>
            <w:pPr>
              <w:jc w:val="right"/>
              <w:ind w:right="375"/>
              <w:spacing w:after="0"/>
              <w:rPr>
                <w:sz w:val="20"/>
                <w:szCs w:val="20"/>
                <w:color w:val="auto"/>
              </w:rPr>
            </w:pPr>
            <w:r>
              <w:rPr>
                <w:rFonts w:ascii="Arial" w:cs="Arial" w:eastAsia="Arial" w:hAnsi="Arial"/>
                <w:sz w:val="12"/>
                <w:szCs w:val="12"/>
                <w:b w:val="1"/>
                <w:bCs w:val="1"/>
                <w:color w:val="auto"/>
                <w:w w:val="80"/>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Arial" w:cs="Arial" w:eastAsia="Arial" w:hAnsi="Arial"/>
                <w:sz w:val="18"/>
                <w:szCs w:val="18"/>
                <w:color w:val="auto"/>
                <w:w w:val="93"/>
              </w:rPr>
              <w:t>(109,657)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(92,747)</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(43,736)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(17,261)</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8"/>
              <w:spacing w:after="0"/>
              <w:rPr>
                <w:sz w:val="20"/>
                <w:szCs w:val="20"/>
                <w:color w:val="auto"/>
              </w:rPr>
            </w:pPr>
            <w:r>
              <w:rPr>
                <w:rFonts w:ascii="Arial" w:cs="Arial" w:eastAsia="Arial" w:hAnsi="Arial"/>
                <w:sz w:val="18"/>
                <w:szCs w:val="18"/>
                <w:color w:val="auto"/>
              </w:rPr>
              <w:t>(30,410)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20,281</w:t>
            </w:r>
          </w:p>
        </w:tc>
        <w:tc>
          <w:tcPr>
            <w:tcW w:w="16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Net cash provided by operating activities increased $12.8 million to $123.0 million during the six months ended June 30, 2008 from $110.2 million during the six months ended June 30, 2007. The increase was primarily attributable to $12.9 million higher net income before gain on sale of real estate, income from real estate partnership, depreciation and amortization, minority interests, and other non-cash expenses.</w:t>
      </w:r>
    </w:p>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Net cash used in investing activities increased $16.9 million to $109.7 million during the six months ended June 30, 2008 from $92.7 million during the six months ended June 30, 2007. The increase was primarily attributable to:</w:t>
      </w:r>
    </w:p>
    <w:p>
      <w:pPr>
        <w:spacing w:after="0" w:line="5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$51.9 million decrease in proceeds from sale of 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$20.4 million decrease in contributions to our unconsolidated real estate partnership due to acquisitions by the real estate partnership in 2007,</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$8.7 million decrease in capital expenditures,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$6.9 million decrease in acquisitions of real estate.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in financing activities increased $26.5 million to $43.7 million during the six months ended June 30, 2008 from $17.3 million during the six months ended June 30, 2007. The increase was primarily attributable to:</w:t>
      </w:r>
    </w:p>
    <w:p>
      <w:pPr>
        <w:spacing w:after="0" w:line="5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$20.0 million decrease in net borrowings on our revolving credit facility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$7.7 million increase in dividends paid to shareholders due to an increase in the dividend rate and increased number of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We are joint venture partners in eight restaurants at Santana Row. Our investment balance in the restaurant joint ventures was approximately $7.9 million at June 30, 2008 and December 31, 2007. Our equity in earnings from the restaurant joint ventures was $0.5 million and $0.9 million for the six months ended June 30, 2008 and 2007, respectively.</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(“Clarion”). We own 30% of the equity in the Partnership, and Clarion owns 70%.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June 30, 2008, the Partnership had $81.5 million of mortgages payable outstanding.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Stated Interest Rate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Debt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as of</w:t>
            </w: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June 30, 2008</w:t>
            </w: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June 30, 2008</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 (2)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Other</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Mercer Mall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4,409</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8.375%</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6,138</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7.400%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Plaza (3)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Crow Canyon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21,404</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Melville Mall (4)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THE AVENUE at White Marsh</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60,533</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5.460%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41,712</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15,724</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29,565</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25,987</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33,000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30,907</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7.415%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Mount Vernon (5)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11,803</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Acquired</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Subtotal</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371,554</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(612)</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Total mortgage loans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370,942</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note (6)</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LIBOR + 0.575%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2,223</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6.50%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facility (7)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LIBOR + 0.425%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(8)</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9,400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2.125%</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notes payable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241,933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8.75% notes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8.750%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6.00% notes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6.000%</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5.40% notes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5.65% notes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5.650%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6.20% notes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7.48% debentures (9)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7.480%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Subtotal</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975,000</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premium</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Total senior notes and debentures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977,470</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860"/>
              <w:spacing w:after="0"/>
              <w:rPr>
                <w:sz w:val="20"/>
                <w:szCs w:val="20"/>
                <w:color w:val="auto"/>
              </w:rPr>
            </w:pPr>
            <w:r>
              <w:rPr>
                <w:rFonts w:ascii="Arial" w:cs="Arial" w:eastAsia="Arial" w:hAnsi="Arial"/>
                <w:sz w:val="18"/>
                <w:szCs w:val="18"/>
                <w:color w:val="auto"/>
              </w:rPr>
              <w:t>Various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75,589</w:t>
            </w:r>
          </w:p>
        </w:tc>
        <w:tc>
          <w:tcPr>
            <w:tcW w:w="380" w:type="dxa"/>
            <w:vAlign w:val="bottom"/>
          </w:tcPr>
          <w:p>
            <w:pPr>
              <w:spacing w:after="0"/>
              <w:rPr>
                <w:sz w:val="19"/>
                <w:szCs w:val="19"/>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color w:val="auto"/>
              </w:rPr>
              <w:t>Various</w:t>
            </w:r>
          </w:p>
        </w:tc>
        <w:tc>
          <w:tcPr>
            <w:tcW w:w="1520" w:type="dxa"/>
            <w:vAlign w:val="bottom"/>
          </w:tcPr>
          <w:p>
            <w:pPr>
              <w:jc w:val="right"/>
              <w:spacing w:after="0"/>
              <w:rPr>
                <w:sz w:val="20"/>
                <w:szCs w:val="20"/>
                <w:color w:val="auto"/>
              </w:rPr>
            </w:pPr>
            <w:r>
              <w:rPr>
                <w:rFonts w:ascii="Arial" w:cs="Arial" w:eastAsia="Arial" w:hAnsi="Arial"/>
                <w:sz w:val="18"/>
                <w:szCs w:val="18"/>
                <w:color w:val="auto"/>
                <w:w w:val="87"/>
              </w:rPr>
              <w:t>Various through 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1,665,934</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t>Mortgage loans do not include our 30% share ($24.4 million) of the $81.5 million debt of the partnership with Clarion Lion Properties Fund.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mortgage loan and accrued interest were paid off on July 1, 2008.</w:t>
      </w:r>
    </w:p>
    <w:p>
      <w:pPr>
        <w:spacing w:after="0" w:line="90"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 only loan of $4.35 million at a stated rate of 6.18% and the remaining balance at a stated rate of 5.96%.</w:t>
      </w:r>
    </w:p>
    <w:p>
      <w:pPr>
        <w:spacing w:after="0" w:line="4" w:lineRule="exact"/>
        <w:rPr>
          <w:rFonts w:ascii="Arial" w:cs="Arial" w:eastAsia="Arial" w:hAnsi="Arial"/>
          <w:sz w:val="16"/>
          <w:szCs w:val="16"/>
          <w:color w:val="auto"/>
        </w:rPr>
      </w:pPr>
    </w:p>
    <w:p>
      <w:pPr>
        <w:jc w:val="both"/>
        <w:ind w:left="460" w:right="4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59"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spacing w:after="0" w:line="50" w:lineRule="exact"/>
        <w:rPr>
          <w:rFonts w:ascii="Arial" w:cs="Arial" w:eastAsia="Arial" w:hAnsi="Arial"/>
          <w:sz w:val="18"/>
          <w:szCs w:val="18"/>
          <w:color w:val="auto"/>
        </w:rPr>
      </w:pPr>
    </w:p>
    <w:p>
      <w:pPr>
        <w:ind w:left="460" w:right="20" w:hanging="452"/>
        <w:spacing w:after="0" w:line="303"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July 2008, we exercised our option and extended the maturity date from November 6, 2008 to November 6, 2009.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fixed rate of</w:t>
      </w:r>
    </w:p>
    <w:p>
      <w:pPr>
        <w:spacing w:after="0" w:line="1" w:lineRule="exact"/>
        <w:rPr>
          <w:rFonts w:ascii="Arial" w:cs="Arial" w:eastAsia="Arial" w:hAnsi="Arial"/>
          <w:sz w:val="15"/>
          <w:szCs w:val="15"/>
          <w:color w:val="auto"/>
        </w:rPr>
      </w:pPr>
    </w:p>
    <w:p>
      <w:pPr>
        <w:ind w:left="460" w:right="180"/>
        <w:spacing w:after="0" w:line="261" w:lineRule="auto"/>
        <w:rPr>
          <w:rFonts w:ascii="Arial" w:cs="Arial" w:eastAsia="Arial" w:hAnsi="Arial"/>
          <w:sz w:val="15"/>
          <w:szCs w:val="15"/>
          <w:color w:val="auto"/>
        </w:rPr>
      </w:pPr>
      <w:r>
        <w:rPr>
          <w:rFonts w:ascii="Arial" w:cs="Arial" w:eastAsia="Arial" w:hAnsi="Arial"/>
          <w:sz w:val="18"/>
          <w:szCs w:val="18"/>
          <w:color w:val="auto"/>
        </w:rPr>
        <w:t>2.789%. The weighted average effective interest rate, before amortization of debt fees, was 3.41% and 3.81% for the three and six months ended June 30, 2008, respectively.</w:t>
      </w:r>
    </w:p>
    <w:p>
      <w:pPr>
        <w:spacing w:after="0" w:line="56" w:lineRule="exact"/>
        <w:rPr>
          <w:rFonts w:ascii="Arial" w:cs="Arial" w:eastAsia="Arial" w:hAnsi="Arial"/>
          <w:sz w:val="15"/>
          <w:szCs w:val="15"/>
          <w:color w:val="auto"/>
        </w:rPr>
      </w:pPr>
    </w:p>
    <w:p>
      <w:pPr>
        <w:ind w:left="460" w:hanging="452"/>
        <w:spacing w:after="0" w:line="30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maximum amount drawn under our revolving credit facility during both the three and six months ended June 30, 2008 was $48.0 million. The weighted average effective interest rate on borrowings under our revolving credit facility, before amortization of debt fees, was 2.98% and 3.04% for the three and six months ended June 30, 2008, respectively. This credit facility is subject to a one-year extension at our option.</w:t>
      </w:r>
    </w:p>
    <w:p>
      <w:pPr>
        <w:spacing w:after="0" w:line="25"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50"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August 15, 2008, the debentures are redeemable by the holders thereof at the original purchase price of $1,000 per debenture. On June 16, 2008, we received notice that one of the holders will redeem $20.8 million on August 15, 2008. The notice period for additional redemptions has expired.</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June 30, 2008,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or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debt maturities as of June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Secured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5"/>
              </w:rPr>
              <w:t>Lease</w:t>
            </w: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Unsecured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vMerge w:val="continue"/>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20,854(1)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376,141(2)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388,589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44,646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75,720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121,765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2013 and thereafter (3)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287,064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69,613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538,629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895,306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371,554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75,589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1,216,933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1,664,076(4)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$20.8 million of unsecured debt that was put to us by one of the holders and is due on August 15, 2008.</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$200 million outstanding on our term note. In July 2008, we exercised the extension option on the term note such that the maturity date is now November 6, 2009.</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is subject to a one-year extension at our option. As of June 30, 2008, there was $29.0 million drawn under this credit facility.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$10.0 million under the Mount Vernon mortgage loan that may be required to be paid on or after April 15,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28" w:right="239" w:bottom="1440" w:gutter="0" w:footer="0" w:header="0"/>
        </w:sectPr>
      </w:pPr>
    </w:p>
    <w:bookmarkStart w:id="29" w:name="page30"/>
    <w:bookmarkEnd w:id="29"/>
    <w:p>
      <w:pPr>
        <w:ind w:left="460" w:right="5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total debt maturities differs from the total reported on the consolidated balance sheet due to the unamortized net premium or discount on certain mortgage loans, senior notes and debentures as of June 30,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assess effectiveness of our cash flow hedges both at inception and on an ongoing basis. The effective portion of changes in fair value of our cash flow hedges is recorded in other comprehensive income, and the ineffective portion of changes in the fair value of our cash flow hedges is recognized in earnings in the period affected. Hedge ineffectiveness did not have an impact on earnings for the six months ended June 30, 2008. The fair value of these swaps at June 30, 2008 is a liability of $46,000, which is included in accounts payable and accrued expenses on the balance sheet and accumulated other comprehensive loss in the statement of shareholders’ equity. The fair value of the interest rate swap agreements are based upon the estimated amounts we would receive or pay to terminate the contracts at the reporting date and are determined using interest rate market pricing models and observable inputs. Amounts reported in accumulated other comprehensive loss will be reclassified to interest expense as interest payments are made on the variable rate debt through the termination date of November 6,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7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reconciliation of net income to FFO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12"/>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9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4"/>
              </w:rPr>
              <w:t>except per share</w:t>
            </w:r>
          </w:p>
        </w:tc>
        <w:tc>
          <w:tcPr>
            <w:tcW w:w="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1"/>
              </w:rPr>
              <w:t>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28,974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3"/>
              </w:rPr>
              <w:t>26,718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58,960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w w:val="91"/>
              </w:rPr>
              <w:t>(1,849)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25,050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3"/>
              </w:rPr>
              <w:t>24,317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440"/>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56,638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w w:val="83"/>
              </w:rPr>
              <w:t>51,616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111,926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56,734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3"/>
              </w:rPr>
              <w:t>51,880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112,118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59,311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w w:val="83"/>
              </w:rPr>
              <w:t>57,149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59,251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8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are exposed to credit loss in the event of non-performance by the counter party to our interest rate swap agreements used to fix the variable portion of our $200 million term note. The counter party of these swaps has a long-term debt rating of “AA-” by Standards and Poor’s Rating Service and “Aa2” by Moody’s Investor Service as of June 30,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June 30, 2008 we had $1.4 billion of fixed-rate debt outstanding. On February 21, 2008, we entered into two interest rate swap agreements to fix the variable portion of our $200 million term note through November 6, 2008 which effectively fixed the interest rate on the term note. If interest rates on our fixed-rate debt instruments at June 30, 2008 had been 1.0% higher, the fair value of those debt instruments on that date would have decreased by approximately $55.9 million. If interest rates on our fixed-rate debt instruments at June 30, 2008 had been 1.0% lower, the fair value of those debt instruments on that date would have increased by approximately $64.9 million.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Variable Interest Rate Debt</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believe that our primary interest rate risk is due to fluctuations in interest rates on our variable rate debt. At June 30, 2008, we had $38.4 million of variable rate debt outstanding excluding the $200 million term loan as the interest rate is effectively fixed by our two swap agreements. Based upon this amount of variable rate debt, if interest rates increased 1.0%, our annual interest expense would increase by approximately $0.4 million, and our net income and cash flows for the year would decrease by approximately $0.4 million. Conversely, if interest rates decreased 1.0%, our annual interest expense would decrease by approximately $0.4 million, and our net income and cash flows for the year would increase by approximately $0.4 million.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2008. Based on this evaluation, our management, including our Chief Executive Officer and Chief Financial Officer, concluded that our disclosure controls and procedures were effective as of June 30, 2008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A trial as to liability only was held in June 2006 and a jury rendered a verdict against us. A trial on the issue of damages was held in April 2008; however, the judge has not yet issued a ruling. Reports from our experts and the plaintiff’s experts show potential damages ranging from $600,000 to $24 million. Pending the judge’s ruling, we cannot make a reasonable estimate of potential damages. We intend to appeal the jury verdict; however, no appeal of the judgment can be taken until the judge issues his ruling on damages. If we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w:t>
      </w:r>
    </w:p>
    <w:p>
      <w:pPr>
        <w:spacing w:after="0" w:line="12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was concluded in April 2007, and in May 2008, a judgment was entered that ruled in our favor on certain legal issues and against us on other legal issues. As to those matters where the court ruled against us and determined that we are liable, a trial as to damages will be held but no trial date has yet been set. Because we have not completed discovery on the issue of damages, we cannot make a reasonable estimate of potential damages at this time. In lieu of pursuing an indemnification claim against the third party management agent that negotiated the lease on our behalf, we have entered into an agreement with the management agent that provides a framework for sharing litigation costs and payment of any damages that may be awarded to the plaintiff. Depending on the amount of damages actually awarded in this matter, and subject to the arrangement in place with the third party management agent, it is possible that there may be a material adverse impact on our net income in the period in which it becomes both probable that we will have to pay the damages and such damages can be reasonably estimated.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 any event, management does not believe that either matter, individually or in the aggregate, will have a material impact on our financial position.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2007 filed with the Securities and Exchange Commission on February 27, 2008. These factors include, but are not limited to, the following:</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During the three months ended June 30, 2008, the following operating partnership units were redeemed for cash:</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Redemption</w:t>
            </w:r>
          </w:p>
        </w:tc>
        <w:tc>
          <w:tcPr>
            <w:tcW w:w="6660" w:type="dxa"/>
            <w:vAlign w:val="bottom"/>
          </w:tcPr>
          <w:p>
            <w:pPr>
              <w:spacing w:after="0"/>
              <w:rPr>
                <w:sz w:val="14"/>
                <w:szCs w:val="14"/>
                <w:color w:val="auto"/>
              </w:rPr>
            </w:pPr>
          </w:p>
        </w:tc>
        <w:tc>
          <w:tcPr>
            <w:tcW w:w="2780" w:type="dxa"/>
            <w:vAlign w:val="bottom"/>
            <w:gridSpan w:val="2"/>
          </w:tcPr>
          <w:p>
            <w:pPr>
              <w:jc w:val="right"/>
              <w:ind w:right="1640"/>
              <w:spacing w:after="0"/>
              <w:rPr>
                <w:sz w:val="20"/>
                <w:szCs w:val="20"/>
                <w:color w:val="auto"/>
              </w:rPr>
            </w:pPr>
            <w:r>
              <w:rPr>
                <w:rFonts w:ascii="Arial" w:cs="Arial" w:eastAsia="Arial" w:hAnsi="Arial"/>
                <w:sz w:val="14"/>
                <w:szCs w:val="14"/>
                <w:b w:val="1"/>
                <w:bCs w:val="1"/>
                <w:color w:val="auto"/>
              </w:rPr>
              <w:t>Number of</w:t>
            </w: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Cash or</w:t>
            </w:r>
          </w:p>
        </w:tc>
        <w:tc>
          <w:tcPr>
            <w:tcW w:w="0" w:type="dxa"/>
            <w:vAlign w:val="bottom"/>
          </w:tcPr>
          <w:p>
            <w:pPr>
              <w:spacing w:after="0"/>
              <w:rPr>
                <w:sz w:val="1"/>
                <w:szCs w:val="1"/>
                <w:color w:val="auto"/>
              </w:rPr>
            </w:pPr>
          </w:p>
        </w:tc>
      </w:t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6660" w:type="dxa"/>
            <w:vAlign w:val="bottom"/>
          </w:tcPr>
          <w:p>
            <w:pPr>
              <w:spacing w:after="0"/>
              <w:rPr>
                <w:sz w:val="14"/>
                <w:szCs w:val="14"/>
                <w:color w:val="auto"/>
              </w:rPr>
            </w:pPr>
          </w:p>
        </w:tc>
        <w:tc>
          <w:tcPr>
            <w:tcW w:w="27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7"/>
              </w:rPr>
              <w:t>Operating Partnership Units</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Common Shares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April 3, 2008</w:t>
            </w:r>
          </w:p>
        </w:tc>
        <w:tc>
          <w:tcPr>
            <w:tcW w:w="94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348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Cash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96"/>
              </w:rPr>
              <w:t>April 7, 2008</w:t>
            </w:r>
          </w:p>
        </w:tc>
        <w:tc>
          <w:tcPr>
            <w:tcW w:w="9440" w:type="dxa"/>
            <w:vAlign w:val="bottom"/>
            <w:gridSpan w:val="3"/>
          </w:tcPr>
          <w:p>
            <w:pPr>
              <w:jc w:val="right"/>
              <w:ind w:right="1120"/>
              <w:spacing w:after="0"/>
              <w:rPr>
                <w:sz w:val="20"/>
                <w:szCs w:val="20"/>
                <w:color w:val="auto"/>
              </w:rPr>
            </w:pPr>
            <w:r>
              <w:rPr>
                <w:rFonts w:ascii="Arial" w:cs="Arial" w:eastAsia="Arial" w:hAnsi="Arial"/>
                <w:sz w:val="18"/>
                <w:szCs w:val="18"/>
                <w:color w:val="auto"/>
              </w:rPr>
              <w:t>2,000</w:t>
            </w:r>
          </w:p>
        </w:tc>
        <w:tc>
          <w:tcPr>
            <w:tcW w:w="960" w:type="dxa"/>
            <w:vAlign w:val="bottom"/>
          </w:tcPr>
          <w:p>
            <w:pPr>
              <w:jc w:val="right"/>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May 13, 2008</w:t>
            </w:r>
          </w:p>
        </w:tc>
        <w:tc>
          <w:tcPr>
            <w:tcW w:w="94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2,330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9440" w:type="dxa"/>
            <w:vAlign w:val="bottom"/>
            <w:gridSpan w:val="3"/>
          </w:tcPr>
          <w:p>
            <w:pPr>
              <w:jc w:val="right"/>
              <w:ind w:right="7040"/>
              <w:spacing w:after="0"/>
              <w:rPr>
                <w:sz w:val="20"/>
                <w:szCs w:val="20"/>
                <w:color w:val="auto"/>
              </w:rPr>
            </w:pPr>
            <w:r>
              <w:rPr>
                <w:rFonts w:ascii="Arial" w:cs="Arial" w:eastAsia="Arial" w:hAnsi="Arial"/>
                <w:sz w:val="18"/>
                <w:szCs w:val="18"/>
                <w:b w:val="1"/>
                <w:bCs w:val="1"/>
                <w:color w:val="auto"/>
                <w:w w:val="86"/>
              </w:rPr>
              <w:t>Defaults Upon Senior Securities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20" w:type="dxa"/>
            <w:vAlign w:val="bottom"/>
            <w:gridSpan w:val="3"/>
          </w:tcPr>
          <w:p>
            <w:pPr>
              <w:spacing w:after="0"/>
              <w:rPr>
                <w:sz w:val="20"/>
                <w:szCs w:val="20"/>
                <w:color w:val="auto"/>
              </w:rPr>
            </w:pPr>
            <w:r>
              <w:rPr>
                <w:rFonts w:ascii="Arial" w:cs="Arial" w:eastAsia="Arial" w:hAnsi="Arial"/>
                <w:sz w:val="18"/>
                <w:szCs w:val="18"/>
                <w:color w:val="auto"/>
              </w:rPr>
              <w:t>None</w:t>
            </w:r>
          </w:p>
        </w:tc>
        <w:tc>
          <w:tcPr>
            <w:tcW w:w="6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60" w:type="dxa"/>
            <w:vAlign w:val="bottom"/>
          </w:tcPr>
          <w:p>
            <w:pPr>
              <w:jc w:val="right"/>
              <w:ind w:right="1792"/>
              <w:spacing w:after="0"/>
              <w:rPr>
                <w:sz w:val="20"/>
                <w:szCs w:val="20"/>
                <w:color w:val="auto"/>
              </w:rPr>
            </w:pPr>
            <w:r>
              <w:rPr>
                <w:rFonts w:ascii="Arial" w:cs="Arial" w:eastAsia="Arial" w:hAnsi="Arial"/>
                <w:sz w:val="18"/>
                <w:szCs w:val="18"/>
                <w:color w:val="auto"/>
              </w:rPr>
              <w:t>33</w:t>
            </w: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fiscal quarter ended June 30, 2008, we submitted certain matters to a vote of our shareholders through the notice of annual meeting of shareholders and the solicitation of proxies related thereto. The proxy materials related to our annual meeting of shareholders were distributed beginning March 28, 2008, and the annual meeting of shareholders was held on May 7, 2008 in Rockville, Maryland. As of March 19, 2008, the record date prior to such meeting, 58,771,951 of our common shares were outstanding. At the annual shareholders meeting on May 7, 2008, 49,562,184 shares of our common stock were presented in person or by proxy, representing 84.3% of our outstanding shares. The following table sets forth the matters presented for a vote by the shareholders and the votes cast for and against such matters: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vMerge w:val="restart"/>
          </w:tcPr>
          <w:p>
            <w:pPr>
              <w:jc w:val="right"/>
              <w:ind w:right="32"/>
              <w:spacing w:after="0"/>
              <w:rPr>
                <w:sz w:val="20"/>
                <w:szCs w:val="20"/>
                <w:color w:val="auto"/>
              </w:rPr>
            </w:pPr>
            <w:r>
              <w:rPr>
                <w:rFonts w:ascii="Arial" w:cs="Arial" w:eastAsia="Arial" w:hAnsi="Arial"/>
                <w:sz w:val="18"/>
                <w:szCs w:val="18"/>
                <w:color w:val="auto"/>
                <w:w w:val="90"/>
              </w:rPr>
              <w:t>(1)</w:t>
            </w:r>
          </w:p>
        </w:tc>
        <w:tc>
          <w:tcPr>
            <w:tcW w:w="8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Matter</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Votes for</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Votes against</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Abstentions</w:t>
            </w:r>
          </w:p>
        </w:tc>
        <w:tc>
          <w:tcPr>
            <w:tcW w:w="0" w:type="dxa"/>
            <w:vAlign w:val="bottom"/>
          </w:tcPr>
          <w:p>
            <w:pPr>
              <w:spacing w:after="0"/>
              <w:rPr>
                <w:sz w:val="1"/>
                <w:szCs w:val="1"/>
                <w:color w:val="auto"/>
              </w:rPr>
            </w:pPr>
          </w:p>
        </w:tc>
      </w:tr>
      <w:tr>
        <w:trPr>
          <w:trHeight w:val="201"/>
        </w:trPr>
        <w:tc>
          <w:tcPr>
            <w:tcW w:w="340" w:type="dxa"/>
            <w:vAlign w:val="bottom"/>
            <w:vMerge w:val="continue"/>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w w:val="91"/>
              </w:rPr>
              <w:t>Election of Mr. Warren M. Thompson as a Class III Independent Trustee with a term serving until the 2011 Annual</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Meeting</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48,723,555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788,510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49,835</w:t>
            </w: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8320" w:type="dxa"/>
            <w:vAlign w:val="bottom"/>
          </w:tcPr>
          <w:p>
            <w:pPr>
              <w:spacing w:after="0"/>
              <w:rPr>
                <w:sz w:val="20"/>
                <w:szCs w:val="20"/>
                <w:color w:val="auto"/>
              </w:rPr>
            </w:pPr>
            <w:r>
              <w:rPr>
                <w:rFonts w:ascii="Arial" w:cs="Arial" w:eastAsia="Arial" w:hAnsi="Arial"/>
                <w:sz w:val="18"/>
                <w:szCs w:val="18"/>
                <w:color w:val="auto"/>
                <w:w w:val="92"/>
              </w:rPr>
              <w:t>Election of Mr. Donald C. Wood as a Class III Non-Independent Trustee with a term serving until the 2011 Annual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Meeting</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48,753,854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749,638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58,404</w:t>
            </w: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(3)</w:t>
            </w:r>
          </w:p>
        </w:tc>
        <w:tc>
          <w:tcPr>
            <w:tcW w:w="8320" w:type="dxa"/>
            <w:vAlign w:val="bottom"/>
          </w:tcPr>
          <w:p>
            <w:pPr>
              <w:spacing w:after="0"/>
              <w:rPr>
                <w:sz w:val="20"/>
                <w:szCs w:val="20"/>
                <w:color w:val="auto"/>
              </w:rPr>
            </w:pPr>
            <w:r>
              <w:rPr>
                <w:rFonts w:ascii="Arial" w:cs="Arial" w:eastAsia="Arial" w:hAnsi="Arial"/>
                <w:sz w:val="18"/>
                <w:szCs w:val="18"/>
                <w:color w:val="auto"/>
                <w:w w:val="91"/>
              </w:rPr>
              <w:t>The ratification of the appointment of Grant Thornton LLP as the Trust’s independent registered public accounting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firm for the year ending December 31, 2008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49,091,113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430,171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40,898</w:t>
            </w:r>
          </w:p>
        </w:tc>
        <w:tc>
          <w:tcPr>
            <w:tcW w:w="0" w:type="dxa"/>
            <w:vAlign w:val="bottom"/>
          </w:tcPr>
          <w:p>
            <w:pPr>
              <w:spacing w:after="0"/>
              <w:rPr>
                <w:sz w:val="1"/>
                <w:szCs w:val="1"/>
                <w:color w:val="auto"/>
              </w:rPr>
            </w:pPr>
          </w:p>
        </w:tc>
      </w:t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(4)</w:t>
            </w:r>
          </w:p>
        </w:tc>
        <w:tc>
          <w:tcPr>
            <w:tcW w:w="8320" w:type="dxa"/>
            <w:vAlign w:val="bottom"/>
          </w:tcPr>
          <w:p>
            <w:pPr>
              <w:spacing w:after="0"/>
              <w:rPr>
                <w:sz w:val="20"/>
                <w:szCs w:val="20"/>
                <w:color w:val="auto"/>
              </w:rPr>
            </w:pPr>
            <w:r>
              <w:rPr>
                <w:rFonts w:ascii="Arial" w:cs="Arial" w:eastAsia="Arial" w:hAnsi="Arial"/>
                <w:sz w:val="18"/>
                <w:szCs w:val="18"/>
                <w:color w:val="auto"/>
                <w:w w:val="93"/>
              </w:rPr>
              <w:t>The consideration of a shareholder proposal to request that our Board of Trustees take the actions necessary to</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declassify our board of trustees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31,676,027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8,988,511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292,473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terms of office of the following Trustees continued after the meeting: Gail P. Steinel, Joseph S. Vassalluzzo, Jon E. Bortz, David W. Faeder and Kristin Gamble.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FEDERAL REALTY INVESTMENT TRUST</w:t>
            </w:r>
          </w:p>
        </w:tc>
      </w:tr>
      <w:tr>
        <w:trPr>
          <w:trHeight w:val="433"/>
        </w:trPr>
        <w:tc>
          <w:tcPr>
            <w:tcW w:w="3300" w:type="dxa"/>
            <w:vAlign w:val="bottom"/>
          </w:tcPr>
          <w:p>
            <w:pPr>
              <w:spacing w:after="0"/>
              <w:rPr>
                <w:sz w:val="20"/>
                <w:szCs w:val="20"/>
                <w:color w:val="auto"/>
              </w:rPr>
            </w:pPr>
            <w:r>
              <w:rPr>
                <w:rFonts w:ascii="Arial" w:cs="Arial" w:eastAsia="Arial" w:hAnsi="Arial"/>
                <w:sz w:val="18"/>
                <w:szCs w:val="18"/>
                <w:color w:val="auto"/>
              </w:rPr>
              <w:t>July 30, 2008</w:t>
            </w:r>
          </w:p>
        </w:tc>
        <w:tc>
          <w:tcPr>
            <w:tcW w:w="2660" w:type="dxa"/>
            <w:vAlign w:val="bottom"/>
          </w:tcPr>
          <w:p>
            <w:pPr>
              <w:spacing w:after="0"/>
              <w:rPr>
                <w:sz w:val="24"/>
                <w:szCs w:val="24"/>
                <w:color w:val="auto"/>
              </w:rPr>
            </w:pPr>
          </w:p>
        </w:tc>
        <w:tc>
          <w:tcPr>
            <w:tcW w:w="54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9"/>
              </w:rPr>
              <w:t>/s/ D</w:t>
            </w:r>
            <w:r>
              <w:rPr>
                <w:rFonts w:ascii="Arial" w:cs="Arial" w:eastAsia="Arial" w:hAnsi="Arial"/>
                <w:sz w:val="14"/>
                <w:szCs w:val="14"/>
                <w:b w:val="1"/>
                <w:bCs w:val="1"/>
                <w:color w:val="auto"/>
                <w:w w:val="99"/>
              </w:rPr>
              <w:t>ONALD</w:t>
            </w:r>
            <w:r>
              <w:rPr>
                <w:rFonts w:ascii="Arial" w:cs="Arial" w:eastAsia="Arial" w:hAnsi="Arial"/>
                <w:sz w:val="18"/>
                <w:szCs w:val="18"/>
                <w:b w:val="1"/>
                <w:bCs w:val="1"/>
                <w:color w:val="auto"/>
                <w:w w:val="99"/>
              </w:rPr>
              <w:t xml:space="preserve"> C. W</w:t>
            </w:r>
            <w:r>
              <w:rPr>
                <w:rFonts w:ascii="Arial" w:cs="Arial" w:eastAsia="Arial" w:hAnsi="Arial"/>
                <w:sz w:val="14"/>
                <w:szCs w:val="14"/>
                <w:b w:val="1"/>
                <w:bCs w:val="1"/>
                <w:color w:val="auto"/>
                <w:w w:val="99"/>
              </w:rPr>
              <w:t>OOD</w:t>
            </w:r>
          </w:p>
        </w:tc>
      </w:tr>
      <w:tr>
        <w:trPr>
          <w:trHeight w:val="196"/>
        </w:trPr>
        <w:tc>
          <w:tcPr>
            <w:tcW w:w="33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460" w:type="dxa"/>
            <w:vAlign w:val="bottom"/>
          </w:tcPr>
          <w:p>
            <w:pPr>
              <w:jc w:val="center"/>
              <w:ind w:left="12"/>
              <w:spacing w:after="0" w:line="196" w:lineRule="exact"/>
              <w:rPr>
                <w:sz w:val="20"/>
                <w:szCs w:val="20"/>
                <w:color w:val="auto"/>
              </w:rPr>
            </w:pPr>
            <w:r>
              <w:rPr>
                <w:rFonts w:ascii="Arial" w:cs="Arial" w:eastAsia="Arial" w:hAnsi="Arial"/>
                <w:sz w:val="18"/>
                <w:szCs w:val="18"/>
                <w:b w:val="1"/>
                <w:bCs w:val="1"/>
                <w:color w:val="auto"/>
                <w:w w:val="88"/>
              </w:rPr>
              <w:t>Donald C. Wood,</w:t>
            </w:r>
          </w:p>
        </w:tc>
      </w:tr>
      <w:tr>
        <w:trPr>
          <w:trHeight w:val="216"/>
        </w:trPr>
        <w:tc>
          <w:tcPr>
            <w:tcW w:w="3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President, Chief Executive Officer and Trustee</w:t>
            </w:r>
          </w:p>
        </w:tc>
      </w:tr>
      <w:tr>
        <w:trPr>
          <w:trHeight w:val="228"/>
        </w:trPr>
        <w:tc>
          <w:tcPr>
            <w:tcW w:w="3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(Principal Executive Officer)</w:t>
            </w:r>
          </w:p>
        </w:tc>
      </w:tr>
      <w:tr>
        <w:trPr>
          <w:trHeight w:val="447"/>
        </w:trPr>
        <w:tc>
          <w:tcPr>
            <w:tcW w:w="3300" w:type="dxa"/>
            <w:vAlign w:val="bottom"/>
          </w:tcPr>
          <w:p>
            <w:pPr>
              <w:spacing w:after="0"/>
              <w:rPr>
                <w:sz w:val="20"/>
                <w:szCs w:val="20"/>
                <w:color w:val="auto"/>
              </w:rPr>
            </w:pPr>
            <w:r>
              <w:rPr>
                <w:rFonts w:ascii="Arial" w:cs="Arial" w:eastAsia="Arial" w:hAnsi="Arial"/>
                <w:sz w:val="18"/>
                <w:szCs w:val="18"/>
                <w:color w:val="auto"/>
              </w:rPr>
              <w:t>July 30, 2008</w:t>
            </w:r>
          </w:p>
        </w:tc>
        <w:tc>
          <w:tcPr>
            <w:tcW w:w="2660" w:type="dxa"/>
            <w:vAlign w:val="bottom"/>
          </w:tcPr>
          <w:p>
            <w:pPr>
              <w:spacing w:after="0"/>
              <w:rPr>
                <w:sz w:val="24"/>
                <w:szCs w:val="24"/>
                <w:color w:val="auto"/>
              </w:rPr>
            </w:pPr>
          </w:p>
        </w:tc>
        <w:tc>
          <w:tcPr>
            <w:tcW w:w="54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8"/>
              </w:rPr>
              <w:t>/s/ J</w:t>
            </w:r>
            <w:r>
              <w:rPr>
                <w:rFonts w:ascii="Arial" w:cs="Arial" w:eastAsia="Arial" w:hAnsi="Arial"/>
                <w:sz w:val="14"/>
                <w:szCs w:val="14"/>
                <w:b w:val="1"/>
                <w:bCs w:val="1"/>
                <w:color w:val="auto"/>
                <w:w w:val="98"/>
              </w:rPr>
              <w:t>OSEPH</w:t>
            </w:r>
            <w:r>
              <w:rPr>
                <w:rFonts w:ascii="Arial" w:cs="Arial" w:eastAsia="Arial" w:hAnsi="Arial"/>
                <w:sz w:val="18"/>
                <w:szCs w:val="18"/>
                <w:b w:val="1"/>
                <w:bCs w:val="1"/>
                <w:color w:val="auto"/>
                <w:w w:val="98"/>
              </w:rPr>
              <w:t xml:space="preserve"> M. S</w:t>
            </w:r>
            <w:r>
              <w:rPr>
                <w:rFonts w:ascii="Arial" w:cs="Arial" w:eastAsia="Arial" w:hAnsi="Arial"/>
                <w:sz w:val="14"/>
                <w:szCs w:val="14"/>
                <w:b w:val="1"/>
                <w:bCs w:val="1"/>
                <w:color w:val="auto"/>
                <w:w w:val="98"/>
              </w:rPr>
              <w:t>QUERI</w:t>
            </w:r>
          </w:p>
        </w:tc>
      </w:tr>
      <w:tr>
        <w:trPr>
          <w:trHeight w:val="196"/>
        </w:trPr>
        <w:tc>
          <w:tcPr>
            <w:tcW w:w="33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460" w:type="dxa"/>
            <w:vAlign w:val="bottom"/>
          </w:tcPr>
          <w:p>
            <w:pPr>
              <w:jc w:val="center"/>
              <w:ind w:left="12"/>
              <w:spacing w:after="0" w:line="196" w:lineRule="exact"/>
              <w:rPr>
                <w:sz w:val="20"/>
                <w:szCs w:val="20"/>
                <w:color w:val="auto"/>
              </w:rPr>
            </w:pPr>
            <w:r>
              <w:rPr>
                <w:rFonts w:ascii="Arial" w:cs="Arial" w:eastAsia="Arial" w:hAnsi="Arial"/>
                <w:sz w:val="18"/>
                <w:szCs w:val="18"/>
                <w:b w:val="1"/>
                <w:bCs w:val="1"/>
                <w:color w:val="auto"/>
                <w:w w:val="88"/>
              </w:rPr>
              <w:t>Joseph M. Squeri,</w:t>
            </w:r>
          </w:p>
        </w:tc>
      </w:tr>
      <w:tr>
        <w:trPr>
          <w:trHeight w:val="216"/>
        </w:trPr>
        <w:tc>
          <w:tcPr>
            <w:tcW w:w="3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Vice President and</w:t>
            </w:r>
          </w:p>
        </w:tc>
      </w:tr>
      <w:tr>
        <w:trPr>
          <w:trHeight w:val="216"/>
        </w:trPr>
        <w:tc>
          <w:tcPr>
            <w:tcW w:w="3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Chief Financial Officer (Principal Financial and</w:t>
            </w:r>
          </w:p>
        </w:tc>
      </w:tr>
      <w:tr>
        <w:trPr>
          <w:trHeight w:val="228"/>
        </w:trPr>
        <w:tc>
          <w:tcPr>
            <w:tcW w:w="3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Accounting Officer)</w:t>
            </w:r>
          </w:p>
        </w:tc>
      </w:tr>
      <w:tr>
        <w:trPr>
          <w:trHeight w:val="378"/>
        </w:trPr>
        <w:tc>
          <w:tcPr>
            <w:tcW w:w="3300" w:type="dxa"/>
            <w:vAlign w:val="bottom"/>
          </w:tcPr>
          <w:p>
            <w:pPr>
              <w:spacing w:after="0"/>
              <w:rPr>
                <w:sz w:val="24"/>
                <w:szCs w:val="24"/>
                <w:color w:val="auto"/>
              </w:rPr>
            </w:pPr>
          </w:p>
        </w:tc>
        <w:tc>
          <w:tcPr>
            <w:tcW w:w="266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jc w:val="center"/>
              <w:ind w:right="1373"/>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Declaration of Trust of Federal Realty Investment Trust dated June 17, 2004 (previously filed as Exhibit 3.1 to the Trust’s Quarterly Report</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on Form 10-Q for the quarter ended June 30, 2005 (File No. 1-07533) (the “2005 2Q Form 10-Q”) and 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7"/>
              </w:rPr>
              <w:t>Amended and Restated Bylaws of Federal Realty Investment Trust dated February 12, 2003, as amended October 29, 2003, May 5, 2004 and</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February 17, 2006 (previously filed as Exhibit 3.2 to the Trust’s Annual Report on Form 10-K for the year ended December 31, 2005 (File</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No. 1-07533) (the “2005 Form 10-K”) and 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6"/>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Articles Supplementary relating to the 5.417% Series 1 Cumulative Convertible Preferred Shares of Beneficial Interest (previously filed as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Exhibit 4.1 to the Trust’s Current Report on Form 8-K filed on March 13, 2007, (File No. 1-07533) and 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7"/>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8"/>
              </w:rPr>
              <w:t>First Amendment to Amended and Restated Rights Agreement, dated as of November 2003, between the Trust and American Stock Transfer</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&amp; Trust Company (previously filed as Exhibit 4.5 to the Trust’s Annual Report on Form 10-K for the year ended December 31, 2003 (File</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No. 1-07533) and 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Indenture dated December 13,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8"/>
              </w:rPr>
              <w:t xml:space="preserve">Indenture dated September 1, 1998 related to the Trust’s 8.75% Notes due December 1, 2009; 6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/8% Notes due November 15, 2007; 4.50%</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Notes due 2011; 5.65% Notes due 2016; 6.00% Notes due 2012; 6.20% Notes due 2017; and 5.40% Notes due 2013 (previously filed as</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Exhibit 4(a) to the Trust’s Registration Statement on Form S-3 (File No. 333-63619) filed on September 17, 1998 and incorporated herein by</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Pursuant to Regulation S-K Item 601(b)(4)(iii), the Trust by this filing agrees, upon request, to furnish to the Securities and Exchange</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Amended and Restated 1993 Long-Term Incentive Plan, as amended on October 6, 1997 and further amended on May 6, 1998 (previously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8"/>
              </w:rPr>
              <w:t>filed as Exhibit 10.26 to the Trust’s Annual Report on Form 10-K for the year ended December 31, 1998 (File No. 1-07533)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Fiscal Agency Agreement dated as of October 28, 1993 between the Trust and Citibank, N.A. (previously filed as an exhibit to the Trust’s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Quarterly Report on Form 10-Q for the quarter ended September 30, 1993 (File No. 1-07533) and 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Form of Severance Agreement between the Trust and Certain of its Officers dated December 31, 1994 (previously filed as a portion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Exhibit 10 to the Trust’s Annual Report on Form 10-K for the year ended December 31, 1994 (File No. 1-07533) and incorporated herein by</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Severance Agreement between the Trust and Donald C. Wood dated February 22, 1999 (previously filed as a portion of Exhibit 10 to the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7"/>
              </w:rPr>
              <w:t>Trust’s Quarterly Report on Form 10-Q for the quarter ended March 31, 1999 (File No. 1-07533) (the “1999 1Q Form 10-Q”)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10.5</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Executive Agreement between Federal Realty Investment Trust and Donald C. Wood dated February 22, 1999 (previously filed as a portion</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of Exhibit 10 to the 1999 1Q Form 10-Q and incorporated herein by reference)</w:t>
            </w:r>
          </w:p>
        </w:tc>
      </w:tr>
      <w:tr>
        <w:trPr>
          <w:trHeight w:val="318"/>
        </w:trPr>
        <w:tc>
          <w:tcPr>
            <w:tcW w:w="720" w:type="dxa"/>
            <w:vAlign w:val="bottom"/>
          </w:tcPr>
          <w:p>
            <w:pPr>
              <w:jc w:val="right"/>
              <w:ind w:right="113"/>
              <w:spacing w:after="0"/>
              <w:rPr>
                <w:sz w:val="20"/>
                <w:szCs w:val="20"/>
                <w:color w:val="auto"/>
              </w:rPr>
            </w:pPr>
            <w:r>
              <w:rPr>
                <w:rFonts w:ascii="Arial" w:cs="Arial" w:eastAsia="Arial" w:hAnsi="Arial"/>
                <w:sz w:val="18"/>
                <w:szCs w:val="18"/>
                <w:color w:val="auto"/>
              </w:rPr>
              <w:t>10.6</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Amendment to Executive Agreement between Federal Realty Investment Trust and Donald C. Wood dated February 16, 2005 (previously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filed as Exhibit 10.12 to the Trust’s Annual Report on Form 10-K for the year ended December 31, 2004 (File No. 1-07533)</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(the “2004 Form 10-K”)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274" w:right="239" w:bottom="1440" w:gutter="0" w:footer="0" w:header="0"/>
        </w:sectPr>
      </w:pPr>
    </w:p>
    <w:bookmarkStart w:id="36" w:name="page37"/>
    <w:bookmarkEnd w:id="36"/>
    <w:p>
      <w:pPr>
        <w:spacing w:after="0"/>
        <w:tabs>
          <w:tab w:leader="none" w:pos="132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8890</wp:posOffset>
            </wp:positionV>
            <wp:extent cx="63887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ectPr>
          <w:pgSz w:w="11900" w:h="16838" w:orient="portrait"/>
          <w:cols w:equalWidth="0" w:num="1">
            <w:col w:w="11400"/>
          </w:cols>
          <w:pgMar w:left="260" w:top="275" w:right="239" w:bottom="1440" w:gutter="0" w:footer="0" w:header="0"/>
        </w:sectPr>
      </w:pP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91"/>
              </w:rPr>
              <w:t>10.7</w:t>
            </w:r>
          </w:p>
        </w:tc>
        <w:tc>
          <w:tcPr>
            <w:tcW w:w="10460" w:type="dxa"/>
            <w:vAlign w:val="bottom"/>
          </w:tcPr>
          <w:p>
            <w:pPr>
              <w:ind w:left="400"/>
              <w:spacing w:after="0"/>
              <w:rPr>
                <w:sz w:val="20"/>
                <w:szCs w:val="20"/>
                <w:color w:val="auto"/>
              </w:rPr>
            </w:pPr>
            <w:r>
              <w:rPr>
                <w:rFonts w:ascii="Arial" w:cs="Arial" w:eastAsia="Arial" w:hAnsi="Arial"/>
                <w:sz w:val="18"/>
                <w:szCs w:val="18"/>
                <w:color w:val="auto"/>
                <w:w w:val="95"/>
              </w:rPr>
              <w:t>Split Dollar Life Insurance Agreement dated August 12, 1998 between the Trust and Donald C. Wood (previously filed as a portion of</w:t>
            </w:r>
          </w:p>
        </w:tc>
      </w:tr>
      <w:tr>
        <w:trPr>
          <w:trHeight w:val="216"/>
        </w:trPr>
        <w:tc>
          <w:tcPr>
            <w:tcW w:w="800" w:type="dxa"/>
            <w:vAlign w:val="bottom"/>
          </w:tcPr>
          <w:p>
            <w:pPr>
              <w:spacing w:after="0"/>
              <w:rPr>
                <w:sz w:val="18"/>
                <w:szCs w:val="18"/>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w w:val="90"/>
              </w:rPr>
              <w:t>Exhibit 10 to the Trust’s Annual Report on Form 10-K for the year ended December 31, 2000 (File No. 1-07533) and incorporated herein by</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91"/>
              </w:rPr>
              <w:t>10.8</w:t>
            </w:r>
          </w:p>
        </w:tc>
        <w:tc>
          <w:tcPr>
            <w:tcW w:w="10460" w:type="dxa"/>
            <w:vAlign w:val="bottom"/>
          </w:tcPr>
          <w:p>
            <w:pPr>
              <w:ind w:left="400"/>
              <w:spacing w:after="0"/>
              <w:rPr>
                <w:sz w:val="20"/>
                <w:szCs w:val="20"/>
                <w:color w:val="auto"/>
              </w:rPr>
            </w:pPr>
            <w:r>
              <w:rPr>
                <w:rFonts w:ascii="Arial" w:cs="Arial" w:eastAsia="Arial" w:hAnsi="Arial"/>
                <w:sz w:val="18"/>
                <w:szCs w:val="18"/>
                <w:color w:val="auto"/>
                <w:w w:val="89"/>
              </w:rPr>
              <w:t>Severance Agreement between the Trust and Jeffrey S. Berkes dated March 1, 2000 (previously filed as a portion of Exhibit 10 to the Trust’s</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91"/>
              </w:rPr>
              <w:t>10.9</w:t>
            </w:r>
          </w:p>
        </w:tc>
        <w:tc>
          <w:tcPr>
            <w:tcW w:w="10460" w:type="dxa"/>
            <w:vAlign w:val="bottom"/>
          </w:tcPr>
          <w:p>
            <w:pPr>
              <w:ind w:left="400"/>
              <w:spacing w:after="0"/>
              <w:rPr>
                <w:sz w:val="20"/>
                <w:szCs w:val="20"/>
                <w:color w:val="auto"/>
              </w:rPr>
            </w:pPr>
            <w:r>
              <w:rPr>
                <w:rFonts w:ascii="Arial" w:cs="Arial" w:eastAsia="Arial" w:hAnsi="Arial"/>
                <w:sz w:val="18"/>
                <w:szCs w:val="18"/>
                <w:color w:val="auto"/>
                <w:w w:val="90"/>
              </w:rPr>
              <w:t>Amendment to Severance Agreement between Federal Realty Investment Trust and Jeffrey S. Berkes dated February 16, 2005 (previously</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filed as Exhibit 10.17 to the 2004 Form 10-K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10.10</w:t>
            </w:r>
          </w:p>
        </w:tc>
        <w:tc>
          <w:tcPr>
            <w:tcW w:w="10460" w:type="dxa"/>
            <w:vAlign w:val="bottom"/>
          </w:tcPr>
          <w:p>
            <w:pPr>
              <w:ind w:left="400"/>
              <w:spacing w:after="0"/>
              <w:rPr>
                <w:sz w:val="20"/>
                <w:szCs w:val="20"/>
                <w:color w:val="auto"/>
              </w:rPr>
            </w:pPr>
            <w:r>
              <w:rPr>
                <w:rFonts w:ascii="Arial" w:cs="Arial" w:eastAsia="Arial" w:hAnsi="Arial"/>
                <w:sz w:val="18"/>
                <w:szCs w:val="18"/>
                <w:color w:val="auto"/>
                <w:w w:val="91"/>
              </w:rPr>
              <w:t>Severance Agreement dated March 1, 2002 between the Trust and Larry E. Finger (previously filed as a portion of Exhibit 10 to the Trust’s</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Quarterly Report on Form 10-Q for the quarter ended June 30, 2002 (File No. 1-07533)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10.11</w:t>
            </w:r>
          </w:p>
        </w:tc>
        <w:tc>
          <w:tcPr>
            <w:tcW w:w="10460" w:type="dxa"/>
            <w:vAlign w:val="bottom"/>
          </w:tcPr>
          <w:p>
            <w:pPr>
              <w:ind w:left="400"/>
              <w:spacing w:after="0"/>
              <w:rPr>
                <w:sz w:val="20"/>
                <w:szCs w:val="20"/>
                <w:color w:val="auto"/>
              </w:rPr>
            </w:pPr>
            <w:r>
              <w:rPr>
                <w:rFonts w:ascii="Arial" w:cs="Arial" w:eastAsia="Arial" w:hAnsi="Arial"/>
                <w:sz w:val="18"/>
                <w:szCs w:val="18"/>
                <w:color w:val="auto"/>
                <w:w w:val="89"/>
              </w:rPr>
              <w:t>Amendment to Severance Agreement between Federal Realty Investment Trust and Larry E. Finger dated February 16, 2005 (previously filed</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as Exhibit 10.19 to the 2004 Form 10-K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10.12</w:t>
            </w:r>
          </w:p>
        </w:tc>
        <w:tc>
          <w:tcPr>
            <w:tcW w:w="10460" w:type="dxa"/>
            <w:vAlign w:val="bottom"/>
          </w:tcPr>
          <w:p>
            <w:pPr>
              <w:ind w:left="400"/>
              <w:spacing w:after="0"/>
              <w:rPr>
                <w:sz w:val="20"/>
                <w:szCs w:val="20"/>
                <w:color w:val="auto"/>
              </w:rPr>
            </w:pPr>
            <w:r>
              <w:rPr>
                <w:rFonts w:ascii="Arial" w:cs="Arial" w:eastAsia="Arial" w:hAnsi="Arial"/>
                <w:sz w:val="18"/>
                <w:szCs w:val="18"/>
                <w:color w:val="auto"/>
                <w:w w:val="93"/>
              </w:rPr>
              <w:t>Amendment to Stock Option Agreement dated August 15, 2002 between the Trust and Dawn M. Becker (previously filed as a portion of</w:t>
            </w:r>
          </w:p>
        </w:tc>
      </w:tr>
      <w:tr>
        <w:trPr>
          <w:trHeight w:val="216"/>
        </w:trPr>
        <w:tc>
          <w:tcPr>
            <w:tcW w:w="800" w:type="dxa"/>
            <w:vAlign w:val="bottom"/>
          </w:tcPr>
          <w:p>
            <w:pPr>
              <w:spacing w:after="0"/>
              <w:rPr>
                <w:sz w:val="18"/>
                <w:szCs w:val="18"/>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w w:val="88"/>
              </w:rPr>
              <w:t>Exhibit 10 to the Trust’s Quarterly Report on Form 10-Q for the quarter ended September 30, 2002 (File No. 1-075330 and incorporated herein</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10.13</w:t>
            </w:r>
          </w:p>
        </w:tc>
        <w:tc>
          <w:tcPr>
            <w:tcW w:w="10460" w:type="dxa"/>
            <w:vAlign w:val="bottom"/>
          </w:tcPr>
          <w:p>
            <w:pPr>
              <w:ind w:left="400"/>
              <w:spacing w:after="0"/>
              <w:rPr>
                <w:sz w:val="20"/>
                <w:szCs w:val="20"/>
                <w:color w:val="auto"/>
              </w:rPr>
            </w:pPr>
            <w:r>
              <w:rPr>
                <w:rFonts w:ascii="Arial" w:cs="Arial" w:eastAsia="Arial" w:hAnsi="Arial"/>
                <w:sz w:val="18"/>
                <w:szCs w:val="18"/>
                <w:color w:val="auto"/>
                <w:w w:val="90"/>
              </w:rPr>
              <w:t>2001 Long-Term Incentive Plan (previously filed as Exhibit 99.1 to the Trust’s S-8 Registration Number 333-60364 filed on May 7, 2001 and</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10.14</w:t>
            </w:r>
          </w:p>
        </w:tc>
        <w:tc>
          <w:tcPr>
            <w:tcW w:w="10460" w:type="dxa"/>
            <w:vAlign w:val="bottom"/>
          </w:tcPr>
          <w:p>
            <w:pPr>
              <w:ind w:left="400"/>
              <w:spacing w:after="0"/>
              <w:rPr>
                <w:sz w:val="20"/>
                <w:szCs w:val="20"/>
                <w:color w:val="auto"/>
              </w:rPr>
            </w:pPr>
            <w:r>
              <w:rPr>
                <w:rFonts w:ascii="Arial" w:cs="Arial" w:eastAsia="Arial" w:hAnsi="Arial"/>
                <w:sz w:val="18"/>
                <w:szCs w:val="18"/>
                <w:color w:val="auto"/>
                <w:w w:val="88"/>
              </w:rPr>
              <w:t>Health Coverage Continuation Agreement between Federal Realty Investment Trust and Donald C. Wood dated February 16, 2005 (previously</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10.15</w:t>
            </w:r>
          </w:p>
        </w:tc>
        <w:tc>
          <w:tcPr>
            <w:tcW w:w="10460" w:type="dxa"/>
            <w:vAlign w:val="bottom"/>
          </w:tcPr>
          <w:p>
            <w:pPr>
              <w:ind w:left="400"/>
              <w:spacing w:after="0"/>
              <w:rPr>
                <w:sz w:val="20"/>
                <w:szCs w:val="20"/>
                <w:color w:val="auto"/>
              </w:rPr>
            </w:pPr>
            <w:r>
              <w:rPr>
                <w:rFonts w:ascii="Arial" w:cs="Arial" w:eastAsia="Arial" w:hAnsi="Arial"/>
                <w:sz w:val="18"/>
                <w:szCs w:val="18"/>
                <w:color w:val="auto"/>
                <w:w w:val="90"/>
              </w:rPr>
              <w:t>Severance Agreement between the Trust and Dawn M. Becker dated April 19, 2000 (previously filed as Exhibit 10.26 to the Trust’s 2005 2Q</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Form 10-Q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10.16</w:t>
            </w:r>
          </w:p>
        </w:tc>
        <w:tc>
          <w:tcPr>
            <w:tcW w:w="10460" w:type="dxa"/>
            <w:vAlign w:val="bottom"/>
          </w:tcPr>
          <w:p>
            <w:pPr>
              <w:ind w:left="400"/>
              <w:spacing w:after="0"/>
              <w:rPr>
                <w:sz w:val="20"/>
                <w:szCs w:val="20"/>
                <w:color w:val="auto"/>
              </w:rPr>
            </w:pPr>
            <w:r>
              <w:rPr>
                <w:rFonts w:ascii="Arial" w:cs="Arial" w:eastAsia="Arial" w:hAnsi="Arial"/>
                <w:sz w:val="18"/>
                <w:szCs w:val="18"/>
                <w:color w:val="auto"/>
                <w:w w:val="90"/>
              </w:rPr>
              <w:t>Amendment to Severance Agreement between the Trust and Dawn M. Becker dated February 16, 2005 (previously filed as Exhibit 10.27 to</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the 2004 Form 10-K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10.17</w:t>
            </w:r>
          </w:p>
        </w:tc>
        <w:tc>
          <w:tcPr>
            <w:tcW w:w="10460" w:type="dxa"/>
            <w:vAlign w:val="bottom"/>
          </w:tcPr>
          <w:p>
            <w:pPr>
              <w:ind w:left="400"/>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w w:val="95"/>
              </w:rPr>
              <w:t>out of 2001 Long-Term Incentive Plan (previously filed as Exhibit 10.28 to the 2004 Form 10-K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10.18</w:t>
            </w:r>
          </w:p>
        </w:tc>
        <w:tc>
          <w:tcPr>
            <w:tcW w:w="10460" w:type="dxa"/>
            <w:vAlign w:val="bottom"/>
          </w:tcPr>
          <w:p>
            <w:pPr>
              <w:ind w:left="400"/>
              <w:spacing w:after="0"/>
              <w:rPr>
                <w:sz w:val="20"/>
                <w:szCs w:val="20"/>
                <w:color w:val="auto"/>
              </w:rPr>
            </w:pPr>
            <w:r>
              <w:rPr>
                <w:rFonts w:ascii="Arial" w:cs="Arial" w:eastAsia="Arial" w:hAnsi="Arial"/>
                <w:sz w:val="18"/>
                <w:szCs w:val="18"/>
                <w:color w:val="auto"/>
                <w:w w:val="88"/>
              </w:rPr>
              <w:t>Form of Restricted Share Award Agreement for awards made under the Trust’s Annual Incentive Bonus Program for shares issued out of 2001</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10.19</w:t>
            </w:r>
          </w:p>
        </w:tc>
        <w:tc>
          <w:tcPr>
            <w:tcW w:w="10460" w:type="dxa"/>
            <w:vAlign w:val="bottom"/>
          </w:tcPr>
          <w:p>
            <w:pPr>
              <w:ind w:left="400"/>
              <w:spacing w:after="0"/>
              <w:rPr>
                <w:sz w:val="20"/>
                <w:szCs w:val="20"/>
                <w:color w:val="auto"/>
              </w:rPr>
            </w:pPr>
            <w:r>
              <w:rPr>
                <w:rFonts w:ascii="Arial" w:cs="Arial" w:eastAsia="Arial" w:hAnsi="Arial"/>
                <w:sz w:val="18"/>
                <w:szCs w:val="18"/>
                <w:color w:val="auto"/>
                <w:w w:val="91"/>
              </w:rPr>
              <w:t>Form of Option Award Agreement for options awarded under 2001 Long-Term Incentive Plan (previously filed as Exhibit 10.30 to the 2004</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10.20</w:t>
            </w:r>
          </w:p>
        </w:tc>
        <w:tc>
          <w:tcPr>
            <w:tcW w:w="10460" w:type="dxa"/>
            <w:vAlign w:val="bottom"/>
          </w:tcPr>
          <w:p>
            <w:pPr>
              <w:ind w:left="400"/>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w w:val="99"/>
              </w:rPr>
              <w:t>2001 Long-Term Incentive Plan (previously filed as Exhibit 10.32 to the 2005 Form 10-K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10.21</w:t>
            </w:r>
          </w:p>
        </w:tc>
        <w:tc>
          <w:tcPr>
            <w:tcW w:w="10460" w:type="dxa"/>
            <w:vAlign w:val="bottom"/>
          </w:tcPr>
          <w:p>
            <w:pPr>
              <w:ind w:left="400"/>
              <w:spacing w:after="0"/>
              <w:rPr>
                <w:sz w:val="20"/>
                <w:szCs w:val="20"/>
                <w:color w:val="auto"/>
              </w:rPr>
            </w:pPr>
            <w:r>
              <w:rPr>
                <w:rFonts w:ascii="Arial" w:cs="Arial" w:eastAsia="Arial" w:hAnsi="Arial"/>
                <w:sz w:val="18"/>
                <w:szCs w:val="18"/>
                <w:color w:val="auto"/>
                <w:w w:val="89"/>
              </w:rPr>
              <w:t>Credit Agreement dated as of July 28, 2006, by and between the Trust, Wachovia Capital Markets LLC, Wachovia Bank, National Association</w:t>
            </w:r>
          </w:p>
        </w:tc>
      </w:tr>
      <w:tr>
        <w:trPr>
          <w:trHeight w:val="216"/>
        </w:trPr>
        <w:tc>
          <w:tcPr>
            <w:tcW w:w="800" w:type="dxa"/>
            <w:vAlign w:val="bottom"/>
          </w:tcPr>
          <w:p>
            <w:pPr>
              <w:spacing w:after="0"/>
              <w:rPr>
                <w:sz w:val="18"/>
                <w:szCs w:val="18"/>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w w:val="90"/>
              </w:rPr>
              <w:t>and various other financial institutions (previously filed as Exhibit 10.1 to the Trust’s Current Report on Form 8-K (File No. 1-07533), filed on</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July 31, 2006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10.22</w:t>
            </w:r>
          </w:p>
        </w:tc>
        <w:tc>
          <w:tcPr>
            <w:tcW w:w="10460" w:type="dxa"/>
            <w:vAlign w:val="bottom"/>
          </w:tcPr>
          <w:p>
            <w:pPr>
              <w:ind w:left="400"/>
              <w:spacing w:after="0"/>
              <w:rPr>
                <w:sz w:val="20"/>
                <w:szCs w:val="20"/>
                <w:color w:val="auto"/>
              </w:rPr>
            </w:pPr>
            <w:r>
              <w:rPr>
                <w:rFonts w:ascii="Arial" w:cs="Arial" w:eastAsia="Arial" w:hAnsi="Arial"/>
                <w:sz w:val="18"/>
                <w:szCs w:val="18"/>
                <w:color w:val="auto"/>
                <w:w w:val="91"/>
              </w:rPr>
              <w:t>Amended and Restated 2001 Long-Term Incentive Plan (previously filed as Exhibit 10.34 to the Trust’s Quarterly Report on Form 10-Q for</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the quarter ended June 30, 2007 (File No. 1-07533)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10.23</w:t>
            </w:r>
          </w:p>
        </w:tc>
        <w:tc>
          <w:tcPr>
            <w:tcW w:w="10460" w:type="dxa"/>
            <w:vAlign w:val="bottom"/>
          </w:tcPr>
          <w:p>
            <w:pPr>
              <w:ind w:left="400"/>
              <w:spacing w:after="0"/>
              <w:rPr>
                <w:sz w:val="20"/>
                <w:szCs w:val="20"/>
                <w:color w:val="auto"/>
              </w:rPr>
            </w:pPr>
            <w:r>
              <w:rPr>
                <w:rFonts w:ascii="Arial" w:cs="Arial" w:eastAsia="Arial" w:hAnsi="Arial"/>
                <w:sz w:val="18"/>
                <w:szCs w:val="18"/>
                <w:color w:val="auto"/>
                <w:w w:val="90"/>
              </w:rPr>
              <w:t>Restricted Share Award Agreement between the Trust and Joseph M. Squeri dated October 1, 2007 (previously filed as Exhibit 10.23 to the</w:t>
            </w:r>
          </w:p>
        </w:tc>
      </w:tr>
      <w:tr>
        <w:trPr>
          <w:trHeight w:val="216"/>
        </w:trPr>
        <w:tc>
          <w:tcPr>
            <w:tcW w:w="800" w:type="dxa"/>
            <w:vAlign w:val="bottom"/>
          </w:tcPr>
          <w:p>
            <w:pPr>
              <w:spacing w:after="0"/>
              <w:rPr>
                <w:sz w:val="18"/>
                <w:szCs w:val="18"/>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w w:val="93"/>
              </w:rPr>
              <w:t>Trust’s Annual Report on Form 10-K for the year ended December 31, 2007 (File No 1-07533) (the “2007 Form 10-K”) and incorporated</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10.24</w:t>
            </w:r>
          </w:p>
        </w:tc>
        <w:tc>
          <w:tcPr>
            <w:tcW w:w="10460" w:type="dxa"/>
            <w:vAlign w:val="bottom"/>
          </w:tcPr>
          <w:p>
            <w:pPr>
              <w:ind w:left="400"/>
              <w:spacing w:after="0"/>
              <w:rPr>
                <w:sz w:val="20"/>
                <w:szCs w:val="20"/>
                <w:color w:val="auto"/>
              </w:rPr>
            </w:pPr>
            <w:r>
              <w:rPr>
                <w:rFonts w:ascii="Arial" w:cs="Arial" w:eastAsia="Arial" w:hAnsi="Arial"/>
                <w:sz w:val="18"/>
                <w:szCs w:val="18"/>
                <w:color w:val="auto"/>
                <w:w w:val="88"/>
              </w:rPr>
              <w:t>Severance Agreement between the Trust and Joseph M. Squeri dated October 1, 2007 (previously filed as Exhibit 10.24 to the 2007 Form 10-</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K and incorporated herein by reference)</w:t>
            </w:r>
          </w:p>
        </w:tc>
      </w:tr>
      <w:tr>
        <w:trPr>
          <w:trHeight w:val="318"/>
        </w:trPr>
        <w:tc>
          <w:tcPr>
            <w:tcW w:w="800" w:type="dxa"/>
            <w:vAlign w:val="bottom"/>
          </w:tcPr>
          <w:p>
            <w:pPr>
              <w:jc w:val="center"/>
              <w:ind w:right="312"/>
              <w:spacing w:after="0"/>
              <w:rPr>
                <w:sz w:val="20"/>
                <w:szCs w:val="20"/>
                <w:color w:val="auto"/>
              </w:rPr>
            </w:pPr>
            <w:r>
              <w:rPr>
                <w:rFonts w:ascii="Arial" w:cs="Arial" w:eastAsia="Arial" w:hAnsi="Arial"/>
                <w:sz w:val="18"/>
                <w:szCs w:val="18"/>
                <w:color w:val="auto"/>
                <w:w w:val="88"/>
              </w:rPr>
              <w:t>10.25</w:t>
            </w:r>
          </w:p>
        </w:tc>
        <w:tc>
          <w:tcPr>
            <w:tcW w:w="10460" w:type="dxa"/>
            <w:vAlign w:val="bottom"/>
          </w:tcPr>
          <w:p>
            <w:pPr>
              <w:ind w:left="400"/>
              <w:spacing w:after="0"/>
              <w:rPr>
                <w:sz w:val="20"/>
                <w:szCs w:val="20"/>
                <w:color w:val="auto"/>
              </w:rPr>
            </w:pPr>
            <w:r>
              <w:rPr>
                <w:rFonts w:ascii="Arial" w:cs="Arial" w:eastAsia="Arial" w:hAnsi="Arial"/>
                <w:sz w:val="18"/>
                <w:szCs w:val="18"/>
                <w:color w:val="auto"/>
                <w:w w:val="93"/>
              </w:rPr>
              <w:t>Credit Agreement dated as of November 9, 2007, by and between the Trust, Wachovia Capital Markets LLC, Wachovia Bank, National</w:t>
            </w:r>
          </w:p>
        </w:tc>
      </w:tr>
      <w:tr>
        <w:trPr>
          <w:trHeight w:val="216"/>
        </w:trPr>
        <w:tc>
          <w:tcPr>
            <w:tcW w:w="800" w:type="dxa"/>
            <w:vAlign w:val="bottom"/>
          </w:tcPr>
          <w:p>
            <w:pPr>
              <w:spacing w:after="0"/>
              <w:rPr>
                <w:sz w:val="18"/>
                <w:szCs w:val="18"/>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w w:val="94"/>
              </w:rPr>
              <w:t>Association and various other financial institutions (previously filed as Exhibit 10.25 to the 2007 Form 10-K and incorporated herein by</w:t>
            </w:r>
          </w:p>
        </w:tc>
      </w:tr>
      <w:tr>
        <w:trPr>
          <w:trHeight w:val="222"/>
        </w:trPr>
        <w:tc>
          <w:tcPr>
            <w:tcW w:w="80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reference)</w:t>
            </w:r>
          </w:p>
        </w:tc>
      </w:tr>
      <w:tr>
        <w:trPr>
          <w:trHeight w:val="365"/>
        </w:trPr>
        <w:tc>
          <w:tcPr>
            <w:tcW w:w="800" w:type="dxa"/>
            <w:vAlign w:val="bottom"/>
          </w:tcPr>
          <w:p>
            <w:pPr>
              <w:spacing w:after="0"/>
              <w:rPr>
                <w:sz w:val="24"/>
                <w:szCs w:val="24"/>
                <w:color w:val="auto"/>
              </w:rPr>
            </w:pPr>
          </w:p>
        </w:tc>
        <w:tc>
          <w:tcPr>
            <w:tcW w:w="10460" w:type="dxa"/>
            <w:vAlign w:val="bottom"/>
          </w:tcPr>
          <w:p>
            <w:pPr>
              <w:ind w:left="466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00"/>
          </w:cols>
          <w:pgMar w:left="260" w:top="275" w:right="239" w:bottom="1440" w:gutter="0" w:footer="0" w:header="0"/>
          <w:type w:val="continuous"/>
        </w:sectPr>
      </w:pPr>
    </w:p>
    <w:bookmarkStart w:id="37" w:name="page38"/>
    <w:bookmarkEnd w:id="37"/>
    <w:p>
      <w:pPr>
        <w:spacing w:after="0"/>
        <w:tabs>
          <w:tab w:leader="none" w:pos="132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8890</wp:posOffset>
            </wp:positionV>
            <wp:extent cx="63887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ectPr>
          <w:pgSz w:w="11900" w:h="16838" w:orient="portrait"/>
          <w:cols w:equalWidth="0" w:num="1">
            <w:col w:w="11300"/>
          </w:cols>
          <w:pgMar w:left="260" w:top="275" w:right="339" w:bottom="1440" w:gutter="0" w:footer="0" w:header="0"/>
        </w:sectPr>
      </w:pP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10.26</w:t>
            </w:r>
          </w:p>
        </w:tc>
        <w:tc>
          <w:tcPr>
            <w:tcW w:w="10360" w:type="dxa"/>
            <w:vAlign w:val="bottom"/>
            <w:gridSpan w:val="2"/>
          </w:tcPr>
          <w:p>
            <w:pPr>
              <w:ind w:left="400"/>
              <w:spacing w:after="0"/>
              <w:rPr>
                <w:sz w:val="20"/>
                <w:szCs w:val="20"/>
                <w:color w:val="auto"/>
              </w:rPr>
            </w:pPr>
            <w:r>
              <w:rPr>
                <w:rFonts w:ascii="Arial" w:cs="Arial" w:eastAsia="Arial" w:hAnsi="Arial"/>
                <w:sz w:val="18"/>
                <w:szCs w:val="18"/>
                <w:color w:val="auto"/>
                <w:w w:val="88"/>
              </w:rPr>
              <w:t>Consulting Agreement between the Trust and Larry E. Finger dated January 1, 2008 (previously filed as Exhibit 10.26 to the 2007 Form 10-K</w:t>
            </w:r>
          </w:p>
        </w:tc>
      </w:tr>
      <w:tr>
        <w:trPr>
          <w:trHeight w:val="222"/>
        </w:trPr>
        <w:tc>
          <w:tcPr>
            <w:tcW w:w="800" w:type="dxa"/>
            <w:vAlign w:val="bottom"/>
          </w:tcPr>
          <w:p>
            <w:pPr>
              <w:spacing w:after="0"/>
              <w:rPr>
                <w:sz w:val="19"/>
                <w:szCs w:val="19"/>
                <w:color w:val="auto"/>
              </w:rPr>
            </w:pPr>
          </w:p>
        </w:tc>
        <w:tc>
          <w:tcPr>
            <w:tcW w:w="10360" w:type="dxa"/>
            <w:vAlign w:val="bottom"/>
            <w:gridSpan w:val="2"/>
          </w:tcPr>
          <w:p>
            <w:pPr>
              <w:ind w:left="400"/>
              <w:spacing w:after="0"/>
              <w:rPr>
                <w:sz w:val="20"/>
                <w:szCs w:val="20"/>
                <w:color w:val="auto"/>
              </w:rPr>
            </w:pPr>
            <w:r>
              <w:rPr>
                <w:rFonts w:ascii="Arial" w:cs="Arial" w:eastAsia="Arial" w:hAnsi="Arial"/>
                <w:sz w:val="18"/>
                <w:szCs w:val="18"/>
                <w:color w:val="auto"/>
              </w:rPr>
              <w:t>and incorporated herein by reference)</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gridSpan w:val="2"/>
          </w:tcPr>
          <w:p>
            <w:pPr>
              <w:ind w:left="40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gridSpan w:val="2"/>
          </w:tcPr>
          <w:p>
            <w:pPr>
              <w:ind w:left="400"/>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340" w:type="dxa"/>
            <w:vAlign w:val="bottom"/>
          </w:tcPr>
          <w:p>
            <w:pPr>
              <w:ind w:left="400"/>
              <w:spacing w:after="0"/>
              <w:rPr>
                <w:sz w:val="20"/>
                <w:szCs w:val="20"/>
                <w:color w:val="auto"/>
              </w:rPr>
            </w:pPr>
            <w:r>
              <w:rPr>
                <w:rFonts w:ascii="Arial" w:cs="Arial" w:eastAsia="Arial" w:hAnsi="Arial"/>
                <w:sz w:val="18"/>
                <w:szCs w:val="18"/>
                <w:color w:val="auto"/>
                <w:w w:val="87"/>
              </w:rPr>
              <w:t>Section 1350</w:t>
            </w:r>
          </w:p>
        </w:tc>
        <w:tc>
          <w:tcPr>
            <w:tcW w:w="902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340" w:type="dxa"/>
            <w:vAlign w:val="bottom"/>
          </w:tcPr>
          <w:p>
            <w:pPr>
              <w:ind w:left="400"/>
              <w:spacing w:after="0"/>
              <w:rPr>
                <w:sz w:val="20"/>
                <w:szCs w:val="20"/>
                <w:color w:val="auto"/>
              </w:rPr>
            </w:pPr>
            <w:r>
              <w:rPr>
                <w:rFonts w:ascii="Arial" w:cs="Arial" w:eastAsia="Arial" w:hAnsi="Arial"/>
                <w:sz w:val="18"/>
                <w:szCs w:val="18"/>
                <w:color w:val="auto"/>
                <w:w w:val="87"/>
              </w:rPr>
              <w:t>Section 1350</w:t>
            </w:r>
          </w:p>
        </w:tc>
        <w:tc>
          <w:tcPr>
            <w:tcW w:w="90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(filed herewith)</w:t>
            </w:r>
          </w:p>
        </w:tc>
      </w:tr>
      <w:tr>
        <w:trPr>
          <w:trHeight w:val="365"/>
        </w:trPr>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20" w:type="dxa"/>
            <w:vAlign w:val="bottom"/>
          </w:tcPr>
          <w:p>
            <w:pPr>
              <w:jc w:val="right"/>
              <w:ind w:right="5432"/>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300"/>
          </w:cols>
          <w:pgMar w:left="260" w:top="275"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July 30, 2008</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Joseph M. Squeri</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July 30, 2008</w:t>
      </w:r>
      <w:r>
        <w:rPr>
          <w:sz w:val="20"/>
          <w:szCs w:val="20"/>
          <w:color w:val="auto"/>
        </w:rPr>
        <w:tab/>
      </w:r>
      <w:r>
        <w:rPr>
          <w:rFonts w:ascii="Arial" w:cs="Arial" w:eastAsia="Arial" w:hAnsi="Arial"/>
          <w:sz w:val="16"/>
          <w:szCs w:val="16"/>
          <w:b w:val="1"/>
          <w:bCs w:val="1"/>
          <w:color w:val="auto"/>
        </w:rPr>
        <w:t>/s/ J</w:t>
      </w:r>
      <w:r>
        <w:rPr>
          <w:rFonts w:ascii="Arial" w:cs="Arial" w:eastAsia="Arial" w:hAnsi="Arial"/>
          <w:sz w:val="13"/>
          <w:szCs w:val="13"/>
          <w:b w:val="1"/>
          <w:bCs w:val="1"/>
          <w:color w:val="auto"/>
        </w:rPr>
        <w:t>OSEPH</w:t>
      </w:r>
      <w:r>
        <w:rPr>
          <w:rFonts w:ascii="Arial" w:cs="Arial" w:eastAsia="Arial" w:hAnsi="Arial"/>
          <w:sz w:val="16"/>
          <w:szCs w:val="16"/>
          <w:b w:val="1"/>
          <w:bCs w:val="1"/>
          <w:color w:val="auto"/>
        </w:rPr>
        <w:t xml:space="preserve"> M. S</w:t>
      </w:r>
      <w:r>
        <w:rPr>
          <w:rFonts w:ascii="Arial" w:cs="Arial" w:eastAsia="Arial" w:hAnsi="Arial"/>
          <w:sz w:val="13"/>
          <w:szCs w:val="13"/>
          <w:b w:val="1"/>
          <w:bCs w:val="1"/>
          <w:color w:val="auto"/>
        </w:rPr>
        <w:t>QUERI</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(Principal Financial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Accounting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2008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July 30, 2008</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Joseph M. Squeri, the Executive Vice President and Chief Financial Officer of Federal Realty Investment Trust (the “Company”), has executed this certification in connection with the filing with the Securities and Exchange Commission of the Company’s Quarterly Report on Form 10-Q for the period ended June 30, 2008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July 30, 2008</w:t>
      </w:r>
      <w:r>
        <w:rPr>
          <w:sz w:val="20"/>
          <w:szCs w:val="20"/>
          <w:color w:val="auto"/>
        </w:rPr>
        <w:tab/>
      </w:r>
      <w:r>
        <w:rPr>
          <w:rFonts w:ascii="Arial" w:cs="Arial" w:eastAsia="Arial" w:hAnsi="Arial"/>
          <w:sz w:val="16"/>
          <w:szCs w:val="16"/>
          <w:b w:val="1"/>
          <w:bCs w:val="1"/>
          <w:color w:val="auto"/>
        </w:rPr>
        <w:t>/s/ J</w:t>
      </w:r>
      <w:r>
        <w:rPr>
          <w:rFonts w:ascii="Arial" w:cs="Arial" w:eastAsia="Arial" w:hAnsi="Arial"/>
          <w:sz w:val="13"/>
          <w:szCs w:val="13"/>
          <w:b w:val="1"/>
          <w:bCs w:val="1"/>
          <w:color w:val="auto"/>
        </w:rPr>
        <w:t>OSEPH</w:t>
      </w:r>
      <w:r>
        <w:rPr>
          <w:rFonts w:ascii="Arial" w:cs="Arial" w:eastAsia="Arial" w:hAnsi="Arial"/>
          <w:sz w:val="16"/>
          <w:szCs w:val="16"/>
          <w:b w:val="1"/>
          <w:bCs w:val="1"/>
          <w:color w:val="auto"/>
        </w:rPr>
        <w:t xml:space="preserve"> M. S</w:t>
      </w:r>
      <w:r>
        <w:rPr>
          <w:rFonts w:ascii="Arial" w:cs="Arial" w:eastAsia="Arial" w:hAnsi="Arial"/>
          <w:sz w:val="13"/>
          <w:szCs w:val="13"/>
          <w:b w:val="1"/>
          <w:bCs w:val="1"/>
          <w:color w:val="auto"/>
        </w:rPr>
        <w:t>QUERI</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(Principal Financial</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4"/>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lvl w:ilvl="1">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2019-12-11T11:46:14Z</dcterms:created>
  <dcterms:modified xsi:type="dcterms:W3CDTF">2019-12-11T11:46:14Z</dcterms:modified>
</cp:coreProperties>
</file>