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31" w:lineRule="exact"/>
        <w:rPr>
          <w:sz w:val="24"/>
          <w:szCs w:val="24"/>
          <w:color w:val="auto"/>
        </w:rPr>
      </w:pPr>
    </w:p>
    <w:p>
      <w:pPr>
        <w:ind w:left="760" w:hanging="626"/>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ANNUAL REPORT PURSUANT TO THE SECTION 13 OR 15(D) OF THE SECURITIES EXCHANGE ACT OF 1934</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760" w:hanging="626"/>
        <w:spacing w:after="0"/>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6"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1-07533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FEDERAL REALTY INVESTMENT TRUST</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1680" w:type="dxa"/>
            <w:vAlign w:val="bottom"/>
          </w:tcPr>
          <w:p>
            <w:pPr>
              <w:spacing w:after="0"/>
              <w:rPr>
                <w:sz w:val="19"/>
                <w:szCs w:val="19"/>
                <w:color w:val="auto"/>
              </w:rPr>
            </w:pPr>
          </w:p>
        </w:tc>
        <w:tc>
          <w:tcPr>
            <w:tcW w:w="3360" w:type="dxa"/>
            <w:vAlign w:val="bottom"/>
            <w:gridSpan w:val="2"/>
          </w:tcPr>
          <w:p>
            <w:pPr>
              <w:jc w:val="center"/>
              <w:ind w:right="1545"/>
              <w:spacing w:after="0"/>
              <w:rPr>
                <w:sz w:val="20"/>
                <w:szCs w:val="20"/>
                <w:color w:val="auto"/>
              </w:rPr>
            </w:pPr>
            <w:r>
              <w:rPr>
                <w:rFonts w:ascii="Arial" w:cs="Arial" w:eastAsia="Arial" w:hAnsi="Arial"/>
                <w:sz w:val="18"/>
                <w:szCs w:val="18"/>
                <w:b w:val="1"/>
                <w:bCs w:val="1"/>
                <w:color w:val="auto"/>
                <w:w w:val="98"/>
              </w:rPr>
              <w:t>Maryland</w:t>
            </w: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300" w:type="dxa"/>
            <w:vAlign w:val="bottom"/>
            <w:gridSpan w:val="3"/>
          </w:tcPr>
          <w:p>
            <w:pPr>
              <w:jc w:val="right"/>
              <w:ind w:right="1719"/>
              <w:spacing w:after="0"/>
              <w:rPr>
                <w:sz w:val="20"/>
                <w:szCs w:val="20"/>
                <w:color w:val="auto"/>
              </w:rPr>
            </w:pPr>
            <w:r>
              <w:rPr>
                <w:rFonts w:ascii="Arial" w:cs="Arial" w:eastAsia="Arial" w:hAnsi="Arial"/>
                <w:sz w:val="18"/>
                <w:szCs w:val="18"/>
                <w:b w:val="1"/>
                <w:bCs w:val="1"/>
                <w:color w:val="auto"/>
              </w:rPr>
              <w:t>52-0782497</w:t>
            </w:r>
          </w:p>
        </w:tc>
      </w:tr>
      <w:tr>
        <w:trPr>
          <w:trHeight w:val="186"/>
        </w:trPr>
        <w:tc>
          <w:tcPr>
            <w:tcW w:w="1680" w:type="dxa"/>
            <w:vAlign w:val="bottom"/>
          </w:tcPr>
          <w:p>
            <w:pPr>
              <w:spacing w:after="0"/>
              <w:rPr>
                <w:sz w:val="16"/>
                <w:szCs w:val="16"/>
                <w:color w:val="auto"/>
              </w:rPr>
            </w:pPr>
          </w:p>
        </w:tc>
        <w:tc>
          <w:tcPr>
            <w:tcW w:w="3360" w:type="dxa"/>
            <w:vAlign w:val="bottom"/>
            <w:gridSpan w:val="2"/>
          </w:tcPr>
          <w:p>
            <w:pPr>
              <w:jc w:val="center"/>
              <w:ind w:right="1545"/>
              <w:spacing w:after="0"/>
              <w:rPr>
                <w:sz w:val="20"/>
                <w:szCs w:val="20"/>
                <w:color w:val="auto"/>
              </w:rPr>
            </w:pPr>
            <w:r>
              <w:rPr>
                <w:rFonts w:ascii="Arial" w:cs="Arial" w:eastAsia="Arial" w:hAnsi="Arial"/>
                <w:sz w:val="14"/>
                <w:szCs w:val="14"/>
                <w:b w:val="1"/>
                <w:bCs w:val="1"/>
                <w:color w:val="auto"/>
                <w:w w:val="94"/>
              </w:rPr>
              <w:t>(State of Organization)</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300" w:type="dxa"/>
            <w:vAlign w:val="bottom"/>
            <w:gridSpan w:val="3"/>
          </w:tcPr>
          <w:p>
            <w:pPr>
              <w:jc w:val="center"/>
              <w:ind w:right="111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273"/>
        </w:trPr>
        <w:tc>
          <w:tcPr>
            <w:tcW w:w="16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2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909 Rose Avenue, Suite 200, North Bethesda, Maryland 20852</w:t>
            </w:r>
          </w:p>
        </w:tc>
        <w:tc>
          <w:tcPr>
            <w:tcW w:w="2260" w:type="dxa"/>
            <w:vAlign w:val="bottom"/>
          </w:tcPr>
          <w:p>
            <w:pPr>
              <w:spacing w:after="0"/>
              <w:rPr>
                <w:sz w:val="23"/>
                <w:szCs w:val="23"/>
                <w:color w:val="auto"/>
              </w:rPr>
            </w:pPr>
          </w:p>
        </w:tc>
      </w:tr>
      <w:tr>
        <w:trPr>
          <w:trHeight w:val="186"/>
        </w:trPr>
        <w:tc>
          <w:tcPr>
            <w:tcW w:w="1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40" w:type="dxa"/>
            <w:vAlign w:val="bottom"/>
            <w:gridSpan w:val="3"/>
          </w:tcPr>
          <w:p>
            <w:pPr>
              <w:jc w:val="center"/>
              <w:ind w:left="965"/>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46"/>
        </w:trPr>
        <w:tc>
          <w:tcPr>
            <w:tcW w:w="1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3"/>
              </w:rPr>
              <w:t>(301) 998-8100</w:t>
            </w: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186"/>
        </w:trPr>
        <w:tc>
          <w:tcPr>
            <w:tcW w:w="1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2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2260" w:type="dxa"/>
            <w:vAlign w:val="bottom"/>
          </w:tcPr>
          <w:p>
            <w:pPr>
              <w:spacing w:after="0"/>
              <w:rPr>
                <w:sz w:val="16"/>
                <w:szCs w:val="16"/>
                <w:color w:val="auto"/>
              </w:rPr>
            </w:pPr>
          </w:p>
        </w:tc>
      </w:tr>
      <w:tr>
        <w:trPr>
          <w:trHeight w:val="290"/>
        </w:trPr>
        <w:tc>
          <w:tcPr>
            <w:tcW w:w="504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0"/>
        </w:trPr>
        <w:tc>
          <w:tcPr>
            <w:tcW w:w="16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2060" w:type="dxa"/>
            <w:vAlign w:val="bottom"/>
          </w:tcPr>
          <w:p>
            <w:pPr>
              <w:spacing w:after="0"/>
              <w:rPr>
                <w:sz w:val="24"/>
                <w:szCs w:val="24"/>
                <w:color w:val="auto"/>
              </w:rPr>
            </w:pPr>
          </w:p>
        </w:tc>
        <w:tc>
          <w:tcPr>
            <w:tcW w:w="2180" w:type="dxa"/>
            <w:vAlign w:val="bottom"/>
            <w:gridSpan w:val="2"/>
          </w:tcPr>
          <w:p>
            <w:pPr>
              <w:jc w:val="center"/>
              <w:ind w:right="1060"/>
              <w:spacing w:after="0"/>
              <w:rPr>
                <w:sz w:val="20"/>
                <w:szCs w:val="20"/>
                <w:color w:val="auto"/>
              </w:rPr>
            </w:pPr>
            <w:r>
              <w:rPr>
                <w:rFonts w:ascii="Arial" w:cs="Arial" w:eastAsia="Arial" w:hAnsi="Arial"/>
                <w:sz w:val="16"/>
                <w:szCs w:val="16"/>
                <w:b w:val="1"/>
                <w:bCs w:val="1"/>
                <w:color w:val="auto"/>
                <w:w w:val="92"/>
              </w:rPr>
              <w:t>Trading Symbol</w:t>
            </w:r>
          </w:p>
        </w:tc>
        <w:tc>
          <w:tcPr>
            <w:tcW w:w="3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gridSpan w:val="2"/>
            <w:shd w:val="clear" w:color="auto" w:fill="000000"/>
          </w:tcPr>
          <w:p>
            <w:pPr>
              <w:spacing w:after="0" w:line="20" w:lineRule="exact"/>
              <w:rPr>
                <w:sz w:val="1"/>
                <w:szCs w:val="1"/>
                <w:color w:val="auto"/>
              </w:rPr>
            </w:pPr>
          </w:p>
        </w:tc>
      </w:tr>
      <w:tr>
        <w:trPr>
          <w:trHeight w:val="250"/>
        </w:trPr>
        <w:tc>
          <w:tcPr>
            <w:tcW w:w="5040" w:type="dxa"/>
            <w:vAlign w:val="bottom"/>
            <w:gridSpan w:val="3"/>
          </w:tcPr>
          <w:p>
            <w:pPr>
              <w:jc w:val="center"/>
              <w:ind w:right="325"/>
              <w:spacing w:after="0"/>
              <w:rPr>
                <w:sz w:val="20"/>
                <w:szCs w:val="20"/>
                <w:color w:val="auto"/>
              </w:rPr>
            </w:pPr>
            <w:r>
              <w:rPr>
                <w:rFonts w:ascii="Arial" w:cs="Arial" w:eastAsia="Arial" w:hAnsi="Arial"/>
                <w:sz w:val="16"/>
                <w:szCs w:val="16"/>
                <w:color w:val="auto"/>
                <w:w w:val="92"/>
              </w:rPr>
              <w:t>Common Shares of Beneficial Interest</w:t>
            </w:r>
          </w:p>
        </w:tc>
        <w:tc>
          <w:tcPr>
            <w:tcW w:w="2180" w:type="dxa"/>
            <w:vAlign w:val="bottom"/>
            <w:gridSpan w:val="2"/>
          </w:tcPr>
          <w:p>
            <w:pPr>
              <w:jc w:val="center"/>
              <w:ind w:right="1060"/>
              <w:spacing w:after="0"/>
              <w:rPr>
                <w:sz w:val="20"/>
                <w:szCs w:val="20"/>
                <w:color w:val="auto"/>
              </w:rPr>
            </w:pPr>
            <w:r>
              <w:rPr>
                <w:rFonts w:ascii="Arial" w:cs="Arial" w:eastAsia="Arial" w:hAnsi="Arial"/>
                <w:sz w:val="18"/>
                <w:szCs w:val="18"/>
                <w:color w:val="auto"/>
                <w:w w:val="91"/>
              </w:rPr>
              <w:t>FRT</w:t>
            </w:r>
          </w:p>
        </w:tc>
        <w:tc>
          <w:tcPr>
            <w:tcW w:w="80" w:type="dxa"/>
            <w:vAlign w:val="bottom"/>
          </w:tcPr>
          <w:p>
            <w:pPr>
              <w:spacing w:after="0"/>
              <w:rPr>
                <w:sz w:val="21"/>
                <w:szCs w:val="21"/>
                <w:color w:val="auto"/>
              </w:rPr>
            </w:pPr>
          </w:p>
        </w:tc>
        <w:tc>
          <w:tcPr>
            <w:tcW w:w="3220" w:type="dxa"/>
            <w:vAlign w:val="bottom"/>
            <w:gridSpan w:val="2"/>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166"/>
        </w:trPr>
        <w:tc>
          <w:tcPr>
            <w:tcW w:w="5040" w:type="dxa"/>
            <w:vAlign w:val="bottom"/>
            <w:gridSpan w:val="3"/>
          </w:tcPr>
          <w:p>
            <w:pPr>
              <w:jc w:val="center"/>
              <w:ind w:right="305"/>
              <w:spacing w:after="0" w:line="166"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06"/>
        </w:trPr>
        <w:tc>
          <w:tcPr>
            <w:tcW w:w="1680" w:type="dxa"/>
            <w:vAlign w:val="bottom"/>
          </w:tcPr>
          <w:p>
            <w:pPr>
              <w:spacing w:after="0"/>
              <w:rPr>
                <w:sz w:val="17"/>
                <w:szCs w:val="17"/>
                <w:color w:val="auto"/>
              </w:rPr>
            </w:pPr>
          </w:p>
        </w:tc>
        <w:tc>
          <w:tcPr>
            <w:tcW w:w="3360" w:type="dxa"/>
            <w:vAlign w:val="bottom"/>
            <w:gridSpan w:val="2"/>
          </w:tcPr>
          <w:p>
            <w:pPr>
              <w:jc w:val="center"/>
              <w:ind w:right="1985"/>
              <w:spacing w:after="0"/>
              <w:rPr>
                <w:sz w:val="20"/>
                <w:szCs w:val="20"/>
                <w:color w:val="auto"/>
              </w:rPr>
            </w:pPr>
            <w:r>
              <w:rPr>
                <w:rFonts w:ascii="Arial" w:cs="Arial" w:eastAsia="Arial" w:hAnsi="Arial"/>
                <w:sz w:val="16"/>
                <w:szCs w:val="16"/>
                <w:color w:val="auto"/>
                <w:w w:val="92"/>
              </w:rPr>
              <w:t>Rights</w:t>
            </w: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90"/>
        </w:trPr>
        <w:tc>
          <w:tcPr>
            <w:tcW w:w="5040" w:type="dxa"/>
            <w:vAlign w:val="bottom"/>
            <w:gridSpan w:val="3"/>
          </w:tcPr>
          <w:p>
            <w:pPr>
              <w:jc w:val="center"/>
              <w:ind w:right="325"/>
              <w:spacing w:after="0"/>
              <w:rPr>
                <w:sz w:val="20"/>
                <w:szCs w:val="20"/>
                <w:color w:val="auto"/>
              </w:rPr>
            </w:pPr>
            <w:r>
              <w:rPr>
                <w:rFonts w:ascii="Arial" w:cs="Arial" w:eastAsia="Arial" w:hAnsi="Arial"/>
                <w:sz w:val="16"/>
                <w:szCs w:val="16"/>
                <w:color w:val="auto"/>
                <w:w w:val="89"/>
              </w:rPr>
              <w:t>Depositary Shares, each representing 1/1000 of a share</w:t>
            </w:r>
          </w:p>
        </w:tc>
        <w:tc>
          <w:tcPr>
            <w:tcW w:w="2180" w:type="dxa"/>
            <w:vAlign w:val="bottom"/>
            <w:gridSpan w:val="2"/>
          </w:tcPr>
          <w:p>
            <w:pPr>
              <w:jc w:val="center"/>
              <w:ind w:right="1060"/>
              <w:spacing w:after="0"/>
              <w:rPr>
                <w:sz w:val="20"/>
                <w:szCs w:val="20"/>
                <w:color w:val="auto"/>
              </w:rPr>
            </w:pPr>
            <w:r>
              <w:rPr>
                <w:rFonts w:ascii="Arial" w:cs="Arial" w:eastAsia="Arial" w:hAnsi="Arial"/>
                <w:sz w:val="18"/>
                <w:szCs w:val="18"/>
                <w:color w:val="auto"/>
                <w:w w:val="88"/>
              </w:rPr>
              <w:t>FRT-C</w:t>
            </w:r>
          </w:p>
        </w:tc>
        <w:tc>
          <w:tcPr>
            <w:tcW w:w="80" w:type="dxa"/>
            <w:vAlign w:val="bottom"/>
          </w:tcPr>
          <w:p>
            <w:pPr>
              <w:spacing w:after="0"/>
              <w:rPr>
                <w:sz w:val="24"/>
                <w:szCs w:val="24"/>
                <w:color w:val="auto"/>
              </w:rPr>
            </w:pPr>
          </w:p>
        </w:tc>
        <w:tc>
          <w:tcPr>
            <w:tcW w:w="3220" w:type="dxa"/>
            <w:vAlign w:val="bottom"/>
            <w:gridSpan w:val="2"/>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166"/>
        </w:trPr>
        <w:tc>
          <w:tcPr>
            <w:tcW w:w="5040" w:type="dxa"/>
            <w:vAlign w:val="bottom"/>
            <w:gridSpan w:val="3"/>
          </w:tcPr>
          <w:p>
            <w:pPr>
              <w:jc w:val="center"/>
              <w:ind w:right="325"/>
              <w:spacing w:after="0" w:line="166" w:lineRule="exact"/>
              <w:rPr>
                <w:sz w:val="20"/>
                <w:szCs w:val="20"/>
                <w:color w:val="auto"/>
              </w:rPr>
            </w:pPr>
            <w:r>
              <w:rPr>
                <w:rFonts w:ascii="Arial" w:cs="Arial" w:eastAsia="Arial" w:hAnsi="Arial"/>
                <w:sz w:val="16"/>
                <w:szCs w:val="16"/>
                <w:color w:val="auto"/>
                <w:w w:val="91"/>
              </w:rPr>
              <w:t>of 5.00% Series C Cumulative Redeemable Preferred Stock, $.01 par</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06"/>
        </w:trPr>
        <w:tc>
          <w:tcPr>
            <w:tcW w:w="1680" w:type="dxa"/>
            <w:vAlign w:val="bottom"/>
          </w:tcPr>
          <w:p>
            <w:pPr>
              <w:spacing w:after="0"/>
              <w:rPr>
                <w:sz w:val="17"/>
                <w:szCs w:val="17"/>
                <w:color w:val="auto"/>
              </w:rPr>
            </w:pPr>
          </w:p>
        </w:tc>
        <w:tc>
          <w:tcPr>
            <w:tcW w:w="3360" w:type="dxa"/>
            <w:vAlign w:val="bottom"/>
            <w:gridSpan w:val="2"/>
          </w:tcPr>
          <w:p>
            <w:pPr>
              <w:jc w:val="center"/>
              <w:ind w:right="1985"/>
              <w:spacing w:after="0"/>
              <w:rPr>
                <w:sz w:val="20"/>
                <w:szCs w:val="20"/>
                <w:color w:val="auto"/>
              </w:rPr>
            </w:pPr>
            <w:r>
              <w:rPr>
                <w:rFonts w:ascii="Arial" w:cs="Arial" w:eastAsia="Arial" w:hAnsi="Arial"/>
                <w:sz w:val="16"/>
                <w:szCs w:val="16"/>
                <w:color w:val="auto"/>
                <w:w w:val="88"/>
              </w:rPr>
              <w:t>value per share</w:t>
            </w: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83"/>
        </w:trPr>
        <w:tc>
          <w:tcPr>
            <w:tcW w:w="504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 None</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50"/>
        </w:trPr>
        <w:tc>
          <w:tcPr>
            <w:tcW w:w="8260" w:type="dxa"/>
            <w:vAlign w:val="bottom"/>
            <w:gridSpan w:val="7"/>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w:t>
            </w:r>
            <w:r>
              <w:rPr>
                <w:rFonts w:ascii="MS PGothic" w:cs="MS PGothic" w:eastAsia="MS PGothic" w:hAnsi="MS PGothic"/>
                <w:sz w:val="16"/>
                <w:szCs w:val="16"/>
                <w:color w:val="auto"/>
                <w:w w:val="93"/>
              </w:rPr>
              <w:t>☒</w:t>
            </w:r>
            <w:r>
              <w:rPr>
                <w:rFonts w:ascii="Arial" w:cs="Arial" w:eastAsia="Arial" w:hAnsi="Arial"/>
                <w:sz w:val="16"/>
                <w:szCs w:val="16"/>
                <w:color w:val="auto"/>
                <w:w w:val="93"/>
              </w:rPr>
              <w:t xml:space="preserve"> Yes</w:t>
            </w:r>
          </w:p>
        </w:tc>
        <w:tc>
          <w:tcPr>
            <w:tcW w:w="22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r>
        <w:trPr>
          <w:trHeight w:val="254"/>
        </w:trPr>
        <w:tc>
          <w:tcPr>
            <w:tcW w:w="8260" w:type="dxa"/>
            <w:vAlign w:val="bottom"/>
            <w:gridSpan w:val="7"/>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w:t>
            </w:r>
            <w:r>
              <w:rPr>
                <w:rFonts w:ascii="MS PGothic" w:cs="MS PGothic" w:eastAsia="MS PGothic" w:hAnsi="MS PGothic"/>
                <w:sz w:val="16"/>
                <w:szCs w:val="16"/>
                <w:color w:val="auto"/>
                <w:w w:val="92"/>
              </w:rPr>
              <w:t>☐</w:t>
            </w:r>
            <w:r>
              <w:rPr>
                <w:rFonts w:ascii="Arial" w:cs="Arial" w:eastAsia="Arial" w:hAnsi="Arial"/>
                <w:sz w:val="16"/>
                <w:szCs w:val="16"/>
                <w:color w:val="auto"/>
                <w:w w:val="92"/>
              </w:rPr>
              <w:t xml:space="preserve"> Yes</w:t>
            </w:r>
          </w:p>
        </w:tc>
        <w:tc>
          <w:tcPr>
            <w:tcW w:w="2260" w:type="dxa"/>
            <w:vAlign w:val="bottom"/>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bl>
    <w:p>
      <w:pPr>
        <w:spacing w:after="0" w:line="19"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Arial" w:cs="Arial" w:eastAsia="Arial" w:hAnsi="Arial"/>
          <w:sz w:val="16"/>
          <w:szCs w:val="16"/>
          <w:color w:val="auto"/>
        </w:rPr>
        <w:t>days.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51" w:lineRule="exact"/>
        <w:rPr>
          <w:sz w:val="24"/>
          <w:szCs w:val="24"/>
          <w:color w:val="auto"/>
        </w:rPr>
      </w:pPr>
    </w:p>
    <w:p>
      <w:pPr>
        <w:ind w:right="24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9" w:lineRule="exact"/>
        <w:rPr>
          <w:sz w:val="24"/>
          <w:szCs w:val="24"/>
          <w:color w:val="auto"/>
        </w:rPr>
      </w:pPr>
    </w:p>
    <w:p>
      <w:pPr>
        <w:ind w:right="6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4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48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4"/>
        </w:trPr>
        <w:tc>
          <w:tcPr>
            <w:tcW w:w="194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48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19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Emerging growth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9"/>
        </w:trPr>
        <w:tc>
          <w:tcPr>
            <w:tcW w:w="10580" w:type="dxa"/>
            <w:vAlign w:val="bottom"/>
            <w:gridSpan w:val="3"/>
          </w:tcPr>
          <w:p>
            <w:pPr>
              <w:ind w:left="20"/>
              <w:spacing w:after="0"/>
              <w:rPr>
                <w:sz w:val="20"/>
                <w:szCs w:val="20"/>
                <w:color w:val="auto"/>
              </w:rPr>
            </w:pPr>
            <w:r>
              <w:rPr>
                <w:rFonts w:ascii="Arial" w:cs="Arial" w:eastAsia="Arial" w:hAnsi="Arial"/>
                <w:sz w:val="16"/>
                <w:szCs w:val="16"/>
                <w:color w:val="auto"/>
                <w:w w:val="93"/>
              </w:rPr>
              <w:t>If an emerging growth company, indicate by checkmark if the registrant has elected not use the extended transition period for complying with any new or revised</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6"/>
        </w:trPr>
        <w:tc>
          <w:tcPr>
            <w:tcW w:w="6780" w:type="dxa"/>
            <w:vAlign w:val="bottom"/>
            <w:gridSpan w:val="2"/>
          </w:tcPr>
          <w:p>
            <w:pPr>
              <w:ind w:left="20"/>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3800" w:type="dxa"/>
            <w:vAlign w:val="bottom"/>
          </w:tcPr>
          <w:p>
            <w:pPr>
              <w:spacing w:after="0"/>
              <w:rPr>
                <w:sz w:val="17"/>
                <w:szCs w:val="17"/>
                <w:color w:val="auto"/>
              </w:rPr>
            </w:pPr>
          </w:p>
        </w:tc>
        <w:tc>
          <w:tcPr>
            <w:tcW w:w="28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2"/>
        </w:trPr>
        <w:tc>
          <w:tcPr>
            <w:tcW w:w="10580" w:type="dxa"/>
            <w:vAlign w:val="bottom"/>
            <w:gridSpan w:val="3"/>
          </w:tcPr>
          <w:p>
            <w:pPr>
              <w:ind w:left="20"/>
              <w:spacing w:after="0" w:line="172" w:lineRule="exact"/>
              <w:rPr>
                <w:sz w:val="20"/>
                <w:szCs w:val="20"/>
                <w:color w:val="auto"/>
              </w:rPr>
            </w:pPr>
            <w:r>
              <w:rPr>
                <w:rFonts w:ascii="Arial" w:cs="Arial" w:eastAsia="Arial" w:hAnsi="Arial"/>
                <w:sz w:val="16"/>
                <w:szCs w:val="16"/>
                <w:color w:val="auto"/>
                <w:w w:val="92"/>
              </w:rPr>
              <w:t>Indicate by check mark whether the registrant has filed a report on and attestation to its management's assessment of the effectiveness of its internal control over</w:t>
            </w: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0580" w:type="dxa"/>
            <w:vAlign w:val="bottom"/>
            <w:gridSpan w:val="3"/>
          </w:tcPr>
          <w:p>
            <w:pPr>
              <w:ind w:left="20"/>
              <w:spacing w:after="0" w:line="152" w:lineRule="exact"/>
              <w:rPr>
                <w:sz w:val="20"/>
                <w:szCs w:val="20"/>
                <w:color w:val="auto"/>
              </w:rPr>
            </w:pPr>
            <w:r>
              <w:rPr>
                <w:rFonts w:ascii="Arial" w:cs="Arial" w:eastAsia="Arial" w:hAnsi="Arial"/>
                <w:sz w:val="16"/>
                <w:szCs w:val="16"/>
                <w:color w:val="auto"/>
                <w:w w:val="93"/>
              </w:rPr>
              <w:t>financial reporting under Section 404(b) of the Sarbanes-Oxley Act (15 U.S.C. 7262(b)) by the registered public accounting firm that prepared or issued its audit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940" w:type="dxa"/>
            <w:vAlign w:val="bottom"/>
          </w:tcPr>
          <w:p>
            <w:pPr>
              <w:ind w:left="20"/>
              <w:spacing w:after="0"/>
              <w:rPr>
                <w:sz w:val="20"/>
                <w:szCs w:val="20"/>
                <w:color w:val="auto"/>
              </w:rPr>
            </w:pPr>
            <w:r>
              <w:rPr>
                <w:rFonts w:ascii="Arial" w:cs="Arial" w:eastAsia="Arial" w:hAnsi="Arial"/>
                <w:sz w:val="16"/>
                <w:szCs w:val="16"/>
                <w:color w:val="auto"/>
              </w:rPr>
              <w:t>report.</w:t>
            </w:r>
          </w:p>
        </w:tc>
        <w:tc>
          <w:tcPr>
            <w:tcW w:w="48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6780" w:type="dxa"/>
            <w:vAlign w:val="bottom"/>
            <w:gridSpan w:val="2"/>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Act).</w:t>
            </w:r>
          </w:p>
        </w:tc>
        <w:tc>
          <w:tcPr>
            <w:tcW w:w="3800" w:type="dxa"/>
            <w:vAlign w:val="bottom"/>
          </w:tcPr>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right="40"/>
        <w:spacing w:after="0" w:line="264" w:lineRule="auto"/>
        <w:rPr>
          <w:sz w:val="20"/>
          <w:szCs w:val="20"/>
          <w:color w:val="auto"/>
        </w:rPr>
      </w:pPr>
      <w:r>
        <w:rPr>
          <w:rFonts w:ascii="Arial" w:cs="Arial" w:eastAsia="Arial" w:hAnsi="Arial"/>
          <w:sz w:val="16"/>
          <w:szCs w:val="16"/>
          <w:color w:val="auto"/>
        </w:rPr>
        <w:t>The aggregate market value of the registrant's common shares held by non-affiliates of the registrant, based upon the closing sales price of the registrant's common shares on June 30, 2020 was $6.4 billion.</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registrant’s common shares outstanding on February 8, 2021 was 76,747,943.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DECEMBER 31, 2020</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0" w:lineRule="exact"/>
        <w:rPr>
          <w:sz w:val="20"/>
          <w:szCs w:val="20"/>
          <w:color w:val="auto"/>
        </w:rPr>
      </w:pP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for the Registrant’s annual meeting of shareholders to be held in May 2021 will be incorporated by reference into Part III hereof.</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8720" w:type="dxa"/>
            <w:vAlign w:val="bottom"/>
          </w:tcPr>
          <w:p>
            <w:pPr>
              <w:ind w:left="3400"/>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20"/>
                <w:szCs w:val="20"/>
                <w:color w:val="auto"/>
              </w:rPr>
            </w:pPr>
          </w:p>
        </w:tc>
      </w:tr>
      <w:tr>
        <w:trPr>
          <w:trHeight w:val="350"/>
        </w:trPr>
        <w:tc>
          <w:tcPr>
            <w:tcW w:w="1260" w:type="dxa"/>
            <w:vAlign w:val="bottom"/>
          </w:tcPr>
          <w:p>
            <w:pPr>
              <w:ind w:left="40"/>
              <w:spacing w:after="0"/>
              <w:rPr>
                <w:sz w:val="20"/>
                <w:szCs w:val="20"/>
                <w:color w:val="auto"/>
              </w:rPr>
            </w:pPr>
            <w:r>
              <w:rPr>
                <w:rFonts w:ascii="Arial" w:cs="Arial" w:eastAsia="Arial" w:hAnsi="Arial"/>
                <w:sz w:val="18"/>
                <w:szCs w:val="18"/>
                <w:color w:val="auto"/>
              </w:rPr>
              <w:t>PART I</w:t>
            </w:r>
          </w:p>
        </w:tc>
        <w:tc>
          <w:tcPr>
            <w:tcW w:w="8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1260" w:type="dxa"/>
            <w:vAlign w:val="bottom"/>
          </w:tcPr>
          <w:p>
            <w:pPr>
              <w:ind w:left="40"/>
              <w:spacing w:after="0"/>
              <w:rPr>
                <w:sz w:val="20"/>
                <w:szCs w:val="20"/>
                <w:color w:val="auto"/>
              </w:rPr>
            </w:pPr>
            <w:r>
              <w:rPr>
                <w:rFonts w:ascii="Arial" w:cs="Arial" w:eastAsia="Arial" w:hAnsi="Arial"/>
                <w:sz w:val="18"/>
                <w:szCs w:val="18"/>
                <w:color w:val="auto"/>
              </w:rPr>
              <w:t>Item 1.</w:t>
            </w:r>
          </w:p>
        </w:tc>
        <w:tc>
          <w:tcPr>
            <w:tcW w:w="8720" w:type="dxa"/>
            <w:vAlign w:val="bottom"/>
          </w:tcPr>
          <w:p>
            <w:pPr>
              <w:ind w:left="120"/>
              <w:spacing w:after="0"/>
              <w:rPr>
                <w:sz w:val="20"/>
                <w:szCs w:val="20"/>
                <w:color w:val="auto"/>
              </w:rPr>
            </w:pPr>
            <w:r>
              <w:rPr>
                <w:rFonts w:ascii="Arial" w:cs="Arial" w:eastAsia="Arial" w:hAnsi="Arial"/>
                <w:sz w:val="18"/>
                <w:szCs w:val="18"/>
                <w:color w:val="auto"/>
              </w:rPr>
              <w:t>Business</w:t>
            </w:r>
          </w:p>
        </w:tc>
        <w:tc>
          <w:tcPr>
            <w:tcW w:w="1260" w:type="dxa"/>
            <w:vAlign w:val="bottom"/>
          </w:tcPr>
          <w:p>
            <w:pPr>
              <w:ind w:left="8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Item 1A.</w:t>
            </w:r>
          </w:p>
        </w:tc>
        <w:tc>
          <w:tcPr>
            <w:tcW w:w="872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1260" w:type="dxa"/>
            <w:vAlign w:val="bottom"/>
          </w:tcPr>
          <w:p>
            <w:pPr>
              <w:ind w:left="8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r>
      <w:tr>
        <w:trPr>
          <w:trHeight w:val="229"/>
        </w:trPr>
        <w:tc>
          <w:tcPr>
            <w:tcW w:w="1260" w:type="dxa"/>
            <w:vAlign w:val="bottom"/>
          </w:tcPr>
          <w:p>
            <w:pPr>
              <w:ind w:left="40"/>
              <w:spacing w:after="0"/>
              <w:rPr>
                <w:sz w:val="20"/>
                <w:szCs w:val="20"/>
                <w:color w:val="auto"/>
              </w:rPr>
            </w:pPr>
            <w:r>
              <w:rPr>
                <w:rFonts w:ascii="Arial" w:cs="Arial" w:eastAsia="Arial" w:hAnsi="Arial"/>
                <w:sz w:val="18"/>
                <w:szCs w:val="18"/>
                <w:color w:val="auto"/>
              </w:rPr>
              <w:t>Item 1B.</w:t>
            </w:r>
          </w:p>
        </w:tc>
        <w:tc>
          <w:tcPr>
            <w:tcW w:w="8720" w:type="dxa"/>
            <w:vAlign w:val="bottom"/>
          </w:tcPr>
          <w:p>
            <w:pPr>
              <w:ind w:left="120"/>
              <w:spacing w:after="0"/>
              <w:rPr>
                <w:sz w:val="20"/>
                <w:szCs w:val="20"/>
                <w:color w:val="auto"/>
              </w:rPr>
            </w:pPr>
            <w:r>
              <w:rPr>
                <w:rFonts w:ascii="Arial" w:cs="Arial" w:eastAsia="Arial" w:hAnsi="Arial"/>
                <w:sz w:val="18"/>
                <w:szCs w:val="18"/>
                <w:color w:val="auto"/>
              </w:rPr>
              <w:t>Unresolved Staff Comments</w:t>
            </w:r>
          </w:p>
        </w:tc>
        <w:tc>
          <w:tcPr>
            <w:tcW w:w="1260" w:type="dxa"/>
            <w:vAlign w:val="bottom"/>
          </w:tcPr>
          <w:p>
            <w:pPr>
              <w:ind w:left="82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18</w:t>
              </w:r>
            </w:hyperlink>
          </w:p>
        </w:tc>
      </w:tr>
      <w:tr>
        <w:trPr>
          <w:trHeight w:val="229"/>
        </w:trPr>
        <w:tc>
          <w:tcPr>
            <w:tcW w:w="1260" w:type="dxa"/>
            <w:vAlign w:val="bottom"/>
          </w:tcPr>
          <w:p>
            <w:pPr>
              <w:ind w:left="40"/>
              <w:spacing w:after="0"/>
              <w:rPr>
                <w:sz w:val="20"/>
                <w:szCs w:val="20"/>
                <w:color w:val="auto"/>
              </w:rPr>
            </w:pPr>
            <w:r>
              <w:rPr>
                <w:rFonts w:ascii="Arial" w:cs="Arial" w:eastAsia="Arial" w:hAnsi="Arial"/>
                <w:sz w:val="18"/>
                <w:szCs w:val="18"/>
                <w:color w:val="auto"/>
              </w:rPr>
              <w:t>Item 2.</w:t>
            </w:r>
          </w:p>
        </w:tc>
        <w:tc>
          <w:tcPr>
            <w:tcW w:w="8720" w:type="dxa"/>
            <w:vAlign w:val="bottom"/>
          </w:tcPr>
          <w:p>
            <w:pPr>
              <w:ind w:left="120"/>
              <w:spacing w:after="0"/>
              <w:rPr>
                <w:sz w:val="20"/>
                <w:szCs w:val="20"/>
                <w:color w:val="auto"/>
              </w:rPr>
            </w:pPr>
            <w:r>
              <w:rPr>
                <w:rFonts w:ascii="Arial" w:cs="Arial" w:eastAsia="Arial" w:hAnsi="Arial"/>
                <w:sz w:val="18"/>
                <w:szCs w:val="18"/>
                <w:color w:val="auto"/>
              </w:rPr>
              <w:t>Properties</w:t>
            </w:r>
          </w:p>
        </w:tc>
        <w:tc>
          <w:tcPr>
            <w:tcW w:w="1260" w:type="dxa"/>
            <w:vAlign w:val="bottom"/>
          </w:tcPr>
          <w:p>
            <w:pPr>
              <w:ind w:left="82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18</w:t>
              </w:r>
            </w:hyperlink>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Item 3.</w:t>
            </w:r>
          </w:p>
        </w:tc>
        <w:tc>
          <w:tcPr>
            <w:tcW w:w="872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1260" w:type="dxa"/>
            <w:vAlign w:val="bottom"/>
          </w:tcPr>
          <w:p>
            <w:pPr>
              <w:ind w:left="8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Item 4.</w:t>
            </w:r>
          </w:p>
        </w:tc>
        <w:tc>
          <w:tcPr>
            <w:tcW w:w="8720" w:type="dxa"/>
            <w:vAlign w:val="bottom"/>
          </w:tcPr>
          <w:p>
            <w:pPr>
              <w:ind w:left="120"/>
              <w:spacing w:after="0"/>
              <w:rPr>
                <w:sz w:val="20"/>
                <w:szCs w:val="20"/>
                <w:color w:val="auto"/>
              </w:rPr>
            </w:pPr>
            <w:r>
              <w:rPr>
                <w:rFonts w:ascii="Arial" w:cs="Arial" w:eastAsia="Arial" w:hAnsi="Arial"/>
                <w:sz w:val="18"/>
                <w:szCs w:val="18"/>
                <w:color w:val="auto"/>
              </w:rPr>
              <w:t>Mine Safety Disclosures</w:t>
            </w:r>
          </w:p>
        </w:tc>
        <w:tc>
          <w:tcPr>
            <w:tcW w:w="1260" w:type="dxa"/>
            <w:vAlign w:val="bottom"/>
          </w:tcPr>
          <w:p>
            <w:pPr>
              <w:ind w:left="8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r>
      <w:tr>
        <w:trPr>
          <w:trHeight w:val="499"/>
        </w:trPr>
        <w:tc>
          <w:tcPr>
            <w:tcW w:w="1260" w:type="dxa"/>
            <w:vAlign w:val="bottom"/>
          </w:tcPr>
          <w:p>
            <w:pPr>
              <w:ind w:left="40"/>
              <w:spacing w:after="0"/>
              <w:rPr>
                <w:sz w:val="20"/>
                <w:szCs w:val="20"/>
                <w:color w:val="auto"/>
              </w:rPr>
            </w:pPr>
            <w:r>
              <w:rPr>
                <w:rFonts w:ascii="Arial" w:cs="Arial" w:eastAsia="Arial" w:hAnsi="Arial"/>
                <w:sz w:val="18"/>
                <w:szCs w:val="18"/>
                <w:color w:val="auto"/>
              </w:rPr>
              <w:t>PART II</w:t>
            </w:r>
          </w:p>
        </w:tc>
        <w:tc>
          <w:tcPr>
            <w:tcW w:w="8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Item 5.</w:t>
            </w:r>
          </w:p>
        </w:tc>
        <w:tc>
          <w:tcPr>
            <w:tcW w:w="8720" w:type="dxa"/>
            <w:vAlign w:val="bottom"/>
          </w:tcPr>
          <w:p>
            <w:pPr>
              <w:ind w:left="120"/>
              <w:spacing w:after="0"/>
              <w:rPr>
                <w:sz w:val="20"/>
                <w:szCs w:val="20"/>
                <w:color w:val="auto"/>
              </w:rPr>
            </w:pPr>
            <w:r>
              <w:rPr>
                <w:rFonts w:ascii="Arial" w:cs="Arial" w:eastAsia="Arial" w:hAnsi="Arial"/>
                <w:sz w:val="18"/>
                <w:szCs w:val="18"/>
                <w:color w:val="auto"/>
              </w:rPr>
              <w:t>Market for Our Common Equity and Related Shareholder Matters and Issuer Purchases of Equity Securities</w:t>
            </w:r>
          </w:p>
        </w:tc>
        <w:tc>
          <w:tcPr>
            <w:tcW w:w="1260" w:type="dxa"/>
            <w:vAlign w:val="bottom"/>
          </w:tcPr>
          <w:p>
            <w:pPr>
              <w:ind w:left="8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r>
      <w:tr>
        <w:trPr>
          <w:trHeight w:val="229"/>
        </w:trPr>
        <w:tc>
          <w:tcPr>
            <w:tcW w:w="1260" w:type="dxa"/>
            <w:vAlign w:val="bottom"/>
          </w:tcPr>
          <w:p>
            <w:pPr>
              <w:ind w:left="40"/>
              <w:spacing w:after="0"/>
              <w:rPr>
                <w:sz w:val="20"/>
                <w:szCs w:val="20"/>
                <w:color w:val="auto"/>
              </w:rPr>
            </w:pPr>
            <w:r>
              <w:rPr>
                <w:rFonts w:ascii="Arial" w:cs="Arial" w:eastAsia="Arial" w:hAnsi="Arial"/>
                <w:sz w:val="18"/>
                <w:szCs w:val="18"/>
                <w:color w:val="auto"/>
              </w:rPr>
              <w:t>Item 6.</w:t>
            </w:r>
          </w:p>
        </w:tc>
        <w:tc>
          <w:tcPr>
            <w:tcW w:w="8720" w:type="dxa"/>
            <w:vAlign w:val="bottom"/>
          </w:tcPr>
          <w:p>
            <w:pPr>
              <w:ind w:left="120"/>
              <w:spacing w:after="0"/>
              <w:rPr>
                <w:sz w:val="20"/>
                <w:szCs w:val="20"/>
                <w:color w:val="auto"/>
              </w:rPr>
            </w:pPr>
            <w:r>
              <w:rPr>
                <w:rFonts w:ascii="Arial" w:cs="Arial" w:eastAsia="Arial" w:hAnsi="Arial"/>
                <w:sz w:val="18"/>
                <w:szCs w:val="18"/>
                <w:color w:val="auto"/>
              </w:rPr>
              <w:t>Selected Financial Data</w:t>
            </w:r>
          </w:p>
        </w:tc>
        <w:tc>
          <w:tcPr>
            <w:tcW w:w="1260" w:type="dxa"/>
            <w:vAlign w:val="bottom"/>
          </w:tcPr>
          <w:p>
            <w:pPr>
              <w:ind w:left="8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30</w:t>
              </w:r>
            </w:hyperlink>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Item 7.</w:t>
            </w:r>
          </w:p>
        </w:tc>
        <w:tc>
          <w:tcPr>
            <w:tcW w:w="872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60" w:type="dxa"/>
            <w:vAlign w:val="bottom"/>
          </w:tcPr>
          <w:p>
            <w:pPr>
              <w:ind w:left="8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30</w:t>
              </w:r>
            </w:hyperlink>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Item 7A.</w:t>
            </w:r>
          </w:p>
        </w:tc>
        <w:tc>
          <w:tcPr>
            <w:tcW w:w="8720" w:type="dxa"/>
            <w:vAlign w:val="bottom"/>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1260" w:type="dxa"/>
            <w:vAlign w:val="bottom"/>
          </w:tcPr>
          <w:p>
            <w:pPr>
              <w:ind w:left="8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Item 8.</w:t>
            </w:r>
          </w:p>
        </w:tc>
        <w:tc>
          <w:tcPr>
            <w:tcW w:w="8720" w:type="dxa"/>
            <w:vAlign w:val="bottom"/>
          </w:tcPr>
          <w:p>
            <w:pPr>
              <w:ind w:left="120"/>
              <w:spacing w:after="0"/>
              <w:rPr>
                <w:sz w:val="20"/>
                <w:szCs w:val="20"/>
                <w:color w:val="auto"/>
              </w:rPr>
            </w:pPr>
            <w:r>
              <w:rPr>
                <w:rFonts w:ascii="Arial" w:cs="Arial" w:eastAsia="Arial" w:hAnsi="Arial"/>
                <w:sz w:val="18"/>
                <w:szCs w:val="18"/>
                <w:color w:val="auto"/>
              </w:rPr>
              <w:t>Financial Statements and Supplementary Data</w:t>
            </w:r>
          </w:p>
        </w:tc>
        <w:tc>
          <w:tcPr>
            <w:tcW w:w="1260" w:type="dxa"/>
            <w:vAlign w:val="bottom"/>
          </w:tcPr>
          <w:p>
            <w:pPr>
              <w:ind w:left="8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52</w:t>
              </w:r>
            </w:hyperlink>
          </w:p>
        </w:tc>
      </w:tr>
      <w:tr>
        <w:trPr>
          <w:trHeight w:val="229"/>
        </w:trPr>
        <w:tc>
          <w:tcPr>
            <w:tcW w:w="1260" w:type="dxa"/>
            <w:vAlign w:val="bottom"/>
          </w:tcPr>
          <w:p>
            <w:pPr>
              <w:ind w:left="40"/>
              <w:spacing w:after="0"/>
              <w:rPr>
                <w:sz w:val="20"/>
                <w:szCs w:val="20"/>
                <w:color w:val="auto"/>
              </w:rPr>
            </w:pPr>
            <w:r>
              <w:rPr>
                <w:rFonts w:ascii="Arial" w:cs="Arial" w:eastAsia="Arial" w:hAnsi="Arial"/>
                <w:sz w:val="18"/>
                <w:szCs w:val="18"/>
                <w:color w:val="auto"/>
              </w:rPr>
              <w:t>Item 9.</w:t>
            </w:r>
          </w:p>
        </w:tc>
        <w:tc>
          <w:tcPr>
            <w:tcW w:w="8720" w:type="dxa"/>
            <w:vAlign w:val="bottom"/>
          </w:tcPr>
          <w:p>
            <w:pPr>
              <w:ind w:left="1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260" w:type="dxa"/>
            <w:vAlign w:val="bottom"/>
          </w:tcPr>
          <w:p>
            <w:pPr>
              <w:ind w:left="8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52</w:t>
              </w:r>
            </w:hyperlink>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Item 9A.</w:t>
            </w:r>
          </w:p>
        </w:tc>
        <w:tc>
          <w:tcPr>
            <w:tcW w:w="872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1260" w:type="dxa"/>
            <w:vAlign w:val="bottom"/>
          </w:tcPr>
          <w:p>
            <w:pPr>
              <w:ind w:left="8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52</w:t>
              </w:r>
            </w:hyperlink>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Item 9B.</w:t>
            </w:r>
          </w:p>
        </w:tc>
        <w:tc>
          <w:tcPr>
            <w:tcW w:w="872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1260" w:type="dxa"/>
            <w:vAlign w:val="bottom"/>
          </w:tcPr>
          <w:p>
            <w:pPr>
              <w:ind w:left="8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53</w:t>
              </w:r>
            </w:hyperlink>
          </w:p>
        </w:tc>
      </w:tr>
      <w:tr>
        <w:trPr>
          <w:trHeight w:val="499"/>
        </w:trPr>
        <w:tc>
          <w:tcPr>
            <w:tcW w:w="1260" w:type="dxa"/>
            <w:vAlign w:val="bottom"/>
          </w:tcPr>
          <w:p>
            <w:pPr>
              <w:ind w:left="40"/>
              <w:spacing w:after="0"/>
              <w:rPr>
                <w:sz w:val="20"/>
                <w:szCs w:val="20"/>
                <w:color w:val="auto"/>
              </w:rPr>
            </w:pPr>
            <w:r>
              <w:rPr>
                <w:rFonts w:ascii="Arial" w:cs="Arial" w:eastAsia="Arial" w:hAnsi="Arial"/>
                <w:sz w:val="18"/>
                <w:szCs w:val="18"/>
                <w:color w:val="auto"/>
              </w:rPr>
              <w:t>PART III</w:t>
            </w:r>
          </w:p>
        </w:tc>
        <w:tc>
          <w:tcPr>
            <w:tcW w:w="8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1260" w:type="dxa"/>
            <w:vAlign w:val="bottom"/>
          </w:tcPr>
          <w:p>
            <w:pPr>
              <w:ind w:left="40"/>
              <w:spacing w:after="0"/>
              <w:rPr>
                <w:sz w:val="20"/>
                <w:szCs w:val="20"/>
                <w:color w:val="auto"/>
              </w:rPr>
            </w:pPr>
            <w:r>
              <w:rPr>
                <w:rFonts w:ascii="Arial" w:cs="Arial" w:eastAsia="Arial" w:hAnsi="Arial"/>
                <w:sz w:val="18"/>
                <w:szCs w:val="18"/>
                <w:color w:val="auto"/>
              </w:rPr>
              <w:t>Item 10.</w:t>
            </w:r>
          </w:p>
        </w:tc>
        <w:tc>
          <w:tcPr>
            <w:tcW w:w="8720" w:type="dxa"/>
            <w:vAlign w:val="bottom"/>
          </w:tcPr>
          <w:p>
            <w:pPr>
              <w:ind w:left="120"/>
              <w:spacing w:after="0"/>
              <w:rPr>
                <w:sz w:val="20"/>
                <w:szCs w:val="20"/>
                <w:color w:val="auto"/>
              </w:rPr>
            </w:pPr>
            <w:r>
              <w:rPr>
                <w:rFonts w:ascii="Arial" w:cs="Arial" w:eastAsia="Arial" w:hAnsi="Arial"/>
                <w:sz w:val="18"/>
                <w:szCs w:val="18"/>
                <w:color w:val="auto"/>
              </w:rPr>
              <w:t>Trustees, Executive Officers and Corporate Governance</w:t>
            </w:r>
          </w:p>
        </w:tc>
        <w:tc>
          <w:tcPr>
            <w:tcW w:w="1260" w:type="dxa"/>
            <w:vAlign w:val="bottom"/>
          </w:tcPr>
          <w:p>
            <w:pPr>
              <w:ind w:left="8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Item 11.</w:t>
            </w:r>
          </w:p>
        </w:tc>
        <w:tc>
          <w:tcPr>
            <w:tcW w:w="8720" w:type="dxa"/>
            <w:vAlign w:val="bottom"/>
          </w:tcPr>
          <w:p>
            <w:pPr>
              <w:ind w:left="120"/>
              <w:spacing w:after="0"/>
              <w:rPr>
                <w:sz w:val="20"/>
                <w:szCs w:val="20"/>
                <w:color w:val="auto"/>
              </w:rPr>
            </w:pPr>
            <w:r>
              <w:rPr>
                <w:rFonts w:ascii="Arial" w:cs="Arial" w:eastAsia="Arial" w:hAnsi="Arial"/>
                <w:sz w:val="18"/>
                <w:szCs w:val="18"/>
                <w:color w:val="auto"/>
              </w:rPr>
              <w:t>Executive Compensation</w:t>
            </w:r>
          </w:p>
        </w:tc>
        <w:tc>
          <w:tcPr>
            <w:tcW w:w="1260" w:type="dxa"/>
            <w:vAlign w:val="bottom"/>
          </w:tcPr>
          <w:p>
            <w:pPr>
              <w:ind w:left="8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Item 12.</w:t>
            </w:r>
          </w:p>
        </w:tc>
        <w:tc>
          <w:tcPr>
            <w:tcW w:w="8720" w:type="dxa"/>
            <w:vAlign w:val="bottom"/>
          </w:tcPr>
          <w:p>
            <w:pPr>
              <w:ind w:left="120"/>
              <w:spacing w:after="0"/>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1260" w:type="dxa"/>
            <w:vAlign w:val="bottom"/>
          </w:tcPr>
          <w:p>
            <w:pPr>
              <w:ind w:left="8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Item 13.</w:t>
            </w:r>
          </w:p>
        </w:tc>
        <w:tc>
          <w:tcPr>
            <w:tcW w:w="8720" w:type="dxa"/>
            <w:vAlign w:val="bottom"/>
          </w:tcPr>
          <w:p>
            <w:pPr>
              <w:ind w:left="120"/>
              <w:spacing w:after="0"/>
              <w:rPr>
                <w:sz w:val="20"/>
                <w:szCs w:val="20"/>
                <w:color w:val="auto"/>
              </w:rPr>
            </w:pPr>
            <w:r>
              <w:rPr>
                <w:rFonts w:ascii="Arial" w:cs="Arial" w:eastAsia="Arial" w:hAnsi="Arial"/>
                <w:sz w:val="18"/>
                <w:szCs w:val="18"/>
                <w:color w:val="auto"/>
              </w:rPr>
              <w:t>Certain Relationships and Related Transactions, and Trustee Independence</w:t>
            </w:r>
          </w:p>
        </w:tc>
        <w:tc>
          <w:tcPr>
            <w:tcW w:w="1260" w:type="dxa"/>
            <w:vAlign w:val="bottom"/>
          </w:tcPr>
          <w:p>
            <w:pPr>
              <w:ind w:left="8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Item 14.</w:t>
            </w:r>
          </w:p>
        </w:tc>
        <w:tc>
          <w:tcPr>
            <w:tcW w:w="8720" w:type="dxa"/>
            <w:vAlign w:val="bottom"/>
          </w:tcPr>
          <w:p>
            <w:pPr>
              <w:ind w:left="120"/>
              <w:spacing w:after="0"/>
              <w:rPr>
                <w:sz w:val="20"/>
                <w:szCs w:val="20"/>
                <w:color w:val="auto"/>
              </w:rPr>
            </w:pPr>
            <w:r>
              <w:rPr>
                <w:rFonts w:ascii="Arial" w:cs="Arial" w:eastAsia="Arial" w:hAnsi="Arial"/>
                <w:sz w:val="18"/>
                <w:szCs w:val="18"/>
                <w:color w:val="auto"/>
              </w:rPr>
              <w:t>Principal Accountant Fees and Services</w:t>
            </w:r>
          </w:p>
        </w:tc>
        <w:tc>
          <w:tcPr>
            <w:tcW w:w="1260" w:type="dxa"/>
            <w:vAlign w:val="bottom"/>
          </w:tcPr>
          <w:p>
            <w:pPr>
              <w:ind w:left="8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r>
      <w:tr>
        <w:trPr>
          <w:trHeight w:val="499"/>
        </w:trPr>
        <w:tc>
          <w:tcPr>
            <w:tcW w:w="1260" w:type="dxa"/>
            <w:vAlign w:val="bottom"/>
          </w:tcPr>
          <w:p>
            <w:pPr>
              <w:ind w:left="40"/>
              <w:spacing w:after="0"/>
              <w:rPr>
                <w:sz w:val="20"/>
                <w:szCs w:val="20"/>
                <w:color w:val="auto"/>
              </w:rPr>
            </w:pPr>
            <w:r>
              <w:rPr>
                <w:rFonts w:ascii="Arial" w:cs="Arial" w:eastAsia="Arial" w:hAnsi="Arial"/>
                <w:sz w:val="18"/>
                <w:szCs w:val="18"/>
                <w:color w:val="auto"/>
              </w:rPr>
              <w:t>PART IV</w:t>
            </w:r>
          </w:p>
        </w:tc>
        <w:tc>
          <w:tcPr>
            <w:tcW w:w="8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Item 15.</w:t>
            </w:r>
          </w:p>
        </w:tc>
        <w:tc>
          <w:tcPr>
            <w:tcW w:w="8720" w:type="dxa"/>
            <w:vAlign w:val="bottom"/>
          </w:tcPr>
          <w:p>
            <w:pPr>
              <w:ind w:left="120"/>
              <w:spacing w:after="0"/>
              <w:rPr>
                <w:sz w:val="20"/>
                <w:szCs w:val="20"/>
                <w:color w:val="auto"/>
              </w:rPr>
            </w:pPr>
            <w:r>
              <w:rPr>
                <w:rFonts w:ascii="Arial" w:cs="Arial" w:eastAsia="Arial" w:hAnsi="Arial"/>
                <w:sz w:val="18"/>
                <w:szCs w:val="18"/>
                <w:color w:val="auto"/>
              </w:rPr>
              <w:t>Exhibits and Financial Statement Schedules</w:t>
            </w:r>
          </w:p>
        </w:tc>
        <w:tc>
          <w:tcPr>
            <w:tcW w:w="1260" w:type="dxa"/>
            <w:vAlign w:val="bottom"/>
          </w:tcPr>
          <w:p>
            <w:pPr>
              <w:ind w:left="8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Item 16.</w:t>
            </w:r>
          </w:p>
        </w:tc>
        <w:tc>
          <w:tcPr>
            <w:tcW w:w="8720" w:type="dxa"/>
            <w:vAlign w:val="bottom"/>
          </w:tcPr>
          <w:p>
            <w:pPr>
              <w:ind w:left="120"/>
              <w:spacing w:after="0"/>
              <w:rPr>
                <w:sz w:val="20"/>
                <w:szCs w:val="20"/>
                <w:color w:val="auto"/>
              </w:rPr>
            </w:pPr>
            <w:r>
              <w:rPr>
                <w:rFonts w:ascii="Arial" w:cs="Arial" w:eastAsia="Arial" w:hAnsi="Arial"/>
                <w:sz w:val="18"/>
                <w:szCs w:val="18"/>
                <w:color w:val="auto"/>
              </w:rPr>
              <w:t>Form 10-K Summary</w:t>
            </w:r>
          </w:p>
        </w:tc>
        <w:tc>
          <w:tcPr>
            <w:tcW w:w="1260" w:type="dxa"/>
            <w:vAlign w:val="bottom"/>
          </w:tcPr>
          <w:p>
            <w:pPr>
              <w:ind w:left="8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58</w:t>
              </w:r>
            </w:hyperlink>
          </w:p>
        </w:tc>
      </w:tr>
      <w:tr>
        <w:trPr>
          <w:trHeight w:val="499"/>
        </w:trPr>
        <w:tc>
          <w:tcPr>
            <w:tcW w:w="1260" w:type="dxa"/>
            <w:vAlign w:val="bottom"/>
          </w:tcPr>
          <w:p>
            <w:pPr>
              <w:ind w:left="40"/>
              <w:spacing w:after="0"/>
              <w:rPr>
                <w:sz w:val="20"/>
                <w:szCs w:val="20"/>
                <w:color w:val="auto"/>
              </w:rPr>
            </w:pPr>
            <w:r>
              <w:rPr>
                <w:rFonts w:ascii="Arial" w:cs="Arial" w:eastAsia="Arial" w:hAnsi="Arial"/>
                <w:sz w:val="18"/>
                <w:szCs w:val="18"/>
                <w:color w:val="auto"/>
              </w:rPr>
              <w:t>SIGNATURES</w:t>
            </w:r>
          </w:p>
        </w:tc>
        <w:tc>
          <w:tcPr>
            <w:tcW w:w="8720" w:type="dxa"/>
            <w:vAlign w:val="bottom"/>
          </w:tcPr>
          <w:p>
            <w:pPr>
              <w:spacing w:after="0"/>
              <w:rPr>
                <w:sz w:val="24"/>
                <w:szCs w:val="24"/>
                <w:color w:val="auto"/>
              </w:rPr>
            </w:pPr>
          </w:p>
        </w:tc>
        <w:tc>
          <w:tcPr>
            <w:tcW w:w="1260" w:type="dxa"/>
            <w:vAlign w:val="bottom"/>
          </w:tcPr>
          <w:p>
            <w:pPr>
              <w:ind w:left="82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59</w:t>
              </w:r>
            </w:hyperlink>
          </w:p>
        </w:tc>
      </w:tr>
      <w:tr>
        <w:trPr>
          <w:trHeight w:val="850"/>
        </w:trPr>
        <w:tc>
          <w:tcPr>
            <w:tcW w:w="1260" w:type="dxa"/>
            <w:vAlign w:val="bottom"/>
          </w:tcPr>
          <w:p>
            <w:pPr>
              <w:spacing w:after="0"/>
              <w:rPr>
                <w:sz w:val="24"/>
                <w:szCs w:val="24"/>
                <w:color w:val="auto"/>
              </w:rPr>
            </w:pPr>
          </w:p>
        </w:tc>
        <w:tc>
          <w:tcPr>
            <w:tcW w:w="8720" w:type="dxa"/>
            <w:vAlign w:val="bottom"/>
          </w:tcPr>
          <w:p>
            <w:pPr>
              <w:ind w:left="4320"/>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87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statements included in this Annual Report on Form 10-K are forward-looking statements. Those statements include statements regarding the intent, belief or current expectations of Federal Realty Investment Trust (“we” “our” or “us”)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are some of the risks and uncertainties, although not all risks and uncertainties, that could cause our actual results to differ materially from those presented in our forward-looking statements:</w:t>
      </w:r>
    </w:p>
    <w:p>
      <w:pPr>
        <w:spacing w:after="0" w:line="197" w:lineRule="exact"/>
        <w:rPr>
          <w:sz w:val="20"/>
          <w:szCs w:val="20"/>
          <w:color w:val="auto"/>
        </w:rPr>
      </w:pPr>
    </w:p>
    <w:p>
      <w:pPr>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20"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In addition, we describe risks and uncertainties that could cause actual results and events to differ materially in “Risk Factors” (Part I, Item 1A of this Annual Report on Form 10-K), “Quantitative and Qualitative Disclosures about Market Risk” (Part II, Item 7A), and “Management’s Discussion and Analysis of Financial Conditions and Results of Operations” (Part II, Item 7).</w:t>
      </w:r>
    </w:p>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References to “we,” “us,” “our” or the “Trust” refer to Federal Realty Investment Trust and our business and operations conducted through our directly or indirectly owned subsidiaries.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and South Florida. As of December 31, 2020, we owned or had a majority interest in community and neighborhood shopping centers and mixed-use properties which are operated as 101 predominantly retail real estate projects comprising approximately</w:t>
      </w: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23.4 million square feet. In total, the real estate projects were 92.2% leased and 90.2% occupied at December 31, 2020. Our revenue is primarily generated from lease agreements with tenants. We have paid quarterly dividends to our shareholders continuously since our founding in 1962 and have increased our dividends per common share for 53 consecutive years.</w:t>
      </w:r>
    </w:p>
    <w:p>
      <w:pPr>
        <w:spacing w:after="0" w:line="13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909 Rose Avenue, North Bethesda, Maryland 20852. Our telephone number is (301) 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report and is not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Strategies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While the ongoing COVID-19 pandemic is impacting us in the short-term, our long-term focus has not changed.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primary business objective is to own, manage, acquire and redevelop a portfolio of high quality retail focused properties that will:</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increasing cash flow for distribution to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 higher internal growth than the shopping center industry over the long term;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potential for capital appreciation;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 investor capital.</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portfolio includes, and we continue to acquire and redevelop, high quality retail in many formats ranging from regional, community and neighborhood shopping centers that often are anchored by grocery stores to mixed-use properties that are typically centered around a retail component but also include office, residential and/or hotel components.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Strategies</w:t>
      </w:r>
    </w:p>
    <w:p>
      <w:pPr>
        <w:spacing w:after="0" w:line="104" w:lineRule="exact"/>
        <w:rPr>
          <w:sz w:val="20"/>
          <w:szCs w:val="20"/>
          <w:color w:val="auto"/>
        </w:rPr>
      </w:pPr>
    </w:p>
    <w:p>
      <w:pPr>
        <w:jc w:val="both"/>
        <w:ind w:right="220"/>
        <w:spacing w:after="0" w:line="303" w:lineRule="auto"/>
        <w:rPr>
          <w:sz w:val="20"/>
          <w:szCs w:val="20"/>
          <w:color w:val="auto"/>
        </w:rPr>
      </w:pPr>
      <w:r>
        <w:rPr>
          <w:rFonts w:ascii="Arial" w:cs="Arial" w:eastAsia="Arial" w:hAnsi="Arial"/>
          <w:sz w:val="15"/>
          <w:szCs w:val="15"/>
          <w:color w:val="auto"/>
        </w:rPr>
        <w:t>While managing through the ongoing COVID-19 pandemic has resulted in short-term deviations, our long-term core operating strategy has not changed. We continuously evaluate and assess our operating strategies to ensure they are effective and put us in the best position to address changes in the market. We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enabled us to maintain higher occupancy rates, charge higher rental rates, and maintain steady rent growth, all of which increase the value of our portfolio. Our operating strategies also include:</w:t>
      </w:r>
    </w:p>
    <w:p>
      <w:pPr>
        <w:spacing w:after="0" w:line="4" w:lineRule="exact"/>
        <w:rPr>
          <w:sz w:val="20"/>
          <w:szCs w:val="20"/>
          <w:color w:val="auto"/>
        </w:rPr>
      </w:pPr>
    </w:p>
    <w:p>
      <w:pPr>
        <w:ind w:left="660" w:right="24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rental rates through the renewal of expiring leases or the leasing of space to new tenants at higher rental rates while limiting vacancy and down-time;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a diversified tenant base, thereby limiting exposure to any one tenant’s financial or operating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monitoring the merchandising mix of our tenant base to achieve a balance of strong national and regional tenants with local specialty tenants;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minimizing overhead and operating costs;</w:t>
      </w:r>
    </w:p>
    <w:p>
      <w:pPr>
        <w:spacing w:after="0" w:line="9" w:lineRule="exact"/>
        <w:rPr>
          <w:rFonts w:ascii="Arial" w:cs="Arial" w:eastAsia="Arial" w:hAnsi="Arial"/>
          <w:sz w:val="18"/>
          <w:szCs w:val="18"/>
          <w:color w:val="auto"/>
        </w:rPr>
      </w:pPr>
    </w:p>
    <w:p>
      <w:pPr>
        <w:ind w:left="660" w:right="160" w:hanging="328"/>
        <w:spacing w:after="0" w:line="28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local and regional market expertise in order to capitalize on market and retailing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the contacts and experience of our management team to build and maintain long-term relationships with tenants;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exceptional customer service; and</w:t>
      </w:r>
    </w:p>
    <w:p>
      <w:pPr>
        <w:spacing w:after="0" w:line="9" w:lineRule="exact"/>
        <w:rPr>
          <w:rFonts w:ascii="Arial" w:cs="Arial" w:eastAsia="Arial" w:hAnsi="Arial"/>
          <w:sz w:val="18"/>
          <w:szCs w:val="18"/>
          <w:color w:val="auto"/>
        </w:rPr>
      </w:pPr>
    </w:p>
    <w:p>
      <w:pPr>
        <w:ind w:left="660" w:right="66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an experience at many of our properties that is identifiable, unique and serves the surrounding communities to help insulate these properties and the tenants at these properties from the impact of on-line retailing.</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 w:name="page5"/>
    <w:bookmarkEnd w:id="4"/>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Strategies</w:t>
      </w:r>
    </w:p>
    <w:p>
      <w:pPr>
        <w:spacing w:after="0" w:line="90"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ind w:left="660" w:right="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expanding, reconfiguring and/or retenanting our existing properties to take advantage of under-utilized land or existing square footage to increase revenue;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or expanding tenant spaces for tenants capable of producing higher sales, and therefore, paying higher rents;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spacing w:after="0" w:line="1" w:lineRule="exact"/>
        <w:rPr>
          <w:rFonts w:ascii="Arial" w:cs="Arial" w:eastAsia="Arial" w:hAnsi="Arial"/>
          <w:sz w:val="18"/>
          <w:szCs w:val="18"/>
          <w:color w:val="auto"/>
        </w:rPr>
      </w:pPr>
    </w:p>
    <w:p>
      <w:pPr>
        <w:ind w:left="660" w:right="34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the retail portions of mixed-use properties and developing or otherwise investing in non-retail portions of mixed-use properties we already own in order to capitalize on the overall value created in these properties.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Criteria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When we evaluate potential redevelopment, retenanting, expansion, acquisition and development opportunities, we consider such factors as:</w:t>
      </w:r>
    </w:p>
    <w:p>
      <w:pPr>
        <w:spacing w:after="0" w:line="23" w:lineRule="exact"/>
        <w:rPr>
          <w:sz w:val="20"/>
          <w:szCs w:val="20"/>
          <w:color w:val="auto"/>
        </w:rPr>
      </w:pPr>
    </w:p>
    <w:p>
      <w:pPr>
        <w:ind w:left="660" w:right="40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returns in relation to our short and long-term cost of capital as well as the anticipated risk we will face in achieving the expected returns;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anticipated growth rate of operating income generated by the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increase the long-term value of the property through redevelopment and retenanting;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tenant mix at the property, tenant sales performance and the creditworthiness of those tenants;</w:t>
      </w:r>
    </w:p>
    <w:p>
      <w:pPr>
        <w:spacing w:after="0" w:line="9" w:lineRule="exact"/>
        <w:rPr>
          <w:rFonts w:ascii="Arial" w:cs="Arial" w:eastAsia="Arial" w:hAnsi="Arial"/>
          <w:sz w:val="18"/>
          <w:szCs w:val="18"/>
          <w:color w:val="auto"/>
        </w:rPr>
      </w:pPr>
    </w:p>
    <w:p>
      <w:pPr>
        <w:ind w:left="660" w:right="660" w:hanging="328"/>
        <w:spacing w:after="0" w:line="265"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geographic area in which the property is located, including the population density, household incomes, education levels, as well as the population and income trends in that geographic area. This may from time to time include the evaluation of new markets;</w:t>
      </w:r>
    </w:p>
    <w:p>
      <w:pPr>
        <w:ind w:left="660" w:right="30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conditions in the vicinity of the property, including gross leasable area (GLA) per capita, competition for tenants and the ability of others to create competing properties through redevelopment, new construction or renovation;</w:t>
      </w:r>
    </w:p>
    <w:p>
      <w:pPr>
        <w:ind w:left="660" w:right="32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and visibility of the property from existing roadways and the potential for new, widened or realigned, roadways within the property’s trade area, which may affect access and commuting and shopping patterns;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and success of our existing investments in the market area;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current market value of the land, buildings and other improvements and the potential for increasing those market values;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physical condition of the land, buildings and other improvements, including the structural and environmental condition.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Strategies</w:t>
      </w:r>
    </w:p>
    <w:p>
      <w:pPr>
        <w:spacing w:after="0" w:line="104"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Our financing strategies are designed to enable us to maintain an investment grade balance sheet while retaining sufficient flexibility to fund our operating and investing activities in the most cost-efficient way possible. As a result of the ongoing COVID-19 pandemic and its impact on our cash flows, we have been currently maintaining levels of cash significantly in excess of the cash balances we have historically maintained. Our financing strategies include:</w:t>
      </w:r>
    </w:p>
    <w:p>
      <w:pPr>
        <w:spacing w:after="0" w:line="2" w:lineRule="exact"/>
        <w:rPr>
          <w:sz w:val="20"/>
          <w:szCs w:val="20"/>
          <w:color w:val="auto"/>
        </w:rPr>
      </w:pPr>
    </w:p>
    <w:p>
      <w:pPr>
        <w:ind w:left="660" w:right="3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 prudent level of overall leverage and an appropriate pool of unencumbered properties that is sufficient to support our unsecured borrowings;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managing our exposure to variable-rate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sufficient levels of cash and available line of credit to fund operating and investing needs on a short-term basis;</w:t>
      </w:r>
    </w:p>
    <w:p>
      <w:pPr>
        <w:spacing w:after="0" w:line="9" w:lineRule="exact"/>
        <w:rPr>
          <w:rFonts w:ascii="Arial" w:cs="Arial" w:eastAsia="Arial" w:hAnsi="Arial"/>
          <w:sz w:val="18"/>
          <w:szCs w:val="18"/>
          <w:color w:val="auto"/>
        </w:rPr>
      </w:pPr>
    </w:p>
    <w:p>
      <w:pPr>
        <w:ind w:left="660" w:right="68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taking advantage of market opportunities to refinance existing debt, reduce interest costs and manage our debt maturity schedule so that a significant portion of our debt relative to our size does not mature in any one year;</w:t>
      </w:r>
    </w:p>
    <w:p>
      <w:pPr>
        <w:ind w:left="660" w:right="780" w:hanging="328"/>
        <w:spacing w:after="0" w:line="265"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ind w:left="660" w:right="3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utilizing the most advantageous long-term source of capital available to us to finance redevelopment and acquisition opportunities, which may include:</w:t>
      </w:r>
    </w:p>
    <w:p>
      <w:pPr>
        <w:ind w:left="1300" w:right="140" w:hanging="320"/>
        <w:spacing w:after="0" w:line="250" w:lineRule="auto"/>
        <w:tabs>
          <w:tab w:leader="none" w:pos="1296"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sale of our equity or debt securities through public offerings, including our at-the-market ("ATM") equity program in which we may from time to time offer and sell common shares, or private placements,</w:t>
      </w: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incurrence of indebtedness through unsecured or secured borrowings,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1300" w:right="160" w:hanging="320"/>
        <w:spacing w:after="0" w:line="254"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of operating partnership units in a new or existing “downREIT partnership” that is controlled and consolidated by us (generally operating partnership units in a “downREIT” partnership are issued in exchange for a tax deferred contribution of property; these units typically receive the same distributions as our common shares and the holders of these units have the right to exchange their units for cash or common shares, at our option), or</w:t>
      </w:r>
    </w:p>
    <w:p>
      <w:pPr>
        <w:spacing w:after="0" w:line="2"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joint venture arrangements.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At February 8, 2021, we had 307 full-time employees and 4 part-time employees. None of our employees are represented by a collective bargaining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relationship with our employees is good.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an Equal Opportunity/Affirmative action employer, and strive to maintain a workplace that is free from discrimination on the basis of race, color, religion, sex, sexual orientation, nationality, disability, or protected Veteran status.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Safety, and Wellness</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committed to the health, safety, and wellness of our employees, and foster an environment that allows our people to succeed while balancing work and life. We provide our employees with access to health and wellness programs, which includes benefits that support both physical and mental health. In response to the COVID-19 pandemic, we implemented significant changes that were in the best interest of our employees and to comply with government regulations. This includes having the majority of our employees working remotely, as well as implementing additional safety measures for employees continuing to work in our offices.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provide competitive pay and benefits including health, dental, vision, short and long-term disability, life insurance and a 401(k) retirement program, as well as a generous paid time off program that includes vacation, sick, and personal leave. In addition to our equity awards program, we also offer a quarterly recognition program, as well as rewarding employees with spot bonuses for stellar performance or going above and beyond the base requirements of their job description.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w:t>
      </w:r>
    </w:p>
    <w:p>
      <w:pPr>
        <w:spacing w:after="0" w:line="104" w:lineRule="exact"/>
        <w:rPr>
          <w:sz w:val="20"/>
          <w:szCs w:val="20"/>
          <w:color w:val="auto"/>
        </w:rPr>
      </w:pPr>
    </w:p>
    <w:p>
      <w:pPr>
        <w:ind w:right="400"/>
        <w:spacing w:after="0" w:line="334" w:lineRule="auto"/>
        <w:rPr>
          <w:sz w:val="20"/>
          <w:szCs w:val="20"/>
          <w:color w:val="auto"/>
        </w:rPr>
      </w:pPr>
      <w:r>
        <w:rPr>
          <w:rFonts w:ascii="Arial" w:cs="Arial" w:eastAsia="Arial" w:hAnsi="Arial"/>
          <w:sz w:val="16"/>
          <w:szCs w:val="16"/>
          <w:color w:val="auto"/>
        </w:rPr>
        <w:t>Employees have access to a variety of different training courses, books, book summaries and audio books, and an array of source materials covering a myriad of different business and soft skills training subjects. Additionally, we provide reimbursement for tuition and professional licensures.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Involvement</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Giving back to the community is an integral part of who we are and what we do. We provide ample ways to give back through programs at our properties or charitable endeavors and volunteer opportunities that also serve as team building exercises for our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9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for our taxable years ending on or prior to December 31, 2017,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10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March 2020, the World Health Organization declared the outbreak of novel coronavirus disease ("COVID-19") as a pandemic. While we currently expect the impact to our properties is temporary in nature, the extent of the future effects of COVID-19 on our business, operating strategies, results of operations, cash flows, and growth prospects is highly uncertain and</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will ultimately depend on future developments, none of which can be predicted with any certainty. Refer to </w:t>
      </w:r>
      <w:hyperlink w:anchor="page30">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the impacts of COVID-19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 Affecting Our Properties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We and our properties are subject to a variety of federal, state and local environmental, health, safety and similar laws, including without limitation:</w:t>
      </w:r>
    </w:p>
    <w:p>
      <w:pPr>
        <w:spacing w:after="0" w:line="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Comprehensive Environmental Response, Compensation, and Liability Act of 1980, as amended, which we refer to as CERCLA;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Resource Conservation &amp; Recovery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Water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Air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Toxic Substances Control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Occupational Safety &amp; Health Act;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Americans with Disabilities Act.</w:t>
      </w:r>
    </w:p>
    <w:p>
      <w:pPr>
        <w:spacing w:after="0" w:line="15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Please see Item 1A. "Risk Factors - Risk Factors Related to our REIT Status and Other Laws and Regulations" for further discussion of potential material effects of our compliance with government regulation, including environmental regulations and the rules governing REITS.</w:t>
      </w:r>
    </w:p>
    <w:p>
      <w:pPr>
        <w:spacing w:after="0" w:line="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such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number of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 leading to increased vacancy rates and/or reduced rents;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 xml:space="preserve"> as soon as reasonably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practicable after we electronically file the material with, or furnish the material to, the Securities and Exchange Commission, or the SEC.</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Investors section of our website.</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Amendments to the Code of Ethics or Code of Business Conduct or waivers that apply to any of our executive officers or our senior financial officers will be disclosed in the Corporate Governance section of our website as well.</w:t>
      </w:r>
    </w:p>
    <w:p>
      <w:pPr>
        <w:spacing w:after="0" w:line="200" w:lineRule="exact"/>
        <w:rPr>
          <w:sz w:val="20"/>
          <w:szCs w:val="20"/>
          <w:color w:val="auto"/>
        </w:rPr>
      </w:pP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Real Estate Investments and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legal, and/or competitive conditions, as well as COVID-19, may impact the success of our tenants’ retail operations and therefore the amount of rent and expense reimbursements we receive from our tenants. Any reduction in our tenants' abilities to pay base rent, percentage rent, or other charges on a timely basis, including the closing of stores prior to the end of the lease term or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income depends on the success and continued presence of our “anchor” tenants.</w:t>
      </w:r>
    </w:p>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Over the past several years, we have seen higher levels of anchor turnover and closings in some markets, which has caused an oversupply of larger retail spaces. Therefore, tenant demand for certain of our anchor spaces may decrease and as a result, we may see an increase in vacancy and/or a decrease in rents for those spaces that could have a negative impact to our net income. As of December 31, 2020, our anchor tenant space is 96.2% leased and 94.1% occupied.</w:t>
      </w:r>
    </w:p>
    <w:p>
      <w:pPr>
        <w:spacing w:after="0" w:line="20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A shift in retail shopping from brick and mortar stores to online shopping may have an adverse impact on our cash flow, financial condition and results of operations.</w:t>
      </w:r>
    </w:p>
    <w:p>
      <w:pPr>
        <w:spacing w:after="0" w:line="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Many retailers operating brick and mortar stores have made online sales a vital piece of their business. The shift to online shopping may cause declines in brick and mortar sales generated by certain of our tenants and may cause certain of our tenants to reduce the size or number of their retail locations in the future. This risk is partially mitigated by our strategy of maintaining a diverse portfolio of retail properties. The trend of retailers utilizing brick and mortar locations for ‘showroom’ and on-line sales distribution purposes (particularly at shopping centers in densely populated areas like ours) may further mitigate this risk. However, there can be no assurance that our shopping centers will not be further impacted by the shift to online shopping. As a result, our cash flow, financial condition, and results of operations could be adversely affected.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have properties that are geographically concentrated, and adverse economic or real estate market declines in these areas could have a material adverse effect on us.</w:t>
      </w:r>
    </w:p>
    <w:p>
      <w:pPr>
        <w:spacing w:after="0" w:line="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2020, our tenants operated in 11 states and the District of Columbia. Any adverse situation that disproportionately affects the the markets where our properties are concentrated may have a magnified adverse effect on our portfolio. Refer to “Properties” (Item 2 of this Annual Report on Form 10-K) for additional discussion of the geographic concentration. Real estate markets are subject to economic downturns, as they have been in the past, and we cannot predict how economic conditions will impact this market in both the short and long term.</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Declines in the economy or a decline in the real estate market in these states could hurt our financial performance and the value of our properties. Factors that may negatively affect economic conditions in these states include:</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layoffs or downsizing;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slowdowns;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business restrictions due to health crises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relocations of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demographics;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telecommuting and use of alternative work places;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infrastructure quality;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oversupply of, or reduced demand for, real estate;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concessions or reduced rental rates under new leases for properties where tenants defaulted;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operating costs including insurance premiums and real estate taxes.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collect balances due from tenants that file for bankruptcy protection.</w:t>
      </w:r>
    </w:p>
    <w:p>
      <w:pPr>
        <w:spacing w:after="0" w:line="10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9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activities have inherent risks.</w:t>
      </w:r>
    </w:p>
    <w:p>
      <w:pPr>
        <w:spacing w:after="0" w:line="1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ground-up development of improvements on real property, as opposed to the renovation and redevelopment of existing improvements, presents substantial risks. We generally do not look to acquire raw land for future development; however, we do intend to complete the development and construction of future phases of projects we already own. We may undertake development of these and other projects on our own or bring in third parties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additional phases of any of our existing projects or if any new projects are not successful, it may adversely affect our financial condition and results of operations.</w:t>
      </w:r>
    </w:p>
    <w:p>
      <w:pPr>
        <w:spacing w:after="0" w:line="14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 addition to the risks associated with real estate investment in general, as described elsewhere and the specific risks above, the risks associated with our remaining development activities include:</w:t>
      </w:r>
    </w:p>
    <w:p>
      <w:pPr>
        <w:spacing w:after="0" w:line="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contractor changes may delay the completion of development projects and increase overall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time lag between commencement and stabilization subjects us to greater risks due to fluctuations in the general economy;</w:t>
      </w:r>
    </w:p>
    <w:p>
      <w:pPr>
        <w:spacing w:after="0" w:line="9" w:lineRule="exact"/>
        <w:rPr>
          <w:rFonts w:ascii="Arial" w:cs="Arial" w:eastAsia="Arial" w:hAnsi="Arial"/>
          <w:sz w:val="18"/>
          <w:szCs w:val="18"/>
          <w:color w:val="auto"/>
        </w:rPr>
      </w:pPr>
    </w:p>
    <w:p>
      <w:pPr>
        <w:ind w:left="660" w:right="7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delivery of residential product into uncertain residential environments may result in lower rents or longer time periods to reach economic stabilization;</w:t>
      </w:r>
    </w:p>
    <w:p>
      <w:pPr>
        <w:ind w:left="660" w:right="48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 amount of our investment is related to infrastructure and the overall value of the project may be negatively impacted if we do not complete subsequent phases;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securing key anchor or other tenants may impact occupancy rates and projected revenue;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than estimated construction or operating costs, including labor and material costs; and</w:t>
      </w:r>
    </w:p>
    <w:p>
      <w:pPr>
        <w:spacing w:after="0" w:line="9" w:lineRule="exact"/>
        <w:rPr>
          <w:rFonts w:ascii="Arial" w:cs="Arial" w:eastAsia="Arial" w:hAnsi="Arial"/>
          <w:sz w:val="18"/>
          <w:szCs w:val="18"/>
          <w:color w:val="auto"/>
        </w:rPr>
      </w:pPr>
    </w:p>
    <w:p>
      <w:pPr>
        <w:ind w:left="660" w:right="100" w:hanging="328"/>
        <w:spacing w:after="0" w:line="25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delay in completion of a project because of a number of factors, including COVID-19, weather, labor disruptions, construction delays or delays in receipt of zoning or other regulatory approvals, acts of terror or other acts of violence, or acts of God (such as fires, earthquakes or floods).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ind w:left="660" w:right="8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not be able to identify suitable properties to acquire or may be unable to complete the acquisition of the properties we identify;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integrate an acquisition into our existing operations successfully;</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ind w:left="660" w:right="160" w:hanging="328"/>
        <w:spacing w:after="0" w:line="281"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spacing w:after="0" w:line="1" w:lineRule="exact"/>
        <w:rPr>
          <w:rFonts w:ascii="Arial" w:cs="Arial" w:eastAsia="Arial" w:hAnsi="Arial"/>
          <w:sz w:val="16"/>
          <w:szCs w:val="16"/>
          <w:color w:val="auto"/>
        </w:rPr>
      </w:pPr>
    </w:p>
    <w:p>
      <w:pPr>
        <w:ind w:left="660" w:right="360" w:hanging="328"/>
        <w:spacing w:after="0" w:line="323"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and value are subject to general risks associated with the real estate industry.</w:t>
      </w:r>
    </w:p>
    <w:p>
      <w:pPr>
        <w:spacing w:after="0" w:line="10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downturns in general, or in the areas where our properties are located;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an oversupply or reduction in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9" w:lineRule="exact"/>
        <w:rPr>
          <w:rFonts w:ascii="Arial" w:cs="Arial" w:eastAsia="Arial" w:hAnsi="Arial"/>
          <w:sz w:val="18"/>
          <w:szCs w:val="18"/>
          <w:color w:val="auto"/>
        </w:rPr>
      </w:pPr>
    </w:p>
    <w:p>
      <w:pPr>
        <w:ind w:left="660" w:right="280" w:hanging="328"/>
        <w:spacing w:after="0" w:line="25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3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these risks could result in decreases in market rental rates and increases in vacancy rates, which could adversely affect our financial condition and results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10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occupied.</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0" w:name="page11"/>
    <w:bookmarkEnd w:id="10"/>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purchase new properties and generate sufficient income from tenants.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Numerous commercial developers and real estate companies compete with us in seeking tenants for our existing properties and properties for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competition may:</w:t>
      </w:r>
    </w:p>
    <w:p>
      <w:pPr>
        <w:spacing w:after="0" w:line="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Our organizational documents do not limit the amount of funds that we may invest in properties and assets owned jointly with other persons or entities.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December 31, 2020, we held 15 predominantly retail real estate projects jointly with other persons in addition to properties owned in a “downREIT”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structure. Additionally, as of December 31, 2020, we owned an interest in the joint ventures that own the hotel components of Pike &amp; Rose and Assembly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Row. On January 4, 2021, we acquired our partner's 20% interest in our joint venture arrangement related to the Pike &amp; Rose hotel. We may make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 joint investments in the future. Our existing and future joint investments may subject us to special risks, including the possibility that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partners or co-investors might become bankrupt, that those partners or co-investors might have economic or other business interests or goals which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unlike or incompatible with our business interests or goals, that those partners or co-investors might be in a position to take action contrary to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suggestions or instructions, or in opposition to our policies or objectives, and that disputes may develop with our joint venture partners over decisions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affecting the property or the joint venture, which may result in litigation or arbitration or some other form of dispute resolution. Although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we held the controlling interests in all of our existing co-investments (except the hotel investments discussed above and the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La Alameda shopping center acquired in 2017), we generally must obtain the consent of the co-investor or meet defined criteria to sell or to finance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properties. Joint ownership gives a third party the opportunity to influence the return we can achieve on some of our investments and may adversely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affect our ability to make distributions to our shareholders. We may also be liable for the actions of our co-investors.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33"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pandemics,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229"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Natural disasters, climate change and health crises, including the COVID-19 pandemic, could have an adverse impact on our cash flow and operating results.</w:t>
      </w:r>
    </w:p>
    <w:p>
      <w:pPr>
        <w:spacing w:after="0" w:line="3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Climate change may add to the unpredictability and frequency of natural disasters and severe weather conditions and create additional uncertainty as to future trends and exposures. Certain of our operations are located in areas that are subject to natural disasters and severe weather conditions such as hurricanes, earthquakes, droughts, snow storms, floods and fires. The impact of climate change or the occurrence of natural disasters can delay new development projects, increase investment costs to repair or replace damaged properties, increase operating costs, create additional investment costs to make improvements to existing properties to comply with climate change regulations, increase future property insurance costs, and negatively impact the tenant demand for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112" w:lineRule="exact"/>
        <w:rPr>
          <w:sz w:val="20"/>
          <w:szCs w:val="20"/>
          <w:color w:val="auto"/>
        </w:rPr>
      </w:pPr>
    </w:p>
    <w:p>
      <w:pPr>
        <w:ind w:right="2020"/>
        <w:spacing w:after="0" w:line="285" w:lineRule="auto"/>
        <w:rPr>
          <w:sz w:val="20"/>
          <w:szCs w:val="20"/>
          <w:color w:val="auto"/>
        </w:rPr>
      </w:pPr>
      <w:r>
        <w:rPr>
          <w:rFonts w:ascii="Arial" w:cs="Arial" w:eastAsia="Arial" w:hAnsi="Arial"/>
          <w:sz w:val="16"/>
          <w:szCs w:val="16"/>
          <w:color w:val="auto"/>
        </w:rPr>
        <w:t>In addition, our business is subject to risks related to the effects of public health crises, epidemics and pandemics, including the COVID-19 pandemic. Such events could inhibit global, national and local economic activity; adversely affect trading activity in securities markets, which could negatively impact the trading prices of our common shares and debt securities and our ability to access the securities markets as a source of liquidity; adversely affect our tenants’ financial condition by limiting foot traffic and staffing at their businesses, which could affect their ability to pay rent and willingness to make new leasing commitments;</w:t>
      </w:r>
    </w:p>
    <w:p>
      <w:pPr>
        <w:spacing w:after="0" w:line="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reduce our cash flow, which could impact our ability to pay dividends at the current rate and in the current format or at all or to service our debt; temporarily or permanently reduce the demand for retail or office space; interfere with our business operations by requiring our personnel to work remotely; increase the frequency of cyber-attacks; disrupt supply chains that could be important in our development and redevelopment activities; interfere with potential purchases and sales of properties; impact our ability to pay dividends at the current rate and in the current format or at all; and have other direct and indirect effects that are difficult to predict. Such risks depend upon the nature and severity of the public health concern, as well as the extent and duration of government-mandated orders and personal decisions to limit travel, economic activity and personal interaction, none of which can be predicted with confidence. In particular, we cannot predict the duration of stay-at-home and other government orders instituted in response to the COVID-19 pandemic, which vary by jurisdiction, or the pandemics' short and long term economic effects, each of which could have a material adverse effect on our business.</w:t>
      </w:r>
    </w:p>
    <w:p>
      <w:pPr>
        <w:spacing w:after="0" w:line="22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An increased focus on metrics and reporting related to corporate responsibility, specifically related to environmental, social and governance ("ESG") factors, may impose additional costs and expose us to new risks.</w:t>
      </w:r>
    </w:p>
    <w:p>
      <w:pPr>
        <w:spacing w:after="0" w:line="4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Investors and other stakeholders have become more focused on understanding how companies address a variety of ESG factors. Many of those investors and shareholders look to ESG rating systems that have been developed by third party groups to allow comparisons between companies on ESG factors as they evaluate investment decisions as well as to company disclosures. Although we participate in many of these ratings systems and generally score relatively well in those in which we do participate, we do not participate in, and would not necessarily score well in, all of the available ratings systems. Further, the criteria used in these ratings systems change frequently, and we cannot guaranty that we will be able to score well as criteria change. We supplement our participation in ratings systems with corporate disclosures of our ESG activities but many investors and stakeholders may look for specific disclosures that we do not provide. Failure to participate in certain of the third party ratings systems, failure to score well in those ratings systems or failure to provide certain ESG disclosures could result in reputational harm when investors or others compare us against similar companies in our industry and could cause certain investors to be unwilling to invest in our stock which could adversely impact our ability to raise capital.</w:t>
      </w:r>
    </w:p>
    <w:p>
      <w:pPr>
        <w:spacing w:after="0" w:line="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more information about the Trust's Corporate Responsibility initiatives, see Item 7. "Management's Discussion and Analysis of Financial Condition and Results of Operations - Corporate Responsibility."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Funding Strategies and Capital Structure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December 31, 2020, we had approximately $4.3 billion of debt outstanding. Of that outstanding debt, approximately $486.0 million was secured by all or a portion of 11 of our real estate projects. As of December 31, 2020, approximately 90.7% of our debt is fixed rate or is fixed via interest rate swap agreements, which includes all of our property secured debt and our unsecured senior notes. Our organizational documents do not limit the level or amount of debt that we may incur. The amount of our debt outstanding from time to time could have important consequences to our shareholders. For example, it could:</w:t>
      </w:r>
    </w:p>
    <w:p>
      <w:pPr>
        <w:spacing w:after="0" w:line="3" w:lineRule="exact"/>
        <w:rPr>
          <w:sz w:val="20"/>
          <w:szCs w:val="20"/>
          <w:color w:val="auto"/>
        </w:rPr>
      </w:pPr>
    </w:p>
    <w:p>
      <w:pPr>
        <w:ind w:left="660" w:right="660" w:hanging="328"/>
        <w:spacing w:after="0" w:line="281"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dedicate increased amounts of our cash flow from operations to payments on debt upon refinancing or on our variable rate, unhedged debt, if interest rates rise;</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pacing w:after="0" w:line="9" w:lineRule="exact"/>
        <w:rPr>
          <w:rFonts w:ascii="Arial" w:cs="Arial" w:eastAsia="Arial" w:hAnsi="Arial"/>
          <w:sz w:val="18"/>
          <w:szCs w:val="18"/>
          <w:color w:val="auto"/>
        </w:rPr>
      </w:pPr>
    </w:p>
    <w:p>
      <w:pPr>
        <w:ind w:left="660" w:right="760" w:hanging="328"/>
        <w:spacing w:after="0" w:line="281"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spacing w:after="0" w:line="1" w:lineRule="exact"/>
        <w:rPr>
          <w:rFonts w:ascii="Arial" w:cs="Arial" w:eastAsia="Arial" w:hAnsi="Arial"/>
          <w:sz w:val="16"/>
          <w:szCs w:val="16"/>
          <w:color w:val="auto"/>
        </w:rPr>
      </w:pPr>
    </w:p>
    <w:p>
      <w:pPr>
        <w:ind w:left="660" w:right="34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3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ability to make scheduled principal payments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spacing w:after="0" w:line="22" w:lineRule="exact"/>
        <w:rPr>
          <w:sz w:val="20"/>
          <w:szCs w:val="20"/>
          <w:color w:val="auto"/>
        </w:rPr>
      </w:pPr>
    </w:p>
    <w:p>
      <w:pPr>
        <w:ind w:right="500"/>
        <w:spacing w:after="0" w:line="258" w:lineRule="auto"/>
        <w:rPr>
          <w:sz w:val="20"/>
          <w:szCs w:val="20"/>
          <w:color w:val="auto"/>
        </w:rPr>
      </w:pPr>
      <w:r>
        <w:rPr>
          <w:rFonts w:ascii="Arial" w:cs="Arial" w:eastAsia="Arial" w:hAnsi="Arial"/>
          <w:sz w:val="18"/>
          <w:szCs w:val="18"/>
          <w:color w:val="auto"/>
        </w:rPr>
        <w:t>Our revolving credit facility, unsecured term loan, and certain series of notes include financial covenants that may limit our operating activities in the future. We are also required to comply with additional covenants that include, among other things, provisions:</w:t>
      </w:r>
    </w:p>
    <w:p>
      <w:pPr>
        <w:spacing w:after="0" w:line="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December 31, 2020, we were in compliance with all of our default related financial covenants. If we were to breach any of our default related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changes in our credit rating could affect our borrowing capacity and borrowing terms.</w:t>
      </w:r>
    </w:p>
    <w:p>
      <w:pPr>
        <w:spacing w:after="0" w:line="9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credit worthiness is rated by nationally recognized credit rating agencies. The credit ratings assigned are based on our operating performance, liquidity and leverage ratios, financial condition and prospects, and other factors viewed by the credit rating agencies as relevant to our industry and the economic outlook in general. Our credit rating can affect the amount of capital we access, as well as the terms of certain existing and future financing we obtain. Since we depend on debt financing to fund the growth of our business, an adverse change in our credit rating, including actual changes in outlook, or even the initiation of review of our credit rating that could result in an adverse change, could have a material adverse effect on us.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If economic conditions and conditions in the capital markets are not favorable at the time we need to raise capital, we may need to obtain capital on less favorable terms. Additionally, we cannot guarantee that additional financing, refinancing or other capital will be available in the amounts we desire or on favorable terms. Our access to 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 our $4.3 billion of debt outstanding as of December 31, 2020, approximately $456.5 million bears interest at a variable rate, of which, $400.0 million is our unsecured term loan that bears interest at a variable rate of LIBOR plus 135 basis points and $56.5 million in mortgages payable that bear interest at a variable rate of LIBOR plus 195 basis points and are effectively fixed through two interest rate swap agreements. We also have a $1.0 billion revolving credit facility, on which no balance was outstanding at December 31, 2020, that bears interest at LIBOR plus 77.5 basis points.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We may enter into additional hedging arrangements or other transactions for all or a portion of our variable rate debt to limit our exposure to rising interest rates. However, the amounts we are required to pay under variable rate debt to which hedging or similar arrangements relate may increase in the event of non-performance by the counterparties to any such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phase-out of LIBOR could affect interest rates under our variable rate debt and interest rate swap arrangements.</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LIBOR is used as a reference rate for our revolving credit facility, certain mortgage payables, and in our interest rate swap arrangements. On July 27, 2017, the United Kingdom's Financial Conduct Authority announced it intends to stop compelling banks to submit rates for the calculation of LIBOR after 2021. On November 30, 2020, the ICE Benchmark Administration Limited announced its plan to extend the date that most U.S. LIBOR values would cease being computed and published from December 31, 2021 to June 30, 2023. The Federal Reserve Board and the Federal Reserve Bank of New York organized the Alternative Reference Rates Committee which identified the Secured Overnight Financing Rate ("SOFR") as its preferred alternative to U.S. dollar LIBOR in derivatives and other financial contracts. At this time, we can not predict the effect of any discontinuance, modification or other reforms to LIBOR, or if SOFR, or another alternative rate reference rate, attains market traction as a LIBOR replacement. As LIBOR phases out and ceases to exist, we will need to agree upon a benchmark replacement index with the bank, and as such the interest rate on our revolving credit facility and certain mortgage payables may change. The new rate may not be as favorable as those in effect prior to any LIBOR phase-out. Furthermore, the transition process may result in delays in funding, higher interest expense, additional expenses, and increased volatility in markets for instruments that currently rely on LIBOR, all of which could negatively impact our cash flow.</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REIT Status and Other Laws and Regulations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10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responsible for the disposal or treatment of hazardous or toxic substances released on or in properties we own or operate, as well as certain other potential costs relating to hazardous or toxic substances (including governmental fines and injuries to persons and property). This liability may be imposed whether or not we knew about, or were responsible for, the presence of hazardous or toxic substances. Further, the presence of contamination on our properties or the failure to properly remediate contamination at any of our properties may adversely affect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w:t>
      </w:r>
    </w:p>
    <w:p>
      <w:pPr>
        <w:spacing w:after="0" w:line="211"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In addition, changes in government legislation and regulation on climate change could result in increased capital expenditures to improve the energy efficiency of our existing properties and could also require us to spend more on our development or redevelopment projects without a corresponding increase in revenues, which may adversely affect our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1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10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21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4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If we fail to qualify as a REIT:</w:t>
      </w:r>
    </w:p>
    <w:p>
      <w:pPr>
        <w:spacing w:after="0" w:line="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be subject to federal income tax at regular corporate rates;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ind w:left="660" w:right="2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can own.</w:t>
      </w:r>
    </w:p>
    <w:p>
      <w:pPr>
        <w:spacing w:after="0" w:line="10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our declaration of trust prohibits any one shareholder from</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happened, either the transfer of ownership would be void or the shares would be transferred to a charitable trust and then sold to someone who can own those shares without violating the 9.8% ownership limit.</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1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Legislative, administrative, regulatory or other actions affecting REITs, including positions taken by the IRS, could have a material adverse effect on us and our investors.</w:t>
      </w:r>
    </w:p>
    <w:p>
      <w:pPr>
        <w:spacing w:after="0" w:line="4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rules dealing with U.S. federal income taxation are constantly under review by persons involved in the legislative process, and by the Internal Revenue Service (“IRS”) and the U.S. Department of the Treasury (“Treasury”). Changes to the tax laws or interpretations thereof by the IRS and the Treasury, with or without retroactive application, could materially and adversely affect us and our investors. In particular, additional technical corrections legislation and implementing regulations may be enacted or promulgated in response to the Tax Cuts and Job Acts of 2017 (the "Act"), and substantive legislative changes to the Act are also possible. In response to the COVID-19 pandemic, multiple pieces of legislation have already been enacted, including the 2020 CARES Act, and there have also been significant issuances of regulatory and other guidance, and further legislative enactments and other IRS or Treasury action is possible. No prediction can be made as to the likelihood of passage of new tax legislation or other provisions, or the direct or indirect effect on us and our shareholders. Accordingly, such new legislation, Treasury regulations, administrative interpretations or court decisions could significantly and negatively affect our ability to qualify to be taxed as a REIT and/or the U.S. federal income tax consequences to us and our investors of such qualification.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tax and anti-takeover provisions of our declaration of trust and bylaws may inhibit a change of our control.</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authorization of the issuance of our preferred shares with powers, preferences or rights to be determined by the Board of Trustees;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ind w:left="660" w:right="10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 shares of beneficial interest, including the reclassification of common shares into preferred shares and vice-versa;</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w:t>
      </w:r>
    </w:p>
    <w:p>
      <w:pPr>
        <w:spacing w:after="0" w:line="15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0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3" w:lineRule="exact"/>
        <w:rPr>
          <w:sz w:val="20"/>
          <w:szCs w:val="20"/>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income may not be matched by our related expenses at the time the income is considered received for purposes of determining taxable income; and</w:t>
      </w: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16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value of our debt and equity securities is subject to various factors that may cause significant fluctuations or volatility.</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spacing w:after="0" w:line="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and trend of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access the capital markets to raise additional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issuance of additional equity or debt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funds from operations (“FFO”) or earnings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credit or analyst ratings;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financial condition and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perception of our business compared to other REITs;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perception of REITs, in general, compared to other investment alternatives.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in the current composition or at historical rates.</w:t>
      </w:r>
    </w:p>
    <w:p>
      <w:pPr>
        <w:spacing w:after="0" w:line="94"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performance by our tenants under their contractual lease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15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If we do not maintain or increase, or if we change the composition of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our key management could adversely affect performance and the value of our common shares.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dependent on the efforts of our key management. Although we believe qualified replacements could be found for any departures of key executives, the loss of their services could adversely affect our performance and the value of our common shares.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adjust our business policies without shareholder approval.</w:t>
      </w:r>
    </w:p>
    <w:p>
      <w:pPr>
        <w:spacing w:after="0" w:line="10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may modify our approach to investment, financing, borrowing, and other operating strategies without shareholder approval. A change in the approach to any of these items could adversely affect our financial condition and results of operations, and the market price of our securities.</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current business plan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spacing w:after="0" w:line="13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cyber attacks that could cause loss of confidential information and other business disruptions.</w:t>
      </w:r>
    </w:p>
    <w:p>
      <w:pPr>
        <w:spacing w:after="0" w:line="10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rely extensively on information technology systems to process transactions and manage our business, and our business is at risk from and may be impacted by cyber attacks. These could include attempts to gain unauthorized access to our data and computer systems as well as attacks on third party's information technology systems that we rely on to provide important information technology services relating to key business functions, such as payroll. Attacks can be both individual and/or highly organized attempts by very sophisticated hacking organizations. We employ a number of measures to prevent, detect and mitigate these threats, which include password encryption, multi-factor authentication, frequent password change events, firewall detection systems, anti-virus software in-place, frequent backups, a redundant data system for core applications and penetration testing; however, there is no guarantee such efforts will be successful in preventing a cyber attack. A cyber attack could compromise the confidential information of our employees, tenants and vendors. A successful attack could disrupt and otherwise adversely affect our business operations.</w:t>
      </w:r>
    </w:p>
    <w:p>
      <w:pPr>
        <w:spacing w:after="0" w:line="29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of December 31, 2020, we owned or had a majority ownership interest in community and neighborhood shopping centers and mixed-used properties which are operated as 101 predominantly retail real estate projects comprising approximately 23.4 million square feet. These properties are located primarily in densely populated and affluent communities in strategic metropolitan markets in the Northeast and Mid-Atlantic regions of the United States, California, and South Florida. No single commercial or residential property accounted for over 10% of our 2020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Diversification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we had approximately 2,800 commercial leases and 2,700 residential leases, with tenants ranging from sole proprietors to major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national and international retailers. No one tenant or affiliated group of tenants accounted for more than 3.6% of our annualized base rent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As a result of our tenant diversification, we believe our exposure to any one bankruptcy filing in the retail sector has not been and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be significant, however, multiple filings by a number of retailers could have a significant impact.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Diversification</w:t>
      </w:r>
    </w:p>
    <w:p>
      <w:pPr>
        <w:spacing w:after="0" w:line="10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101 real estate projects are located in 11 states and the District of Columbia. The following table shows the number of projects, the gross leasable area (“GLA”) of commercial space and the percentage of total portfolio gross leasable area of commercial space in each state as of December 31, 2020.</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ind w:left="114"/>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7"/>
              </w:rPr>
              <w:t>Number of</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Gross Leasable</w:t>
            </w:r>
          </w:p>
        </w:tc>
        <w:tc>
          <w:tcPr>
            <w:tcW w:w="1480" w:type="dxa"/>
            <w:vAlign w:val="bottom"/>
          </w:tcPr>
          <w:p>
            <w:pPr>
              <w:jc w:val="center"/>
              <w:ind w:left="114"/>
              <w:spacing w:after="0" w:line="135" w:lineRule="exact"/>
              <w:rPr>
                <w:sz w:val="20"/>
                <w:szCs w:val="20"/>
                <w:color w:val="auto"/>
              </w:rPr>
            </w:pPr>
            <w:r>
              <w:rPr>
                <w:rFonts w:ascii="Arial" w:cs="Arial" w:eastAsia="Arial" w:hAnsi="Arial"/>
                <w:sz w:val="14"/>
                <w:szCs w:val="14"/>
                <w:b w:val="1"/>
                <w:bCs w:val="1"/>
                <w:color w:val="auto"/>
                <w:w w:val="90"/>
              </w:rPr>
              <w:t>of Gross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11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480" w:type="dxa"/>
            <w:vAlign w:val="bottom"/>
          </w:tcPr>
          <w:p>
            <w:pPr>
              <w:jc w:val="center"/>
              <w:ind w:left="134"/>
              <w:spacing w:after="0" w:line="135" w:lineRule="exact"/>
              <w:rPr>
                <w:sz w:val="20"/>
                <w:szCs w:val="20"/>
                <w:color w:val="auto"/>
              </w:rPr>
            </w:pPr>
            <w:r>
              <w:rPr>
                <w:rFonts w:ascii="Arial" w:cs="Arial" w:eastAsia="Arial" w:hAnsi="Arial"/>
                <w:sz w:val="14"/>
                <w:szCs w:val="14"/>
                <w:b w:val="1"/>
                <w:bCs w:val="1"/>
                <w:color w:val="auto"/>
                <w:w w:val="90"/>
              </w:rPr>
              <w:t>Leasable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280" w:type="dxa"/>
            <w:vAlign w:val="bottom"/>
            <w:gridSpan w:val="2"/>
            <w:vMerge w:val="continue"/>
          </w:tcPr>
          <w:p>
            <w:pPr>
              <w:spacing w:after="0"/>
              <w:rPr>
                <w:sz w:val="16"/>
                <w:szCs w:val="16"/>
                <w:color w:val="auto"/>
              </w:rPr>
            </w:pPr>
          </w:p>
        </w:tc>
        <w:tc>
          <w:tcPr>
            <w:tcW w:w="1120" w:type="dxa"/>
            <w:vAlign w:val="bottom"/>
          </w:tcPr>
          <w:p>
            <w:pPr>
              <w:jc w:val="center"/>
              <w:ind w:left="308"/>
              <w:spacing w:after="0"/>
              <w:rPr>
                <w:sz w:val="20"/>
                <w:szCs w:val="20"/>
                <w:color w:val="auto"/>
              </w:rPr>
            </w:pPr>
            <w:r>
              <w:rPr>
                <w:rFonts w:ascii="Arial" w:cs="Arial" w:eastAsia="Arial" w:hAnsi="Arial"/>
                <w:sz w:val="14"/>
                <w:szCs w:val="14"/>
                <w:b w:val="1"/>
                <w:bCs w:val="1"/>
                <w:color w:val="auto"/>
                <w:w w:val="90"/>
              </w:rPr>
              <w:t>Projects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Area</w:t>
            </w:r>
          </w:p>
        </w:tc>
        <w:tc>
          <w:tcPr>
            <w:tcW w:w="1480" w:type="dxa"/>
            <w:vAlign w:val="bottom"/>
          </w:tcPr>
          <w:p>
            <w:pPr>
              <w:jc w:val="center"/>
              <w:ind w:left="134"/>
              <w:spacing w:after="0"/>
              <w:rPr>
                <w:sz w:val="20"/>
                <w:szCs w:val="20"/>
                <w:color w:val="auto"/>
              </w:rPr>
            </w:pPr>
            <w:r>
              <w:rPr>
                <w:rFonts w:ascii="Arial" w:cs="Arial" w:eastAsia="Arial" w:hAnsi="Arial"/>
                <w:sz w:val="14"/>
                <w:szCs w:val="14"/>
                <w:b w:val="1"/>
                <w:bCs w:val="1"/>
                <w:color w:val="auto"/>
                <w:w w:val="96"/>
              </w:rPr>
              <w:t>Area</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(In square feet)</w:t>
            </w:r>
          </w:p>
        </w:tc>
        <w:tc>
          <w:tcPr>
            <w:tcW w:w="14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1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5,496,000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Maryland(1)</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4,397,000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Pennsylvania(2)</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2,216,000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Massachusetts</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1,893,000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Florida</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799,000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Connecticut</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357,000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District of Columbia</w:t>
            </w: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23,378,000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20" w:hanging="332"/>
        <w:spacing w:after="0" w:line="258" w:lineRule="auto"/>
        <w:tabs>
          <w:tab w:leader="none" w:pos="3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Additionally, we acquired two mortgages in September 2020 with a net carrying value of approximately $9.6 million secured by a shopping center in Rockville, Maryland.</w:t>
      </w:r>
    </w:p>
    <w:p>
      <w:pPr>
        <w:spacing w:after="0" w:line="1" w:lineRule="exact"/>
        <w:rPr>
          <w:rFonts w:ascii="Arial" w:cs="Arial" w:eastAsia="Arial" w:hAnsi="Arial"/>
          <w:sz w:val="18"/>
          <w:szCs w:val="18"/>
          <w:color w:val="auto"/>
        </w:rPr>
      </w:pPr>
    </w:p>
    <w:p>
      <w:pPr>
        <w:ind w:left="340" w:right="740" w:hanging="332"/>
        <w:spacing w:after="0" w:line="260" w:lineRule="auto"/>
        <w:tabs>
          <w:tab w:leader="none" w:pos="3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Additionally, we own two participating mortgages with a net carrying value of approximately $30.3 million secured by multiple buildings in Manayunk, Pennsylvania.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Lease Terms and Lease Expirations</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2020, represented approximately 10.3% of total rental income.</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following table sets forth the schedule of lease expirations for our commercial leases in place as of December 31, 2020 for each of the 10 years beginning with 2021 and after 2030 in the aggregate assuming that none of the tenants exercise future renewal options. Annualized base rents reflect in-place contractual rents as of December 31,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Leased</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 of</w:t>
            </w: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Annualized</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Percentage of Annualized</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Square</w:t>
            </w:r>
          </w:p>
        </w:tc>
        <w:tc>
          <w:tcPr>
            <w:tcW w:w="17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Leased Square</w:t>
            </w:r>
          </w:p>
        </w:tc>
        <w:tc>
          <w:tcPr>
            <w:tcW w:w="20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Base Rent</w:t>
            </w: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of Lease Expiration</w:t>
            </w: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Footage</w:t>
            </w: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Footage</w:t>
            </w:r>
          </w:p>
        </w:tc>
        <w:tc>
          <w:tcPr>
            <w:tcW w:w="200" w:type="dxa"/>
            <w:vAlign w:val="bottom"/>
          </w:tcPr>
          <w:p>
            <w:pPr>
              <w:spacing w:after="0"/>
              <w:rPr>
                <w:sz w:val="11"/>
                <w:szCs w:val="11"/>
                <w:color w:val="auto"/>
              </w:rPr>
            </w:pPr>
          </w:p>
        </w:tc>
        <w:tc>
          <w:tcPr>
            <w:tcW w:w="14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Represented by</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Base Rent Represented</w:t>
            </w:r>
          </w:p>
        </w:tc>
        <w:tc>
          <w:tcPr>
            <w:tcW w:w="0" w:type="dxa"/>
            <w:vAlign w:val="bottom"/>
          </w:tcPr>
          <w:p>
            <w:pPr>
              <w:spacing w:after="0"/>
              <w:rPr>
                <w:sz w:val="1"/>
                <w:szCs w:val="1"/>
                <w:color w:val="auto"/>
              </w:rPr>
            </w:pPr>
          </w:p>
        </w:tc>
      </w:tr>
      <w:tr>
        <w:trPr>
          <w:trHeight w:val="188"/>
        </w:trPr>
        <w:tc>
          <w:tcPr>
            <w:tcW w:w="4540" w:type="dxa"/>
            <w:vAlign w:val="bottom"/>
            <w:gridSpan w:val="2"/>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Expiring</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Expiring</w:t>
            </w: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Expiring Leases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by Expiring Leases</w:t>
            </w:r>
          </w:p>
        </w:tc>
        <w:tc>
          <w:tcPr>
            <w:tcW w:w="0" w:type="dxa"/>
            <w:vAlign w:val="bottom"/>
          </w:tcPr>
          <w:p>
            <w:pPr>
              <w:spacing w:after="0"/>
              <w:rPr>
                <w:sz w:val="1"/>
                <w:szCs w:val="1"/>
                <w:color w:val="auto"/>
              </w:rPr>
            </w:pPr>
          </w:p>
        </w:tc>
      </w:tr>
      <w:tr>
        <w:trPr>
          <w:trHeight w:val="224"/>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50,066,000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2,785,000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72,388,000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69,085,000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3,280,000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84,926,000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72,881,000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1,659,000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50,531,000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56,154,000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1,281,000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39,264,000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44,126,000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1,193,000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40,297,000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1,857,000</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50,087,000</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21,089,000</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629,805,000</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2020, we signed leases for a total of 1,756,000 square feet of retail space including 1,666,000 square feet of comparable space leases (leases for which there was a prior tenant) at an average rental increase of 3% on a cash basis. New leases for comparable spaces were signed for 595,000 square feet at an average rental increase of 4% on a cash basis. Renewals for comparable spaces were signed for 1,071,000 square feet at an average rental increase of 2% on a cash basis. Tenant improvements and incentives for comparable spaces were $31.49 per square foot, of which, $84.12 per square foot was for new leases and $2.25 per square foot was for renewals in 2020.</w:t>
      </w:r>
    </w:p>
    <w:p>
      <w:pPr>
        <w:spacing w:after="0" w:line="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2019, we signed leases for a total of 1,675,000 square feet of retail space including 1,557,000 square feet of comparable space leases (leases for which there was a prior tenant) at an average rental increase of 8% on a cash basis. New leases for comparable spaces were signed for 793,000 square feet at an average rental increase of 11% on a cash basis. Renewals for comparable spaces were signed for 763,000 square feet at an average rental increase of 4% on a cash basis. Tenant improvements and incentives for comparable spaces were $42.60 per square foot, of which, $81.24 per square foot was for new leases and $2.43 per square foot was for renewals in 2019.</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rental increases associated with comparable spaces generally include all leases signed for retail space in arms-length transactions reflecting market leverage between landlords and tenants during the period. The comparison between annual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As a result of accommodations made to certain tenants to help them to stay open during and after the COVID-19 pandemic, we have found it necessary to exercise more judgement in 2020 than in prior years in order to appropriately reflect the comparability of spaces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 Costs related to redevelopments require judgment by management in determining what reflects base building costs and thus, is not included in the "tenant improvements and incentives" amount.</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18"/>
          <w:szCs w:val="18"/>
          <w:color w:val="auto"/>
        </w:rPr>
        <w:t>Historically, we have executed comparable space leases for 1.3 to 1.9 million square feet of retail space each year. We expect some rental rates to be negatively impacted by the COVID-19 pandemic, which we started experiencing in the second quarter of 2020. We expect the volume for 2021 will be in line with, or potentially exceed our historical averages given a larger amount of current vacancy as a result of COVID-19.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leases signed in 2020 generally become effective over the following two years though some may not become effective until 2023 and beyond. Further, there is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and Residential Properties</w:t>
      </w:r>
    </w:p>
    <w:p>
      <w:pPr>
        <w:spacing w:after="0" w:line="9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otherwise controlled and are consolidated as of December 31, 2020. Except as otherwise noted, we are the sole owner of our real estate projects. Principal tenants are the largest tenants in the project based on square feet leased or are tenants important to a project’s success due to their ability to attract retail customers.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Property, City, State, Zip Code</w:t>
            </w:r>
          </w:p>
        </w:tc>
        <w:tc>
          <w:tcPr>
            <w:tcW w:w="1100" w:type="dxa"/>
            <w:vAlign w:val="bottom"/>
            <w:gridSpan w:val="2"/>
            <w:vMerge w:val="continue"/>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Acquired</w:t>
            </w:r>
          </w:p>
        </w:tc>
        <w:tc>
          <w:tcPr>
            <w:tcW w:w="1280" w:type="dxa"/>
            <w:vAlign w:val="bottom"/>
            <w:gridSpan w:val="2"/>
            <w:vMerge w:val="continue"/>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1"/>
                <w:szCs w:val="11"/>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3"/>
            <w:vMerge w:val="continue"/>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1040" w:type="dxa"/>
            <w:vAlign w:val="bottom"/>
            <w:gridSpan w:val="2"/>
            <w:vMerge w:val="continue"/>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/Apartment Units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95"/>
              </w:rPr>
              <w:t>California</w:t>
            </w:r>
          </w:p>
        </w:tc>
        <w:tc>
          <w:tcPr>
            <w:tcW w:w="23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30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Azalea</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2014</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223,000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$29.15</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South Gate, CA 90280(5)(8)</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Ulta Michaels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Bell Gardens</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1990, 2003,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2017/2018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330,000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$22.77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92%</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Food4Less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Bell Gardens, CA 90201(4)(5)(8)</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2006</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Bob's Discount Furniture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Colorado Blvd</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2"/>
              </w:rPr>
              <w:t>1905-1988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1998</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42,000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$55.34</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0"/>
              </w:rPr>
              <w:t>100 %</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Banana Republic True Food Kitchen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gridSpan w:val="3"/>
          </w:tcPr>
          <w:p>
            <w:pPr>
              <w:spacing w:after="0"/>
              <w:rPr>
                <w:sz w:val="20"/>
                <w:szCs w:val="20"/>
                <w:color w:val="auto"/>
              </w:rPr>
            </w:pPr>
            <w:r>
              <w:rPr>
                <w:rFonts w:ascii="Arial" w:cs="Arial" w:eastAsia="Arial" w:hAnsi="Arial"/>
                <w:sz w:val="14"/>
                <w:szCs w:val="14"/>
                <w:color w:val="auto"/>
              </w:rPr>
              <w:t>Pasadena, CA 91103(4)</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Crow Canyon Commons</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1980, 1998,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2005/2007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243,000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$29.89</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Sprouts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San Ramon, CA 94583</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2006</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Total Wine &amp; More</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East Bay Bridge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3"/>
              </w:rPr>
              <w:t>1994-2001,</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440,000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$19.04</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Pak-N-Save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Emeryville &amp; Oakland, CA 94608</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1"/>
              </w:rPr>
              <w:t>2011, 2012</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Escondido Promenade</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1987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1996/2010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298,000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$28.44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94%</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Escondido, CA 92029(5)</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Bob's Discount Furniture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Fourth Street</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4"/>
              </w:rPr>
              <w:t>1948, 1975</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71,000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$31.61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78%</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CB2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Berkeley, CA 94710(5)</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Ingram Book Group</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Bellwether Coffee</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Freedom Plaza</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2020</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2018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100,000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$29.54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100 %</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Smart &amp; Final</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Los Angeles, CA 90002(4)(5)</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Nike</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Blink Fitness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Hastings Ranch Plaza</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1"/>
              </w:rPr>
              <w:t>1958, 1984,</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273,000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96"/>
              </w:rPr>
              <w:t>$7.88</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0"/>
              </w:rPr>
              <w:t>100 %</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Pasadena, CA 91107(4)</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4"/>
              </w:rPr>
              <w:t>2006, 2007</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Sears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Hollywood Blvd</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1929, 1991</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181,000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$35.64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86%</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Hollywood, CA 90028</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 La Land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Kings Court</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1960</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1998</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81,000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$40.93</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0"/>
              </w:rPr>
              <w:t>100 %</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Lunardi's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gridSpan w:val="3"/>
          </w:tcPr>
          <w:p>
            <w:pPr>
              <w:spacing w:after="0"/>
              <w:rPr>
                <w:sz w:val="20"/>
                <w:szCs w:val="20"/>
                <w:color w:val="auto"/>
              </w:rPr>
            </w:pPr>
            <w:r>
              <w:rPr>
                <w:rFonts w:ascii="Arial" w:cs="Arial" w:eastAsia="Arial" w:hAnsi="Arial"/>
                <w:sz w:val="14"/>
                <w:szCs w:val="14"/>
                <w:color w:val="auto"/>
              </w:rPr>
              <w:t>Los Gatos, CA 95032(4)(6)</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La Alameda</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2008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2017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245,000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$26.57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Walnut Park, CA 90255(4)(7)(8)</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Old Town Center</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4"/>
              </w:rPr>
              <w:t>1962, 1998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98,000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$43.07</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84%</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Los Gatos, CA 95030</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Olivo at Mission Hills</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2018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2017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155,000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$31.13</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94%</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Mission Hills, CA 91345(5)</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24 Hour Fitness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Plaza Del Sol</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2009</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48,000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$24.01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gridSpan w:val="3"/>
          </w:tcPr>
          <w:p>
            <w:pPr>
              <w:spacing w:after="0"/>
              <w:rPr>
                <w:sz w:val="20"/>
                <w:szCs w:val="20"/>
                <w:color w:val="auto"/>
              </w:rPr>
            </w:pPr>
            <w:r>
              <w:rPr>
                <w:rFonts w:ascii="Arial" w:cs="Arial" w:eastAsia="Arial" w:hAnsi="Arial"/>
                <w:sz w:val="14"/>
                <w:szCs w:val="14"/>
                <w:color w:val="auto"/>
              </w:rPr>
              <w:t>South El Monte, CA 91733(5)(8)</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Plaza El Segundo / The Point</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2006-2007,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2011/2013</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500,000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$46.02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91%</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El Segundo, CA 90245(5)(8)</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2016</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San Antonio Center</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1"/>
              </w:rPr>
              <w:t>1958,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2015/2019</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211,000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$15.71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Mountain View, CA 94040(4)(6)</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3"/>
              </w:rPr>
              <w:t>1964-1965,</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Walmart 24 Hour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3"/>
              </w:rPr>
              <w:t>1974-1975,</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1995-1997</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Santana Row</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2002, 2009,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1997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1,197,000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$53.60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96%</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Crate &amp; Barrel H&amp;M Best Buy</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San Jose, CA 95128(4)(10)</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2016, 2020</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Splunk</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Santana Row Residential</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3"/>
              </w:rPr>
              <w:t>2003-2006,</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1997/2012</w:t>
            </w:r>
          </w:p>
        </w:tc>
        <w:tc>
          <w:tcPr>
            <w:tcW w:w="100" w:type="dxa"/>
            <w:vAlign w:val="bottom"/>
          </w:tcPr>
          <w:p>
            <w:pPr>
              <w:spacing w:after="0"/>
              <w:rPr>
                <w:sz w:val="11"/>
                <w:szCs w:val="11"/>
                <w:color w:val="auto"/>
              </w:rPr>
            </w:pPr>
          </w:p>
        </w:tc>
        <w:tc>
          <w:tcPr>
            <w:tcW w:w="128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4"/>
              </w:rPr>
              <w:t>662 units</w:t>
            </w:r>
          </w:p>
        </w:tc>
        <w:tc>
          <w:tcPr>
            <w:tcW w:w="128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rPr>
              <w:t>N/A</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95%</w:t>
            </w: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gridSpan w:val="3"/>
          </w:tcPr>
          <w:p>
            <w:pPr>
              <w:spacing w:after="0"/>
              <w:rPr>
                <w:sz w:val="20"/>
                <w:szCs w:val="20"/>
                <w:color w:val="auto"/>
              </w:rPr>
            </w:pPr>
            <w:r>
              <w:rPr>
                <w:rFonts w:ascii="Arial" w:cs="Arial" w:eastAsia="Arial" w:hAnsi="Arial"/>
                <w:sz w:val="14"/>
                <w:szCs w:val="14"/>
                <w:color w:val="auto"/>
              </w:rPr>
              <w:t>San Jose, CA 95128</w:t>
            </w: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2011, 2014</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Average Base</w:t>
            </w:r>
          </w:p>
        </w:tc>
        <w:tc>
          <w:tcPr>
            <w:tcW w:w="120" w:type="dxa"/>
            <w:vAlign w:val="bottom"/>
          </w:tcPr>
          <w:p>
            <w:pPr>
              <w:spacing w:after="0"/>
              <w:rPr>
                <w:sz w:val="14"/>
                <w:szCs w:val="14"/>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Property, City, State, Zip Code</w:t>
            </w:r>
          </w:p>
        </w:tc>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Acquired</w:t>
            </w:r>
          </w:p>
        </w:tc>
        <w:tc>
          <w:tcPr>
            <w:tcW w:w="1280" w:type="dxa"/>
            <w:vAlign w:val="bottom"/>
            <w:gridSpan w:val="2"/>
            <w:vMerge w:val="continue"/>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Rent Per Square</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7"/>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Completed</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/Apartment Units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Foot(2)</w:t>
            </w:r>
          </w:p>
        </w:tc>
        <w:tc>
          <w:tcPr>
            <w:tcW w:w="12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Borders>
              <w:top w:val="single" w:sz="8" w:color="auto"/>
            </w:tcBorders>
            <w:shd w:val="clear" w:color="auto" w:fill="CCEEFF"/>
          </w:tcPr>
          <w:p>
            <w:pPr>
              <w:spacing w:after="0"/>
              <w:rPr>
                <w:sz w:val="11"/>
                <w:szCs w:val="11"/>
                <w:color w:val="auto"/>
              </w:rPr>
            </w:pPr>
          </w:p>
        </w:tc>
        <w:tc>
          <w:tcPr>
            <w:tcW w:w="2980" w:type="dxa"/>
            <w:vAlign w:val="bottom"/>
            <w:tcBorders>
              <w:top w:val="single" w:sz="8" w:color="auto"/>
            </w:tcBorders>
            <w:gridSpan w:val="6"/>
            <w:shd w:val="clear" w:color="auto" w:fill="CCEEFF"/>
          </w:tcPr>
          <w:p>
            <w:pPr>
              <w:spacing w:after="0" w:line="130" w:lineRule="exact"/>
              <w:rPr>
                <w:sz w:val="20"/>
                <w:szCs w:val="20"/>
                <w:color w:val="auto"/>
              </w:rPr>
            </w:pPr>
            <w:r>
              <w:rPr>
                <w:rFonts w:ascii="Arial" w:cs="Arial" w:eastAsia="Arial" w:hAnsi="Arial"/>
                <w:sz w:val="14"/>
                <w:szCs w:val="14"/>
                <w:color w:val="auto"/>
              </w:rPr>
              <w:t>Sylmar Towne Center</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1973</w:t>
            </w:r>
          </w:p>
        </w:tc>
        <w:tc>
          <w:tcPr>
            <w:tcW w:w="1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2017</w:t>
            </w:r>
          </w:p>
        </w:tc>
        <w:tc>
          <w:tcPr>
            <w:tcW w:w="10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148,000</w:t>
            </w: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88"/>
              </w:rPr>
              <w:t>$16.11</w:t>
            </w:r>
          </w:p>
        </w:tc>
        <w:tc>
          <w:tcPr>
            <w:tcW w:w="1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93%</w:t>
            </w:r>
          </w:p>
        </w:tc>
        <w:tc>
          <w:tcPr>
            <w:tcW w:w="120" w:type="dxa"/>
            <w:vAlign w:val="bottom"/>
            <w:tcBorders>
              <w:top w:val="single" w:sz="8" w:color="CCEEFF"/>
            </w:tcBorders>
            <w:shd w:val="clear" w:color="auto" w:fill="CCEEFF"/>
          </w:tcPr>
          <w:p>
            <w:pPr>
              <w:spacing w:after="0"/>
              <w:rPr>
                <w:sz w:val="11"/>
                <w:szCs w:val="11"/>
                <w:color w:val="auto"/>
              </w:rPr>
            </w:pPr>
          </w:p>
        </w:tc>
        <w:tc>
          <w:tcPr>
            <w:tcW w:w="2300" w:type="dxa"/>
            <w:vAlign w:val="bottom"/>
            <w:tcBorders>
              <w:top w:val="single" w:sz="8" w:color="auto"/>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Food4Less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Sylmar, CA 91342(5)(8)</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Third Street Promenade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2"/>
              </w:rPr>
              <w:t>1888-2000</w:t>
            </w:r>
          </w:p>
        </w:tc>
        <w:tc>
          <w:tcPr>
            <w:tcW w:w="10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2"/>
              </w:rPr>
              <w:t>1996-2000</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209,000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$85.20</w:t>
            </w:r>
          </w:p>
        </w:tc>
        <w:tc>
          <w:tcPr>
            <w:tcW w:w="1080" w:type="dxa"/>
            <w:vAlign w:val="bottom"/>
            <w:gridSpan w:val="2"/>
          </w:tcPr>
          <w:p>
            <w:pPr>
              <w:jc w:val="center"/>
              <w:ind w:left="68"/>
              <w:spacing w:after="0" w:line="135" w:lineRule="exact"/>
              <w:rPr>
                <w:sz w:val="20"/>
                <w:szCs w:val="20"/>
                <w:color w:val="auto"/>
              </w:rPr>
            </w:pPr>
            <w:r>
              <w:rPr>
                <w:rFonts w:ascii="Arial" w:cs="Arial" w:eastAsia="Arial" w:hAnsi="Arial"/>
                <w:sz w:val="14"/>
                <w:szCs w:val="14"/>
                <w:color w:val="auto"/>
                <w:w w:val="92"/>
              </w:rPr>
              <w:t>65%</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adidas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Santa Monica, CA 90401</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J. Crew</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Westgate Center</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1960-1966</w:t>
            </w:r>
          </w:p>
        </w:tc>
        <w:tc>
          <w:tcPr>
            <w:tcW w:w="106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648,000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$19.78</w:t>
            </w:r>
          </w:p>
        </w:tc>
        <w:tc>
          <w:tcPr>
            <w:tcW w:w="1080" w:type="dxa"/>
            <w:vAlign w:val="bottom"/>
            <w:gridSpan w:val="2"/>
            <w:shd w:val="clear" w:color="auto" w:fill="CCEEFF"/>
          </w:tcPr>
          <w:p>
            <w:pPr>
              <w:jc w:val="center"/>
              <w:ind w:left="68"/>
              <w:spacing w:after="0" w:line="139" w:lineRule="exact"/>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rPr>
              <w:t>San Jose, CA 95129</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Nike Factory</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Connecticut</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rPr>
              <w:t>Bristol Plaza</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1959</w:t>
            </w:r>
          </w:p>
        </w:tc>
        <w:tc>
          <w:tcPr>
            <w:tcW w:w="1060" w:type="dxa"/>
            <w:vAlign w:val="bottom"/>
            <w:gridSpan w:val="2"/>
            <w:shd w:val="clear" w:color="auto" w:fill="CCEEFF"/>
          </w:tcPr>
          <w:p>
            <w:pPr>
              <w:jc w:val="center"/>
              <w:ind w:left="28"/>
              <w:spacing w:after="0" w:line="135" w:lineRule="exact"/>
              <w:rPr>
                <w:sz w:val="20"/>
                <w:szCs w:val="20"/>
                <w:color w:val="auto"/>
              </w:rPr>
            </w:pPr>
            <w:r>
              <w:rPr>
                <w:rFonts w:ascii="Arial" w:cs="Arial" w:eastAsia="Arial" w:hAnsi="Arial"/>
                <w:sz w:val="14"/>
                <w:szCs w:val="14"/>
                <w:color w:val="auto"/>
                <w:w w:val="89"/>
              </w:rPr>
              <w:t>1995</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264,000</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8"/>
              </w:rPr>
              <w:t>$14.49</w:t>
            </w:r>
          </w:p>
        </w:tc>
        <w:tc>
          <w:tcPr>
            <w:tcW w:w="120" w:type="dxa"/>
            <w:vAlign w:val="bottom"/>
            <w:vMerge w:val="continue"/>
          </w:tcPr>
          <w:p>
            <w:pPr>
              <w:spacing w:after="0"/>
              <w:rPr>
                <w:sz w:val="11"/>
                <w:szCs w:val="11"/>
                <w:color w:val="auto"/>
              </w:rPr>
            </w:pP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82%</w:t>
            </w: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Bristol, CT 06010</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Greenwich Avenue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1968</w:t>
            </w:r>
          </w:p>
        </w:tc>
        <w:tc>
          <w:tcPr>
            <w:tcW w:w="106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89"/>
              </w:rPr>
              <w:t>1995</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35,000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$96.19</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0"/>
              </w:rPr>
              <w:t>100 %</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gridSpan w:val="7"/>
          </w:tcPr>
          <w:p>
            <w:pPr>
              <w:spacing w:after="0"/>
              <w:rPr>
                <w:sz w:val="20"/>
                <w:szCs w:val="20"/>
                <w:color w:val="auto"/>
              </w:rPr>
            </w:pPr>
            <w:r>
              <w:rPr>
                <w:rFonts w:ascii="Arial" w:cs="Arial" w:eastAsia="Arial" w:hAnsi="Arial"/>
                <w:sz w:val="14"/>
                <w:szCs w:val="14"/>
                <w:color w:val="auto"/>
              </w:rPr>
              <w:t>Greenwich Avenue, CT 06830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The Commons at Darien</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1920-2009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2013/2018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58,000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$35.70</w:t>
            </w:r>
          </w:p>
        </w:tc>
        <w:tc>
          <w:tcPr>
            <w:tcW w:w="1080" w:type="dxa"/>
            <w:vAlign w:val="bottom"/>
            <w:gridSpan w:val="2"/>
            <w:shd w:val="clear" w:color="auto" w:fill="CCEEFF"/>
          </w:tcPr>
          <w:p>
            <w:pPr>
              <w:jc w:val="center"/>
              <w:ind w:left="68"/>
              <w:spacing w:after="0" w:line="139" w:lineRule="exact"/>
              <w:rPr>
                <w:sz w:val="20"/>
                <w:szCs w:val="20"/>
                <w:color w:val="auto"/>
              </w:rPr>
            </w:pPr>
            <w:r>
              <w:rPr>
                <w:rFonts w:ascii="Arial" w:cs="Arial" w:eastAsia="Arial" w:hAnsi="Arial"/>
                <w:sz w:val="14"/>
                <w:szCs w:val="14"/>
                <w:color w:val="auto"/>
                <w:w w:val="92"/>
              </w:rPr>
              <w:t>89%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Equinox</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08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Darien, CT 06820</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6"/>
              </w:rPr>
              <w:t>2 Units</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080" w:type="dxa"/>
            <w:vAlign w:val="bottom"/>
            <w:gridSpan w:val="2"/>
            <w:vMerge w:val="restart"/>
            <w:shd w:val="clear" w:color="auto" w:fill="CCEEFF"/>
          </w:tcPr>
          <w:p>
            <w:pPr>
              <w:jc w:val="center"/>
              <w:ind w:left="48"/>
              <w:spacing w:after="0"/>
              <w:rPr>
                <w:sz w:val="20"/>
                <w:szCs w:val="20"/>
                <w:color w:val="auto"/>
              </w:rPr>
            </w:pPr>
            <w:r>
              <w:rPr>
                <w:rFonts w:ascii="Arial" w:cs="Arial" w:eastAsia="Arial" w:hAnsi="Arial"/>
                <w:sz w:val="14"/>
                <w:szCs w:val="14"/>
                <w:color w:val="auto"/>
                <w:w w:val="90"/>
              </w:rPr>
              <w:t>100 %</w:t>
            </w: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0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District of Columbia</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rPr>
              <w:t>Friendship Center</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1998</w:t>
            </w:r>
          </w:p>
        </w:tc>
        <w:tc>
          <w:tcPr>
            <w:tcW w:w="1060" w:type="dxa"/>
            <w:vAlign w:val="bottom"/>
            <w:gridSpan w:val="2"/>
            <w:shd w:val="clear" w:color="auto" w:fill="CCEEFF"/>
          </w:tcPr>
          <w:p>
            <w:pPr>
              <w:jc w:val="center"/>
              <w:ind w:left="28"/>
              <w:spacing w:after="0" w:line="135" w:lineRule="exact"/>
              <w:rPr>
                <w:sz w:val="20"/>
                <w:szCs w:val="20"/>
                <w:color w:val="auto"/>
              </w:rPr>
            </w:pPr>
            <w:r>
              <w:rPr>
                <w:rFonts w:ascii="Arial" w:cs="Arial" w:eastAsia="Arial" w:hAnsi="Arial"/>
                <w:sz w:val="14"/>
                <w:szCs w:val="14"/>
                <w:color w:val="auto"/>
                <w:w w:val="89"/>
              </w:rPr>
              <w:t>2001</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119,000</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8"/>
              </w:rPr>
              <w:t>$30.41</w:t>
            </w:r>
          </w:p>
        </w:tc>
        <w:tc>
          <w:tcPr>
            <w:tcW w:w="1080" w:type="dxa"/>
            <w:vAlign w:val="bottom"/>
            <w:gridSpan w:val="2"/>
            <w:shd w:val="clear" w:color="auto" w:fill="CCEEFF"/>
          </w:tcPr>
          <w:p>
            <w:pPr>
              <w:jc w:val="center"/>
              <w:ind w:left="48"/>
              <w:spacing w:after="0" w:line="135" w:lineRule="exact"/>
              <w:rPr>
                <w:sz w:val="20"/>
                <w:szCs w:val="20"/>
                <w:color w:val="auto"/>
              </w:rPr>
            </w:pPr>
            <w:r>
              <w:rPr>
                <w:rFonts w:ascii="Arial" w:cs="Arial" w:eastAsia="Arial" w:hAnsi="Arial"/>
                <w:sz w:val="14"/>
                <w:szCs w:val="14"/>
                <w:color w:val="auto"/>
                <w:w w:val="90"/>
              </w:rPr>
              <w:t>100 %</w:t>
            </w: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rPr>
              <w:t>Washington, DC 20015</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Maggiano's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Florida</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rPr>
              <w:t>CocoWalk</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1990/1994,</w:t>
            </w:r>
          </w:p>
        </w:tc>
        <w:tc>
          <w:tcPr>
            <w:tcW w:w="1060" w:type="dxa"/>
            <w:vAlign w:val="bottom"/>
            <w:gridSpan w:val="2"/>
            <w:shd w:val="clear" w:color="auto" w:fill="CCEEFF"/>
          </w:tcPr>
          <w:p>
            <w:pPr>
              <w:jc w:val="center"/>
              <w:ind w:left="48"/>
              <w:spacing w:after="0" w:line="135" w:lineRule="exact"/>
              <w:rPr>
                <w:sz w:val="20"/>
                <w:szCs w:val="20"/>
                <w:color w:val="auto"/>
              </w:rPr>
            </w:pPr>
            <w:r>
              <w:rPr>
                <w:rFonts w:ascii="Arial" w:cs="Arial" w:eastAsia="Arial" w:hAnsi="Arial"/>
                <w:sz w:val="14"/>
                <w:szCs w:val="14"/>
                <w:color w:val="auto"/>
                <w:w w:val="92"/>
              </w:rPr>
              <w:t>2015-2017</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187,000</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8"/>
              </w:rPr>
              <w:t>$38.99</w:t>
            </w:r>
          </w:p>
        </w:tc>
        <w:tc>
          <w:tcPr>
            <w:tcW w:w="1080" w:type="dxa"/>
            <w:vAlign w:val="bottom"/>
            <w:gridSpan w:val="2"/>
            <w:shd w:val="clear" w:color="auto" w:fill="CCEEFF"/>
          </w:tcPr>
          <w:p>
            <w:pPr>
              <w:jc w:val="center"/>
              <w:ind w:left="68"/>
              <w:spacing w:after="0" w:line="135" w:lineRule="exact"/>
              <w:rPr>
                <w:sz w:val="20"/>
                <w:szCs w:val="20"/>
                <w:color w:val="auto"/>
              </w:rPr>
            </w:pPr>
            <w:r>
              <w:rPr>
                <w:rFonts w:ascii="Arial" w:cs="Arial" w:eastAsia="Arial" w:hAnsi="Arial"/>
                <w:sz w:val="14"/>
                <w:szCs w:val="14"/>
                <w:color w:val="auto"/>
                <w:w w:val="92"/>
              </w:rPr>
              <w:t>87%</w:t>
            </w: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Cinepolis Theaters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rPr>
              <w:t>Coconut Grove, FL 33133(5)(11)</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1922-1973,</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Youfit Health Club</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2018-2020</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Planta Restaurant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Del Mar Village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4"/>
              </w:rPr>
              <w:t>1982, 1994</w:t>
            </w:r>
          </w:p>
        </w:tc>
        <w:tc>
          <w:tcPr>
            <w:tcW w:w="10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3"/>
              </w:rPr>
              <w:t>2008/2014</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187,000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$20.56</w:t>
            </w:r>
          </w:p>
        </w:tc>
        <w:tc>
          <w:tcPr>
            <w:tcW w:w="1080" w:type="dxa"/>
            <w:vAlign w:val="bottom"/>
            <w:gridSpan w:val="2"/>
          </w:tcPr>
          <w:p>
            <w:pPr>
              <w:jc w:val="center"/>
              <w:ind w:left="68"/>
              <w:spacing w:after="0" w:line="135" w:lineRule="exact"/>
              <w:rPr>
                <w:sz w:val="20"/>
                <w:szCs w:val="20"/>
                <w:color w:val="auto"/>
              </w:rPr>
            </w:pPr>
            <w:r>
              <w:rPr>
                <w:rFonts w:ascii="Arial" w:cs="Arial" w:eastAsia="Arial" w:hAnsi="Arial"/>
                <w:sz w:val="14"/>
                <w:szCs w:val="14"/>
                <w:color w:val="auto"/>
                <w:w w:val="92"/>
              </w:rPr>
              <w:t>88%</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Winn Dixie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Boca Raton, FL 33433</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9"/>
              </w:rPr>
              <w:t>&amp; 2007</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Tower Shops</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1989, 2017</w:t>
            </w:r>
          </w:p>
        </w:tc>
        <w:tc>
          <w:tcPr>
            <w:tcW w:w="1060" w:type="dxa"/>
            <w:vAlign w:val="bottom"/>
            <w:gridSpan w:val="2"/>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93"/>
              </w:rPr>
              <w:t>2011/2014</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425,000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$25.40</w:t>
            </w:r>
          </w:p>
        </w:tc>
        <w:tc>
          <w:tcPr>
            <w:tcW w:w="1080" w:type="dxa"/>
            <w:vAlign w:val="bottom"/>
            <w:gridSpan w:val="2"/>
            <w:shd w:val="clear" w:color="auto" w:fill="CCEEFF"/>
          </w:tcPr>
          <w:p>
            <w:pPr>
              <w:jc w:val="center"/>
              <w:ind w:left="68"/>
              <w:spacing w:after="0" w:line="139" w:lineRule="exact"/>
              <w:rPr>
                <w:sz w:val="20"/>
                <w:szCs w:val="20"/>
                <w:color w:val="auto"/>
              </w:rPr>
            </w:pPr>
            <w:r>
              <w:rPr>
                <w:rFonts w:ascii="Arial" w:cs="Arial" w:eastAsia="Arial" w:hAnsi="Arial"/>
                <w:sz w:val="14"/>
                <w:szCs w:val="14"/>
                <w:color w:val="auto"/>
                <w:w w:val="92"/>
              </w:rPr>
              <w:t>95%</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rPr>
              <w:t>Davie, FL 33324</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Illinois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rPr>
              <w:t>Crossroads</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1959</w:t>
            </w:r>
          </w:p>
        </w:tc>
        <w:tc>
          <w:tcPr>
            <w:tcW w:w="1060" w:type="dxa"/>
            <w:vAlign w:val="bottom"/>
            <w:gridSpan w:val="2"/>
            <w:shd w:val="clear" w:color="auto" w:fill="CCEEFF"/>
          </w:tcPr>
          <w:p>
            <w:pPr>
              <w:jc w:val="center"/>
              <w:ind w:left="28"/>
              <w:spacing w:after="0" w:line="135"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168,000</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8"/>
              </w:rPr>
              <w:t>$23.37</w:t>
            </w:r>
          </w:p>
        </w:tc>
        <w:tc>
          <w:tcPr>
            <w:tcW w:w="1080" w:type="dxa"/>
            <w:vAlign w:val="bottom"/>
            <w:gridSpan w:val="2"/>
            <w:shd w:val="clear" w:color="auto" w:fill="CCEEFF"/>
          </w:tcPr>
          <w:p>
            <w:pPr>
              <w:jc w:val="center"/>
              <w:ind w:left="68"/>
              <w:spacing w:after="0" w:line="135" w:lineRule="exact"/>
              <w:rPr>
                <w:sz w:val="20"/>
                <w:szCs w:val="20"/>
                <w:color w:val="auto"/>
              </w:rPr>
            </w:pPr>
            <w:r>
              <w:rPr>
                <w:rFonts w:ascii="Arial" w:cs="Arial" w:eastAsia="Arial" w:hAnsi="Arial"/>
                <w:sz w:val="14"/>
                <w:szCs w:val="14"/>
                <w:color w:val="auto"/>
                <w:w w:val="92"/>
              </w:rPr>
              <w:t>92%</w:t>
            </w: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rPr>
              <w:t>Highland Park, IL 60035</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Binny's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Ferguson's Bath, Kitchen, &amp; Lighting</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Gallery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Finley Square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1974</w:t>
            </w:r>
          </w:p>
        </w:tc>
        <w:tc>
          <w:tcPr>
            <w:tcW w:w="106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89"/>
              </w:rPr>
              <w:t>1995</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280,000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$16.54</w:t>
            </w:r>
          </w:p>
        </w:tc>
        <w:tc>
          <w:tcPr>
            <w:tcW w:w="1080" w:type="dxa"/>
            <w:vAlign w:val="bottom"/>
            <w:gridSpan w:val="2"/>
          </w:tcPr>
          <w:p>
            <w:pPr>
              <w:jc w:val="center"/>
              <w:ind w:left="68"/>
              <w:spacing w:after="0" w:line="135" w:lineRule="exact"/>
              <w:rPr>
                <w:sz w:val="20"/>
                <w:szCs w:val="20"/>
                <w:color w:val="auto"/>
              </w:rPr>
            </w:pPr>
            <w:r>
              <w:rPr>
                <w:rFonts w:ascii="Arial" w:cs="Arial" w:eastAsia="Arial" w:hAnsi="Arial"/>
                <w:sz w:val="14"/>
                <w:szCs w:val="14"/>
                <w:color w:val="auto"/>
                <w:w w:val="92"/>
              </w:rPr>
              <w:t>91%</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Downers Grove, IL 60515</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Michaels Portillo's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Garden Market</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1958</w:t>
            </w:r>
          </w:p>
        </w:tc>
        <w:tc>
          <w:tcPr>
            <w:tcW w:w="106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89"/>
              </w:rPr>
              <w:t>1994</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139,000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$14.34</w:t>
            </w:r>
          </w:p>
        </w:tc>
        <w:tc>
          <w:tcPr>
            <w:tcW w:w="1080" w:type="dxa"/>
            <w:vAlign w:val="bottom"/>
            <w:gridSpan w:val="2"/>
            <w:shd w:val="clear" w:color="auto" w:fill="CCEEFF"/>
          </w:tcPr>
          <w:p>
            <w:pPr>
              <w:jc w:val="center"/>
              <w:ind w:left="68"/>
              <w:spacing w:after="0" w:line="139"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Mariano's Fresh Market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Western Springs, IL 60558</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Riverpoint Center</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4"/>
              </w:rPr>
              <w:t>1989, 2012</w:t>
            </w:r>
          </w:p>
        </w:tc>
        <w:tc>
          <w:tcPr>
            <w:tcW w:w="106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211,000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$21.50</w:t>
            </w:r>
          </w:p>
        </w:tc>
        <w:tc>
          <w:tcPr>
            <w:tcW w:w="1080" w:type="dxa"/>
            <w:vAlign w:val="bottom"/>
            <w:gridSpan w:val="2"/>
          </w:tcPr>
          <w:p>
            <w:pPr>
              <w:jc w:val="center"/>
              <w:ind w:left="68"/>
              <w:spacing w:after="0" w:line="135" w:lineRule="exact"/>
              <w:rPr>
                <w:sz w:val="20"/>
                <w:szCs w:val="20"/>
                <w:color w:val="auto"/>
              </w:rPr>
            </w:pPr>
            <w:r>
              <w:rPr>
                <w:rFonts w:ascii="Arial" w:cs="Arial" w:eastAsia="Arial" w:hAnsi="Arial"/>
                <w:sz w:val="14"/>
                <w:szCs w:val="14"/>
                <w:color w:val="auto"/>
                <w:w w:val="92"/>
              </w:rPr>
              <w:t>92%</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Jewel Osco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Chicago, IL 60614</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080" w:type="dxa"/>
            <w:vAlign w:val="bottom"/>
            <w:gridSpan w:val="7"/>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Maryland</w:t>
            </w: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Bethesda Row</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2"/>
              </w:rPr>
              <w:t>1945-1991</w:t>
            </w:r>
          </w:p>
        </w:tc>
        <w:tc>
          <w:tcPr>
            <w:tcW w:w="10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3"/>
              </w:rPr>
              <w:t>1993-2006/</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529,000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$55.08</w:t>
            </w:r>
          </w:p>
        </w:tc>
        <w:tc>
          <w:tcPr>
            <w:tcW w:w="1080" w:type="dxa"/>
            <w:vAlign w:val="bottom"/>
            <w:gridSpan w:val="2"/>
          </w:tcPr>
          <w:p>
            <w:pPr>
              <w:jc w:val="center"/>
              <w:ind w:left="68"/>
              <w:spacing w:after="0" w:line="135"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Bethesda, MD 20814(4)</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4"/>
              </w:rPr>
              <w:t>2001, 2008</w:t>
            </w:r>
          </w:p>
        </w:tc>
        <w:tc>
          <w:tcPr>
            <w:tcW w:w="10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3"/>
              </w:rPr>
              <w:t>2008/2010</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Apple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Equinox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Bethesda Row Residential</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2008</w:t>
            </w:r>
          </w:p>
        </w:tc>
        <w:tc>
          <w:tcPr>
            <w:tcW w:w="106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w w:val="94"/>
              </w:rPr>
              <w:t>180 units</w:t>
            </w: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jc w:val="center"/>
              <w:ind w:left="68"/>
              <w:spacing w:after="0" w:line="139" w:lineRule="exact"/>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Bethesda, MD 20814</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Congressional Plaza</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1965</w:t>
            </w:r>
          </w:p>
        </w:tc>
        <w:tc>
          <w:tcPr>
            <w:tcW w:w="106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89"/>
              </w:rPr>
              <w:t>1965</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323,000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$43.15</w:t>
            </w:r>
          </w:p>
        </w:tc>
        <w:tc>
          <w:tcPr>
            <w:tcW w:w="1080" w:type="dxa"/>
            <w:vAlign w:val="bottom"/>
            <w:gridSpan w:val="2"/>
          </w:tcPr>
          <w:p>
            <w:pPr>
              <w:jc w:val="center"/>
              <w:ind w:left="68"/>
              <w:spacing w:after="0" w:line="135" w:lineRule="exact"/>
              <w:rPr>
                <w:sz w:val="20"/>
                <w:szCs w:val="20"/>
                <w:color w:val="auto"/>
              </w:rPr>
            </w:pPr>
            <w:r>
              <w:rPr>
                <w:rFonts w:ascii="Arial" w:cs="Arial" w:eastAsia="Arial" w:hAnsi="Arial"/>
                <w:sz w:val="14"/>
                <w:szCs w:val="14"/>
                <w:color w:val="auto"/>
                <w:w w:val="92"/>
              </w:rPr>
              <w:t>85%</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The Fresh Market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Rockville, MD 20852(5)</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Congressional Plaza Residential</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2003, 2016</w:t>
            </w:r>
          </w:p>
        </w:tc>
        <w:tc>
          <w:tcPr>
            <w:tcW w:w="106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89"/>
              </w:rPr>
              <w:t>1965</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w w:val="94"/>
              </w:rPr>
              <w:t>194 units</w:t>
            </w: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jc w:val="center"/>
              <w:ind w:left="68"/>
              <w:spacing w:after="0" w:line="139" w:lineRule="exact"/>
              <w:rPr>
                <w:sz w:val="20"/>
                <w:szCs w:val="20"/>
                <w:color w:val="auto"/>
              </w:rPr>
            </w:pPr>
            <w:r>
              <w:rPr>
                <w:rFonts w:ascii="Arial" w:cs="Arial" w:eastAsia="Arial" w:hAnsi="Arial"/>
                <w:sz w:val="14"/>
                <w:szCs w:val="14"/>
                <w:color w:val="auto"/>
                <w:w w:val="92"/>
              </w:rPr>
              <w:t>98%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Rockville, MD 20852(5)</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Courthouse Center</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1975</w:t>
            </w:r>
          </w:p>
        </w:tc>
        <w:tc>
          <w:tcPr>
            <w:tcW w:w="106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37,000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$21.61</w:t>
            </w:r>
          </w:p>
        </w:tc>
        <w:tc>
          <w:tcPr>
            <w:tcW w:w="1080" w:type="dxa"/>
            <w:vAlign w:val="bottom"/>
            <w:gridSpan w:val="2"/>
          </w:tcPr>
          <w:p>
            <w:pPr>
              <w:jc w:val="center"/>
              <w:ind w:left="68"/>
              <w:spacing w:after="0" w:line="135" w:lineRule="exact"/>
              <w:rPr>
                <w:sz w:val="20"/>
                <w:szCs w:val="20"/>
                <w:color w:val="auto"/>
              </w:rPr>
            </w:pPr>
            <w:r>
              <w:rPr>
                <w:rFonts w:ascii="Arial" w:cs="Arial" w:eastAsia="Arial" w:hAnsi="Arial"/>
                <w:sz w:val="14"/>
                <w:szCs w:val="14"/>
                <w:color w:val="auto"/>
                <w:w w:val="92"/>
              </w:rPr>
              <w:t>81%</w:t>
            </w: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gridSpan w:val="7"/>
          </w:tcPr>
          <w:p>
            <w:pPr>
              <w:spacing w:after="0"/>
              <w:rPr>
                <w:sz w:val="20"/>
                <w:szCs w:val="20"/>
                <w:color w:val="auto"/>
              </w:rPr>
            </w:pPr>
            <w:r>
              <w:rPr>
                <w:rFonts w:ascii="Arial" w:cs="Arial" w:eastAsia="Arial" w:hAnsi="Arial"/>
                <w:sz w:val="14"/>
                <w:szCs w:val="14"/>
                <w:color w:val="auto"/>
              </w:rPr>
              <w:t>Rockville, MD 20852</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Federal Plaza</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1970</w:t>
            </w:r>
          </w:p>
        </w:tc>
        <w:tc>
          <w:tcPr>
            <w:tcW w:w="106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89"/>
              </w:rPr>
              <w:t>1989</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249,000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$39.02</w:t>
            </w:r>
          </w:p>
        </w:tc>
        <w:tc>
          <w:tcPr>
            <w:tcW w:w="1080" w:type="dxa"/>
            <w:vAlign w:val="bottom"/>
            <w:gridSpan w:val="2"/>
            <w:shd w:val="clear" w:color="auto" w:fill="CCEEFF"/>
          </w:tcPr>
          <w:p>
            <w:pPr>
              <w:jc w:val="center"/>
              <w:ind w:left="68"/>
              <w:spacing w:after="0" w:line="139" w:lineRule="exact"/>
              <w:rPr>
                <w:sz w:val="20"/>
                <w:szCs w:val="20"/>
                <w:color w:val="auto"/>
              </w:rPr>
            </w:pPr>
            <w:r>
              <w:rPr>
                <w:rFonts w:ascii="Arial" w:cs="Arial" w:eastAsia="Arial" w:hAnsi="Arial"/>
                <w:sz w:val="14"/>
                <w:szCs w:val="14"/>
                <w:color w:val="auto"/>
                <w:w w:val="92"/>
              </w:rPr>
              <w:t>96%</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rPr>
              <w:t>Rockville, MD 20852</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City, State, Zip Code</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Year Acquired</w:t>
            </w: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1"/>
                <w:szCs w:val="11"/>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/Apartment Units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Borders>
              <w:top w:val="single" w:sz="8" w:color="auto"/>
            </w:tcBorders>
          </w:tcPr>
          <w:p>
            <w:pPr>
              <w:spacing w:after="0"/>
              <w:rPr>
                <w:sz w:val="11"/>
                <w:szCs w:val="11"/>
                <w:color w:val="auto"/>
              </w:rPr>
            </w:pPr>
          </w:p>
        </w:tc>
        <w:tc>
          <w:tcPr>
            <w:tcW w:w="298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4"/>
                <w:szCs w:val="14"/>
                <w:color w:val="auto"/>
              </w:rPr>
              <w:t>Gaithersburg Square</w:t>
            </w:r>
          </w:p>
        </w:tc>
        <w:tc>
          <w:tcPr>
            <w:tcW w:w="100" w:type="dxa"/>
            <w:vAlign w:val="bottom"/>
          </w:tcPr>
          <w:p>
            <w:pPr>
              <w:spacing w:after="0"/>
              <w:rPr>
                <w:sz w:val="11"/>
                <w:szCs w:val="11"/>
                <w:color w:val="auto"/>
              </w:rPr>
            </w:pPr>
          </w:p>
        </w:tc>
        <w:tc>
          <w:tcPr>
            <w:tcW w:w="9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6"/>
              </w:rPr>
              <w:t>1966</w:t>
            </w:r>
          </w:p>
        </w:tc>
        <w:tc>
          <w:tcPr>
            <w:tcW w:w="120" w:type="dxa"/>
            <w:vAlign w:val="bottom"/>
          </w:tcPr>
          <w:p>
            <w:pPr>
              <w:spacing w:after="0"/>
              <w:rPr>
                <w:sz w:val="11"/>
                <w:szCs w:val="11"/>
                <w:color w:val="auto"/>
              </w:rPr>
            </w:pPr>
          </w:p>
        </w:tc>
        <w:tc>
          <w:tcPr>
            <w:tcW w:w="9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0"/>
              </w:rPr>
              <w:t>208,000</w:t>
            </w:r>
          </w:p>
        </w:tc>
        <w:tc>
          <w:tcPr>
            <w:tcW w:w="100" w:type="dxa"/>
            <w:vAlign w:val="bottom"/>
          </w:tcPr>
          <w:p>
            <w:pPr>
              <w:spacing w:after="0"/>
              <w:rPr>
                <w:sz w:val="11"/>
                <w:szCs w:val="11"/>
                <w:color w:val="auto"/>
              </w:rPr>
            </w:pPr>
          </w:p>
        </w:tc>
        <w:tc>
          <w:tcPr>
            <w:tcW w:w="11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8"/>
              </w:rPr>
              <w:t>$30.13</w:t>
            </w:r>
          </w:p>
        </w:tc>
        <w:tc>
          <w:tcPr>
            <w:tcW w:w="120" w:type="dxa"/>
            <w:vAlign w:val="bottom"/>
          </w:tcPr>
          <w:p>
            <w:pPr>
              <w:spacing w:after="0"/>
              <w:rPr>
                <w:sz w:val="11"/>
                <w:szCs w:val="11"/>
                <w:color w:val="auto"/>
              </w:rPr>
            </w:pPr>
          </w:p>
        </w:tc>
        <w:tc>
          <w:tcPr>
            <w:tcW w:w="9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2"/>
              </w:rPr>
              <w:t>87%</w:t>
            </w:r>
          </w:p>
        </w:tc>
        <w:tc>
          <w:tcPr>
            <w:tcW w:w="120" w:type="dxa"/>
            <w:vAlign w:val="bottom"/>
          </w:tcPr>
          <w:p>
            <w:pPr>
              <w:spacing w:after="0"/>
              <w:rPr>
                <w:sz w:val="11"/>
                <w:szCs w:val="11"/>
                <w:color w:val="auto"/>
              </w:rPr>
            </w:pPr>
          </w:p>
        </w:tc>
        <w:tc>
          <w:tcPr>
            <w:tcW w:w="23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Gaithersburg, MD 20878</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Ashley Furniture HomeStore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Governor Plaza</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6"/>
              </w:rPr>
              <w:t>1963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1985</w:t>
            </w:r>
          </w:p>
        </w:tc>
        <w:tc>
          <w:tcPr>
            <w:tcW w:w="12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0"/>
              </w:rPr>
              <w:t>242,000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$21.26</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79%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Glen Burnie, MD 21961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Laurel</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1956</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1986</w:t>
            </w:r>
          </w:p>
        </w:tc>
        <w:tc>
          <w:tcPr>
            <w:tcW w:w="12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0"/>
              </w:rPr>
              <w:t>360,000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$22.90</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95%</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Laurel, MD 20707</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Montrose Crossing</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3"/>
              </w:rPr>
              <w:t>1960-1979,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2011/2013</w:t>
            </w:r>
          </w:p>
        </w:tc>
        <w:tc>
          <w:tcPr>
            <w:tcW w:w="12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0"/>
              </w:rPr>
              <w:t>368,000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$32.99</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93%</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Rockville, MD 20852(8)</w:t>
            </w:r>
          </w:p>
        </w:tc>
        <w:tc>
          <w:tcPr>
            <w:tcW w:w="1080" w:type="dxa"/>
            <w:vAlign w:val="bottom"/>
            <w:gridSpan w:val="2"/>
            <w:shd w:val="clear" w:color="auto" w:fill="CCEEFF"/>
          </w:tcPr>
          <w:p>
            <w:pPr>
              <w:jc w:val="center"/>
              <w:ind w:left="48"/>
              <w:spacing w:after="0" w:line="135" w:lineRule="exact"/>
              <w:rPr>
                <w:sz w:val="20"/>
                <w:szCs w:val="20"/>
                <w:color w:val="auto"/>
              </w:rPr>
            </w:pPr>
            <w:r>
              <w:rPr>
                <w:rFonts w:ascii="Arial" w:cs="Arial" w:eastAsia="Arial" w:hAnsi="Arial"/>
                <w:sz w:val="14"/>
                <w:szCs w:val="14"/>
                <w:color w:val="auto"/>
                <w:w w:val="91"/>
              </w:rPr>
              <w:t>1996, 2011</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Home Depot Design Center</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Bob's Discount Furniture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Perring Plaza</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1963</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1985</w:t>
            </w:r>
          </w:p>
        </w:tc>
        <w:tc>
          <w:tcPr>
            <w:tcW w:w="12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0"/>
              </w:rPr>
              <w:t>397,000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$15.50</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87%</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Baltimore, MD 21134</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Pike &amp; Rose</w:t>
            </w:r>
          </w:p>
        </w:tc>
        <w:tc>
          <w:tcPr>
            <w:tcW w:w="1080" w:type="dxa"/>
            <w:vAlign w:val="bottom"/>
            <w:gridSpan w:val="2"/>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91"/>
              </w:rPr>
              <w:t>1963, 2014,</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1982/2007/</w:t>
            </w:r>
          </w:p>
        </w:tc>
        <w:tc>
          <w:tcPr>
            <w:tcW w:w="12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0"/>
              </w:rPr>
              <w:t>525,000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$37.78</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96%</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iPic Theater</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North Bethesda, MD 20852(10)</w:t>
            </w:r>
          </w:p>
        </w:tc>
        <w:tc>
          <w:tcPr>
            <w:tcW w:w="1080" w:type="dxa"/>
            <w:vAlign w:val="bottom"/>
            <w:gridSpan w:val="2"/>
            <w:shd w:val="clear" w:color="auto" w:fill="CCEEFF"/>
          </w:tcPr>
          <w:p>
            <w:pPr>
              <w:jc w:val="center"/>
              <w:ind w:left="28"/>
              <w:spacing w:after="0" w:line="135" w:lineRule="exact"/>
              <w:rPr>
                <w:sz w:val="20"/>
                <w:szCs w:val="20"/>
                <w:color w:val="auto"/>
              </w:rPr>
            </w:pPr>
            <w:r>
              <w:rPr>
                <w:rFonts w:ascii="Arial" w:cs="Arial" w:eastAsia="Arial" w:hAnsi="Arial"/>
                <w:sz w:val="14"/>
                <w:szCs w:val="14"/>
                <w:color w:val="auto"/>
                <w:w w:val="96"/>
              </w:rPr>
              <w:t>2018</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9"/>
              </w:rPr>
              <w:t>2012</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Porsche</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Uniqlo</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REI</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Pinstripes Multiple Restaurants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Pike &amp; Rose Residential</w:t>
            </w:r>
          </w:p>
        </w:tc>
        <w:tc>
          <w:tcPr>
            <w:tcW w:w="108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1"/>
              </w:rPr>
              <w:t>2014, 2016,</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1982/2007</w:t>
            </w:r>
          </w:p>
        </w:tc>
        <w:tc>
          <w:tcPr>
            <w:tcW w:w="100" w:type="dxa"/>
            <w:vAlign w:val="bottom"/>
          </w:tcPr>
          <w:p>
            <w:pPr>
              <w:spacing w:after="0"/>
              <w:rPr>
                <w:sz w:val="11"/>
                <w:szCs w:val="11"/>
                <w:color w:val="auto"/>
              </w:rPr>
            </w:pPr>
          </w:p>
        </w:tc>
        <w:tc>
          <w:tcPr>
            <w:tcW w:w="128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4"/>
              </w:rPr>
              <w:t>765 units</w:t>
            </w:r>
          </w:p>
        </w:tc>
        <w:tc>
          <w:tcPr>
            <w:tcW w:w="128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rPr>
              <w:t>N/A</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97%</w:t>
            </w: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North Bethesda, MD 20852</w:t>
            </w:r>
          </w:p>
        </w:tc>
        <w:tc>
          <w:tcPr>
            <w:tcW w:w="108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2018</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Plaza Del Mercado</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6"/>
              </w:rPr>
              <w:t>1969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2004</w:t>
            </w:r>
          </w:p>
        </w:tc>
        <w:tc>
          <w:tcPr>
            <w:tcW w:w="12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0"/>
              </w:rPr>
              <w:t>116,000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$32.04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Silver Spring, MD 20906</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Quince Orchard</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1975</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1993</w:t>
            </w:r>
          </w:p>
        </w:tc>
        <w:tc>
          <w:tcPr>
            <w:tcW w:w="12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0"/>
              </w:rPr>
              <w:t>268,000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$25.15</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Gaithersburg, MD 20877(4)</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Rockville Town Square</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2"/>
              </w:rPr>
              <w:t>2006-2007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2006/2007</w:t>
            </w:r>
          </w:p>
        </w:tc>
        <w:tc>
          <w:tcPr>
            <w:tcW w:w="12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0"/>
              </w:rPr>
              <w:t>187,000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$28.65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75%</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Dawson's Market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Rockville, MD 20852(4)</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Rollingwood Apartments</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1960</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1971</w:t>
            </w:r>
          </w:p>
        </w:tc>
        <w:tc>
          <w:tcPr>
            <w:tcW w:w="100" w:type="dxa"/>
            <w:vAlign w:val="bottom"/>
          </w:tcPr>
          <w:p>
            <w:pPr>
              <w:spacing w:after="0"/>
              <w:rPr>
                <w:sz w:val="11"/>
                <w:szCs w:val="11"/>
                <w:color w:val="auto"/>
              </w:rPr>
            </w:pPr>
          </w:p>
        </w:tc>
        <w:tc>
          <w:tcPr>
            <w:tcW w:w="128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4"/>
              </w:rPr>
              <w:t>282 units</w:t>
            </w:r>
          </w:p>
        </w:tc>
        <w:tc>
          <w:tcPr>
            <w:tcW w:w="128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rPr>
              <w:t>N/A</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3"/>
              </w:rPr>
              <w:t>95 %</w:t>
            </w: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Silver Spring, MD 20910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THE AVENUE at White Marsh</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6"/>
              </w:rPr>
              <w:t>1997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2007</w:t>
            </w:r>
          </w:p>
        </w:tc>
        <w:tc>
          <w:tcPr>
            <w:tcW w:w="12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0"/>
              </w:rPr>
              <w:t>315,000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$26.16</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85%</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Baltimore, MD 21236(6)(8)</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The Shoppes at Nottingham Square</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2"/>
              </w:rPr>
              <w:t>2005-2006</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2007</w:t>
            </w:r>
          </w:p>
        </w:tc>
        <w:tc>
          <w:tcPr>
            <w:tcW w:w="128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3"/>
              </w:rPr>
              <w:t>32,000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$50.44</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3"/>
              </w:rPr>
              <w:t>96 %</w:t>
            </w: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Baltimore, MD 21236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Towson Residential (Flats @703)</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6"/>
              </w:rPr>
              <w:t>2017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4,000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$82.83</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100 %</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Baltimore, MD 21236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w w:val="94"/>
              </w:rPr>
              <w:t>105 units</w:t>
            </w:r>
          </w:p>
        </w:tc>
        <w:tc>
          <w:tcPr>
            <w:tcW w:w="12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rPr>
              <w:t>N/A</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3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White Marsh Other</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1985</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70,000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$32.33</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97%</w:t>
            </w: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Baltimore, MD 21236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White Marsh Plaza</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6"/>
              </w:rPr>
              <w:t>1987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2007</w:t>
            </w:r>
          </w:p>
        </w:tc>
        <w:tc>
          <w:tcPr>
            <w:tcW w:w="1280" w:type="dxa"/>
            <w:vAlign w:val="bottom"/>
            <w:gridSpan w:val="2"/>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93"/>
              </w:rPr>
              <w:t>79,000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$21.88</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94%</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Baltimore, MD 21236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Wildwood</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1958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1969</w:t>
            </w:r>
          </w:p>
        </w:tc>
        <w:tc>
          <w:tcPr>
            <w:tcW w:w="128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3"/>
              </w:rPr>
              <w:t>88,000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90"/>
              </w:rPr>
              <w:t>$102.39</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98%</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Balducci's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Bethesda, MD 20814</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Flower Child</w:t>
            </w: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line="152" w:lineRule="exact"/>
              <w:rPr>
                <w:sz w:val="20"/>
                <w:szCs w:val="20"/>
                <w:color w:val="auto"/>
              </w:rPr>
            </w:pPr>
            <w:r>
              <w:rPr>
                <w:rFonts w:ascii="Arial" w:cs="Arial" w:eastAsia="Arial" w:hAnsi="Arial"/>
                <w:sz w:val="14"/>
                <w:szCs w:val="14"/>
                <w:b w:val="1"/>
                <w:bCs w:val="1"/>
                <w:color w:val="auto"/>
                <w:w w:val="87"/>
              </w:rPr>
              <w:t>Massachusetts</w:t>
            </w:r>
          </w:p>
        </w:tc>
        <w:tc>
          <w:tcPr>
            <w:tcW w:w="2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Assembly Row/</w:t>
            </w:r>
          </w:p>
        </w:tc>
        <w:tc>
          <w:tcPr>
            <w:tcW w:w="108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1"/>
              </w:rPr>
              <w:t>2005, 2014,</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2005-2011/</w:t>
            </w:r>
          </w:p>
        </w:tc>
        <w:tc>
          <w:tcPr>
            <w:tcW w:w="12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0"/>
              </w:rPr>
              <w:t>824,000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$32.45</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95%</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Assembly Square Marketplace</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2018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Somerville, MA 02145(10)</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LEGOLAND Discovery Center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Assembly Row Residential</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6"/>
              </w:rPr>
              <w:t>2018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2005-2011</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w w:val="94"/>
              </w:rPr>
              <w:t>447 units</w:t>
            </w:r>
          </w:p>
        </w:tc>
        <w:tc>
          <w:tcPr>
            <w:tcW w:w="128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rPr>
              <w:t>N/A</w:t>
            </w: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91%</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Somerville, MA 02145(10)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Campus Plaza</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1970</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2004</w:t>
            </w:r>
          </w:p>
        </w:tc>
        <w:tc>
          <w:tcPr>
            <w:tcW w:w="12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0"/>
              </w:rPr>
              <w:t>114,000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$17.21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Roche Bros.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Bridgewater, MA 02324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Chelsea Commons</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4"/>
              </w:rPr>
              <w:t>1962,1969,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2006-2008</w:t>
            </w:r>
          </w:p>
        </w:tc>
        <w:tc>
          <w:tcPr>
            <w:tcW w:w="12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0"/>
              </w:rPr>
              <w:t>222,000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$12.92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93%</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Chelsea, MA 02150(8)</w:t>
            </w:r>
          </w:p>
        </w:tc>
        <w:tc>
          <w:tcPr>
            <w:tcW w:w="10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2008</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2"/>
          </w:tcPr>
          <w:p>
            <w:pPr>
              <w:spacing w:after="0" w:line="135" w:lineRule="exact"/>
              <w:rPr>
                <w:sz w:val="20"/>
                <w:szCs w:val="20"/>
                <w:color w:val="auto"/>
              </w:rPr>
            </w:pPr>
            <w:r>
              <w:rPr>
                <w:rFonts w:ascii="Arial" w:cs="Arial" w:eastAsia="Arial" w:hAnsi="Arial"/>
                <w:sz w:val="14"/>
                <w:szCs w:val="14"/>
                <w:color w:val="auto"/>
              </w:rPr>
              <w:t>Dedham Plaza</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1959</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4"/>
              </w:rPr>
              <w:t>1993/2016/</w:t>
            </w:r>
          </w:p>
        </w:tc>
        <w:tc>
          <w:tcPr>
            <w:tcW w:w="12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0"/>
              </w:rPr>
              <w:t>245,000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$16.56</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90%</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Star Market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Dedham, MA 02026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Linden Square</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1960, 2008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2006</w:t>
            </w:r>
          </w:p>
        </w:tc>
        <w:tc>
          <w:tcPr>
            <w:tcW w:w="12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0"/>
              </w:rPr>
              <w:t>220,000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$50.21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Roche Bros.</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Wellesley, MA 02481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6"/>
              </w:rPr>
              <w:t>7 Units</w:t>
            </w:r>
          </w:p>
        </w:tc>
        <w:tc>
          <w:tcPr>
            <w:tcW w:w="12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rPr>
              <w:t>N/A</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100 %</w:t>
            </w: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62"/>
        </w:trPr>
        <w:tc>
          <w:tcPr>
            <w:tcW w:w="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Property, City, State, Zip Code</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Acquired</w:t>
            </w:r>
          </w:p>
        </w:tc>
        <w:tc>
          <w:tcPr>
            <w:tcW w:w="1280" w:type="dxa"/>
            <w:vAlign w:val="bottom"/>
            <w:gridSpan w:val="2"/>
            <w:vMerge w:val="continue"/>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1"/>
                <w:szCs w:val="11"/>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8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1040" w:type="dxa"/>
            <w:vAlign w:val="bottom"/>
            <w:gridSpan w:val="2"/>
            <w:vMerge w:val="continue"/>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/Apartment Units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Borders>
              <w:top w:val="single" w:sz="8" w:color="auto"/>
            </w:tcBorders>
          </w:tcPr>
          <w:p>
            <w:pPr>
              <w:spacing w:after="0"/>
              <w:rPr>
                <w:sz w:val="11"/>
                <w:szCs w:val="11"/>
                <w:color w:val="auto"/>
              </w:rPr>
            </w:pPr>
          </w:p>
        </w:tc>
        <w:tc>
          <w:tcPr>
            <w:tcW w:w="2980" w:type="dxa"/>
            <w:vAlign w:val="bottom"/>
            <w:tcBorders>
              <w:top w:val="single" w:sz="8" w:color="auto"/>
            </w:tcBorders>
            <w:gridSpan w:val="5"/>
          </w:tcPr>
          <w:p>
            <w:pPr>
              <w:spacing w:after="0" w:line="130" w:lineRule="exact"/>
              <w:rPr>
                <w:sz w:val="20"/>
                <w:szCs w:val="20"/>
                <w:color w:val="auto"/>
              </w:rPr>
            </w:pPr>
            <w:r>
              <w:rPr>
                <w:rFonts w:ascii="Arial" w:cs="Arial" w:eastAsia="Arial" w:hAnsi="Arial"/>
                <w:sz w:val="14"/>
                <w:szCs w:val="14"/>
                <w:color w:val="auto"/>
              </w:rPr>
              <w:t>North Dartmouth</w:t>
            </w:r>
          </w:p>
        </w:tc>
        <w:tc>
          <w:tcPr>
            <w:tcW w:w="100" w:type="dxa"/>
            <w:vAlign w:val="bottom"/>
          </w:tcPr>
          <w:p>
            <w:pPr>
              <w:spacing w:after="0"/>
              <w:rPr>
                <w:sz w:val="11"/>
                <w:szCs w:val="11"/>
                <w:color w:val="auto"/>
              </w:rPr>
            </w:pPr>
          </w:p>
        </w:tc>
        <w:tc>
          <w:tcPr>
            <w:tcW w:w="9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6"/>
              </w:rPr>
              <w:t>2004</w:t>
            </w:r>
          </w:p>
        </w:tc>
        <w:tc>
          <w:tcPr>
            <w:tcW w:w="120" w:type="dxa"/>
            <w:vAlign w:val="bottom"/>
          </w:tcPr>
          <w:p>
            <w:pPr>
              <w:spacing w:after="0"/>
              <w:rPr>
                <w:sz w:val="11"/>
                <w:szCs w:val="11"/>
                <w:color w:val="auto"/>
              </w:rPr>
            </w:pPr>
          </w:p>
        </w:tc>
        <w:tc>
          <w:tcPr>
            <w:tcW w:w="9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3"/>
              </w:rPr>
              <w:t>48,000</w:t>
            </w:r>
          </w:p>
        </w:tc>
        <w:tc>
          <w:tcPr>
            <w:tcW w:w="100" w:type="dxa"/>
            <w:vAlign w:val="bottom"/>
          </w:tcPr>
          <w:p>
            <w:pPr>
              <w:spacing w:after="0"/>
              <w:rPr>
                <w:sz w:val="11"/>
                <w:szCs w:val="11"/>
                <w:color w:val="auto"/>
              </w:rPr>
            </w:pPr>
          </w:p>
        </w:tc>
        <w:tc>
          <w:tcPr>
            <w:tcW w:w="11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8"/>
              </w:rPr>
              <w:t>$15.31</w:t>
            </w:r>
          </w:p>
        </w:tc>
        <w:tc>
          <w:tcPr>
            <w:tcW w:w="120" w:type="dxa"/>
            <w:vAlign w:val="bottom"/>
          </w:tcPr>
          <w:p>
            <w:pPr>
              <w:spacing w:after="0"/>
              <w:rPr>
                <w:sz w:val="11"/>
                <w:szCs w:val="11"/>
                <w:color w:val="auto"/>
              </w:rPr>
            </w:pPr>
          </w:p>
        </w:tc>
        <w:tc>
          <w:tcPr>
            <w:tcW w:w="9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0"/>
              </w:rPr>
              <w:t>100 %</w:t>
            </w:r>
          </w:p>
        </w:tc>
        <w:tc>
          <w:tcPr>
            <w:tcW w:w="120" w:type="dxa"/>
            <w:vAlign w:val="bottom"/>
          </w:tcPr>
          <w:p>
            <w:pPr>
              <w:spacing w:after="0"/>
              <w:rPr>
                <w:sz w:val="11"/>
                <w:szCs w:val="11"/>
                <w:color w:val="auto"/>
              </w:rPr>
            </w:pPr>
          </w:p>
        </w:tc>
        <w:tc>
          <w:tcPr>
            <w:tcW w:w="23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North Dartmouth, MA 02747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Queen Anne Plaza</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6"/>
              </w:rPr>
              <w:t>1967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1994</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149,000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$19.36</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95%</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Big Y Foods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color w:val="auto"/>
              </w:rPr>
              <w:t>Norwell, MA 02061</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Saugus Plaza</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1976</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1996</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166,000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$17.22</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0"/>
              </w:rPr>
              <w:t>100 %</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Super Stop &amp; Shop</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Saugus, MA 01906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Floor &amp; Decor</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2980" w:type="dxa"/>
            <w:vAlign w:val="bottom"/>
            <w:gridSpan w:val="5"/>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Michigan</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Gratiot Plaza</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1964</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1973</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215,000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$12.80</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0"/>
              </w:rPr>
              <w:t>100 %</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Roseville, MI 48066</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980" w:type="dxa"/>
            <w:vAlign w:val="bottom"/>
            <w:gridSpan w:val="5"/>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New Jersey</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color w:val="auto"/>
                <w:w w:val="97"/>
              </w:rPr>
              <w:t>Brick Plaza</w:t>
            </w:r>
          </w:p>
        </w:tc>
        <w:tc>
          <w:tcPr>
            <w:tcW w:w="2280" w:type="dxa"/>
            <w:vAlign w:val="bottom"/>
            <w:tcBorders>
              <w:top w:val="single" w:sz="8" w:color="CCEEFF"/>
            </w:tcBorders>
            <w:gridSpan w:val="2"/>
          </w:tcPr>
          <w:p>
            <w:pPr>
              <w:spacing w:after="0"/>
              <w:rPr>
                <w:sz w:val="11"/>
                <w:szCs w:val="11"/>
                <w:color w:val="auto"/>
              </w:rPr>
            </w:pPr>
          </w:p>
        </w:tc>
        <w:tc>
          <w:tcPr>
            <w:tcW w:w="1080" w:type="dxa"/>
            <w:vAlign w:val="bottom"/>
            <w:tcBorders>
              <w:top w:val="single" w:sz="8" w:color="CCEEFF"/>
            </w:tcBorders>
            <w:gridSpan w:val="2"/>
          </w:tcPr>
          <w:p>
            <w:pPr>
              <w:jc w:val="center"/>
              <w:ind w:left="28"/>
              <w:spacing w:after="0" w:line="135" w:lineRule="exact"/>
              <w:rPr>
                <w:sz w:val="20"/>
                <w:szCs w:val="20"/>
                <w:color w:val="auto"/>
              </w:rPr>
            </w:pPr>
            <w:r>
              <w:rPr>
                <w:rFonts w:ascii="Arial" w:cs="Arial" w:eastAsia="Arial" w:hAnsi="Arial"/>
                <w:sz w:val="14"/>
                <w:szCs w:val="14"/>
                <w:color w:val="auto"/>
                <w:w w:val="96"/>
              </w:rPr>
              <w:t>1958</w:t>
            </w:r>
          </w:p>
        </w:tc>
        <w:tc>
          <w:tcPr>
            <w:tcW w:w="12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89"/>
              </w:rPr>
              <w:t>1989</w:t>
            </w:r>
          </w:p>
        </w:tc>
        <w:tc>
          <w:tcPr>
            <w:tcW w:w="10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90"/>
              </w:rPr>
              <w:t>408,000</w:t>
            </w: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88"/>
              </w:rPr>
              <w:t>$22.83</w:t>
            </w:r>
          </w:p>
        </w:tc>
        <w:tc>
          <w:tcPr>
            <w:tcW w:w="12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92"/>
              </w:rPr>
              <w:t>91%</w:t>
            </w:r>
          </w:p>
        </w:tc>
        <w:tc>
          <w:tcPr>
            <w:tcW w:w="120" w:type="dxa"/>
            <w:vAlign w:val="bottom"/>
            <w:tcBorders>
              <w:top w:val="single" w:sz="8" w:color="CCEEFF"/>
            </w:tcBorders>
          </w:tcPr>
          <w:p>
            <w:pPr>
              <w:spacing w:after="0"/>
              <w:rPr>
                <w:sz w:val="11"/>
                <w:szCs w:val="11"/>
                <w:color w:val="auto"/>
              </w:rPr>
            </w:pPr>
          </w:p>
        </w:tc>
        <w:tc>
          <w:tcPr>
            <w:tcW w:w="2300" w:type="dxa"/>
            <w:vAlign w:val="bottom"/>
            <w:tcBorders>
              <w:top w:val="single" w:sz="8" w:color="CCEEFF"/>
            </w:tcBorders>
          </w:tcPr>
          <w:p>
            <w:pPr>
              <w:ind w:left="20"/>
              <w:spacing w:after="0" w:line="135"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Brick Township, NJ 08723(4)</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Ulta L.A. Fitness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Brook 35</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4"/>
              </w:rPr>
              <w:t>1986, 2004</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2014</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99,000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$38.59</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color w:val="auto"/>
              </w:rPr>
              <w:t>Sea Grit, NJ 08750(5)(6)(8)</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Williams-Sonoma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Ellisburg</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1959</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1992</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261,000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$17.93</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79%</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Cherry Hill, NJ 08034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Hoboken</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1887-2006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2019/2020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171,000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$55.76</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92%</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color w:val="auto"/>
              </w:rPr>
              <w:t>Hoboken, NJ 07030(5)(8)(12)</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New York Sports Club</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4"/>
              </w:rPr>
              <w:t>129 Units</w:t>
            </w: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Sephora Multiple Restaurants</w:t>
            </w:r>
          </w:p>
        </w:tc>
        <w:tc>
          <w:tcPr>
            <w:tcW w:w="0" w:type="dxa"/>
            <w:vAlign w:val="bottom"/>
          </w:tcPr>
          <w:p>
            <w:pPr>
              <w:spacing w:after="0"/>
              <w:rPr>
                <w:sz w:val="1"/>
                <w:szCs w:val="1"/>
                <w:color w:val="auto"/>
              </w:rPr>
            </w:pPr>
          </w:p>
        </w:tc>
      </w:tr>
      <w:tr>
        <w:trPr>
          <w:trHeight w:val="49"/>
        </w:trPr>
        <w:tc>
          <w:tcPr>
            <w:tcW w:w="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80" w:type="dxa"/>
            <w:vAlign w:val="bottom"/>
            <w:gridSpan w:val="2"/>
            <w:vMerge w:val="continue"/>
            <w:shd w:val="clear" w:color="auto" w:fill="CCEEFF"/>
          </w:tcPr>
          <w:p>
            <w:pPr>
              <w:spacing w:after="0"/>
              <w:rPr>
                <w:sz w:val="4"/>
                <w:szCs w:val="4"/>
                <w:color w:val="auto"/>
              </w:rPr>
            </w:pPr>
          </w:p>
        </w:tc>
        <w:tc>
          <w:tcPr>
            <w:tcW w:w="1280" w:type="dxa"/>
            <w:vAlign w:val="bottom"/>
            <w:gridSpan w:val="2"/>
            <w:vMerge w:val="continue"/>
            <w:shd w:val="clear" w:color="auto" w:fill="CCEEFF"/>
          </w:tcPr>
          <w:p>
            <w:pPr>
              <w:spacing w:after="0"/>
              <w:rPr>
                <w:sz w:val="4"/>
                <w:szCs w:val="4"/>
                <w:color w:val="auto"/>
              </w:rPr>
            </w:pPr>
          </w:p>
        </w:tc>
        <w:tc>
          <w:tcPr>
            <w:tcW w:w="9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3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Mercer Mall</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1975</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2003/2017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551,000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$26.13</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87%</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Lawrenceville, NJ 08648(4)</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REI</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The Grove at Shrewsbury</w:t>
            </w:r>
          </w:p>
        </w:tc>
        <w:tc>
          <w:tcPr>
            <w:tcW w:w="1080" w:type="dxa"/>
            <w:vAlign w:val="bottom"/>
            <w:gridSpan w:val="2"/>
            <w:shd w:val="clear" w:color="auto" w:fill="CCEEFF"/>
          </w:tcPr>
          <w:p>
            <w:pPr>
              <w:jc w:val="center"/>
              <w:ind w:left="8"/>
              <w:spacing w:after="0" w:line="139" w:lineRule="exact"/>
              <w:rPr>
                <w:sz w:val="20"/>
                <w:szCs w:val="20"/>
                <w:color w:val="auto"/>
              </w:rPr>
            </w:pPr>
            <w:r>
              <w:rPr>
                <w:rFonts w:ascii="Arial" w:cs="Arial" w:eastAsia="Arial" w:hAnsi="Arial"/>
                <w:sz w:val="14"/>
                <w:szCs w:val="14"/>
                <w:color w:val="auto"/>
                <w:w w:val="91"/>
              </w:rPr>
              <w:t>1988, 1993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2014</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192,000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$48.35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95%</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Lululemon</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color w:val="auto"/>
              </w:rPr>
              <w:t>Shrewsbury, NJ 07702(5)(6)(8)</w:t>
            </w:r>
          </w:p>
        </w:tc>
        <w:tc>
          <w:tcPr>
            <w:tcW w:w="1080" w:type="dxa"/>
            <w:vAlign w:val="bottom"/>
            <w:gridSpan w:val="2"/>
            <w:shd w:val="clear" w:color="auto" w:fill="CCEEFF"/>
          </w:tcPr>
          <w:p>
            <w:pPr>
              <w:jc w:val="center"/>
              <w:ind w:left="48"/>
              <w:spacing w:after="0" w:line="135" w:lineRule="exact"/>
              <w:rPr>
                <w:sz w:val="20"/>
                <w:szCs w:val="20"/>
                <w:color w:val="auto"/>
              </w:rPr>
            </w:pPr>
            <w:r>
              <w:rPr>
                <w:rFonts w:ascii="Arial" w:cs="Arial" w:eastAsia="Arial" w:hAnsi="Arial"/>
                <w:sz w:val="14"/>
                <w:szCs w:val="14"/>
                <w:color w:val="auto"/>
                <w:w w:val="99"/>
              </w:rPr>
              <w:t>&amp; 2007</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Williams-Sonoma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Troy Hills</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1966</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1980</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211,000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$23.21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0"/>
              </w:rPr>
              <w:t>100 %</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Parsippany-Troy, NJ 07054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L.A. Fitness Michaels</w:t>
            </w: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spacing w:after="0" w:line="152" w:lineRule="exact"/>
              <w:rPr>
                <w:sz w:val="20"/>
                <w:szCs w:val="20"/>
                <w:color w:val="auto"/>
              </w:rPr>
            </w:pPr>
            <w:r>
              <w:rPr>
                <w:rFonts w:ascii="Arial" w:cs="Arial" w:eastAsia="Arial" w:hAnsi="Arial"/>
                <w:sz w:val="14"/>
                <w:szCs w:val="14"/>
                <w:b w:val="1"/>
                <w:bCs w:val="1"/>
                <w:color w:val="auto"/>
                <w:w w:val="93"/>
              </w:rPr>
              <w:t>New York</w:t>
            </w:r>
          </w:p>
        </w:tc>
        <w:tc>
          <w:tcPr>
            <w:tcW w:w="2360" w:type="dxa"/>
            <w:vAlign w:val="bottom"/>
            <w:tcBorders>
              <w:bottom w:val="single" w:sz="8" w:color="CCEEFF"/>
            </w:tcBorders>
            <w:gridSpan w:val="3"/>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Fresh Meadows</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1949</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409,000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$36.04</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95%</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Island of Gold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Queens, NY 11365</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Georgetowne Shopping Center</w:t>
            </w:r>
          </w:p>
        </w:tc>
        <w:tc>
          <w:tcPr>
            <w:tcW w:w="1080" w:type="dxa"/>
            <w:vAlign w:val="bottom"/>
            <w:gridSpan w:val="2"/>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91"/>
              </w:rPr>
              <w:t>1969, 2006,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2019</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147,000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$40.34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Foodway</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color w:val="auto"/>
              </w:rPr>
              <w:t>Brooklyn, NY 11234</w:t>
            </w:r>
          </w:p>
        </w:tc>
        <w:tc>
          <w:tcPr>
            <w:tcW w:w="1080" w:type="dxa"/>
            <w:vAlign w:val="bottom"/>
            <w:gridSpan w:val="2"/>
            <w:shd w:val="clear" w:color="auto" w:fill="CCEEFF"/>
          </w:tcPr>
          <w:p>
            <w:pPr>
              <w:jc w:val="center"/>
              <w:ind w:left="28"/>
              <w:spacing w:after="0" w:line="135" w:lineRule="exact"/>
              <w:rPr>
                <w:sz w:val="20"/>
                <w:szCs w:val="20"/>
                <w:color w:val="auto"/>
              </w:rPr>
            </w:pPr>
            <w:r>
              <w:rPr>
                <w:rFonts w:ascii="Arial" w:cs="Arial" w:eastAsia="Arial" w:hAnsi="Arial"/>
                <w:sz w:val="14"/>
                <w:szCs w:val="14"/>
                <w:color w:val="auto"/>
                <w:w w:val="96"/>
              </w:rPr>
              <w:t>2015</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Five Below</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IHOP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Greenlawn Plaza</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4"/>
              </w:rPr>
              <w:t>1975, 2004</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102,000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$18.97</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94%</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Greenlawn Farms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Greenlawn, NY 11743</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Tuesday Morning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Hauppauge</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6"/>
              </w:rPr>
              <w:t>1963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133,000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$34.78</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74%</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Hauppauge, NY 11788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Huntington</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1962</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4"/>
              </w:rPr>
              <w:t>1988/2007/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266,000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$23.74</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90%</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Huntington, NY 11746</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Huntington Square</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4"/>
              </w:rPr>
              <w:t>1980, 2007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2010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74,000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$29.63</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83%</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East Northport, NY 11731(4)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Melville Mall</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1974</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243,000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$27.30</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Uncle Giuseppe's Marketplace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Huntington, NY 11747(4)</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Field &amp; Stream</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Macy's Backstage</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980" w:type="dxa"/>
            <w:vAlign w:val="bottom"/>
            <w:gridSpan w:val="5"/>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Pennsylvania</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auto"/>
            </w:tcBorders>
            <w:gridSpan w:val="4"/>
          </w:tcPr>
          <w:p>
            <w:pPr>
              <w:spacing w:after="0" w:line="135" w:lineRule="exact"/>
              <w:rPr>
                <w:sz w:val="20"/>
                <w:szCs w:val="20"/>
                <w:color w:val="auto"/>
              </w:rPr>
            </w:pPr>
            <w:r>
              <w:rPr>
                <w:rFonts w:ascii="Arial" w:cs="Arial" w:eastAsia="Arial" w:hAnsi="Arial"/>
                <w:sz w:val="14"/>
                <w:szCs w:val="14"/>
                <w:color w:val="auto"/>
              </w:rPr>
              <w:t>Andorra</w:t>
            </w:r>
          </w:p>
        </w:tc>
        <w:tc>
          <w:tcPr>
            <w:tcW w:w="2160" w:type="dxa"/>
            <w:vAlign w:val="bottom"/>
            <w:tcBorders>
              <w:top w:val="single" w:sz="8" w:color="CCEEFF"/>
            </w:tcBorders>
          </w:tcPr>
          <w:p>
            <w:pPr>
              <w:spacing w:after="0"/>
              <w:rPr>
                <w:sz w:val="11"/>
                <w:szCs w:val="11"/>
                <w:color w:val="auto"/>
              </w:rPr>
            </w:pPr>
          </w:p>
        </w:tc>
        <w:tc>
          <w:tcPr>
            <w:tcW w:w="1080" w:type="dxa"/>
            <w:vAlign w:val="bottom"/>
            <w:tcBorders>
              <w:top w:val="single" w:sz="8" w:color="CCEEFF"/>
            </w:tcBorders>
            <w:gridSpan w:val="2"/>
          </w:tcPr>
          <w:p>
            <w:pPr>
              <w:jc w:val="center"/>
              <w:ind w:left="28"/>
              <w:spacing w:after="0" w:line="135" w:lineRule="exact"/>
              <w:rPr>
                <w:sz w:val="20"/>
                <w:szCs w:val="20"/>
                <w:color w:val="auto"/>
              </w:rPr>
            </w:pPr>
            <w:r>
              <w:rPr>
                <w:rFonts w:ascii="Arial" w:cs="Arial" w:eastAsia="Arial" w:hAnsi="Arial"/>
                <w:sz w:val="14"/>
                <w:szCs w:val="14"/>
                <w:color w:val="auto"/>
                <w:w w:val="96"/>
              </w:rPr>
              <w:t>1953</w:t>
            </w:r>
          </w:p>
        </w:tc>
        <w:tc>
          <w:tcPr>
            <w:tcW w:w="12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89"/>
              </w:rPr>
              <w:t>1988</w:t>
            </w:r>
          </w:p>
        </w:tc>
        <w:tc>
          <w:tcPr>
            <w:tcW w:w="10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90"/>
              </w:rPr>
              <w:t>270,000</w:t>
            </w: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88"/>
              </w:rPr>
              <w:t>$14.34</w:t>
            </w:r>
          </w:p>
        </w:tc>
        <w:tc>
          <w:tcPr>
            <w:tcW w:w="12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92"/>
              </w:rPr>
              <w:t>88%</w:t>
            </w:r>
          </w:p>
        </w:tc>
        <w:tc>
          <w:tcPr>
            <w:tcW w:w="120" w:type="dxa"/>
            <w:vAlign w:val="bottom"/>
            <w:tcBorders>
              <w:top w:val="single" w:sz="8" w:color="CCEEFF"/>
            </w:tcBorders>
          </w:tcPr>
          <w:p>
            <w:pPr>
              <w:spacing w:after="0"/>
              <w:rPr>
                <w:sz w:val="11"/>
                <w:szCs w:val="11"/>
                <w:color w:val="auto"/>
              </w:rPr>
            </w:pPr>
          </w:p>
        </w:tc>
        <w:tc>
          <w:tcPr>
            <w:tcW w:w="2300" w:type="dxa"/>
            <w:vAlign w:val="bottom"/>
            <w:tcBorders>
              <w:top w:val="single" w:sz="8" w:color="CCEEFF"/>
            </w:tcBorders>
          </w:tcPr>
          <w:p>
            <w:pPr>
              <w:ind w:left="20"/>
              <w:spacing w:after="0" w:line="135"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Philadelphia, PA 19128</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Bala Cynwyd</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6"/>
              </w:rPr>
              <w:t>1955</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294,000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$25.72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color w:val="auto"/>
              </w:rPr>
              <w:t>Bala Cynwyd, PA 19004</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Lord &amp; Taylor</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Property, City, State, Zip Code</w:t>
            </w:r>
          </w:p>
        </w:tc>
        <w:tc>
          <w:tcPr>
            <w:tcW w:w="1100" w:type="dxa"/>
            <w:vAlign w:val="bottom"/>
            <w:gridSpan w:val="2"/>
            <w:vMerge w:val="continue"/>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Acquired</w:t>
            </w:r>
          </w:p>
        </w:tc>
        <w:tc>
          <w:tcPr>
            <w:tcW w:w="1280" w:type="dxa"/>
            <w:vAlign w:val="bottom"/>
            <w:gridSpan w:val="2"/>
            <w:vMerge w:val="continue"/>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1"/>
                <w:szCs w:val="11"/>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3"/>
            <w:vMerge w:val="continue"/>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1040" w:type="dxa"/>
            <w:vAlign w:val="bottom"/>
            <w:gridSpan w:val="2"/>
            <w:vMerge w:val="continue"/>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/Apartment Units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Borders>
              <w:top w:val="single" w:sz="8" w:color="auto"/>
            </w:tcBorders>
          </w:tcPr>
          <w:p>
            <w:pPr>
              <w:spacing w:after="0"/>
              <w:rPr>
                <w:sz w:val="11"/>
                <w:szCs w:val="11"/>
                <w:color w:val="auto"/>
              </w:rPr>
            </w:pPr>
          </w:p>
        </w:tc>
        <w:tc>
          <w:tcPr>
            <w:tcW w:w="298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4"/>
                <w:szCs w:val="14"/>
                <w:color w:val="auto"/>
              </w:rPr>
              <w:t>Bala Cynwyd Residential(13)</w:t>
            </w:r>
          </w:p>
        </w:tc>
        <w:tc>
          <w:tcPr>
            <w:tcW w:w="100" w:type="dxa"/>
            <w:vAlign w:val="bottom"/>
          </w:tcPr>
          <w:p>
            <w:pPr>
              <w:spacing w:after="0"/>
              <w:rPr>
                <w:sz w:val="11"/>
                <w:szCs w:val="11"/>
                <w:color w:val="auto"/>
              </w:rPr>
            </w:pPr>
          </w:p>
        </w:tc>
        <w:tc>
          <w:tcPr>
            <w:tcW w:w="9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6"/>
              </w:rPr>
              <w:t>2020</w:t>
            </w:r>
          </w:p>
        </w:tc>
        <w:tc>
          <w:tcPr>
            <w:tcW w:w="120" w:type="dxa"/>
            <w:vAlign w:val="bottom"/>
          </w:tcPr>
          <w:p>
            <w:pPr>
              <w:spacing w:after="0"/>
              <w:rPr>
                <w:sz w:val="11"/>
                <w:szCs w:val="11"/>
                <w:color w:val="auto"/>
              </w:rPr>
            </w:pPr>
          </w:p>
        </w:tc>
        <w:tc>
          <w:tcPr>
            <w:tcW w:w="9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7"/>
              </w:rPr>
              <w:t>87 Units</w:t>
            </w:r>
          </w:p>
        </w:tc>
        <w:tc>
          <w:tcPr>
            <w:tcW w:w="100" w:type="dxa"/>
            <w:vAlign w:val="bottom"/>
          </w:tcPr>
          <w:p>
            <w:pPr>
              <w:spacing w:after="0"/>
              <w:rPr>
                <w:sz w:val="11"/>
                <w:szCs w:val="11"/>
                <w:color w:val="auto"/>
              </w:rPr>
            </w:pPr>
          </w:p>
        </w:tc>
        <w:tc>
          <w:tcPr>
            <w:tcW w:w="11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1"/>
                <w:szCs w:val="11"/>
                <w:color w:val="auto"/>
              </w:rPr>
            </w:pPr>
          </w:p>
        </w:tc>
        <w:tc>
          <w:tcPr>
            <w:tcW w:w="9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2"/>
              </w:rPr>
              <w:t>23%</w:t>
            </w:r>
          </w:p>
        </w:tc>
        <w:tc>
          <w:tcPr>
            <w:tcW w:w="120" w:type="dxa"/>
            <w:vAlign w:val="bottom"/>
          </w:tcPr>
          <w:p>
            <w:pPr>
              <w:spacing w:after="0"/>
              <w:rPr>
                <w:sz w:val="11"/>
                <w:szCs w:val="11"/>
                <w:color w:val="auto"/>
              </w:rPr>
            </w:pPr>
          </w:p>
        </w:tc>
        <w:tc>
          <w:tcPr>
            <w:tcW w:w="23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gridSpan w:val="3"/>
          </w:tcPr>
          <w:p>
            <w:pPr>
              <w:spacing w:after="0"/>
              <w:rPr>
                <w:sz w:val="20"/>
                <w:szCs w:val="20"/>
                <w:color w:val="auto"/>
              </w:rPr>
            </w:pPr>
            <w:r>
              <w:rPr>
                <w:rFonts w:ascii="Arial" w:cs="Arial" w:eastAsia="Arial" w:hAnsi="Arial"/>
                <w:sz w:val="14"/>
                <w:szCs w:val="14"/>
                <w:color w:val="auto"/>
              </w:rPr>
              <w:t>Bala Cynwyd, PA 19004</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Flourtown</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1957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1980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156,000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$23.61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Flourtown, PA 19031</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Movie Tavern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Lancaster</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1958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1980</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126,000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$19.86</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81%</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gridSpan w:val="3"/>
          </w:tcPr>
          <w:p>
            <w:pPr>
              <w:spacing w:after="0"/>
              <w:rPr>
                <w:sz w:val="20"/>
                <w:szCs w:val="20"/>
                <w:color w:val="auto"/>
              </w:rPr>
            </w:pPr>
            <w:r>
              <w:rPr>
                <w:rFonts w:ascii="Arial" w:cs="Arial" w:eastAsia="Arial" w:hAnsi="Arial"/>
                <w:sz w:val="14"/>
                <w:szCs w:val="14"/>
                <w:color w:val="auto"/>
              </w:rPr>
              <w:t>Lancaster, PA 17601(4)</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Langhorne Square</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1966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1985</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223,000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$16.69</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94%</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Redner's Warehouse Markets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Levittown, PA 19056</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Lawrence Park</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1972</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1980/2017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363,000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$22.81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98%</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Broomall, PA 19008</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Northeast</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1959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1983</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227,000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$18.82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82%</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Philadelphia, PA 19114</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Skechers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Crunch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Town Center of New Britain</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1969</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125,000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96"/>
              </w:rPr>
              <w:t>$9.18</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84%</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New Britain, PA 18901</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Dollar Tree</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Willow Grove</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1953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1984</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183,000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$18.44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78%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Willow Grove, PA 19090</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Wynnewood</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1948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1996</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249,000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$28.81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93%</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Wynnewood, PA 19096</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9 Units</w:t>
            </w:r>
          </w:p>
        </w:tc>
        <w:tc>
          <w:tcPr>
            <w:tcW w:w="12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N/A</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2"/>
              </w:rPr>
              <w:t>44%</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Virginia</w:t>
            </w:r>
          </w:p>
        </w:tc>
        <w:tc>
          <w:tcPr>
            <w:tcW w:w="2560" w:type="dxa"/>
            <w:vAlign w:val="bottom"/>
            <w:tcBorders>
              <w:bottom w:val="single" w:sz="8" w:color="CCEEFF"/>
            </w:tcBorders>
            <w:gridSpan w:val="2"/>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29th Place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2"/>
              </w:rPr>
              <w:t>1975-2001</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168,000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$18.01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92%</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Charlottesville, VA 22091(8)</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Barcoft Plaza</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1963, 1972,</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2006/2007/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113,000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$27.15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92%</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Falls Church, VA 22041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1990, &amp; 2000</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Barracks Road</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1958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1985</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497,000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$26.65</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90%</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Charlottesville, VA 22905</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Nike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Fairfax Junction</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1981, 1986,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2019/2020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124,000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$25.75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Fairfax, VA 22030(6)</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2000</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Falls Plaza</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3"/>
              </w:rPr>
              <w:t>1960/1962</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1967/1972</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144,000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$36.66</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92%</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Falls Church, VA 22046</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Graham Park Plaza</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1971</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1983</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132,000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$38.42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86%</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Fairfax, VA 22042</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Idylwood Plaza</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1991</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1994</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73,000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$51.66</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0"/>
              </w:rPr>
              <w:t>100 %</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gridSpan w:val="3"/>
          </w:tcPr>
          <w:p>
            <w:pPr>
              <w:spacing w:after="0"/>
              <w:rPr>
                <w:sz w:val="20"/>
                <w:szCs w:val="20"/>
                <w:color w:val="auto"/>
              </w:rPr>
            </w:pPr>
            <w:r>
              <w:rPr>
                <w:rFonts w:ascii="Arial" w:cs="Arial" w:eastAsia="Arial" w:hAnsi="Arial"/>
                <w:sz w:val="14"/>
                <w:szCs w:val="14"/>
                <w:color w:val="auto"/>
              </w:rPr>
              <w:t>Falls Church, VA 22030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Leesburg Plaza</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1967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236,000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$23.40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83%</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Leesburg, VA 20176</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Mount Vernon/South Valley/</w:t>
            </w:r>
          </w:p>
        </w:tc>
        <w:tc>
          <w:tcPr>
            <w:tcW w:w="980" w:type="dxa"/>
            <w:vAlign w:val="bottom"/>
          </w:tcPr>
          <w:p>
            <w:pPr>
              <w:jc w:val="right"/>
              <w:ind w:right="268"/>
              <w:spacing w:after="0" w:line="135" w:lineRule="exact"/>
              <w:rPr>
                <w:sz w:val="20"/>
                <w:szCs w:val="20"/>
                <w:color w:val="auto"/>
              </w:rPr>
            </w:pPr>
            <w:r>
              <w:rPr>
                <w:rFonts w:ascii="Arial" w:cs="Arial" w:eastAsia="Arial" w:hAnsi="Arial"/>
                <w:sz w:val="14"/>
                <w:szCs w:val="14"/>
                <w:color w:val="auto"/>
              </w:rPr>
              <w:t>1966,</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2003/2006</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564,000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$19.23</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7770 Richmond Hwy</w:t>
            </w:r>
          </w:p>
        </w:tc>
        <w:tc>
          <w:tcPr>
            <w:tcW w:w="980" w:type="dxa"/>
            <w:vAlign w:val="bottom"/>
          </w:tcPr>
          <w:p>
            <w:pPr>
              <w:jc w:val="right"/>
              <w:ind w:right="128"/>
              <w:spacing w:after="0" w:line="135" w:lineRule="exact"/>
              <w:rPr>
                <w:sz w:val="20"/>
                <w:szCs w:val="20"/>
                <w:color w:val="auto"/>
              </w:rPr>
            </w:pPr>
            <w:r>
              <w:rPr>
                <w:rFonts w:ascii="Arial" w:cs="Arial" w:eastAsia="Arial" w:hAnsi="Arial"/>
                <w:sz w:val="14"/>
                <w:szCs w:val="14"/>
                <w:color w:val="auto"/>
              </w:rPr>
              <w:t>1972,1987</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Alexandria, VA 22306(4)(6)</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9"/>
              </w:rPr>
              <w:t>&amp; 2001</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Results Fitness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Old Keene Mill</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1968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1976</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91,000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$36.34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95%</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Springfield, VA 22152</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Pan Am</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1979</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228,000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$27.75</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3"/>
              </w:rPr>
              <w:t>98 %</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3"/>
          </w:tcPr>
          <w:p>
            <w:pPr>
              <w:spacing w:after="0" w:line="135" w:lineRule="exact"/>
              <w:rPr>
                <w:sz w:val="20"/>
                <w:szCs w:val="20"/>
                <w:color w:val="auto"/>
              </w:rPr>
            </w:pPr>
            <w:r>
              <w:rPr>
                <w:rFonts w:ascii="Arial" w:cs="Arial" w:eastAsia="Arial" w:hAnsi="Arial"/>
                <w:sz w:val="14"/>
                <w:szCs w:val="14"/>
                <w:color w:val="auto"/>
              </w:rPr>
              <w:t>Fairfax, VA 22031</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Pentagon Row</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2001-2002</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1998/2010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297,000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$37.47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94%</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Arlington, VA 22202</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Square Feet(1)</w:t>
            </w:r>
          </w:p>
        </w:tc>
        <w:tc>
          <w:tcPr>
            <w:tcW w:w="1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Property, City, State, Zip Code</w:t>
            </w:r>
          </w:p>
        </w:tc>
        <w:tc>
          <w:tcPr>
            <w:tcW w:w="1100" w:type="dxa"/>
            <w:vAlign w:val="bottom"/>
            <w:gridSpan w:val="2"/>
            <w:vMerge w:val="continue"/>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Acquired</w:t>
            </w: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1"/>
                <w:szCs w:val="11"/>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88"/>
        </w:trPr>
        <w:tc>
          <w:tcPr>
            <w:tcW w:w="3100" w:type="dxa"/>
            <w:vAlign w:val="bottom"/>
            <w:gridSpan w:val="2"/>
            <w:vMerge w:val="continue"/>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1040" w:type="dxa"/>
            <w:vAlign w:val="bottom"/>
            <w:gridSpan w:val="2"/>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rPr>
              <w:t>Pike 7 Plaza</w:t>
            </w:r>
          </w:p>
        </w:tc>
        <w:tc>
          <w:tcPr>
            <w:tcW w:w="100" w:type="dxa"/>
            <w:vAlign w:val="bottom"/>
          </w:tcPr>
          <w:p>
            <w:pPr>
              <w:spacing w:after="0"/>
              <w:rPr>
                <w:sz w:val="11"/>
                <w:szCs w:val="11"/>
                <w:color w:val="auto"/>
              </w:rPr>
            </w:pPr>
          </w:p>
        </w:tc>
        <w:tc>
          <w:tcPr>
            <w:tcW w:w="980" w:type="dxa"/>
            <w:vAlign w:val="bottom"/>
            <w:tcBorders>
              <w:top w:val="single" w:sz="8" w:color="auto"/>
            </w:tcBorders>
          </w:tcPr>
          <w:p>
            <w:pPr>
              <w:jc w:val="right"/>
              <w:ind w:right="268"/>
              <w:spacing w:after="0" w:line="130" w:lineRule="exact"/>
              <w:rPr>
                <w:sz w:val="20"/>
                <w:szCs w:val="20"/>
                <w:color w:val="auto"/>
              </w:rPr>
            </w:pPr>
            <w:r>
              <w:rPr>
                <w:rFonts w:ascii="Arial" w:cs="Arial" w:eastAsia="Arial" w:hAnsi="Arial"/>
                <w:sz w:val="14"/>
                <w:szCs w:val="14"/>
                <w:color w:val="auto"/>
              </w:rPr>
              <w:t>1968</w:t>
            </w:r>
          </w:p>
        </w:tc>
        <w:tc>
          <w:tcPr>
            <w:tcW w:w="120" w:type="dxa"/>
            <w:vAlign w:val="bottom"/>
          </w:tcPr>
          <w:p>
            <w:pPr>
              <w:spacing w:after="0"/>
              <w:rPr>
                <w:sz w:val="11"/>
                <w:szCs w:val="11"/>
                <w:color w:val="auto"/>
              </w:rPr>
            </w:pPr>
          </w:p>
        </w:tc>
        <w:tc>
          <w:tcPr>
            <w:tcW w:w="9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3"/>
              </w:rPr>
              <w:t>1997/2015</w:t>
            </w:r>
          </w:p>
        </w:tc>
        <w:tc>
          <w:tcPr>
            <w:tcW w:w="1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0"/>
              </w:rPr>
              <w:t>172,000</w:t>
            </w:r>
          </w:p>
        </w:tc>
        <w:tc>
          <w:tcPr>
            <w:tcW w:w="100" w:type="dxa"/>
            <w:vAlign w:val="bottom"/>
          </w:tcPr>
          <w:p>
            <w:pPr>
              <w:spacing w:after="0"/>
              <w:rPr>
                <w:sz w:val="11"/>
                <w:szCs w:val="11"/>
                <w:color w:val="auto"/>
              </w:rPr>
            </w:pPr>
          </w:p>
        </w:tc>
        <w:tc>
          <w:tcPr>
            <w:tcW w:w="11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8"/>
              </w:rPr>
              <w:t>$49.62</w:t>
            </w:r>
          </w:p>
        </w:tc>
        <w:tc>
          <w:tcPr>
            <w:tcW w:w="120" w:type="dxa"/>
            <w:vAlign w:val="bottom"/>
          </w:tcPr>
          <w:p>
            <w:pPr>
              <w:spacing w:after="0"/>
              <w:rPr>
                <w:sz w:val="11"/>
                <w:szCs w:val="11"/>
                <w:color w:val="auto"/>
              </w:rPr>
            </w:pPr>
          </w:p>
        </w:tc>
        <w:tc>
          <w:tcPr>
            <w:tcW w:w="9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3"/>
              </w:rPr>
              <w:t>91 %</w:t>
            </w:r>
          </w:p>
        </w:tc>
        <w:tc>
          <w:tcPr>
            <w:tcW w:w="120" w:type="dxa"/>
            <w:vAlign w:val="bottom"/>
          </w:tcPr>
          <w:p>
            <w:pPr>
              <w:spacing w:after="0"/>
              <w:rPr>
                <w:sz w:val="11"/>
                <w:szCs w:val="11"/>
                <w:color w:val="auto"/>
              </w:rPr>
            </w:pPr>
          </w:p>
        </w:tc>
        <w:tc>
          <w:tcPr>
            <w:tcW w:w="23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Vienna, VA 22180</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Crunch Fitness Staples</w:t>
            </w: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Tower Shopping Center</w:t>
            </w:r>
          </w:p>
        </w:tc>
        <w:tc>
          <w:tcPr>
            <w:tcW w:w="980" w:type="dxa"/>
            <w:vAlign w:val="bottom"/>
            <w:shd w:val="clear" w:color="auto" w:fill="CCEEFF"/>
          </w:tcPr>
          <w:p>
            <w:pPr>
              <w:jc w:val="right"/>
              <w:ind w:right="268"/>
              <w:spacing w:after="0" w:line="139" w:lineRule="exact"/>
              <w:rPr>
                <w:sz w:val="20"/>
                <w:szCs w:val="20"/>
                <w:color w:val="auto"/>
              </w:rPr>
            </w:pPr>
            <w:r>
              <w:rPr>
                <w:rFonts w:ascii="Arial" w:cs="Arial" w:eastAsia="Arial" w:hAnsi="Arial"/>
                <w:sz w:val="14"/>
                <w:szCs w:val="14"/>
                <w:color w:val="auto"/>
              </w:rPr>
              <w:t>1960</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111,000</w:t>
            </w:r>
          </w:p>
        </w:tc>
        <w:tc>
          <w:tcPr>
            <w:tcW w:w="1260" w:type="dxa"/>
            <w:vAlign w:val="bottom"/>
            <w:gridSpan w:val="2"/>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88"/>
              </w:rPr>
              <w:t>$26.11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L.A. Mart</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Springfield, VA 22150</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Wine &amp; More</w:t>
            </w: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Tyson's Station</w:t>
            </w:r>
          </w:p>
        </w:tc>
        <w:tc>
          <w:tcPr>
            <w:tcW w:w="980" w:type="dxa"/>
            <w:vAlign w:val="bottom"/>
          </w:tcPr>
          <w:p>
            <w:pPr>
              <w:jc w:val="right"/>
              <w:ind w:right="268"/>
              <w:spacing w:after="0" w:line="135" w:lineRule="exact"/>
              <w:rPr>
                <w:sz w:val="20"/>
                <w:szCs w:val="20"/>
                <w:color w:val="auto"/>
              </w:rPr>
            </w:pPr>
            <w:r>
              <w:rPr>
                <w:rFonts w:ascii="Arial" w:cs="Arial" w:eastAsia="Arial" w:hAnsi="Arial"/>
                <w:sz w:val="14"/>
                <w:szCs w:val="14"/>
                <w:color w:val="auto"/>
              </w:rPr>
              <w:t>1954</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1978</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50,000</w:t>
            </w:r>
          </w:p>
        </w:tc>
        <w:tc>
          <w:tcPr>
            <w:tcW w:w="12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88"/>
              </w:rPr>
              <w:t>$47.97</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90%</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8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Falls Church, VA 22043</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Village at Shirlington</w:t>
            </w:r>
          </w:p>
        </w:tc>
        <w:tc>
          <w:tcPr>
            <w:tcW w:w="980" w:type="dxa"/>
            <w:vAlign w:val="bottom"/>
            <w:shd w:val="clear" w:color="auto" w:fill="CCEEFF"/>
          </w:tcPr>
          <w:p>
            <w:pPr>
              <w:jc w:val="right"/>
              <w:ind w:right="268"/>
              <w:spacing w:after="0" w:line="139" w:lineRule="exact"/>
              <w:rPr>
                <w:sz w:val="20"/>
                <w:szCs w:val="20"/>
                <w:color w:val="auto"/>
              </w:rPr>
            </w:pPr>
            <w:r>
              <w:rPr>
                <w:rFonts w:ascii="Arial" w:cs="Arial" w:eastAsia="Arial" w:hAnsi="Arial"/>
                <w:sz w:val="14"/>
                <w:szCs w:val="14"/>
                <w:color w:val="auto"/>
              </w:rPr>
              <w:t>1940,</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1995</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262,000</w:t>
            </w:r>
          </w:p>
        </w:tc>
        <w:tc>
          <w:tcPr>
            <w:tcW w:w="1260" w:type="dxa"/>
            <w:vAlign w:val="bottom"/>
            <w:gridSpan w:val="2"/>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88"/>
              </w:rPr>
              <w:t>$39.92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Arlington, VA 22206(4)</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2006-2009</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Carlyle Grand Café</w:t>
            </w: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Willow Lawn</w:t>
            </w:r>
          </w:p>
        </w:tc>
        <w:tc>
          <w:tcPr>
            <w:tcW w:w="980" w:type="dxa"/>
            <w:vAlign w:val="bottom"/>
          </w:tcPr>
          <w:p>
            <w:pPr>
              <w:jc w:val="right"/>
              <w:ind w:right="268"/>
              <w:spacing w:after="0" w:line="135" w:lineRule="exact"/>
              <w:rPr>
                <w:sz w:val="20"/>
                <w:szCs w:val="20"/>
                <w:color w:val="auto"/>
              </w:rPr>
            </w:pPr>
            <w:r>
              <w:rPr>
                <w:rFonts w:ascii="Arial" w:cs="Arial" w:eastAsia="Arial" w:hAnsi="Arial"/>
                <w:sz w:val="14"/>
                <w:szCs w:val="14"/>
                <w:color w:val="auto"/>
              </w:rPr>
              <w:t>1957</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1983</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464,000</w:t>
            </w:r>
          </w:p>
        </w:tc>
        <w:tc>
          <w:tcPr>
            <w:tcW w:w="12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88"/>
              </w:rPr>
              <w:t>$20.49</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95%</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Richmond, VA 23230</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86"/>
        </w:trPr>
        <w:tc>
          <w:tcPr>
            <w:tcW w:w="3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8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 Commercial (9)</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23,378,000</w:t>
            </w:r>
          </w:p>
        </w:tc>
        <w:tc>
          <w:tcPr>
            <w:tcW w:w="12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b w:val="1"/>
                <w:bCs w:val="1"/>
                <w:color w:val="auto"/>
                <w:w w:val="88"/>
              </w:rPr>
              <w:t>$29.86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92%</w:t>
            </w: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—Residential (13)</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2,782 units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95%</w:t>
            </w: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99"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GLA of the commercial portion of the property. Some of our properties include office space which is included in this square footage.</w:t>
      </w:r>
    </w:p>
    <w:p>
      <w:pPr>
        <w:spacing w:after="0" w:line="13" w:lineRule="exact"/>
        <w:rPr>
          <w:rFonts w:ascii="Arial" w:cs="Arial" w:eastAsia="Arial" w:hAnsi="Arial"/>
          <w:sz w:val="14"/>
          <w:szCs w:val="14"/>
          <w:color w:val="auto"/>
        </w:rPr>
      </w:pPr>
    </w:p>
    <w:p>
      <w:pPr>
        <w:ind w:left="660" w:hanging="328"/>
        <w:spacing w:after="0" w:line="241" w:lineRule="auto"/>
        <w:tabs>
          <w:tab w:leader="none" w:pos="652"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base rent is calculated as the aggregate, annualized in-place contractual (defined as cash basis excluding rent abatements) minimum rent for all occupied spaces divided by the aggregate GLA of all occupied spaces. Average base rent is for commercial spaces only.</w:t>
      </w:r>
    </w:p>
    <w:p>
      <w:pPr>
        <w:ind w:left="660" w:right="220" w:hanging="328"/>
        <w:spacing w:after="0" w:line="241" w:lineRule="auto"/>
        <w:tabs>
          <w:tab w:leader="none" w:pos="652" w:val="left"/>
        </w:tabs>
        <w:numPr>
          <w:ilvl w:val="0"/>
          <w:numId w:val="26"/>
        </w:numPr>
        <w:rPr>
          <w:rFonts w:ascii="Arial" w:cs="Arial" w:eastAsia="Arial" w:hAnsi="Arial"/>
          <w:sz w:val="14"/>
          <w:szCs w:val="14"/>
          <w:color w:val="auto"/>
        </w:rPr>
      </w:pPr>
      <w:r>
        <w:rPr>
          <w:rFonts w:ascii="Arial" w:cs="Arial" w:eastAsia="Arial" w:hAnsi="Arial"/>
          <w:sz w:val="14"/>
          <w:szCs w:val="14"/>
          <w:color w:val="auto"/>
        </w:rPr>
        <w:t>Percentage leased is expressed as a percentage of rentable commercial square feet occupied or subject to a lease. Residential percentage leased is expressed as a percentage of units occupied or subject to a lease.</w:t>
      </w:r>
    </w:p>
    <w:p>
      <w:pPr>
        <w:ind w:left="640" w:hanging="30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or a portion of this property is owned pursuant to a ground lease.</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own the controlling interest in this property.</w:t>
      </w:r>
    </w:p>
    <w:p>
      <w:pPr>
        <w:spacing w:after="0" w:line="1" w:lineRule="exact"/>
        <w:rPr>
          <w:rFonts w:ascii="Arial" w:cs="Arial" w:eastAsia="Arial" w:hAnsi="Arial"/>
          <w:sz w:val="14"/>
          <w:szCs w:val="14"/>
          <w:color w:val="auto"/>
        </w:rPr>
      </w:pPr>
    </w:p>
    <w:p>
      <w:pPr>
        <w:ind w:left="660" w:right="220" w:hanging="328"/>
        <w:spacing w:after="0" w:line="241" w:lineRule="auto"/>
        <w:tabs>
          <w:tab w:leader="none" w:pos="652"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own all or a portion of this property in a “downREIT” partnership, of which a wholly owned subsidiary of the Trust is the sole general partner, with third party partners holding operating partnership units.</w:t>
      </w:r>
    </w:p>
    <w:p>
      <w:pPr>
        <w:ind w:left="640" w:hanging="30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own a noncontrolling interest in this property.</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or a portion of this property is encumbered by a mortgage loan.</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Aggregate information is calculated on a GLA weighted-average basis, excluding our La Alameda property, which is unconsolidated.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Item 7. Management's Discussion and Analysis of Financial Condition and Results of Operations.</w:t>
      </w:r>
    </w:p>
    <w:p>
      <w:pPr>
        <w:spacing w:after="0" w:line="12" w:lineRule="exact"/>
        <w:rPr>
          <w:rFonts w:ascii="Arial" w:cs="Arial" w:eastAsia="Arial" w:hAnsi="Arial"/>
          <w:sz w:val="13"/>
          <w:szCs w:val="13"/>
          <w:color w:val="auto"/>
        </w:rPr>
      </w:pPr>
    </w:p>
    <w:p>
      <w:pPr>
        <w:ind w:left="640" w:hanging="30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property includes interests in five buildings in addition to our initial acquisition.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property includes 39 buildings primarily along Washington Street and 14th Street in Hoboken, New Jersey.</w:t>
      </w:r>
    </w:p>
    <w:p>
      <w:pPr>
        <w:spacing w:after="0" w:line="1" w:lineRule="exact"/>
        <w:rPr>
          <w:rFonts w:ascii="Arial" w:cs="Arial" w:eastAsia="Arial" w:hAnsi="Arial"/>
          <w:sz w:val="14"/>
          <w:szCs w:val="14"/>
          <w:color w:val="auto"/>
        </w:rPr>
      </w:pPr>
    </w:p>
    <w:p>
      <w:pPr>
        <w:ind w:left="660" w:right="80" w:hanging="328"/>
        <w:spacing w:after="0" w:line="293" w:lineRule="auto"/>
        <w:tabs>
          <w:tab w:leader="none" w:pos="657"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87 unit residential building at Bala Cynwyd was delivered in late 2020 and is currently in the process of being leased-up for the first time. Consequently, these units are excluded from our total residential units and percentage leased statistics. If these units were included, our total residential units would be 2,869 and our percentage leased would be 93%.</w:t>
      </w:r>
    </w:p>
    <w:p>
      <w:pPr>
        <w:spacing w:after="0" w:line="200" w:lineRule="exact"/>
        <w:rPr>
          <w:sz w:val="20"/>
          <w:szCs w:val="20"/>
          <w:color w:val="auto"/>
        </w:rPr>
      </w:pPr>
    </w:p>
    <w:p>
      <w:pPr>
        <w:spacing w:after="0" w:line="2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our current proceedings will not have a material adverse effect on our financial condition, liquidity or results of operations. See Note 7 to the Consolidated Financial Statements for further discussions.</w:t>
      </w:r>
    </w:p>
    <w:p>
      <w:pPr>
        <w:spacing w:after="0" w:line="3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5. MARKET FOR OUR COMMON EQUITY AND RELATED SHAREHOLDER MATTERS AND ISSUER PURCHASES OF EQUITY SECURITIES</w:t>
      </w:r>
    </w:p>
    <w:p>
      <w:pPr>
        <w:spacing w:after="0" w:line="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common shares trade on the New York Stock Exchange under the symbol “FRT.” Listed below are the high and low sales prices of our common shares as reported on the New York Stock Exchange and the dividends declared for each of the periods indicated.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Price Per Share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54"/>
        </w:trPr>
        <w:tc>
          <w:tcPr>
            <w:tcW w:w="70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vMerge w:val="restart"/>
          </w:tcPr>
          <w:p>
            <w:pPr>
              <w:jc w:val="center"/>
              <w:ind w:right="135"/>
              <w:spacing w:after="0" w:line="122" w:lineRule="exact"/>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48"/>
        </w:trPr>
        <w:tc>
          <w:tcPr>
            <w:tcW w:w="7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4"/>
                <w:szCs w:val="4"/>
                <w:color w:val="auto"/>
              </w:rPr>
            </w:pPr>
          </w:p>
        </w:tc>
        <w:tc>
          <w:tcPr>
            <w:tcW w:w="8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1"/>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97.00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67.01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105.49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64.11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137.14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126.11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139.29</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115.09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On February 8, 2021, there were 2,307 holders of record of our common shares.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53 consecutive years. The impact of COVID-19 on our cash flow may impact our ability to pay dividends at the current rate, at an increased rate, and in the current format or at all.</w:t>
      </w:r>
    </w:p>
    <w:p>
      <w:pPr>
        <w:spacing w:after="0" w:line="13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total annual dividends paid per common share for 2020 and 2019 were $4.21 per share and $4.11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2021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income tax status of distributions per share paid to common shareholders:</w:t>
      </w:r>
    </w:p>
    <w:p>
      <w:pPr>
        <w:spacing w:after="0" w:line="355"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Year Ended</w:t>
      </w: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13335</wp:posOffset>
            </wp:positionV>
            <wp:extent cx="17487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5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Ordinary dividend</w:t>
            </w:r>
          </w:p>
        </w:tc>
        <w:tc>
          <w:tcPr>
            <w:tcW w:w="42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3.452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Return of capital</w:t>
            </w:r>
          </w:p>
        </w:tc>
        <w:tc>
          <w:tcPr>
            <w:tcW w:w="4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0.758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Ordinary dividend eligible for 15% rate</w:t>
            </w:r>
          </w:p>
        </w:tc>
        <w:tc>
          <w:tcPr>
            <w:tcW w:w="4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4.210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4240" w:type="dxa"/>
            <w:vAlign w:val="bottom"/>
            <w:vMerge w:val="restart"/>
          </w:tcPr>
          <w:p>
            <w:pPr>
              <w:jc w:val="right"/>
              <w:ind w:right="2639"/>
              <w:spacing w:after="0"/>
              <w:rPr>
                <w:sz w:val="20"/>
                <w:szCs w:val="20"/>
                <w:color w:val="auto"/>
              </w:rPr>
            </w:pPr>
            <w:r>
              <w:rPr>
                <w:rFonts w:ascii="Arial" w:cs="Arial" w:eastAsia="Arial" w:hAnsi="Arial"/>
                <w:sz w:val="18"/>
                <w:szCs w:val="18"/>
                <w:color w:val="auto"/>
              </w:rPr>
              <w:t>28</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20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Distributions on our 5.417% Series 1 Cumulative Convertible Preferred Shares were paid at the rate of $1.354 per share per annum commencing on the issuance date of March 8, 2007. Distributions on our 5.0% Series C Cumulative Redeemable Preferred Shares were paid at the rate of $1.250 per depositary share per annum, commencing on the issuance date of September 29, 2017. We do not believe that the preferential rights available to the holders of interest in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 Return Performance</w:t>
      </w:r>
    </w:p>
    <w:p>
      <w:pPr>
        <w:spacing w:after="0" w:line="10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following performance graph compares the cumulative total shareholder return on Federal Realty's common shares with the S&amp;P 500 Index and the index of equity real estate investment trusts prepared by the National Association of Real Estate Investment Trusts ("NAREIT") for the five fiscal years commencing December 31, 2015, and ending December 31, 2020, assuming an investment of $100 and the reinvestment of all dividends into additional common shares during the holding period. Equity real estate investment trusts are defined as those that derive more than 75% of their income from equity investments in real estate assets. The FTSE NAREIT Equity REIT Total Return Index includes all tax qualified real estate investment trusts listed on the NYSE, NYSE MKT, or the NASDAQ National Market. Stock performance for the past five years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27940</wp:posOffset>
            </wp:positionV>
            <wp:extent cx="5846445" cy="39947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6445"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Shares</w:t>
      </w:r>
    </w:p>
    <w:p>
      <w:pPr>
        <w:spacing w:after="0" w:line="10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2020, we did not issue any common shares in connection with the redemption of operating partnership units. Any equity securities sold by us during 2020 that were not registered have been previously reported in a Quarterly Report on Form 10-Q.</w:t>
      </w:r>
    </w:p>
    <w:p>
      <w:pPr>
        <w:spacing w:after="0" w:line="194" w:lineRule="exact"/>
        <w:rPr>
          <w:sz w:val="20"/>
          <w:szCs w:val="20"/>
          <w:color w:val="auto"/>
        </w:rPr>
      </w:pPr>
    </w:p>
    <w:p>
      <w:pPr>
        <w:ind w:right="5260"/>
        <w:spacing w:after="0" w:line="470" w:lineRule="auto"/>
        <w:rPr>
          <w:sz w:val="20"/>
          <w:szCs w:val="20"/>
          <w:color w:val="auto"/>
        </w:rPr>
      </w:pPr>
      <w:r>
        <w:rPr>
          <w:rFonts w:ascii="Arial" w:cs="Arial" w:eastAsia="Arial" w:hAnsi="Arial"/>
          <w:sz w:val="16"/>
          <w:szCs w:val="16"/>
          <w:b w:val="1"/>
          <w:bCs w:val="1"/>
          <w:color w:val="auto"/>
        </w:rPr>
        <w:t xml:space="preserve">Purchases of Equity Securities by the Issuer and Affiliated Purchasers </w:t>
      </w:r>
      <w:r>
        <w:rPr>
          <w:rFonts w:ascii="Arial" w:cs="Arial" w:eastAsia="Arial" w:hAnsi="Arial"/>
          <w:sz w:val="16"/>
          <w:szCs w:val="16"/>
          <w:color w:val="auto"/>
        </w:rPr>
        <w:t>During 2020, 2,100 restricted common shares were forfeited by former employees.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section generally discusses 2020 and 2019 items and year-to-year comparisons between 2020 and 2019. Discussions of 2018 items and year-to-year comparisons between 2019 and 2018 that are not included in this Form 10-K can be found in “Management’s Discussion and Analysis of Financial Condition and Results of Operations” in Part II, Item 7 of our Annual Report on Form 10-K for the fiscal year ended December 31, 2019 filed with the Securities and Exchange Commission on February 10,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December 31, 2020, we owned or had a majority interest in community and neighborhood shopping centers and mixed-use properties which are operated as 101 predominantly retail real estate projects comprising approximately 23.4 million square feet. In total, the real estate projects were 92.2% leased and 90.2% occupied at December 31, 2020. We have paid quarterly dividends to our shareholders continuously since our founding in 1962 and have increased our dividends per common share for 53 consecutive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Information</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includes select financial information that is helpful in understanding the trends in financial condition and the results of operations discussed throughout this Item 7. and “Item 8. Financial Statements and Supplementary Data.”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center"/>
              <w:ind w:left="553"/>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196"/>
        </w:trPr>
        <w:tc>
          <w:tcPr>
            <w:tcW w:w="72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2019</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196"/>
        </w:trPr>
        <w:tc>
          <w:tcPr>
            <w:tcW w:w="7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20" w:type="dxa"/>
            <w:vAlign w:val="bottom"/>
            <w:gridSpan w:val="5"/>
          </w:tcPr>
          <w:p>
            <w:pPr>
              <w:jc w:val="center"/>
              <w:ind w:right="232"/>
              <w:spacing w:after="0"/>
              <w:rPr>
                <w:sz w:val="20"/>
                <w:szCs w:val="20"/>
                <w:color w:val="auto"/>
              </w:rPr>
            </w:pPr>
            <w:r>
              <w:rPr>
                <w:rFonts w:ascii="Arial" w:cs="Arial" w:eastAsia="Arial" w:hAnsi="Arial"/>
                <w:sz w:val="14"/>
                <w:szCs w:val="14"/>
                <w:b w:val="1"/>
                <w:bCs w:val="1"/>
                <w:color w:val="auto"/>
                <w:w w:val="91"/>
              </w:rPr>
              <w:t>(In thousands, except per share data and ratios)</w:t>
            </w:r>
          </w:p>
        </w:tc>
      </w:tr>
      <w:tr>
        <w:trPr>
          <w:trHeight w:val="23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Data:</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Rental income</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832,171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932,738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912,287</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operating income(1)</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545,332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637,030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627,566</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Gain on sale of real estate, net of tax</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98,117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116,393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11,915</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289,524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470,911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361,636</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123,664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345,824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233,865</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369,929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461,919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516,688</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(368,383)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(316,532)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(192,247)</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661,736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(100,105)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(241,309)</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Earnings per common share, diluted: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available to common shareholders</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4.14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Funds from operations available to common shareholders (2)</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333,849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465,819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461,777</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from operations available for common shareholders, per diluted share (2)</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6.17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EBITDAre(3)</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501,813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599,567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595,558</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EBITDAre to combined fixed charges and preferred share dividends(3)(4)</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2.7x</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4.2x</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4.2x</w:t>
            </w:r>
          </w:p>
        </w:tc>
      </w:tr>
      <w:tr>
        <w:trPr>
          <w:trHeight w:val="399"/>
        </w:trPr>
        <w:tc>
          <w:tcPr>
            <w:tcW w:w="7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96"/>
        </w:trPr>
        <w:tc>
          <w:tcPr>
            <w:tcW w:w="7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2019</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196"/>
        </w:trPr>
        <w:tc>
          <w:tcPr>
            <w:tcW w:w="7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(In thousands)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Real estate, at cost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8,582,870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8,298,132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7,819,472</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7,607,624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6,794,992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6,289,644</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4,291,375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3,356,594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3,229,204</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2,548,747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2,636,132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2,467,330</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Number of common shares outstanding</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76,727</w:t>
            </w:r>
          </w:p>
        </w:tc>
        <w:tc>
          <w:tcPr>
            <w:tcW w:w="2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75,541</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74,250</w:t>
            </w:r>
          </w:p>
        </w:tc>
      </w:tr>
    </w:tbl>
    <w:p>
      <w:pPr>
        <w:spacing w:after="0" w:line="147"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Property operating income is a non-GAAP measure. See "Results of Operations" in this Item 7. for further discussion.</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Funds from operations "FFO" is a supplemental non-GAAP measure. See "Liquidity and Capital Resources" in this Item 7. for further discussion.</w:t>
      </w:r>
    </w:p>
    <w:p>
      <w:pPr>
        <w:spacing w:after="0" w:line="101" w:lineRule="exact"/>
        <w:rPr>
          <w:rFonts w:ascii="Arial" w:cs="Arial" w:eastAsia="Arial" w:hAnsi="Arial"/>
          <w:sz w:val="17"/>
          <w:szCs w:val="17"/>
          <w:color w:val="auto"/>
        </w:rPr>
      </w:pPr>
    </w:p>
    <w:p>
      <w:pPr>
        <w:ind w:left="340" w:right="20" w:hanging="332"/>
        <w:spacing w:after="0" w:line="272" w:lineRule="auto"/>
        <w:tabs>
          <w:tab w:leader="none" w:pos="271" w:val="left"/>
        </w:tabs>
        <w:numPr>
          <w:ilvl w:val="0"/>
          <w:numId w:val="27"/>
        </w:numPr>
        <w:rPr>
          <w:rFonts w:ascii="Arial" w:cs="Arial" w:eastAsia="Arial" w:hAnsi="Arial"/>
          <w:sz w:val="17"/>
          <w:szCs w:val="17"/>
          <w:color w:val="auto"/>
        </w:rPr>
      </w:pPr>
      <w:r>
        <w:rPr>
          <w:rFonts w:ascii="Arial" w:cs="Arial" w:eastAsia="Arial" w:hAnsi="Arial"/>
          <w:sz w:val="17"/>
          <w:szCs w:val="17"/>
          <w:color w:val="auto"/>
        </w:rPr>
        <w:t>EBITDA for Real Estate ("EBITDAre") is a non-GAAP measure that NAREIT defines as: net income computed in accordance with GAAP plus net interest expense, income tax expense, depreciation and amortization, gain or loss on sale of real estate, impairments of real estate,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to EBITDAre for the periods presented is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187"/>
        </w:trPr>
        <w:tc>
          <w:tcPr>
            <w:tcW w:w="7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1"/>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249,026</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136,289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109,623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110,154</w:t>
            </w: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Early extinguishment of debt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255,027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239,758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244,245</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(13,560)</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57,218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of EBITDAre of unconsolidated affiliates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r>
      <w:tr>
        <w:trPr>
          <w:trHeight w:val="224"/>
        </w:trPr>
        <w:tc>
          <w:tcPr>
            <w:tcW w:w="7040" w:type="dxa"/>
            <w:vAlign w:val="bottom"/>
          </w:tcPr>
          <w:p>
            <w:pPr>
              <w:ind w:left="20"/>
              <w:spacing w:after="0"/>
              <w:rPr>
                <w:sz w:val="20"/>
                <w:szCs w:val="20"/>
                <w:color w:val="auto"/>
              </w:rPr>
            </w:pPr>
            <w:r>
              <w:rPr>
                <w:rFonts w:ascii="Arial" w:cs="Arial" w:eastAsia="Arial" w:hAnsi="Arial"/>
                <w:sz w:val="18"/>
                <w:szCs w:val="18"/>
                <w:color w:val="auto"/>
              </w:rPr>
              <w:t>EBITDAre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501,813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599,567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595,558</w:t>
            </w:r>
          </w:p>
        </w:tc>
      </w:tr>
    </w:tbl>
    <w:p>
      <w:pPr>
        <w:spacing w:after="0" w:line="147" w:lineRule="exact"/>
        <w:rPr>
          <w:sz w:val="20"/>
          <w:szCs w:val="20"/>
          <w:color w:val="auto"/>
        </w:rPr>
      </w:pPr>
    </w:p>
    <w:p>
      <w:pPr>
        <w:ind w:left="340" w:right="320" w:hanging="332"/>
        <w:spacing w:after="0" w:line="257" w:lineRule="auto"/>
        <w:tabs>
          <w:tab w:leader="none" w:pos="2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premiums and debt costs, costs related to the early extinguishment of debt, and the portion of rent expense representing an interest factor. Excluding the $11.2 million early extinguishment of debt charge from fixed charges in 2020, the ratio of EBITDAre to combined fixed charges and preferred share dividends is 2.9x. Excluding the $11.9 million charge related to the buyout of the Kmart lease at Assembly Square Marketplace in 2019, our ratio of EBITDAre to combined fixed charges and preferred share dividends remained 4.2x.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9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continue to monitor and address risks related to the COVID-19 pandemic. In March 2020, the World Health Organization characterized COVID-19 as a global pandemic and in response to the rapid spread of the virus, state, and local governments issued orders and recommendations to attempt to reduce the further spread of the disease. Such orders included shelter-in-place orders, travel restrictions, limitations on public gatherings, school closures, social distancing requirements and the closure of all but critical and essential businesses and services. These orders required closure of all of our corporate offices as non-essential businesses. Except for those employees who were critical to providing the necessary day-to-day property management functions required to keep our properties open and operating for essential businesses such as grocery stores and drug stores, and a few employees who were needed to carry out critical corporate functions, we transitioned our entire workforce to remote work in March 2020. Although some of our corporate offices have reopened with capacity limitations, approximately 75% of our workforce continues to work remotely on a regular basis. We have not laid off, furloughed, or terminated any employees nor have we modified the compensation of any or our employees as a result of COVID-19, and the transition to a largely remote workforce has not had any material adverse impact on our financial reporting systems, our internal controls, or disclosure controls and procedures.</w:t>
      </w:r>
    </w:p>
    <w:p>
      <w:pPr>
        <w:spacing w:after="0" w:line="11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government imposed restrictions also required a significant number of tenants who do business in our properties, but were considered non-essential, to close their operations or to significantly limit the amount of business they are able to conduct in their stores. These closures and restrictions have impacted the tenants’ ability to timely pay rent as required under our leases and also caused many tenants to close their business permanently. As a result, our cash flow and results of operations in 2020 were materially adversely impacted and our vacancy increased above historical levels. Although virtually all of our leases required the tenants to pay rent even while they were not operating, we entered into numerous agreements to abate, defer and/or restructure tenant rent payments for varying periods of time, all with the objective of collecting as much cash as reasonably possible and maintaining occupancy to the maximum extent. We believe those actions will position many of our tenants to be able to return to payment of contractual rent as soon as possible after the impacts from the pandemic have subsided.</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Given the impact to our cash flow caused by tenants not timely paying contractual rent, we took actions to improve our financial position and maximize our liquidity. Those actions included raising $1.1 billion in May 2020 through a </w:t>
      </w:r>
      <w:r>
        <w:rPr>
          <w:rFonts w:ascii="Arial" w:cs="Arial" w:eastAsia="Arial" w:hAnsi="Arial"/>
          <w:sz w:val="17"/>
          <w:szCs w:val="17"/>
          <w:color w:val="212529"/>
        </w:rPr>
        <w:t>$400.0 million</w:t>
      </w:r>
      <w:r>
        <w:rPr>
          <w:rFonts w:ascii="Arial" w:cs="Arial" w:eastAsia="Arial" w:hAnsi="Arial"/>
          <w:sz w:val="17"/>
          <w:szCs w:val="17"/>
          <w:color w:val="auto"/>
        </w:rPr>
        <w:t xml:space="preserve"> term loan and the issuance of </w:t>
      </w:r>
      <w:r>
        <w:rPr>
          <w:rFonts w:ascii="Arial" w:cs="Arial" w:eastAsia="Arial" w:hAnsi="Arial"/>
          <w:sz w:val="17"/>
          <w:szCs w:val="17"/>
          <w:color w:val="212529"/>
        </w:rPr>
        <w:t>$700.0 million</w:t>
      </w:r>
      <w:r>
        <w:rPr>
          <w:rFonts w:ascii="Arial" w:cs="Arial" w:eastAsia="Arial" w:hAnsi="Arial"/>
          <w:sz w:val="17"/>
          <w:szCs w:val="17"/>
          <w:color w:val="auto"/>
        </w:rPr>
        <w:t xml:space="preserve"> of senior unsecured notes, amending the covenants on our revolving credit facility to provide us operating flexibility during the expected period during which our cash flow will be impacted, and raising an additional </w:t>
      </w:r>
      <w:r>
        <w:rPr>
          <w:rFonts w:ascii="Arial" w:cs="Arial" w:eastAsia="Arial" w:hAnsi="Arial"/>
          <w:sz w:val="17"/>
          <w:szCs w:val="17"/>
          <w:color w:val="212529"/>
        </w:rPr>
        <w:t>$400.0 million</w:t>
      </w:r>
      <w:r>
        <w:rPr>
          <w:rFonts w:ascii="Arial" w:cs="Arial" w:eastAsia="Arial" w:hAnsi="Arial"/>
          <w:sz w:val="17"/>
          <w:szCs w:val="17"/>
          <w:color w:val="auto"/>
        </w:rPr>
        <w:t xml:space="preserve"> of senior unsecured notes in October 2020. Throughout the last three quarters of 2020, we maintained levels of cash significantly in excess of the cash balances we have historically maintained which has adversely impacted our financial results; however, we believe that such action was prudent to position us with what we expect to be sufficient liquidity to allow us to continue fully operating until our operating revenues return to more typical levels. </w:t>
      </w:r>
      <w:r>
        <w:rPr>
          <w:rFonts w:ascii="Arial" w:cs="Arial" w:eastAsia="Arial" w:hAnsi="Arial"/>
          <w:sz w:val="17"/>
          <w:szCs w:val="17"/>
          <w:color w:val="212529"/>
        </w:rPr>
        <w:t>As of December 31, 2020, there is no outstanding balance on our $1.0 billion revolving</w:t>
      </w:r>
      <w:r>
        <w:rPr>
          <w:rFonts w:ascii="Arial" w:cs="Arial" w:eastAsia="Arial" w:hAnsi="Arial"/>
          <w:sz w:val="17"/>
          <w:szCs w:val="17"/>
          <w:color w:val="auto"/>
        </w:rPr>
        <w:t xml:space="preserve"> </w:t>
      </w:r>
      <w:r>
        <w:rPr>
          <w:rFonts w:ascii="Arial" w:cs="Arial" w:eastAsia="Arial" w:hAnsi="Arial"/>
          <w:sz w:val="17"/>
          <w:szCs w:val="17"/>
          <w:color w:val="212529"/>
        </w:rPr>
        <w:t>credit facility, and we have cash and cash equivalents of $798.3 million.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Given the adverse impact on our cash flow, we did not commence any significant new capital projects during 2020 and we stopped, at least temporarily, portions of our capital spend that could be stopped. We did, however, continue investing in a number of our larger projects which were in the middle of construction and could not be stopped without causing material adverse financial impact to the company.</w:t>
      </w:r>
    </w:p>
    <w:p>
      <w:pPr>
        <w:spacing w:after="0" w:line="44" w:lineRule="exact"/>
        <w:rPr>
          <w:sz w:val="20"/>
          <w:szCs w:val="20"/>
          <w:color w:val="auto"/>
        </w:rPr>
      </w:pPr>
    </w:p>
    <w:p>
      <w:pPr>
        <w:ind w:right="4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Additional discussion of the impact of COVID-19 on our results in 2020 and long-term operations can be found throughout Item 7 and </w:t>
      </w:r>
      <w:hyperlink w:anchor="page8">
        <w:r>
          <w:rPr>
            <w:rFonts w:ascii="Arial" w:cs="Arial" w:eastAsia="Arial" w:hAnsi="Arial"/>
            <w:sz w:val="18"/>
            <w:szCs w:val="18"/>
            <w:u w:val="single" w:color="auto"/>
            <w:color w:val="0000FF"/>
          </w:rPr>
          <w:t>Item 1A</w:t>
        </w:r>
      </w:hyperlink>
      <w:r>
        <w:rPr>
          <w:rFonts w:ascii="Arial" w:cs="Arial" w:eastAsia="Arial" w:hAnsi="Arial"/>
          <w:sz w:val="18"/>
          <w:szCs w:val="18"/>
          <w:color w:val="auto"/>
        </w:rPr>
        <w:t>. 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w:t>
      </w:r>
    </w:p>
    <w:p>
      <w:pPr>
        <w:spacing w:after="0" w:line="8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actively endeavor to operate and develop our properties in a sustainable, responsible, and effective manner with the objective being to drive long-term growth and aid in value creation for our shareholders, tenants, employees, and local communities.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 xml:space="preserve">Our development activities have been heavily focused on owning, developing and operating properties that are certified under the U.S. Green Building Council’s® (“USGBC”) Leadership in Energy and Environmental Design™ (LEED®) rating system which serves as a third-party verification that a building or community was designed and built to mitigate its environmental footprint. We currently have 15 LEED certified buildings and our Pike &amp; Rose project has achieved LEED for Neighborhood Development Stage 3 Gold certification. The COVID-19 pandemic has also increased our focus on owning, developing and operating healthier buildings. To that end, our new corporate headquarters space at our 909 Rose Avenue building has earned a Fitwel certification developed by the </w:t>
      </w:r>
      <w:r>
        <w:rPr>
          <w:rFonts w:ascii="Arial" w:cs="Arial" w:eastAsia="Arial" w:hAnsi="Arial"/>
          <w:sz w:val="17"/>
          <w:szCs w:val="17"/>
          <w:color w:val="333333"/>
        </w:rPr>
        <w:t>U.S. Centers for Disease Control and Prevention (CDC) together with the General Services Administration (GSA). This</w:t>
      </w:r>
      <w:r>
        <w:rPr>
          <w:rFonts w:ascii="Arial" w:cs="Arial" w:eastAsia="Arial" w:hAnsi="Arial"/>
          <w:sz w:val="17"/>
          <w:szCs w:val="17"/>
          <w:color w:val="auto"/>
        </w:rPr>
        <w:t xml:space="preserve"> </w:t>
      </w:r>
      <w:r>
        <w:rPr>
          <w:rFonts w:ascii="Arial" w:cs="Arial" w:eastAsia="Arial" w:hAnsi="Arial"/>
          <w:sz w:val="17"/>
          <w:szCs w:val="17"/>
          <w:color w:val="333333"/>
        </w:rPr>
        <w:t xml:space="preserve">certification assesses a building’s impact on seven distinct categories related to overall health and well-being. These development efforts earned us the Sector Leader Development designation in 2020 from the </w:t>
      </w:r>
      <w:r>
        <w:rPr>
          <w:rFonts w:ascii="Arial" w:cs="Arial" w:eastAsia="Arial" w:hAnsi="Arial"/>
          <w:sz w:val="17"/>
          <w:szCs w:val="17"/>
          <w:color w:val="000000"/>
        </w:rPr>
        <w:t>Global Real Estate Environmental Sustainability Benchmark (“GRESB”) and enabled us to issue</w:t>
      </w:r>
      <w:r>
        <w:rPr>
          <w:rFonts w:ascii="Arial" w:cs="Arial" w:eastAsia="Arial" w:hAnsi="Arial"/>
          <w:sz w:val="17"/>
          <w:szCs w:val="17"/>
          <w:color w:val="333333"/>
        </w:rPr>
        <w:t xml:space="preserve"> </w:t>
      </w:r>
      <w:r>
        <w:rPr>
          <w:rFonts w:ascii="Arial" w:cs="Arial" w:eastAsia="Arial" w:hAnsi="Arial"/>
          <w:sz w:val="17"/>
          <w:szCs w:val="17"/>
          <w:color w:val="000000"/>
        </w:rPr>
        <w:t>our first green bond in 2020, a $400.0 million offering that will be supported by certain of our LEED gold and silver certified buildings. See Note 5 to the consolidated financial statements.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also committed to implementing sustainable business practices at our operating properties that focus on energy efficiency, water conservation and waste minimization. As an example, under our solar program that we started in 2012, we have installed on-site solar systems at 25 of our properties with a capacity of over 13 MW and we anticipate adding solar installations at several more of our properties over the next few years to further our ability to source energy from renewable sources. Our current capacity placed us in the top 5 among real estate companies for onsite capacity in the Solar Energy Industry Association’s annual Solar Means Business Report. We are also actively upgrading lighting at our properties with energy efficient LED lighting and installing electric vehicle car charging stations in numerous properties throughout our portfolio. Currently, we are evaluating the risks presented by climate change to help us better understand potential actions we could take to help mitigate our portfolio’s environmental footprint while protecting our long-term investments.</w:t>
      </w:r>
    </w:p>
    <w:p>
      <w:pPr>
        <w:spacing w:after="0" w:line="14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are also highly committed to our employees and fostering a work environment that promotes growth, development and personal well-being. Our four core values are accountability, excellence, innovation and integrity and we seek to attract and retain talented professionals who embrace those values. All of our efforts with respect to corporate responsibility are overseen by our Board of Trustees.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12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Our significant accounting policies are more fully described in Note 2 to the consolidated financial statements; however, the most critical accounting policies, which involve the use of estimates and assumptions as to future uncertainties and, therefore, may result in actual amounts that differ from estimates, are as follows: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Accounts Receivable</w:t>
      </w:r>
    </w:p>
    <w:p>
      <w:pPr>
        <w:spacing w:after="0" w:line="10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leases with our tenants are classified as operating leases. When collection of substantially all lease payments during the lease term is considered probable, the lease qualifies for accrual accounting. Lease payments are recognized on a straight-line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basis from the point in time when the tenant controls the space through the term of the related lease. Variable lease payments relating to percentage rent are recognized at the end of the lease year or earlier if we have determined the required sales level is achieved. Real estate tax and other cost reimbursements are recognized on an accrual basis over the periods in which the related expenditures are incurred. Many of our leases contain tenant options that enable the tenant to extend the term of the lease at expiration at pre-established rental rates that often include fixed rent increases, consumer price index adjustments or other market rate adjustments from the prior base rent. For a tenant to terminate its lease agreement prior to the end of the agreed term, we may require that they pay a fee to cancel the lease agreement. Lease termination fees are generally recognized on the termination date if the tenant has relinquished control of the space. When a lease is terminated early but the tenant continues to control the space under a modified lease agreement, the lease termination fee is generally recognized evenly over the remaining term of the modified lease agreement. Lease concessions (unrelated to the COVID-19 pandemic) are evaluated to determine whether the concession represents a modification of the original lease contract. Modifications generally result in a reassessment of the lease term and lease classification, and remeasurement of lease payments received. Remeasured lease payments are recognized on a straight-line basis over the remaining term of the modified lease contract.</w:t>
      </w:r>
    </w:p>
    <w:p>
      <w:pPr>
        <w:spacing w:after="0" w:line="11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April 2020, the Financial Accounting Standards Board ("FASB") issued interpretive guidance relating to the accounting for lease concessions provided as a result of the COVID-19 pandemic that allows entities to treat the concession as if it was a part of the existing contract instead of applying lease modification accounting. This guidance is only applicable to the COVID-19 pandemic related lease concessions that do not result in a substantial increase in the rights of the lessor or the obligations of the lessee. We have elected this option relating to qualifying rent deferral and rent abatement agreements. For qualifying lease modifications with rent deferrals, this results in no change to our revenue recognition but an increase in the lease receivable balance until the deferred rent has been repaid. For qualifying lease modifications that include rent abatement concessions, this results in a direct reduction of rental income in the current period. As of December 31, 2020, we have entered into rent deferral agreements and rent abatement agreements related to the COVID-19 pandemic representing approximately $36 million and $35 million, respectively, of rent otherwise owed during the year ended December 31, 2020, and continue negotiations with other tenants.</w:t>
      </w:r>
    </w:p>
    <w:p>
      <w:pPr>
        <w:spacing w:after="0" w:line="12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For example, in the event that our collectibility determinations were not accurate and we were required to write off additional receivables equaling 1% of rental income, our rental income and net income would decrease by $8.3 million. If leases currently classified as not probable are subsequently changed to probable, any lease receivables (including straight-line rent receivables) are re-instated with a corresponding increase to rental income.</w:t>
      </w:r>
    </w:p>
    <w:p>
      <w:pPr>
        <w:spacing w:after="0" w:line="11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Since March 2020, federal, state, and local governments have taken various actions to mitigate the spread of COVID-19. This includes initially ordering closures of nonessential business and ordering residents to generally stay at home, subsequent phased re-openings, and during the fourth quarter of 2020, additional closures and capacity limitations as infection levels increased in certain areas. These actions, along with the general concern over the spread of COVID-19, have resulted in many of our tenants temporarily or even permanently closing their businesses, and for some, it has impacted their ability to pay rent. As a result, we revised our collectibility assumptions for many of our tenants most significantly impacted by COVID-19. Accordingly, during the year ended December 31, 2020, we recognized collectibility related adjustments of $106.6 million. This includes changes in our collectibility assessments from probable to not probable, disputed rents, and any rent abatements directly related to COVID-19, as well as the write-off of $12.7 million of straight-line rent receivables primarily related to tenants changed to a cash basis of revenue recognition during the year ended December 31, 2020. As of December 31, 2020, the revenue from approximately 35% of our tenants (based on total number of commercial leases) is being recognized on a cash basis. As of December 31, 2020 and 2019, our straight-line rent receivables balance was $103.3 million and $100.3 million, respectively, and is included in "accounts and notes receivable, net" on our consolidated balance sheet.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 recognition policies</w:t>
      </w:r>
    </w:p>
    <w:p>
      <w:pPr>
        <w:spacing w:after="0" w:line="10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When we enter into a transaction to sell a property or a portion of a property, we evaluate the recognition of the sale under ASC 610-20, "Other Income - Gains and Losses from the Derecognition of Nonfinancial Assets." In accordance with ASC 610-20, we apply the guidance in ASC 606, "Revenue from Contracts with Customers,"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variable consideration recognized in order to mitigate this risk. The estimation of variable consideration requires us to make assumptions and apply significant judgment.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us as well as the industry as a whole. We capitalize real estate investments and depreciate them on a straight-line basis in accordance with GAAP and consistent with industry standards based on our best estimates of the assets’ physical and economic useful lives. We periodically review the estimated lives of our assets and implement changes, as necessary, to these estimates and, therefore, to our depreciation rates. These reviews may take into account such factors as the historical retirement and replacement of our assets, expected redevelopments, and general economic and real estate factors. Certain events, such as unforeseen competition or changes in customer shopping habits, could substantially alter our assumptions regarding our ability to realize the expected return on investment in the property and therefore reduce the economic life of the asset and affect the amount of depreciation expense to be charged against both the current and future revenues. These assessments have a direct impact on our net income. The longer the economic useful life, the lower the depreciation expense will be for that asset in a fiscal period, which in turn will increase our net income. Similarly, having a shorter economic useful life would increase the depreciation for a fiscal period and decrease our net income.</w:t>
      </w:r>
    </w:p>
    <w:p>
      <w:pPr>
        <w:spacing w:after="0" w:line="12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Land, buildings and real estate under development are recorded at cost. We calculate depreciation using the straight-line method with useful lives ranging generally from 35 years to a maximum of 50 years on buildings and major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2 to 20 years.</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Capitalized costs associated with leases are depreciated or amortized over the base term of the lease. Unamortized leasing costs are charged to expense if the applicable tenant vacates before the expiration of its lease. Undepreciated tenant work is written-off if the applicable tenant vacates and the tenant work is replaced or has no future value. Additionally, we make estimates as to the probability of certain development and redevelopment projects being completed. If we determine the redevelopment is no longer probable of completion, we immediately expense all capitalized costs which are not recoverable.</w:t>
      </w:r>
    </w:p>
    <w:p>
      <w:pPr>
        <w:spacing w:after="0" w:line="13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1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Certain external and internal costs directly related to the development, redevelopment and leasing of real estate, including pre-construction costs, real estate taxes, insurance, and construction costs and salaries and related costs of personnel directly involved, are capitalized. We capitalized external and internal costs related to both development and redevelopment activities of $404 million and $9 million, respectively, for 2020 and $352 million and $9 million, respectively, for 2019. We capitalized external and internal costs related to other property improvements of $64 million and $3 million, respectively, for 2020 and $80 million and $3 million, respectively, for 2019. We capitalized external and internal costs related to leasing activities of $11 million and $2 million, respectively, for 2020 and $24 million and $2 million, respectively, for 2019. The amount of capitalized internal costs for salaries and related benefits for development and redevelopment activities, other property improvements, and leasing activities were $9 million, $3 million, and $2 million, respectively, for 2020 and $8 million, $3 million, and $2 million, respectively, for 2019. Total capitalized costs were $494 million for 2020 and $471 million for 2019,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Acquisitions</w:t>
      </w:r>
    </w:p>
    <w:p>
      <w:pPr>
        <w:spacing w:after="0" w:line="9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Upon acquisition of operating real estate properties, we estimate the fair value of assets and liabilities acquired including land, building, improvements, leasing costs, intangibles such as in-place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in-place leases is amortized over the related lease term and reflected as rental income in the statement of operations. We consider qualitative and quantitative factors in evaluating the likelihood of a tenant exercising a below market renewal option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(VIEs) and Consolidation</w:t>
      </w:r>
    </w:p>
    <w:p>
      <w:pPr>
        <w:spacing w:after="0" w:line="10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17 entities that meet the criteria of a VIE and are consolidated. Net real estate assets related to VIEs included in our consolidated balance were approximately $1.4 billion and $1.5 billion as of December 31, 2020 and 2019, respectively, and mortgage payables related to VIEs included in our consolidated balance sheets were approximately $413.7 million and $469.2 million, as of December 31, 2020 and 2019, respectively. In addition, we hold equity method investments in two hotel joint ventures and one shopping center which are considered variable interests in a VIE as of December 31, 2020. On January 4, 2021, we acquired our partner's interest in the Pike &amp; Rose hotel joint venture. See Note 15 to the consolidated financial statements for additional details of this transaction.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be significant to the VIE. The determination of the power to direct the activities that most significantly impact economic performance requires judgment and is impacted by numerous factors including the purpose of the VIE, contractual rights and obligations of variable interest holders, and mechanisms for the resolution of disputes among the variable interest holders.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and Impairment</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1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0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Any difference between our estimate of a potential loss and the actual outcome would result in an increase or decrease to net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Property Acquisitions, Dispositions, and Impairment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Date Acquired</w:t>
            </w:r>
          </w:p>
        </w:tc>
        <w:tc>
          <w:tcPr>
            <w:tcW w:w="3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2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City/State</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Gross Leasable</w:t>
            </w:r>
          </w:p>
        </w:tc>
        <w:tc>
          <w:tcPr>
            <w:tcW w:w="160" w:type="dxa"/>
            <w:vAlign w:val="bottom"/>
          </w:tcPr>
          <w:p>
            <w:pPr>
              <w:spacing w:after="0"/>
              <w:rPr>
                <w:sz w:val="16"/>
                <w:szCs w:val="16"/>
                <w:color w:val="auto"/>
              </w:rPr>
            </w:pPr>
          </w:p>
        </w:tc>
        <w:tc>
          <w:tcPr>
            <w:tcW w:w="1240" w:type="dxa"/>
            <w:vAlign w:val="bottom"/>
            <w:vMerge w:val="restart"/>
          </w:tcPr>
          <w:p>
            <w:pPr>
              <w:jc w:val="right"/>
              <w:ind w:right="77"/>
              <w:spacing w:after="0"/>
              <w:rPr>
                <w:sz w:val="20"/>
                <w:szCs w:val="20"/>
                <w:color w:val="auto"/>
              </w:rPr>
            </w:pPr>
            <w:r>
              <w:rPr>
                <w:rFonts w:ascii="Arial" w:cs="Arial" w:eastAsia="Arial" w:hAnsi="Arial"/>
                <w:sz w:val="16"/>
                <w:szCs w:val="16"/>
                <w:b w:val="1"/>
                <w:bCs w:val="1"/>
                <w:color w:val="auto"/>
                <w:w w:val="91"/>
              </w:rPr>
              <w:t>Purchase Price</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80" w:type="dxa"/>
            <w:vAlign w:val="bottom"/>
            <w:gridSpan w:val="2"/>
            <w:vMerge w:val="continue"/>
          </w:tcPr>
          <w:p>
            <w:pPr>
              <w:spacing w:after="0"/>
              <w:rPr>
                <w:sz w:val="18"/>
                <w:szCs w:val="18"/>
                <w:color w:val="auto"/>
              </w:rPr>
            </w:pPr>
          </w:p>
        </w:tc>
        <w:tc>
          <w:tcPr>
            <w:tcW w:w="3400" w:type="dxa"/>
            <w:vAlign w:val="bottom"/>
            <w:gridSpan w:val="2"/>
            <w:vMerge w:val="continue"/>
          </w:tcPr>
          <w:p>
            <w:pPr>
              <w:spacing w:after="0"/>
              <w:rPr>
                <w:sz w:val="18"/>
                <w:szCs w:val="18"/>
                <w:color w:val="auto"/>
              </w:rPr>
            </w:pPr>
          </w:p>
        </w:tc>
        <w:tc>
          <w:tcPr>
            <w:tcW w:w="2580" w:type="dxa"/>
            <w:vAlign w:val="bottom"/>
            <w:gridSpan w:val="2"/>
            <w:vMerge w:val="continue"/>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Area (GLA)</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square feet)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10, 2020</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Fairfax Junction</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Fairfax, Virginia</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February 12, 2020</w:t>
            </w: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Hoboken (2 mixed-use buildings)</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Hoboken, New Jersey</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12,000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14.3</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jc w:val="right"/>
              <w:ind w:right="205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60" w:right="100" w:hanging="252"/>
        <w:spacing w:after="0" w:line="271" w:lineRule="auto"/>
        <w:tabs>
          <w:tab w:leader="none" w:pos="27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property is adjacent to, and will be operated as part of the property acquired in 2019. The purchase price was paid with a combination of cash and the issuance of 163,322 downREIT operating partnership units. Approximately $0.5 million and $0.4 million of net assets acquired were allocated to other assets for "above market leases," and other liabilities for "below market leases," respectively.</w:t>
      </w:r>
    </w:p>
    <w:p>
      <w:pPr>
        <w:ind w:left="260" w:right="280" w:hanging="252"/>
        <w:spacing w:after="0" w:line="255" w:lineRule="auto"/>
        <w:tabs>
          <w:tab w:leader="none" w:pos="2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includes the assumption of $8.9 million of mortgage debt, and is in addition to the 37 buildings previously acquired in 2019, and was completed through the same joint venture. Less than $0.1 million and approximately $3.3 million of net assets acquired were allocated to other assets for "above market leases," and other liabilities for "below market leases," respectively.</w:t>
      </w:r>
    </w:p>
    <w:p>
      <w:pPr>
        <w:spacing w:after="0" w:line="6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September 1, 2020, the $60.6 million non-recourse mortgage loan on The Shops at Sunset Place matured. The mortgage was not repaid, and thus the lender declared the loan in default. We evaluated our long-term plans for the property, taking into account current market conditions and prospective development and redevelopment returns, as well as the impact of COVID-19 on the revenue prospects for the property, and concluded we did not expect to move forward with the planned redevelopment or repay the mortgage balance, and thus, did not expect to be long term holders of the asset. Given these expectations, we recorded an impairment charge of $57.2 million during the third quarter of 2020.</w:t>
      </w:r>
    </w:p>
    <w:p>
      <w:pPr>
        <w:spacing w:after="0" w:line="4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fair value estimate used to determine the impairment charge was determined by market comparable data and discounted cash flow analyses. The cash flows utilized in such analyses are comprised of unobservable inputs which include forecasted rental revenue and expenses based upon market conditions and future expectations. The capitalization rates and discount rates utilized in such analyses are based upon unobservable rates that we believe to be within a reasonable range of current market rates for the property. Based on these inputs, we have determined that the $57 million estimated valuation of the property is classified within Level 3 of the fair value hierarchy.</w:t>
      </w:r>
    </w:p>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31, 2020, we sold The Shops at Sunset Place for $65.5 million and repaid the mortgage loan. The resulting gain of $9.2 million is included in the cumulative 2020 gain of $98.1 million noted in the disposals below.</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year ended December 31, 2020, we sold three properties (including The Shops at Sunset Place discussed above) and one building for a total sales price of $186.1 million, which resulted in a gain of $98.1 million.</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year ended December 31, 2020, we closed on the sale of the remaining two condominium units at our Pike &amp; Rose property, receiving proceeds net of closing costs of $2.1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Significant Debt and Equity Transactions</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connection with the two buildings we acquired in Hoboken, New Jersey on February 12, 2020, we assumed two mortgage loans with a net face amount of $8.9 million and a fair value of $9.0 million. The mortgage loans bear interest at 4.00% and mature on July 27, 2027.</w:t>
      </w:r>
    </w:p>
    <w:p>
      <w:pPr>
        <w:spacing w:after="0" w:line="11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March 2020, in order to strengthen our financial position and balance sheet, to maximize our liquidity, and to provide maximum financial flexibility to continue our business initiatives as the effects of COVID-19 continue to evolve, we borrowed $990.0 million under our revolving credit facility, representing a draw-down of almost the entirety of our $1.0 billion revolving credit facility. This amount was subsequently repaid when we entered into a $400.0 million unsecured term loan on May 6, 2020 and issued $700.0 million of fixed rate unsecured senior notes on May 11, 2020.</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unsecured term loan matures on May 6, 2021, plus one twelve month extension at our option, and bears interest at LIBOR plus 135 basis points based on our current credit rating. Our net proceeds from this transaction after underwriting fees and other costs were $398.7 million.</w:t>
      </w:r>
    </w:p>
    <w:p>
      <w:pPr>
        <w:spacing w:after="0" w:line="9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$700.0 million of unsecured senior notes issued in May 2020 comprise a $300.0 million reopening of our 3.95% of senior notes maturing on January 15, 2024 and a $400.0 million issuance of 3.50% senior notes maturing on June 1, 2030. The 3.95% senior notes were offered at 103.257% of the principal amount with a yield to maturity of 2.944%, and have the same terms and are of the same series as the $300.0 million senior notes issued on December 9, 2013. The 3.50% senior notes were offered at 98.911% of the principal amount with a yield to maturity of 3.630%. Our net proceeds from these transactions after the net issuance premium, underwriting fees, and other costs were $700.1 million.</w:t>
      </w:r>
    </w:p>
    <w:p>
      <w:pPr>
        <w:spacing w:after="0" w:line="122"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On September 1, 2020, the $60.6 million non-recourse mortgage loan on The Shops at Sunset Place matured and was not repaid. The lender declared the loan in default until the non-recourse loan was repaid as part of the sale of the property on December 31, 2020. The default did not trigger a cross default with any other indebtedness. The repayment amount including accrued interest and fees, net of $4.5 million of escrows was $58.5 million.</w:t>
      </w:r>
    </w:p>
    <w:p>
      <w:pPr>
        <w:spacing w:after="0" w:line="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October 13, 2020, we issued $400.0 million of fixed rate senior unsecured notes that mature on February 15, 2026 and bear interest at 1.25%. The notes were offered at 99.339% of the principal amount with a yield to maturity of 1.379%. The net proceeds of the notes, or "green bonds," after issuance discount, underwriting fees, and other costs were approximately $394.2</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7" w:name="page38"/>
    <w:bookmarkEnd w:id="37"/>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million, and will be allocated to the financing and refinancing of recently completed and future eligible green projects, which includes (i) investments in acquisitions of buildings; (ii) building developments or redevelopments; (iii) renovations in existing buildings; and (iv) tenant improvement projects, in each case that have received, or are expected to receive, in the three years prior to the issuance of the notes or during the term of the notes, a LEED Silver, Gold, or Platinum certification (or environmentally equivalent successor standards). Net proceeds allocated to previously incurred costs associated with eligible green projects will be available for repayment of indebtedness.</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December 15, 2020, we repaid our $250.0 million 2.55% notes prior to the original maturity date of January 15, 2021 at par. The redemption price of $252.7 million included accrued but unpaid interest of $2.7 million.</w:t>
      </w:r>
    </w:p>
    <w:p>
      <w:pPr>
        <w:spacing w:after="0" w:line="116"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On December 17, 2020, we acquired one of our partner's preferred and common interests in the partnership that owns our Plaza El Segundo property for $7.3 million, bringing our ownership to approximately 78.2%.</w:t>
      </w:r>
    </w:p>
    <w:p>
      <w:pPr>
        <w:spacing w:after="0" w:line="11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On December 31, 2020, we repaid our $250.0 million 3.00% notes prior to the original maturity date of August 1, 2022. The redemption price of $263.5 million included a make-whole premium of $10.4 million and accrued but unpaid interest of $3.1 million. The "early extinguishment of debt" charge in 2020 of $11.2 million includes the make-whole premium and the write off of the unamortized discount and debt issuance fees.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On December 31, 2020, we also repaid the $3.6 million mortgage loan on 29th Place, at par, prior to its original maturity date.</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an at-the-market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year ended December 31, 2020, we sold 1,080,804 common shares at a weighted average price per share of $92.51 for net cash proceeds of $98.8 million including paying $1.0 million in commissions and $0.1 million in additional offering expenses related to the sales of these common shares. As of December 31, 2020, we had the capacity to issue up to $28.4 million in common shares under our ATM equity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Transactions</w:t>
      </w:r>
    </w:p>
    <w:p>
      <w:pPr>
        <w:spacing w:after="0" w:line="9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January 4, 2021, we acquired our partner's 20% interest in our joint venture arrangement related to the Pike &amp; Rose hotel for $2.3 million, and repaid the $31.5 million mortgage loan. As a result of the transaction, we gained control of the hotel portion of this property, and effective January 4, 2021, we have consolidated this asset.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On February 5, 2021, we repaid the $16.2 million mortgage loan on Sylmar Town Center, at par, prior to its original maturity date.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While the ongoing COVID-19 pandemic is impacting us in the short-term, our long-term focus has not changed. 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However, our occupancy levels and ability to increase rental rates will be adversely impacted in the short-term as a result of COVID-19. 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December 31, 2020, no single tenant accounted for more than 3.6% of annualized base rent.</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Since March 2020, federal, state, and local governments have taken various actions to mitigate the spread of COVID-19. This includes initially ordering closures of nonessential business and ordering residents to generally stay at home, subsequent phased re-openings, and during the fourth quarter of 2020, additional closures and capacity limitations as infection levels increased in certain areas. These actions, along with the general concern over the spread of COVID-19 </w:t>
      </w:r>
      <w:r>
        <w:rPr>
          <w:rFonts w:ascii="Arial" w:cs="Arial" w:eastAsia="Arial" w:hAnsi="Arial"/>
          <w:sz w:val="16"/>
          <w:szCs w:val="16"/>
          <w:color w:val="212529"/>
        </w:rPr>
        <w:t>have resulted in many of our tenants temporarily or even permanently closing their businesses, and for some, it has impacted their ability to pay</w:t>
      </w:r>
      <w:r>
        <w:rPr>
          <w:rFonts w:ascii="Arial" w:cs="Arial" w:eastAsia="Arial" w:hAnsi="Arial"/>
          <w:sz w:val="16"/>
          <w:szCs w:val="16"/>
          <w:color w:val="auto"/>
        </w:rPr>
        <w:t xml:space="preserve"> </w:t>
      </w:r>
      <w:r>
        <w:rPr>
          <w:rFonts w:ascii="Arial" w:cs="Arial" w:eastAsia="Arial" w:hAnsi="Arial"/>
          <w:sz w:val="16"/>
          <w:szCs w:val="16"/>
          <w:color w:val="212529"/>
        </w:rPr>
        <w:t xml:space="preserve">rent. As of January 31, 2021, approximately 98% of our retail tenants were open. These economic hardships have adversely impacted our business, and had a negative effect on our financial results during </w:t>
      </w:r>
      <w:r>
        <w:rPr>
          <w:rFonts w:ascii="Arial" w:cs="Arial" w:eastAsia="Arial" w:hAnsi="Arial"/>
          <w:sz w:val="16"/>
          <w:szCs w:val="16"/>
          <w:color w:val="000000"/>
        </w:rPr>
        <w:t>2020</w:t>
      </w:r>
      <w:r>
        <w:rPr>
          <w:rFonts w:ascii="Arial" w:cs="Arial" w:eastAsia="Arial" w:hAnsi="Arial"/>
          <w:sz w:val="16"/>
          <w:szCs w:val="16"/>
          <w:color w:val="212529"/>
        </w:rPr>
        <w:t>. With very few exceptions, our leases require tenants to continue</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212529"/>
        </w:rPr>
        <w:t xml:space="preserve">to pay rent even while closed as a result of the pandemic, however, many tenants did not pay rents and other charges during the second quarter of 2020. Subsequently, in the second half of 2020, a portion of our tenants have resumed paying their rent and/or other charges as their businesses were able to reopen; however government mandated restrictions are still in order in many of our markets. Our percentage of contractual rent collected each quarter has continued to increase since the low point in April 2020, including some tenants paying past due amounts. As of </w:t>
      </w:r>
      <w:r>
        <w:rPr>
          <w:rFonts w:ascii="Arial" w:cs="Arial" w:eastAsia="Arial" w:hAnsi="Arial"/>
          <w:sz w:val="17"/>
          <w:szCs w:val="17"/>
          <w:color w:val="000000"/>
        </w:rPr>
        <w:t>December 31, 2020</w:t>
      </w:r>
      <w:r>
        <w:rPr>
          <w:rFonts w:ascii="Arial" w:cs="Arial" w:eastAsia="Arial" w:hAnsi="Arial"/>
          <w:sz w:val="17"/>
          <w:szCs w:val="17"/>
          <w:color w:val="212529"/>
        </w:rPr>
        <w:t xml:space="preserve">, we have entered into agreements with approximately 32% of our tenants (based on total commercial leases) to defer rent payments to later periods, largely through 2021, although some extend beyond, and negotiations with other tenants are still ongoing. While increasing cash collection rates is a positive trend driven by government mandated restrictions gradually being lifted, we expect that our rent collections will continue to be below our tenants’ contractual rent obligations and historical levels, which will continue to adversely impact our results of operations. The extent of such impact will depend on future developments, which are highly uncertain and cannot be predicted. Depending upon the duration of tenant closures, operating restrictions, and the overall economic downturn resulting from COVID-19, we may find that even deferred rents are difficult to collect, and we may experience higher vacancy levels. </w:t>
      </w:r>
      <w:r>
        <w:rPr>
          <w:rFonts w:ascii="Arial" w:cs="Arial" w:eastAsia="Arial" w:hAnsi="Arial"/>
          <w:sz w:val="17"/>
          <w:szCs w:val="17"/>
          <w:color w:val="000000"/>
        </w:rPr>
        <w:t>While the duration and severity of the economic impact resulting from COVID-19 is unknown, we seek to position the Trust to participate in the resulting economic recovery.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We continue to have several development projects in process, albeit at a slower pace due to COVID-19 related restrictions, being delivered as follows: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quarter of 2020, we delivered the fully leased eight story, 301,000 square foot office building at Santana Row.</w:t>
      </w:r>
    </w:p>
    <w:p>
      <w:pPr>
        <w:ind w:left="660" w:right="80" w:hanging="328"/>
        <w:spacing w:after="0" w:line="24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first phase of construction on the 12 acres of land that we control across from Santana Row includes an eight story 376,000 square foot office building, with over 1,700 parking spaces. The building is expected to cost between $250 million and $270 million with openings beginning in 2022.</w:t>
      </w:r>
    </w:p>
    <w:p>
      <w:pPr>
        <w:spacing w:after="0" w:line="2" w:lineRule="exact"/>
        <w:rPr>
          <w:rFonts w:ascii="Arial" w:cs="Arial" w:eastAsia="Arial" w:hAnsi="Arial"/>
          <w:sz w:val="18"/>
          <w:szCs w:val="18"/>
          <w:color w:val="auto"/>
        </w:rPr>
      </w:pPr>
    </w:p>
    <w:p>
      <w:pPr>
        <w:jc w:val="both"/>
        <w:ind w:left="660" w:right="12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Phase III of Assembly Row includes 277,000 square feet of office space (of which, 150,000 square feet is pre-leased), 56,000 square feet of retail space, 500 residential units, and over 800 additional parking spaces. The expected costs for Phase III are between $465 million and $485 million and is projected to open beginning in 2021.</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Pike &amp; Rose, we have continued construction on a 212,000 square foot office building (which includes 7,000 square feet of ground floor retail space), and includes over 600 additional parking spaces. The building is expected to cost between $128 million and $135 million. At December 31, 2020, approximately 61,000 square feet of office space has been delivered, of which approximately 45,000 square feet is our new corporate headquarters.</w:t>
      </w:r>
    </w:p>
    <w:p>
      <w:pPr>
        <w:spacing w:after="0" w:line="1" w:lineRule="exact"/>
        <w:rPr>
          <w:rFonts w:ascii="Arial" w:cs="Arial" w:eastAsia="Arial" w:hAnsi="Arial"/>
          <w:sz w:val="18"/>
          <w:szCs w:val="18"/>
          <w:color w:val="auto"/>
        </w:rPr>
      </w:pPr>
    </w:p>
    <w:p>
      <w:pPr>
        <w:ind w:left="660" w:right="260" w:hanging="328"/>
        <w:spacing w:after="0" w:line="295"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Throughout the portfolio, we currently have redevelopment projects underway with a projected total cost of approximately $320 million that we expect to stabilize over the next several years.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above includes our best estimates based on information currently known, however, the completion of construction, final costs, and the timing of openings and rent starts will be dependent upon the duration of governmental restrictions and the duration and severity of the economic impacts of COVID-19.</w:t>
      </w:r>
    </w:p>
    <w:p>
      <w:pPr>
        <w:spacing w:after="0" w:line="13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92"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assumed mortgages and property sales.</w:t>
      </w:r>
    </w:p>
    <w:p>
      <w:pPr>
        <w:spacing w:after="0" w:line="12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At December 31, 2020, the leasable square feet in our properties was 92.2% leased and 90.2%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year ended December 31, 2020 and the comparison of 2020 and 2019, all or a portion of 95 properties were considered comparable properties and seven were considered non-comparable properties. For the year ended December 31, 2020, two properties and two portions of properties were moved from non-comparable to comparable properties, two properties and one portion of a property were removed from comparable properties and one property was removed from non-comparable properties as they were sold during 2020, one property was moved from acquisitions to non-comparable properties, and one property was moved from comparable to non-comparable properties, compared to the designations as of December 31, 2019.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Comparable property information replaces our previous same center designations.</w:t>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188"/>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w:t>
            </w:r>
          </w:p>
        </w:tc>
      </w:tr>
      <w:tr>
        <w:trPr>
          <w:trHeight w:val="183"/>
        </w:trPr>
        <w:tc>
          <w:tcPr>
            <w:tcW w:w="5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2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5"/>
                <w:szCs w:val="15"/>
                <w:color w:val="auto"/>
              </w:rPr>
            </w:pPr>
          </w:p>
        </w:tc>
      </w:tr>
      <w:tr>
        <w:trPr>
          <w:trHeight w:val="231"/>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832,171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(100,567)</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 interest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4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9.0 %</w:t>
            </w:r>
          </w:p>
        </w:tc>
      </w:tr>
      <w:tr>
        <w:trPr>
          <w:trHeight w:val="223"/>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835,494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(100,294)</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170,920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187,831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(16,911)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taxes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8,315</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23"/>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property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(8,596)</w:t>
            </w:r>
          </w:p>
        </w:tc>
        <w:tc>
          <w:tcPr>
            <w:tcW w:w="4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Property operating income </w:t>
            </w:r>
            <w:r>
              <w:rPr>
                <w:rFonts w:ascii="Arial" w:cs="Arial" w:eastAsia="Arial" w:hAnsi="Arial"/>
                <w:sz w:val="16"/>
                <w:szCs w:val="16"/>
                <w:color w:val="auto"/>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(91,698)</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(15,269)</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(57,218)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(18,276)</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289,524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470,911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(181,387)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49.6 %</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(136,289)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(109,623)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(26,666)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24.3 %</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Early extinguishment of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partnerships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4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300.7 %</w:t>
            </w:r>
          </w:p>
        </w:tc>
      </w:tr>
      <w:tr>
        <w:trPr>
          <w:trHeight w:val="223"/>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(43,267)</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39.2 %</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135,888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360,542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(224,654)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Net income attributable to the Trust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131,706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(222,160)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right="200" w:hanging="252"/>
        <w:spacing w:after="0" w:line="259" w:lineRule="auto"/>
        <w:tabs>
          <w:tab w:leader="none" w:pos="2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10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Total property revenue decreased $100.3 million, or 10.7%, to $835.5 million in 2020 compared to $935.8 million in 2019. The percentage occupied at our shopping centers was 90.2% at December 31, 2020 compared to 92.5% at December 31, 2019. The most significant driver of the decrease in property revenues is the impact of COVID-19, as many of our tenants were forced to temporarily or in some cases permanently close their businesses, resulting in changes in our collectibility estimates and in some cases rent abatement. Changes in the components of property revenue are discussed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color w:val="auto"/>
        </w:rPr>
        <w:t>Rental income consists primarily of minimum rent, cost reimbursements from tenants and percentage rent, and is net of collectiblity related impacts. Rental income decreased $100.6 million, or 10.8%, to $832.2 million in 2020 compared to $932.7 million in 2019 due primarily to the following:</w:t>
      </w:r>
    </w:p>
    <w:p>
      <w:pPr>
        <w:spacing w:after="0" w:line="1" w:lineRule="exact"/>
        <w:rPr>
          <w:sz w:val="20"/>
          <w:szCs w:val="20"/>
          <w:color w:val="auto"/>
        </w:rPr>
      </w:pPr>
    </w:p>
    <w:p>
      <w:pPr>
        <w:ind w:left="1140" w:hanging="241"/>
        <w:spacing w:after="0" w:line="263" w:lineRule="auto"/>
        <w:tabs>
          <w:tab w:leader="none" w:pos="11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collectibility related impacts including rent abatements across all properties of $102.1 million primarily the result of COVID-19 impacts. This includes the write-off of $12.7 million of straight-line receivables primarily related to tenants who were changed to cash basis of revenue recognition during the year ended December 31, 2020.</w:t>
      </w:r>
    </w:p>
    <w:p>
      <w:pPr>
        <w:spacing w:after="0" w:line="21" w:lineRule="exact"/>
        <w:rPr>
          <w:rFonts w:ascii="Arial" w:cs="Arial" w:eastAsia="Arial" w:hAnsi="Arial"/>
          <w:sz w:val="18"/>
          <w:szCs w:val="18"/>
          <w:color w:val="auto"/>
        </w:rPr>
      </w:pPr>
    </w:p>
    <w:p>
      <w:pPr>
        <w:ind w:left="1140" w:right="60" w:hanging="241"/>
        <w:spacing w:after="0" w:line="259" w:lineRule="auto"/>
        <w:tabs>
          <w:tab w:leader="none" w:pos="11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 of $24.6 million at comparable properties due primarily to lower average occupancy rates of approximately $18.0 million, lower parking income and percentage rent of of $6.3 million primarily due to the impacts from COVID-19 related closures, lower recoveries of $5.3 million primarily the result of lower snow removal expense and utilities, and lower termination fee and legal fee income of $1.3 million, partially offset by higher rental rates of approximately $9.3 million, and</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760" w:firstLine="899"/>
        <w:spacing w:after="0" w:line="313" w:lineRule="auto"/>
        <w:tabs>
          <w:tab w:leader="none" w:pos="11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 of $14.4 million from property sales, partially offset by</w:t>
      </w:r>
    </w:p>
    <w:p>
      <w:pPr>
        <w:ind w:left="1140" w:right="300" w:hanging="241"/>
        <w:spacing w:after="0" w:line="277" w:lineRule="auto"/>
        <w:tabs>
          <w:tab w:leader="none" w:pos="11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and increase of $19.7 million from non comparable properties driven by the opening of our new office building at Santana Row in early 2020 and the opening of Freedom Plaza in 2020 and</w:t>
      </w:r>
    </w:p>
    <w:p>
      <w:pPr>
        <w:spacing w:after="0" w:line="8" w:lineRule="exact"/>
        <w:rPr>
          <w:rFonts w:ascii="Arial" w:cs="Arial" w:eastAsia="Arial" w:hAnsi="Arial"/>
          <w:sz w:val="18"/>
          <w:szCs w:val="18"/>
          <w:color w:val="auto"/>
        </w:rPr>
      </w:pPr>
    </w:p>
    <w:p>
      <w:pPr>
        <w:ind w:left="1140" w:right="420" w:hanging="241"/>
        <w:spacing w:after="0" w:line="277" w:lineRule="auto"/>
        <w:tabs>
          <w:tab w:leader="none" w:pos="11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$19.5 million from acquisitions of Hoboken during the second half of 2019 and early 2020, and Georgetowne Shopping Center in November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property expenses decreased $8.6 million, or 2.9%, to $290.2 million in 2020 compared to $298.8 million in 2019. Changes in the components of property expenses are discussed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10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Rental expenses decreased $16.9 million, or 9.0%, to $170.9 million in 2020 compared to $187.8 million in 2019. This decrease is primarily due to the following:</w:t>
      </w:r>
    </w:p>
    <w:p>
      <w:pPr>
        <w:spacing w:after="0" w:line="8" w:lineRule="exact"/>
        <w:rPr>
          <w:sz w:val="20"/>
          <w:szCs w:val="20"/>
          <w:color w:val="auto"/>
        </w:rPr>
      </w:pPr>
    </w:p>
    <w:p>
      <w:pPr>
        <w:ind w:left="1140" w:hanging="241"/>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$11.9 million charge in 2019 related to the buyout of a lease at Assembly Square Marketplace,</w:t>
      </w:r>
    </w:p>
    <w:p>
      <w:pPr>
        <w:spacing w:after="0" w:line="63" w:lineRule="exact"/>
        <w:rPr>
          <w:rFonts w:ascii="Arial" w:cs="Arial" w:eastAsia="Arial" w:hAnsi="Arial"/>
          <w:sz w:val="18"/>
          <w:szCs w:val="18"/>
          <w:color w:val="auto"/>
        </w:rPr>
      </w:pPr>
    </w:p>
    <w:p>
      <w:pPr>
        <w:ind w:left="1140" w:right="760" w:hanging="241"/>
        <w:spacing w:after="0" w:line="316" w:lineRule="auto"/>
        <w:tabs>
          <w:tab w:leader="none" w:pos="11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decrease of $9.5 million from comparable properties due to lower snow removal expenses, and lower repairs and maintenance, management fees, and utilities primarily driven by the impact of COVID-19 partially offset by an increase in insurance costs, and</w:t>
      </w:r>
    </w:p>
    <w:p>
      <w:pPr>
        <w:spacing w:after="0" w:line="1" w:lineRule="exact"/>
        <w:rPr>
          <w:rFonts w:ascii="Arial" w:cs="Arial" w:eastAsia="Arial" w:hAnsi="Arial"/>
          <w:sz w:val="16"/>
          <w:szCs w:val="16"/>
          <w:color w:val="auto"/>
        </w:rPr>
      </w:pPr>
    </w:p>
    <w:p>
      <w:pPr>
        <w:ind w:left="1140" w:hanging="241"/>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decrease of $2.2 million from our property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500" w:hanging="241"/>
        <w:spacing w:after="0" w:line="277" w:lineRule="auto"/>
        <w:tabs>
          <w:tab w:leader="none" w:pos="11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$2.8 million from acquisitions of Hoboken during the second half of 2019 and early 2020, and Georgetowne Shopping Center in November 2019, and</w:t>
      </w:r>
    </w:p>
    <w:p>
      <w:pPr>
        <w:spacing w:after="0" w:line="8" w:lineRule="exact"/>
        <w:rPr>
          <w:rFonts w:ascii="Arial" w:cs="Arial" w:eastAsia="Arial" w:hAnsi="Arial"/>
          <w:sz w:val="18"/>
          <w:szCs w:val="18"/>
          <w:color w:val="auto"/>
        </w:rPr>
      </w:pPr>
    </w:p>
    <w:p>
      <w:pPr>
        <w:ind w:left="1140" w:right="80" w:hanging="241"/>
        <w:spacing w:after="0" w:line="277" w:lineRule="auto"/>
        <w:tabs>
          <w:tab w:leader="none" w:pos="11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$2.5 million from non comparable properties driven by the opening of our new office building at Santana Row in early 2020 and the opening of Freedom Plaza in 2020.</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increased to 20.5% for the year ended December 31, 2020 from 20.1% for the year ended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Real estate tax expense increased $8.3 million, or 7.5% to $119.2 million in 2020 compared to $110.9 million in 2019 due primarily to the following:</w:t>
      </w:r>
    </w:p>
    <w:p>
      <w:pPr>
        <w:spacing w:after="0" w:line="75" w:lineRule="exact"/>
        <w:rPr>
          <w:sz w:val="20"/>
          <w:szCs w:val="20"/>
          <w:color w:val="auto"/>
        </w:rPr>
      </w:pPr>
    </w:p>
    <w:p>
      <w:pPr>
        <w:ind w:left="1140" w:right="320" w:hanging="241"/>
        <w:spacing w:after="0" w:line="277" w:lineRule="auto"/>
        <w:tabs>
          <w:tab w:leader="none" w:pos="11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$3.8 million from comparable properties due to higher current year assessments, and tax refunds recorded in 2019 from a multi-year appeal and reassessment at three of our properties,</w:t>
      </w:r>
    </w:p>
    <w:p>
      <w:pPr>
        <w:spacing w:after="0" w:line="8" w:lineRule="exact"/>
        <w:rPr>
          <w:rFonts w:ascii="Arial" w:cs="Arial" w:eastAsia="Arial" w:hAnsi="Arial"/>
          <w:sz w:val="18"/>
          <w:szCs w:val="18"/>
          <w:color w:val="auto"/>
        </w:rPr>
      </w:pPr>
    </w:p>
    <w:p>
      <w:pPr>
        <w:ind w:left="1140" w:right="20" w:hanging="241"/>
        <w:spacing w:after="0" w:line="277" w:lineRule="auto"/>
        <w:tabs>
          <w:tab w:leader="none" w:pos="11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$3.1 million from acquisitions of Hoboken during the second half of 2019 and early 2020 and Georgetowne Shopping Center in November 2019, and</w:t>
      </w:r>
    </w:p>
    <w:p>
      <w:pPr>
        <w:spacing w:after="0" w:line="8" w:lineRule="exact"/>
        <w:rPr>
          <w:rFonts w:ascii="Arial" w:cs="Arial" w:eastAsia="Arial" w:hAnsi="Arial"/>
          <w:sz w:val="18"/>
          <w:szCs w:val="18"/>
          <w:color w:val="auto"/>
        </w:rPr>
      </w:pPr>
    </w:p>
    <w:p>
      <w:pPr>
        <w:ind w:left="1140" w:hanging="241"/>
        <w:spacing w:after="0" w:line="277" w:lineRule="auto"/>
        <w:tabs>
          <w:tab w:leader="none" w:pos="11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$2.3 million from non-comparable properties due primarily to the opening of our new office building at Santana Row in early 2020,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$0.8 million from our property sales.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Property operating income decreased $91.7 million, or 14.4%, to $545.3 million in 2020 compared to $637.0 million in 2019. This decrease is primarily due to the impact of COVID-19, which resulted in higher collectibility related impacts, lower percentage rent, and lower parking income; as well as the impact of property sales, partially offset by the opening of our new office building at Santana Row in early 2020, property acquisitions, and the prior year charge related to the buyout of a lease at Assembly Square Marketplace.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General and administrative expense decreased $1.1 million, or 2.5%, to $41.7 million in 2020 from $42.8 million in 2019. This decrease is due primarily to lower personnel related costs and COVID-19 impacts including office closures and cancellations of all non-essential business travel and company events.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04"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Depreciation and amortization expense increased $15.3 million, or 6.4%, to $255.0 million in 2020 from $239.8 million in 2019. The increase is due primarily to property acquisitions, the opening of our new office buildings at Santana Row in early 2020, and the write off of lease related assets for vacating tenants, partially offset by property sales.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$57.2 million impairment charge for the year ended December 31, 2020 relates to The Shops at Sunset Place. See Note 3 to the consolidated financial statements for further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 of Tax</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$98.1 million gain on sale of real estate, net of tax for the year ended December 31, 2020 is due to the sale of three properties and one building.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$116.4 million gain on sale of real estate, net for the year ended December 31, 2019 is primarily due to the following:</w:t>
      </w:r>
    </w:p>
    <w:p>
      <w:pPr>
        <w:spacing w:after="0" w:line="63" w:lineRule="exact"/>
        <w:rPr>
          <w:sz w:val="20"/>
          <w:szCs w:val="20"/>
          <w:color w:val="auto"/>
        </w:rPr>
      </w:pPr>
    </w:p>
    <w:p>
      <w:pPr>
        <w:ind w:left="1140" w:hanging="241"/>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$85.1 million related to the sale under the threat of condemnation of 11.7 acres of San Antonio Center,</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$28.3 million related to the sale of three properties and one land parcel,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$2.6 million net gain related to condominium unit sales that have closed at our Assembly Row and Pike &amp; Rose properties.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Operating income decreased $181.4 million, or 38.5%, to $289.5 million in 2020 compared to $470.9 million in 2019. This decrease is due primarily due to the impact of COVID-19, which resulted in higher collectibility related impacts, the impairment charge related to The Shops at Sunset Place, a lower net gain on the sale of real estate, and the impact of property sales, lower percentage rent, and lower parking income, partially offset by the opening of our new office building at Santana Row in early 2020, property acquisitions, the prior year charge related to the buyout of a lease at Assembly Square Marketplace, and lower personnel related costs which were largely due to the impact of COVID-19.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expense increased $26.7 million, or 24.3%, to $136.3 million in 2020 compared to $109.6 million in 2019. This increase is due primarily to the following:</w:t>
      </w:r>
    </w:p>
    <w:p>
      <w:pPr>
        <w:spacing w:after="0" w:line="8" w:lineRule="exact"/>
        <w:rPr>
          <w:sz w:val="20"/>
          <w:szCs w:val="20"/>
          <w:color w:val="auto"/>
        </w:rPr>
      </w:pPr>
    </w:p>
    <w:p>
      <w:pPr>
        <w:ind w:left="1140" w:hanging="242"/>
        <w:spacing w:after="0" w:line="277" w:lineRule="auto"/>
        <w:tabs>
          <w:tab w:leader="none" w:pos="1120" w:val="left"/>
        </w:tabs>
        <w:rPr>
          <w:sz w:val="20"/>
          <w:szCs w:val="20"/>
          <w:color w:val="auto"/>
        </w:rPr>
      </w:pPr>
      <w:r>
        <w:rPr>
          <w:rFonts w:ascii="Arial" w:cs="Arial" w:eastAsia="Arial" w:hAnsi="Arial"/>
          <w:sz w:val="18"/>
          <w:szCs w:val="18"/>
          <w:color w:val="auto"/>
        </w:rPr>
        <w:t>•</w:t>
        <w:tab/>
        <w:t>an increase of $20.2 million from higher borrowings in response to the COVID-19 pandemic (see further discussions in "2020 Significant Debt and Equity Transactions" in Part II, Item 7 of the Annual Report) and</w:t>
      </w:r>
    </w:p>
    <w:p>
      <w:pPr>
        <w:spacing w:after="0" w:line="8" w:lineRule="exact"/>
        <w:rPr>
          <w:sz w:val="20"/>
          <w:szCs w:val="20"/>
          <w:color w:val="auto"/>
        </w:rPr>
      </w:pPr>
    </w:p>
    <w:p>
      <w:pPr>
        <w:ind w:left="1140" w:right="320" w:hanging="241"/>
        <w:spacing w:after="0" w:line="277" w:lineRule="auto"/>
        <w:tabs>
          <w:tab w:leader="none" w:pos="11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$13.0 million due to higher weighted average borrowings primarily from the $400 million issuance of our 3.20% notes in 2019, and $106.9 million of mortgage loans associated with our Hoboken acquisitions,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 of $3.7 million due to a lower overall weighted average borrowing rate,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increase of $2.9 million in capitalized interest, primarily attributable to the development of Phase III of Assembly Row and Pike &amp; Rose.</w:t>
      </w:r>
    </w:p>
    <w:p>
      <w:pPr>
        <w:spacing w:after="0" w:line="1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Gross interest costs were $159.7 million and $130.1 million in 2020 and 2019, respectively. Capitalized interest was $23.4 million and $20.5 million in 2020 and 2019, respectively.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$11.2 million early extinguishment of debt for the year ended December 31, 2020 relates to the make-whole premium paid as part of the early redemption of our 3.00% senior notes on December 31, 2020 and the related write-off of the unamortized discount and debt fees.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Partnerships</w:t>
      </w:r>
    </w:p>
    <w:p>
      <w:pPr>
        <w:spacing w:after="0" w:line="1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Loss from partnerships increased to $8.1 million in 2020 compared to $2.0 million in 2019. The increase is primarily due to our share of losses from our hotel investments at Assembly Row and Pike &amp; Rose, largely the result of COVID-19 related reductions in travel.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10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Net income attributable to noncontrolling interests decreased to $4.2 million in 2020 compared to $6.7 million in 2019. The decrease is driven by lower net income at our partnership properties primarily due to the impact of COVID-19, partially offset by higher income attributable to our operating partnership units due to additional downREIT operating partnership units issued in connection with the acquisition of Fairfax Junction in January 2020.</w:t>
      </w:r>
    </w:p>
    <w:p>
      <w:pPr>
        <w:spacing w:after="0" w:line="176"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Discussions of year-to-year comparisons between 2019 and 2018 can be found in “Management’s Discussion and Analysis of Financial Condition and Results of Operations” in Part II, Item 7 of our Annual Report on Form 10-K for the fiscal year ended December 31, 2019 filed with the Securities and Exchange Commission on February 10,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 (cash dividends paid in 2020 were approximately $325.4 million).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In 2020, our dividends were funded not only by cash from operations but also other sources of liquidity. We maintain a $1.0 billion revolving credit facility to fund short term cash flow needs and also look to the public and private debt and equity markets, joint venture relationships, and property dispositions to fund capital expenditures on a long-term basis.</w:t>
      </w:r>
    </w:p>
    <w:p>
      <w:pPr>
        <w:spacing w:after="0" w:line="1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currently experiencing lower levels of cash from operations due to lower rent collections from tenants impacted by the COVID-19 pandemic (see further discussion under the "Outlook" section of this Item 2). While the overall economic impacts of the pandemic are unknown, we have taken multiple steps during the last several months to strengthen our financial position, maximize liquidity, and to provide maximum flexibility during these uncertain times. Throughout the last three quarters of 2020, we have maintained levels of cash significantly in excess of the cash balances we have historically maintained. In March 2020, we borrowed $990.0 million under our revolving credit facility, representing a draw-down of almost the entirety of our $1.0 billion credit facility. In May 2020, we entered into a $400.0 million unsecured term loan and issued $700.0 million of fixed rate unsecured senior notes for combined net proceeds of $1.1 billion. We subsequently repaid the outstanding balance on our revolving credit facility and amended how certain covenants are calculated to provide us more operating flexibility. Additionally, on October 13, 2020, we issued $400.0 million of fixed rate senior unsecured notes that mature on February 15, 2026 and bear interest at 1.25%. During the fourth quarter 2020, we raised $98.8 million under our ATM equity program after fees and other costs. As of December 31, 2020, there is no outstanding balance on our $1.0 billion unsecured revolving credit facility, we had cash and cash equivalents of $798.3 million, and we had the capacity to issue up to $28.4 million in common shares under the ATM program.</w:t>
      </w:r>
    </w:p>
    <w:p>
      <w:pPr>
        <w:spacing w:after="0" w:line="11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year ended 2020, the weighted average amount of borrowings outstanding on our revolving credit facility was $138.5 million, and the weighted average interest rate, before amortization of debt fees, was 1.5%.</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Subsequent to December 31, 2020, we repaid one mortgage loan, resulting in only $7.9 million of debt maturing in 2021, excluding our $400.0 million term loan, which may be extended for an additional twelve months at our option.</w:t>
      </w:r>
    </w:p>
    <w:p>
      <w:pPr>
        <w:spacing w:after="0" w:line="11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overall capital requirements during 2021 will be impacted by the extent and duration of COVID-19 related closures, impacts on our cash collections, and overall economic impacts including any halts to construction activities that might occur. It will also be impacted by acquisition opportunities and the level and general timing of our redevelopment and development activities. While the amount of future expenditures will depend on numerous factors, we expect to continue to see higher levels of capital investments in our properties under development and redevelopment, as we continue to invest in the current phase of</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these projects and are not expecting COVID-19 related halts in construction activities as we experienced in 2020. With respect to other capital investments related to our existing properties, we expect to incur levels more consistent with prior years with an overall increase compared to 2020.</w:t>
      </w:r>
    </w:p>
    <w:p>
      <w:pPr>
        <w:spacing w:after="0" w:line="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believe that the cash on our balance sheet together with rents we collect, as well as our $1.0 billion revolving credit facility will allow us to continue to operate our business in the near-term. Given our recent ability to access capital markets, we also expect debt or equity to be available to us. We may also further delay the timing of certain development and redevelopment projects, as well as limit future acquisitions, reduce our operating expenditures, or re-evaluate our dividend policy.</w:t>
      </w:r>
    </w:p>
    <w:p>
      <w:pPr>
        <w:spacing w:after="0" w:line="133"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While the COVID-19 pandemic has negatively impacted our business during the year ended December 31, 2020, and we expect it will continue to negatively impact our business in the short term, we intend to operate with and to maintain our long term commitment to a conservative capital structure that will allow us to maintain strong debt service coverage and fixed-charge coverage ratios as part of our commitment to investment-grade debt ratings.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183"/>
        </w:trPr>
        <w:tc>
          <w:tcPr>
            <w:tcW w:w="8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r>
      <w:tr>
        <w:trPr>
          <w:trHeight w:val="231"/>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216"/>
              <w:spacing w:after="0"/>
              <w:rPr>
                <w:sz w:val="20"/>
                <w:szCs w:val="20"/>
                <w:color w:val="auto"/>
              </w:rPr>
            </w:pPr>
            <w:r>
              <w:rPr>
                <w:rFonts w:ascii="Arial" w:cs="Arial" w:eastAsia="Arial" w:hAnsi="Arial"/>
                <w:sz w:val="18"/>
                <w:szCs w:val="18"/>
                <w:color w:val="auto"/>
                <w:w w:val="89"/>
              </w:rPr>
              <w:t>369,929</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461,919</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19"/>
                <w:szCs w:val="19"/>
                <w:color w:val="auto"/>
              </w:rPr>
            </w:pPr>
          </w:p>
        </w:tc>
        <w:tc>
          <w:tcPr>
            <w:tcW w:w="1000" w:type="dxa"/>
            <w:vAlign w:val="bottom"/>
          </w:tcPr>
          <w:p>
            <w:pPr>
              <w:jc w:val="center"/>
              <w:ind w:left="176"/>
              <w:spacing w:after="0"/>
              <w:rPr>
                <w:sz w:val="20"/>
                <w:szCs w:val="20"/>
                <w:color w:val="auto"/>
              </w:rPr>
            </w:pPr>
            <w:r>
              <w:rPr>
                <w:rFonts w:ascii="Arial" w:cs="Arial" w:eastAsia="Arial" w:hAnsi="Arial"/>
                <w:sz w:val="18"/>
                <w:szCs w:val="18"/>
                <w:color w:val="auto"/>
                <w:w w:val="90"/>
              </w:rPr>
              <w:t>(368,383)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(316,532)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216"/>
              <w:spacing w:after="0"/>
              <w:rPr>
                <w:sz w:val="20"/>
                <w:szCs w:val="20"/>
                <w:color w:val="auto"/>
              </w:rPr>
            </w:pPr>
            <w:r>
              <w:rPr>
                <w:rFonts w:ascii="Arial" w:cs="Arial" w:eastAsia="Arial" w:hAnsi="Arial"/>
                <w:sz w:val="18"/>
                <w:szCs w:val="18"/>
                <w:color w:val="auto"/>
                <w:w w:val="89"/>
              </w:rPr>
              <w:t>661,736</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(100,105)</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Pr>
          <w:p>
            <w:pPr>
              <w:spacing w:after="0"/>
              <w:rPr>
                <w:sz w:val="19"/>
                <w:szCs w:val="19"/>
                <w:color w:val="auto"/>
              </w:rPr>
            </w:pPr>
          </w:p>
        </w:tc>
        <w:tc>
          <w:tcPr>
            <w:tcW w:w="1000" w:type="dxa"/>
            <w:vAlign w:val="bottom"/>
          </w:tcPr>
          <w:p>
            <w:pPr>
              <w:jc w:val="center"/>
              <w:ind w:left="216"/>
              <w:spacing w:after="0"/>
              <w:rPr>
                <w:sz w:val="20"/>
                <w:szCs w:val="20"/>
                <w:color w:val="auto"/>
              </w:rPr>
            </w:pPr>
            <w:r>
              <w:rPr>
                <w:rFonts w:ascii="Arial" w:cs="Arial" w:eastAsia="Arial" w:hAnsi="Arial"/>
                <w:sz w:val="18"/>
                <w:szCs w:val="18"/>
                <w:color w:val="auto"/>
                <w:w w:val="89"/>
              </w:rPr>
              <w:t>663,282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45,282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216"/>
              <w:spacing w:after="0"/>
              <w:rPr>
                <w:sz w:val="20"/>
                <w:szCs w:val="20"/>
                <w:color w:val="auto"/>
              </w:rPr>
            </w:pPr>
            <w:r>
              <w:rPr>
                <w:rFonts w:ascii="Arial" w:cs="Arial" w:eastAsia="Arial" w:hAnsi="Arial"/>
                <w:sz w:val="18"/>
                <w:szCs w:val="18"/>
                <w:color w:val="auto"/>
                <w:w w:val="89"/>
              </w:rPr>
              <w:t>153,614</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108,332</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year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216"/>
              <w:spacing w:after="0"/>
              <w:rPr>
                <w:sz w:val="20"/>
                <w:szCs w:val="20"/>
                <w:color w:val="auto"/>
              </w:rPr>
            </w:pPr>
            <w:r>
              <w:rPr>
                <w:rFonts w:ascii="Arial" w:cs="Arial" w:eastAsia="Arial" w:hAnsi="Arial"/>
                <w:sz w:val="18"/>
                <w:szCs w:val="18"/>
                <w:color w:val="auto"/>
                <w:w w:val="89"/>
              </w:rPr>
              <w:t>816,896</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153,614</w:t>
            </w:r>
          </w:p>
        </w:tc>
      </w:tr>
      <w:tr>
        <w:trPr>
          <w:trHeight w:val="21"/>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Net cash provided by operating activities decreased $92.0 million to $369.9 million during 2020 from $461.9 million during 2019. The decrease was primarily attributable to lower net income before non-cash items and the timing of cash receipts, both largely driven by impacts of the COVID-19 pandemic and payments of annual real estate tax recovery billings.</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cash used in investing activities increased $51.9 million to $368.4 million during 2020 from $316.5 million during 2019. The increase was primarily attributable to:</w:t>
      </w:r>
    </w:p>
    <w:p>
      <w:pPr>
        <w:spacing w:after="0" w:line="8" w:lineRule="exact"/>
        <w:rPr>
          <w:sz w:val="20"/>
          <w:szCs w:val="20"/>
          <w:color w:val="auto"/>
        </w:rPr>
      </w:pPr>
    </w:p>
    <w:p>
      <w:pPr>
        <w:ind w:left="1140" w:right="60" w:hanging="241"/>
        <w:spacing w:after="0" w:line="259" w:lineRule="auto"/>
        <w:tabs>
          <w:tab w:leader="none" w:pos="11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$138.5 million decrease in proceeds from sales of real estate, resulting from the sale of three properties, one building, and the two remaining condominium units at our Pike &amp; Rose property in 2020, as compared to the sale under the threat of condemnation of a portion of San Antonio Center and the sale of three properties, one land parcel, and the sale of 43 condominiums at our Assembly Row and Pike &amp; Rose properties in 2019,</w:t>
      </w:r>
    </w:p>
    <w:p>
      <w:pPr>
        <w:spacing w:after="0" w:line="24" w:lineRule="exact"/>
        <w:rPr>
          <w:rFonts w:ascii="Arial" w:cs="Arial" w:eastAsia="Arial" w:hAnsi="Arial"/>
          <w:sz w:val="18"/>
          <w:szCs w:val="18"/>
          <w:color w:val="auto"/>
        </w:rPr>
      </w:pPr>
    </w:p>
    <w:p>
      <w:pPr>
        <w:ind w:left="1140" w:right="280" w:hanging="241"/>
        <w:spacing w:after="0" w:line="277" w:lineRule="auto"/>
        <w:tabs>
          <w:tab w:leader="none" w:pos="11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$81.6 million increase in capital expenditures and leasing costs as we continue to invest in Pike &amp; Rose, Assembly Row, Santana Row and other redevelopments,</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$12.9 million for net costs paid in 2020 relating to the partial sale under threat of condemnation at San Antonio Center in 2019, and</w:t>
      </w:r>
    </w:p>
    <w:p>
      <w:pPr>
        <w:spacing w:after="0" w:line="74" w:lineRule="exact"/>
        <w:rPr>
          <w:rFonts w:ascii="Arial" w:cs="Arial" w:eastAsia="Arial" w:hAnsi="Arial"/>
          <w:sz w:val="17"/>
          <w:szCs w:val="17"/>
          <w:color w:val="auto"/>
        </w:rPr>
      </w:pPr>
    </w:p>
    <w:p>
      <w:pPr>
        <w:ind w:left="1140" w:hanging="241"/>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$9.6 million acquisition of two loans secured by a shopping center in Rockville, Maryland, that is owned by a third party,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60" w:hanging="241"/>
        <w:spacing w:after="0" w:line="263" w:lineRule="auto"/>
        <w:tabs>
          <w:tab w:leader="none" w:pos="11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$194.9 million decrease in acquisitions of real estate, primarily due to the acquisitions of Georgetowne Shopping Center, 37 mixed-use buildings in Hoboken, New Jersey, and Fairfax Junction in 2019, partially offset by the acquisition of two additional buildings in Hoboken, New Jersey in 2020.</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cash provided by financing activities increased $761.8 million to $661.7 million during 2020 from $100.1 million used in during 2019. The increase was primarily attributable to:</w:t>
      </w:r>
    </w:p>
    <w:p>
      <w:pPr>
        <w:spacing w:after="0" w:line="8" w:lineRule="exact"/>
        <w:rPr>
          <w:sz w:val="20"/>
          <w:szCs w:val="20"/>
          <w:color w:val="auto"/>
        </w:rPr>
      </w:pPr>
    </w:p>
    <w:p>
      <w:pPr>
        <w:ind w:left="1140" w:right="80" w:hanging="241"/>
        <w:spacing w:after="0" w:line="287" w:lineRule="auto"/>
        <w:tabs>
          <w:tab w:leader="none" w:pos="11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$694.4 million increase due to net proceeds of $700.1 million from the issuance of $400.0 million of 3.50% unsecured senior notes and the $300.0 million reopening of our 3.95% unsecured senior notes in May 2020, and $394.2 million from the issuance of $400.0 million of 1.25% unsecured senior notes in October 2020, as compared to $399.9 million in net proceeds from the issuance of $300.0 million of</w:t>
      </w:r>
    </w:p>
    <w:p>
      <w:pPr>
        <w:spacing w:after="0" w:line="2"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3.20% senior unsecured notes in June 2019 and an additional $100.0 million of the same series in August 2019,</w:t>
      </w:r>
    </w:p>
    <w:p>
      <w:pPr>
        <w:spacing w:after="0" w:line="48" w:lineRule="exact"/>
        <w:rPr>
          <w:rFonts w:ascii="Arial" w:cs="Arial" w:eastAsia="Arial" w:hAnsi="Arial"/>
          <w:sz w:val="16"/>
          <w:szCs w:val="16"/>
          <w:color w:val="auto"/>
        </w:rPr>
      </w:pPr>
    </w:p>
    <w:p>
      <w:pPr>
        <w:ind w:left="1140" w:hanging="241"/>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$398.7 million in net proceeds from our unsecured term loan in May 2020,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40" w:right="140" w:hanging="241"/>
        <w:spacing w:after="0" w:line="259" w:lineRule="auto"/>
        <w:tabs>
          <w:tab w:leader="none" w:pos="11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$230.8 million decrease in repayment of mortgages, finance leases, and notes payable primarily due to the repayment of our $275.0 million unsecured term loan in June 2019 and the $20.3 million payoff of the mortgage loan on Rollingwood Apartments in January 2019, partially offset by the $60.6 million payoff of the mortgage loan on The Shops at Sunset Place in December 2020 and the $3.6 million payoff of the mortgage loan on 29th Place, both in December 2020,</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500" w:hanging="241"/>
        <w:spacing w:after="0" w:line="277" w:lineRule="auto"/>
        <w:tabs>
          <w:tab w:leader="none" w:pos="11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$510.4 million from the December 2020 redemptions of our our $250.0 million 2.55% unsecured senior notes and our $250.0 million 3.00% unsecured senior notes, with a make-whole premium of $10.4 million,</w:t>
      </w:r>
    </w:p>
    <w:p>
      <w:pPr>
        <w:spacing w:after="0" w:line="8" w:lineRule="exact"/>
        <w:rPr>
          <w:rFonts w:ascii="Arial" w:cs="Arial" w:eastAsia="Arial" w:hAnsi="Arial"/>
          <w:sz w:val="18"/>
          <w:szCs w:val="18"/>
          <w:color w:val="auto"/>
        </w:rPr>
      </w:pPr>
    </w:p>
    <w:p>
      <w:pPr>
        <w:ind w:left="1140" w:right="400" w:hanging="241"/>
        <w:spacing w:after="0" w:line="316" w:lineRule="auto"/>
        <w:tabs>
          <w:tab w:leader="none" w:pos="11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$43.9 million decrease in net proceeds from the issuance of 1.1 million common shares under our ATM program at a weighted average price of $92.51 during 2020, as compared to 1.1 million common shares at weighted average price of $134.71 in 2019, and</w:t>
      </w:r>
    </w:p>
    <w:p>
      <w:pPr>
        <w:spacing w:after="0" w:line="1" w:lineRule="exact"/>
        <w:rPr>
          <w:rFonts w:ascii="Arial" w:cs="Arial" w:eastAsia="Arial" w:hAnsi="Arial"/>
          <w:sz w:val="16"/>
          <w:szCs w:val="16"/>
          <w:color w:val="auto"/>
        </w:rPr>
      </w:pPr>
    </w:p>
    <w:p>
      <w:pPr>
        <w:ind w:left="1140" w:right="460" w:hanging="241"/>
        <w:spacing w:after="0" w:line="277" w:lineRule="auto"/>
        <w:tabs>
          <w:tab w:leader="none" w:pos="11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$10.9 million increase in dividends paid to shareholders due to an increase in the common share dividend rate and an increase in the number of common shares outstanding.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material cash requirements comprising our fixed, noncancelable obligations as of December 31,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Cash Requirements by Period</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Next Twelve Months</w:t>
            </w:r>
          </w:p>
        </w:tc>
        <w:tc>
          <w:tcPr>
            <w:tcW w:w="120" w:type="dxa"/>
            <w:vAlign w:val="bottom"/>
          </w:tcPr>
          <w:p>
            <w:pPr>
              <w:spacing w:after="0"/>
              <w:rPr>
                <w:sz w:val="14"/>
                <w:szCs w:val="14"/>
                <w:color w:val="auto"/>
              </w:rPr>
            </w:pPr>
          </w:p>
        </w:tc>
        <w:tc>
          <w:tcPr>
            <w:tcW w:w="1420" w:type="dxa"/>
            <w:vAlign w:val="bottom"/>
          </w:tcPr>
          <w:p>
            <w:pPr>
              <w:jc w:val="right"/>
              <w:ind w:right="55"/>
              <w:spacing w:after="0"/>
              <w:rPr>
                <w:sz w:val="20"/>
                <w:szCs w:val="20"/>
                <w:color w:val="auto"/>
              </w:rPr>
            </w:pPr>
            <w:r>
              <w:rPr>
                <w:rFonts w:ascii="Arial" w:cs="Arial" w:eastAsia="Arial" w:hAnsi="Arial"/>
                <w:sz w:val="14"/>
                <w:szCs w:val="14"/>
                <w:b w:val="1"/>
                <w:bCs w:val="1"/>
                <w:color w:val="auto"/>
                <w:w w:val="94"/>
              </w:rPr>
              <w:t>Greater than Twelve</w:t>
            </w:r>
          </w:p>
        </w:tc>
        <w:tc>
          <w:tcPr>
            <w:tcW w:w="0" w:type="dxa"/>
            <w:vAlign w:val="bottom"/>
          </w:tcPr>
          <w:p>
            <w:pPr>
              <w:spacing w:after="0"/>
              <w:rPr>
                <w:sz w:val="1"/>
                <w:szCs w:val="1"/>
                <w:color w:val="auto"/>
              </w:rPr>
            </w:pPr>
          </w:p>
        </w:tc>
      </w:tr>
      <w:tr>
        <w:trPr>
          <w:trHeight w:val="188"/>
        </w:trPr>
        <w:tc>
          <w:tcPr>
            <w:tcW w:w="6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191"/>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and variable rate debt (principal only) (1)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4,308,505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428,777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3,879,728</w:t>
            </w:r>
          </w:p>
        </w:tc>
        <w:tc>
          <w:tcPr>
            <w:tcW w:w="0" w:type="dxa"/>
            <w:vAlign w:val="bottom"/>
          </w:tcPr>
          <w:p>
            <w:pPr>
              <w:spacing w:after="0"/>
              <w:rPr>
                <w:sz w:val="1"/>
                <w:szCs w:val="1"/>
                <w:color w:val="auto"/>
              </w:rPr>
            </w:pPr>
          </w:p>
        </w:tc>
      </w:tr>
      <w:tr>
        <w:trPr>
          <w:trHeight w:val="176"/>
        </w:trPr>
        <w:tc>
          <w:tcPr>
            <w:tcW w:w="6440" w:type="dxa"/>
            <w:vAlign w:val="bottom"/>
          </w:tcPr>
          <w:p>
            <w:pPr>
              <w:ind w:left="20"/>
              <w:spacing w:after="0" w:line="176" w:lineRule="exact"/>
              <w:rPr>
                <w:sz w:val="20"/>
                <w:szCs w:val="20"/>
                <w:color w:val="auto"/>
              </w:rPr>
            </w:pPr>
            <w:r>
              <w:rPr>
                <w:rFonts w:ascii="Arial" w:cs="Arial" w:eastAsia="Arial" w:hAnsi="Arial"/>
                <w:sz w:val="18"/>
                <w:szCs w:val="18"/>
                <w:color w:val="auto"/>
                <w:w w:val="97"/>
              </w:rPr>
              <w:t>Fixed and variable rate debt - our share of unconsolidated real estate partnerships</w:t>
            </w:r>
          </w:p>
        </w:tc>
        <w:tc>
          <w:tcPr>
            <w:tcW w:w="3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53,341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33,943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19,398</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(principal only)(2)</w:t>
            </w:r>
          </w:p>
        </w:tc>
        <w:tc>
          <w:tcPr>
            <w:tcW w:w="3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obligations (minimum rental payments) (3)</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344,810</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Redevelopments/capital expenditure contracts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356,068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328,548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27,520</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commitments (4)</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100,100</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Total estimated cash requirements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5,173,701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802,145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4,371,556</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63"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weighted average interest rate on our fixed and variable rate debt is 3.32% as of December 31, 2020.</w:t>
      </w:r>
    </w:p>
    <w:p>
      <w:pPr>
        <w:spacing w:after="0" w:line="63" w:lineRule="exact"/>
        <w:rPr>
          <w:rFonts w:ascii="Arial" w:cs="Arial" w:eastAsia="Arial" w:hAnsi="Arial"/>
          <w:sz w:val="18"/>
          <w:szCs w:val="18"/>
          <w:color w:val="auto"/>
        </w:rPr>
      </w:pPr>
    </w:p>
    <w:p>
      <w:pPr>
        <w:ind w:left="660" w:right="220" w:hanging="328"/>
        <w:spacing w:after="0" w:line="286" w:lineRule="auto"/>
        <w:tabs>
          <w:tab w:leader="none" w:pos="65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weighted average interest rate on the fixed and variable rate debt related to our unconsolidated real estate partnerships is 4.59% as of December 31, 2020. $25.2 million of the requirements in the next twelve months was repaid when we acquired our partners' share of the Pike &amp; Rose hotel joint venture on January 4, 2021. See Note 15 to the consolidated financial statements for additional information.</w:t>
      </w:r>
    </w:p>
    <w:p>
      <w:pPr>
        <w:spacing w:after="0" w:line="3" w:lineRule="exact"/>
        <w:rPr>
          <w:rFonts w:ascii="Arial" w:cs="Arial" w:eastAsia="Arial" w:hAnsi="Arial"/>
          <w:sz w:val="17"/>
          <w:szCs w:val="17"/>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includes minimum rental payments related to both finance and operating leases.</w:t>
      </w:r>
    </w:p>
    <w:p>
      <w:pPr>
        <w:spacing w:after="0" w:line="63" w:lineRule="exact"/>
        <w:rPr>
          <w:rFonts w:ascii="Arial" w:cs="Arial" w:eastAsia="Arial" w:hAnsi="Arial"/>
          <w:sz w:val="18"/>
          <w:szCs w:val="18"/>
          <w:color w:val="auto"/>
        </w:rPr>
      </w:pPr>
    </w:p>
    <w:p>
      <w:pPr>
        <w:ind w:left="660" w:right="160" w:hanging="328"/>
        <w:spacing w:after="0" w:line="277" w:lineRule="auto"/>
        <w:tabs>
          <w:tab w:leader="none" w:pos="6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includes the liability related to the sale under threat of condemnation at San Antonio Center as further discussed in Note 3 and Note 7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amounts set forth in the table above and other liquidity requirements previously discussed, the following potential commitments exist:</w:t>
      </w:r>
    </w:p>
    <w:p>
      <w:pPr>
        <w:spacing w:after="0" w:line="194" w:lineRule="exact"/>
        <w:rPr>
          <w:sz w:val="20"/>
          <w:szCs w:val="20"/>
          <w:color w:val="auto"/>
        </w:rPr>
      </w:pPr>
    </w:p>
    <w:p>
      <w:pPr>
        <w:ind w:right="80" w:firstLine="413"/>
        <w:spacing w:after="0" w:line="259"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2020, our estimated liability upon exercise of the put option would range from approximately $69 million to $72 million.</w:t>
      </w:r>
    </w:p>
    <w:p>
      <w:pPr>
        <w:spacing w:after="0" w:line="65" w:lineRule="exact"/>
        <w:rPr>
          <w:rFonts w:ascii="Arial" w:cs="Arial" w:eastAsia="Arial" w:hAnsi="Arial"/>
          <w:sz w:val="18"/>
          <w:szCs w:val="18"/>
          <w:color w:val="auto"/>
        </w:rPr>
      </w:pPr>
    </w:p>
    <w:p>
      <w:pPr>
        <w:ind w:right="200" w:firstLine="413"/>
        <w:spacing w:after="0" w:line="334"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the partners have the right to exchange their operating partnership units for cash or the same number of our common shares, at our option. As of December 31, 2020, a total of 744,617 operating partnership units are outstanding.</w:t>
      </w:r>
    </w:p>
    <w:p>
      <w:pPr>
        <w:ind w:right="100" w:firstLine="413"/>
        <w:spacing w:after="0" w:line="259"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2020, our estimated maximum liability upon exercise of the put option would range from approximately $28 million to $35 million.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453"/>
        <w:spacing w:after="0" w:line="311" w:lineRule="auto"/>
        <w:tabs>
          <w:tab w:leader="none" w:pos="7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2020, our estimated maximum liability upon exercise of the put option would range from $6 million to $7 million.</w:t>
      </w:r>
    </w:p>
    <w:p>
      <w:pPr>
        <w:spacing w:after="0" w:line="13" w:lineRule="exact"/>
        <w:rPr>
          <w:rFonts w:ascii="Arial" w:cs="Arial" w:eastAsia="Arial" w:hAnsi="Arial"/>
          <w:sz w:val="16"/>
          <w:szCs w:val="16"/>
          <w:color w:val="auto"/>
        </w:rPr>
      </w:pPr>
    </w:p>
    <w:p>
      <w:pPr>
        <w:ind w:right="140" w:firstLine="413"/>
        <w:spacing w:after="0" w:line="263" w:lineRule="auto"/>
        <w:tabs>
          <w:tab w:leader="none" w:pos="6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Effective September 18, 2023, the other member in Hoboken has the right to require us to purchase all of its 10% ownership interest at the interest's then-current fair market value. Based on management's current estimate of fair market value as of December 31, 2020, our estimated maximum liability upon exercise of the put option would range from $5 million to $6 million.</w:t>
      </w:r>
    </w:p>
    <w:p>
      <w:pPr>
        <w:spacing w:after="0" w:line="62" w:lineRule="exact"/>
        <w:rPr>
          <w:rFonts w:ascii="Arial" w:cs="Arial" w:eastAsia="Arial" w:hAnsi="Arial"/>
          <w:sz w:val="18"/>
          <w:szCs w:val="18"/>
          <w:color w:val="auto"/>
        </w:rPr>
      </w:pPr>
    </w:p>
    <w:p>
      <w:pPr>
        <w:ind w:left="640" w:hanging="227"/>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December 31, 2020, we had letters of credit outstanding of approximately $4.7 million.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December 31, 2020, we have three real estate related equity method investments with total debt outstanding of $109.7 million, of which our share is $53.3 million. Our investment in these ventures at December 31, 2020 was $18.7 million.</w:t>
      </w:r>
    </w:p>
    <w:p>
      <w:pPr>
        <w:spacing w:after="0" w:line="4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Other than the items disclosed in the Cash Requirements table, we have no off-balance sheet arrangements as of December 31, 2020 that are reasonably likely to have a current or future material effect on our financial condition, changes in financial condition, revenues or expenses, results of operations, liquidity, cash requirements,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2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154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1"/>
              </w:rPr>
              <w:t>Principal Balance as of</w:t>
            </w:r>
          </w:p>
        </w:tc>
        <w:tc>
          <w:tcPr>
            <w:tcW w:w="100" w:type="dxa"/>
            <w:vAlign w:val="bottom"/>
          </w:tcPr>
          <w:p>
            <w:pPr>
              <w:spacing w:after="0"/>
              <w:rPr>
                <w:sz w:val="14"/>
                <w:szCs w:val="14"/>
                <w:color w:val="auto"/>
              </w:rPr>
            </w:pPr>
          </w:p>
        </w:tc>
        <w:tc>
          <w:tcPr>
            <w:tcW w:w="1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Stated Interest Rate as of</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 of Debt</w:t>
            </w:r>
          </w:p>
        </w:tc>
        <w:tc>
          <w:tcPr>
            <w:tcW w:w="122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8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8"/>
        </w:trPr>
        <w:tc>
          <w:tcPr>
            <w:tcW w:w="4500" w:type="dxa"/>
            <w:vAlign w:val="bottom"/>
            <w:gridSpan w:val="2"/>
            <w:vMerge w:val="continue"/>
          </w:tcPr>
          <w:p>
            <w:pPr>
              <w:spacing w:after="0"/>
              <w:rPr>
                <w:sz w:val="16"/>
                <w:szCs w:val="16"/>
                <w:color w:val="auto"/>
              </w:rPr>
            </w:pPr>
          </w:p>
        </w:tc>
        <w:tc>
          <w:tcPr>
            <w:tcW w:w="122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Issued</w:t>
            </w:r>
          </w:p>
        </w:tc>
        <w:tc>
          <w:tcPr>
            <w:tcW w:w="120" w:type="dxa"/>
            <w:vAlign w:val="bottom"/>
          </w:tcPr>
          <w:p>
            <w:pPr>
              <w:spacing w:after="0"/>
              <w:rPr>
                <w:sz w:val="16"/>
                <w:szCs w:val="16"/>
                <w:color w:val="auto"/>
              </w:rPr>
            </w:pPr>
          </w:p>
        </w:tc>
        <w:tc>
          <w:tcPr>
            <w:tcW w:w="1540" w:type="dxa"/>
            <w:vAlign w:val="bottom"/>
          </w:tcPr>
          <w:p>
            <w:pPr>
              <w:jc w:val="right"/>
              <w:ind w:right="159"/>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Borders>
              <w:top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Mortgages payable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gridSpan w:val="2"/>
          </w:tcPr>
          <w:p>
            <w:pPr>
              <w:ind w:left="140"/>
              <w:spacing w:after="0"/>
              <w:rPr>
                <w:sz w:val="20"/>
                <w:szCs w:val="20"/>
                <w:color w:val="auto"/>
              </w:rPr>
            </w:pPr>
            <w:r>
              <w:rPr>
                <w:rFonts w:ascii="Arial" w:cs="Arial" w:eastAsia="Arial" w:hAnsi="Arial"/>
                <w:sz w:val="16"/>
                <w:szCs w:val="16"/>
                <w:i w:val="1"/>
                <w:iCs w:val="1"/>
                <w:color w:val="auto"/>
              </w:rPr>
              <w:t>Secured fixed rate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Sylmar Towne Center</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5.39 %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6, 2021</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Plaza Del Sol</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8,041</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5.23 %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THE AVENUE at White Marsh</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52,705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52,705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3.35 %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Montrose Crossing</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65,596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4.20 %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Azalea</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Bell Gardens</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12,408</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4.06 %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Plaza El Segundo</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125,000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3.83 %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The Grove at Shrewsbury (East)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43,600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43,600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3.77 %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11,500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4.65 %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Hoboken (24 Buildings) (1)</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56,450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56,450</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LIBOR + 1.95%</w:t>
            </w:r>
          </w:p>
        </w:tc>
        <w:tc>
          <w:tcPr>
            <w:tcW w:w="1840" w:type="dxa"/>
            <w:vAlign w:val="bottom"/>
          </w:tcPr>
          <w:p>
            <w:pPr>
              <w:jc w:val="right"/>
              <w:spacing w:after="0"/>
              <w:rPr>
                <w:sz w:val="20"/>
                <w:szCs w:val="20"/>
                <w:color w:val="auto"/>
              </w:rPr>
            </w:pPr>
            <w:r>
              <w:rPr>
                <w:rFonts w:ascii="Arial" w:cs="Arial" w:eastAsia="Arial" w:hAnsi="Arial"/>
                <w:sz w:val="16"/>
                <w:szCs w:val="16"/>
                <w:color w:val="auto"/>
              </w:rPr>
              <w:t>December 15, 2029</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Various Hoboken (14 Buildings)</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32,705</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Various (2)</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 through 2029</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Chelsea</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5,234</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5.36 %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Hoboken (1 Building) (3)</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1, 2042</w:t>
            </w:r>
          </w:p>
        </w:tc>
        <w:tc>
          <w:tcPr>
            <w:tcW w:w="0" w:type="dxa"/>
            <w:vAlign w:val="bottom"/>
          </w:tcPr>
          <w:p>
            <w:pPr>
              <w:spacing w:after="0"/>
              <w:rPr>
                <w:sz w:val="1"/>
                <w:szCs w:val="1"/>
                <w:color w:val="auto"/>
              </w:rPr>
            </w:pPr>
          </w:p>
        </w:tc>
      </w:tr>
      <w:tr>
        <w:trPr>
          <w:trHeight w:val="207"/>
        </w:trPr>
        <w:tc>
          <w:tcPr>
            <w:tcW w:w="4500" w:type="dxa"/>
            <w:vAlign w:val="bottom"/>
            <w:gridSpan w:val="2"/>
          </w:tcPr>
          <w:p>
            <w:pPr>
              <w:ind w:left="680"/>
              <w:spacing w:after="0"/>
              <w:rPr>
                <w:sz w:val="20"/>
                <w:szCs w:val="20"/>
                <w:color w:val="auto"/>
              </w:rPr>
            </w:pPr>
            <w:r>
              <w:rPr>
                <w:rFonts w:ascii="Arial" w:cs="Arial" w:eastAsia="Arial" w:hAnsi="Arial"/>
                <w:sz w:val="16"/>
                <w:szCs w:val="16"/>
                <w:color w:val="auto"/>
              </w:rPr>
              <w:t>Subtotal</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486,035</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w w:val="99"/>
              </w:rPr>
              <w:t>Net unamortized premium and debt issuance costs</w:t>
            </w:r>
          </w:p>
        </w:tc>
        <w:tc>
          <w:tcPr>
            <w:tcW w:w="1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0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mortgages payable</w:t>
            </w: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484,111</w:t>
            </w:r>
          </w:p>
        </w:tc>
        <w:tc>
          <w:tcPr>
            <w:tcW w:w="100" w:type="dxa"/>
            <w:vAlign w:val="bottom"/>
            <w:tcBorders>
              <w:bottom w:val="single" w:sz="8" w:color="CCEEFF"/>
            </w:tcBorders>
          </w:tcPr>
          <w:p>
            <w:pPr>
              <w:spacing w:after="0"/>
              <w:rPr>
                <w:sz w:val="17"/>
                <w:szCs w:val="17"/>
                <w:color w:val="auto"/>
              </w:rPr>
            </w:pPr>
          </w:p>
        </w:tc>
        <w:tc>
          <w:tcPr>
            <w:tcW w:w="1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Notes payable</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Term Loan</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LIBOR + 1.35%</w:t>
            </w:r>
          </w:p>
        </w:tc>
        <w:tc>
          <w:tcPr>
            <w:tcW w:w="1840" w:type="dxa"/>
            <w:vAlign w:val="bottom"/>
          </w:tcPr>
          <w:p>
            <w:pPr>
              <w:jc w:val="right"/>
              <w:spacing w:after="0"/>
              <w:rPr>
                <w:sz w:val="20"/>
                <w:szCs w:val="20"/>
                <w:color w:val="auto"/>
              </w:rPr>
            </w:pPr>
            <w:r>
              <w:rPr>
                <w:rFonts w:ascii="Arial" w:cs="Arial" w:eastAsia="Arial" w:hAnsi="Arial"/>
                <w:sz w:val="16"/>
                <w:szCs w:val="16"/>
                <w:color w:val="auto"/>
              </w:rPr>
              <w:t>May 6, 2021</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Revolving credit facility (4)</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LIBOR + 0.775%</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19, 2024</w:t>
            </w:r>
          </w:p>
        </w:tc>
        <w:tc>
          <w:tcPr>
            <w:tcW w:w="0" w:type="dxa"/>
            <w:vAlign w:val="bottom"/>
          </w:tcPr>
          <w:p>
            <w:pPr>
              <w:spacing w:after="0"/>
              <w:rPr>
                <w:sz w:val="1"/>
                <w:szCs w:val="1"/>
                <w:color w:val="auto"/>
              </w:rPr>
            </w:pPr>
          </w:p>
        </w:tc>
      </w:tr>
      <w:tr>
        <w:trPr>
          <w:trHeight w:val="213"/>
        </w:trPr>
        <w:tc>
          <w:tcPr>
            <w:tcW w:w="450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Various</w:t>
            </w:r>
          </w:p>
        </w:tc>
        <w:tc>
          <w:tcPr>
            <w:tcW w:w="122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11.31 %</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13"/>
        </w:trPr>
        <w:tc>
          <w:tcPr>
            <w:tcW w:w="45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403,270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Borders>
              <w:bottom w:val="single" w:sz="8" w:color="CCEEFF"/>
            </w:tcBorders>
            <w:gridSpan w:val="2"/>
          </w:tcPr>
          <w:p>
            <w:pPr>
              <w:ind w:left="880"/>
              <w:spacing w:after="0"/>
              <w:rPr>
                <w:sz w:val="20"/>
                <w:szCs w:val="20"/>
                <w:color w:val="auto"/>
              </w:rPr>
            </w:pPr>
            <w:r>
              <w:rPr>
                <w:rFonts w:ascii="Arial" w:cs="Arial" w:eastAsia="Arial" w:hAnsi="Arial"/>
                <w:sz w:val="16"/>
                <w:szCs w:val="16"/>
                <w:color w:val="auto"/>
              </w:rPr>
              <w:t>Net unamortized debt issuance costs</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notes payable</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402,776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gridSpan w:val="2"/>
          </w:tcPr>
          <w:p>
            <w:pPr>
              <w:ind w:left="20"/>
              <w:spacing w:after="0"/>
              <w:rPr>
                <w:sz w:val="20"/>
                <w:szCs w:val="20"/>
                <w:color w:val="auto"/>
              </w:rPr>
            </w:pPr>
            <w:r>
              <w:rPr>
                <w:rFonts w:ascii="Arial" w:cs="Arial" w:eastAsia="Arial" w:hAnsi="Arial"/>
                <w:sz w:val="16"/>
                <w:szCs w:val="16"/>
                <w:b w:val="1"/>
                <w:bCs w:val="1"/>
                <w:color w:val="auto"/>
              </w:rPr>
              <w:t>Senior notes and debentures</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Unsecured fixed rate</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2.75% notes</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2.75 %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3.95 %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1.25% notes</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February 15, 2026</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7.48% debentures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7.48 %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3.25% notes</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475,000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475,000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6.82% medium term notes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6.82 %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3.20% notes</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3.20 %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June 15, 2029</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3.50% notes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1, 2030</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4.50% notes</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3.625% notes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3.625 %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06"/>
        </w:trPr>
        <w:tc>
          <w:tcPr>
            <w:tcW w:w="4500" w:type="dxa"/>
            <w:vAlign w:val="bottom"/>
            <w:gridSpan w:val="2"/>
          </w:tcPr>
          <w:p>
            <w:pPr>
              <w:ind w:left="680"/>
              <w:spacing w:after="0"/>
              <w:rPr>
                <w:sz w:val="20"/>
                <w:szCs w:val="20"/>
                <w:color w:val="auto"/>
              </w:rPr>
            </w:pPr>
            <w:r>
              <w:rPr>
                <w:rFonts w:ascii="Arial" w:cs="Arial" w:eastAsia="Arial" w:hAnsi="Arial"/>
                <w:sz w:val="16"/>
                <w:szCs w:val="16"/>
                <w:color w:val="auto"/>
              </w:rPr>
              <w:t>Subtotal</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3,419,200</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Net unamortized discount and debt issuance costs</w:t>
            </w:r>
          </w:p>
        </w:tc>
        <w:tc>
          <w:tcPr>
            <w:tcW w:w="1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0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senior notes and debentures</w:t>
            </w: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3,404,488</w:t>
            </w:r>
          </w:p>
        </w:tc>
        <w:tc>
          <w:tcPr>
            <w:tcW w:w="100" w:type="dxa"/>
            <w:vAlign w:val="bottom"/>
            <w:tcBorders>
              <w:bottom w:val="single" w:sz="8" w:color="CCEEFF"/>
            </w:tcBorders>
          </w:tcPr>
          <w:p>
            <w:pPr>
              <w:spacing w:after="0"/>
              <w:rPr>
                <w:sz w:val="17"/>
                <w:szCs w:val="17"/>
                <w:color w:val="auto"/>
              </w:rPr>
            </w:pPr>
          </w:p>
        </w:tc>
        <w:tc>
          <w:tcPr>
            <w:tcW w:w="1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Total debt, net</w:t>
            </w: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00" w:type="dxa"/>
            <w:vAlign w:val="bottom"/>
            <w:gridSpan w:val="2"/>
            <w:vMerge w:val="continue"/>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4,291,375</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November 26, 2019, we entered into two interest rate swap agreements that fix the interest rate on the mortgage loan at 3.67%.</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interest rates on these mortgages range from 3.91% to 5.00%.</w:t>
      </w:r>
    </w:p>
    <w:p>
      <w:pPr>
        <w:spacing w:after="0" w:line="63" w:lineRule="exact"/>
        <w:rPr>
          <w:rFonts w:ascii="Arial" w:cs="Arial" w:eastAsia="Arial" w:hAnsi="Arial"/>
          <w:sz w:val="18"/>
          <w:szCs w:val="18"/>
          <w:color w:val="auto"/>
        </w:rPr>
      </w:pPr>
    </w:p>
    <w:p>
      <w:pPr>
        <w:ind w:left="660" w:right="140" w:hanging="652"/>
        <w:spacing w:after="0" w:line="277"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mortgage loan has a fixed interest rate, however, the rate resets every five years until maturity. The current interest rate is fixed until July 1, 2022, and the loan is prepayable at par anytime after this date.</w:t>
      </w:r>
    </w:p>
    <w:p>
      <w:pPr>
        <w:spacing w:after="0" w:line="8" w:lineRule="exact"/>
        <w:rPr>
          <w:rFonts w:ascii="Arial" w:cs="Arial" w:eastAsia="Arial" w:hAnsi="Arial"/>
          <w:sz w:val="18"/>
          <w:szCs w:val="18"/>
          <w:color w:val="auto"/>
        </w:rPr>
      </w:pPr>
    </w:p>
    <w:p>
      <w:pPr>
        <w:ind w:left="660" w:right="140" w:hanging="652"/>
        <w:spacing w:after="0" w:line="277"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2020 was $990.0 million and the weighted average effective interest rate on borrowings under our revolving credit facility, before amortization of debt fees, was 1.5%.</w:t>
      </w:r>
    </w:p>
    <w:p>
      <w:pPr>
        <w:sectPr>
          <w:pgSz w:w="11900" w:h="16838" w:orient="portrait"/>
          <w:cols w:equalWidth="0" w:num="1">
            <w:col w:w="11180"/>
          </w:cols>
          <w:pgMar w:left="320" w:top="126" w:right="3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revolving credit facility, unsecured term loan, and other debt agreements include financial and other covenants that may limit our operating activities in the future. As of December 31, 2020, we were in compliance with all of the financial and other covenants related to our revolving credit facility, term loan, and senior notes. Additionally, we were in compliance with all of the financial and other covenants that could trigger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December 31,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Unsecured</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90"/>
              </w:rPr>
              <w:t>Secured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r>
      <w:tr>
        <w:trPr>
          <w:trHeight w:val="187"/>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400,676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28,101</w:t>
            </w:r>
          </w:p>
        </w:tc>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428,777</w:t>
            </w:r>
          </w:p>
        </w:tc>
        <w:tc>
          <w:tcPr>
            <w:tcW w:w="440" w:type="dxa"/>
            <w:vAlign w:val="bottom"/>
            <w:shd w:val="clear" w:color="auto" w:fill="CCEEFF"/>
          </w:tcPr>
          <w:p>
            <w:pPr>
              <w:spacing w:after="0"/>
              <w:rPr>
                <w:sz w:val="20"/>
                <w:szCs w:val="20"/>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119,706</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120,457</w:t>
            </w:r>
          </w:p>
        </w:tc>
        <w:tc>
          <w:tcPr>
            <w:tcW w:w="44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275,765</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279,314</w:t>
            </w:r>
          </w:p>
        </w:tc>
        <w:tc>
          <w:tcPr>
            <w:tcW w:w="44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600,656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(2)</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3,688</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604,344</w:t>
            </w:r>
          </w:p>
        </w:tc>
        <w:tc>
          <w:tcPr>
            <w:tcW w:w="44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48,033</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48,366</w:t>
            </w:r>
          </w:p>
        </w:tc>
        <w:tc>
          <w:tcPr>
            <w:tcW w:w="44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2,544,289</w:t>
            </w:r>
          </w:p>
        </w:tc>
        <w:tc>
          <w:tcPr>
            <w:tcW w:w="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282,958</w:t>
            </w:r>
          </w:p>
        </w:tc>
        <w:tc>
          <w:tcPr>
            <w:tcW w:w="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2,827,247</w:t>
            </w:r>
          </w:p>
        </w:tc>
        <w:tc>
          <w:tcPr>
            <w:tcW w:w="440" w:type="dxa"/>
            <w:vAlign w:val="bottom"/>
            <w:tcBorders>
              <w:bottom w:val="single" w:sz="8" w:color="CCEEFF"/>
            </w:tcBorders>
          </w:tcPr>
          <w:p>
            <w:pPr>
              <w:spacing w:after="0"/>
              <w:rPr>
                <w:sz w:val="19"/>
                <w:szCs w:val="19"/>
                <w:color w:val="auto"/>
              </w:rPr>
            </w:pP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3,822,470</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486,035</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4,308,505</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63"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$400.0 million term loan matures on May 6, 2021 plus one twelve month extension, at our option.</w:t>
      </w:r>
    </w:p>
    <w:p>
      <w:pPr>
        <w:spacing w:after="0" w:line="63" w:lineRule="exact"/>
        <w:rPr>
          <w:rFonts w:ascii="Arial" w:cs="Arial" w:eastAsia="Arial" w:hAnsi="Arial"/>
          <w:sz w:val="18"/>
          <w:szCs w:val="18"/>
          <w:color w:val="auto"/>
        </w:rPr>
      </w:pPr>
    </w:p>
    <w:p>
      <w:pPr>
        <w:ind w:left="660" w:right="340" w:hanging="652"/>
        <w:spacing w:after="0" w:line="277"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$1.0 billion revolving credit facility matures on January 19, 2024, plus two six-month extensions at our option. As of December 31, 2020, there was no outstanding balance under this credit facility.</w:t>
      </w:r>
    </w:p>
    <w:p>
      <w:pPr>
        <w:spacing w:after="0" w:line="8" w:lineRule="exact"/>
        <w:rPr>
          <w:rFonts w:ascii="Arial" w:cs="Arial" w:eastAsia="Arial" w:hAnsi="Arial"/>
          <w:sz w:val="18"/>
          <w:szCs w:val="18"/>
          <w:color w:val="auto"/>
        </w:rPr>
      </w:pPr>
    </w:p>
    <w:p>
      <w:pPr>
        <w:ind w:left="660" w:right="300" w:hanging="652"/>
        <w:spacing w:after="0" w:line="277"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premium/discount and debt issuance costs on mortgage loans, notes payable, and senior notes as of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10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December 31, 2020, we have two interest rate swap agreements that effectively fix the interest rate on a mortgage payable associated with our Hoboken portfolio at 3.67%. Our Assembly Row hotel joint venture is also a party to two interest rate swap agreements that effectively fix the interest rate on the joint venture's mortgage debt at 5.206%. All swaps were designated and qualify as cash flow hedges. Hedge ineffectiveness has not impacted our earnings in 2020, 2019 and 2018.</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0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280" w:hanging="801"/>
        <w:spacing w:after="0" w:line="277" w:lineRule="auto"/>
        <w:tabs>
          <w:tab w:leader="none" w:pos="1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373"/>
              <w:spacing w:after="0"/>
              <w:rPr>
                <w:sz w:val="20"/>
                <w:szCs w:val="20"/>
                <w:color w:val="auto"/>
              </w:rPr>
            </w:pPr>
            <w:r>
              <w:rPr>
                <w:rFonts w:ascii="Arial" w:cs="Arial" w:eastAsia="Arial" w:hAnsi="Arial"/>
                <w:sz w:val="14"/>
                <w:szCs w:val="14"/>
                <w:b w:val="1"/>
                <w:bCs w:val="1"/>
                <w:color w:val="auto"/>
                <w:w w:val="91"/>
              </w:rPr>
              <w:t>Year Ended December 31,</w:t>
            </w:r>
          </w:p>
        </w:tc>
        <w:tc>
          <w:tcPr>
            <w:tcW w:w="7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83"/>
              </w:rPr>
              <w:t>2018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6"/>
          </w:tcPr>
          <w:p>
            <w:pPr>
              <w:jc w:val="center"/>
              <w:ind w:left="373"/>
              <w:spacing w:after="0"/>
              <w:rPr>
                <w:sz w:val="20"/>
                <w:szCs w:val="20"/>
                <w:color w:val="auto"/>
              </w:rPr>
            </w:pPr>
            <w:r>
              <w:rPr>
                <w:rFonts w:ascii="Arial" w:cs="Arial" w:eastAsia="Arial" w:hAnsi="Arial"/>
                <w:sz w:val="14"/>
                <w:szCs w:val="14"/>
                <w:b w:val="1"/>
                <w:bCs w:val="1"/>
                <w:color w:val="auto"/>
                <w:w w:val="91"/>
              </w:rPr>
              <w:t>(In thousands, except per share data)</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249,026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net of tax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Impairment charge,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213,098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Funds from operations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467,693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Dividends on preferred shares (1)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2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Funds from operations available for common shareholders (2)</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333,849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465,819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461,777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common shares, diluted (1)(2)(3)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2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76,261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75,514</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74,153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Funds from operations available for common shareholders, per diluted share (2)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4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69"/>
        </w:trPr>
        <w:tc>
          <w:tcPr>
            <w:tcW w:w="7420" w:type="dxa"/>
            <w:vAlign w:val="bottom"/>
          </w:tcPr>
          <w:p>
            <w:pPr>
              <w:ind w:left="554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right="20" w:hanging="652"/>
        <w:spacing w:after="0" w:line="298" w:lineRule="auto"/>
        <w:tabs>
          <w:tab w:leader="none" w:pos="654"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For the years ended December 31, 2019 and 2018, dividends on our Series 1 preferred stock were not deducted in the calculation of FFO available to common shareholders, as the related shares were dilutive and included in "weighted average common shares, diluted."</w:t>
      </w:r>
    </w:p>
    <w:p>
      <w:pPr>
        <w:ind w:left="660" w:hanging="652"/>
        <w:spacing w:after="0" w:line="255" w:lineRule="auto"/>
        <w:tabs>
          <w:tab w:leader="none" w:pos="654"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the year ended December 31, 2020, FFO available for common shareholders includes a $11.2 million charge related to early extinguishment of debt. If this charge was excluded, our FFO available for common shareholders for 2020 would have been $345.0 million, and FFO available for common shareholders, per diluted share would have been $4.52. For the year ended December 31, 2019, FFO available for common shareholders includes an $11.9 million charge relating to the buyout of a lease at Assembly Square Marketplace. If this charge was excluded, our FFO available for common shareholders for 2019 would have been $477.7 million, and FFO available for common shareholders, per diluted share would have been $6.33.</w:t>
      </w:r>
    </w:p>
    <w:p>
      <w:pPr>
        <w:spacing w:after="0" w:line="30" w:lineRule="exact"/>
        <w:rPr>
          <w:rFonts w:ascii="Arial" w:cs="Arial" w:eastAsia="Arial" w:hAnsi="Arial"/>
          <w:sz w:val="18"/>
          <w:szCs w:val="18"/>
          <w:color w:val="auto"/>
        </w:rPr>
      </w:pPr>
    </w:p>
    <w:p>
      <w:pPr>
        <w:ind w:left="660" w:right="160" w:hanging="652"/>
        <w:spacing w:after="0" w:line="263" w:lineRule="auto"/>
        <w:tabs>
          <w:tab w:leader="none" w:pos="65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also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9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majority of our outstanding debt obligations (maturing at various times through 2046) have fixed interest rates which limit the risk of fluctuating interest rates. However, interest rate fluctuations may affect the fair value of our fixed rate debt instruments. At December 31, 2020, we had $3.9 billion of fixed-rate debt outstanding, including $56.5 million in mortgage payables that are effectively fixed by two interest rate swap agreements. If market interest rates used to calculate the fair value on our fixed-rate debt instruments at December 31, 2020 had been 1.0% higher, the fair value of those debt instruments on that date would have decreased by approximately $290.9 million. If market interest rates used to calculate the fair value on our fixed-rate debt instruments at December 31, 2020 had been 1.0% lower, the fair value of those debt instruments on that date would have increased by approximately $316.5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10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Generally, we believe that our primary interest rate risk is due to fluctuations in interest rates on our outstanding variable rate debt. At December 31, 2020, we had $400.0 million of variable rate debt outstanding (the principal balance on our unsecured term loan). Based upon this amount of variable rate debt and the specific terms, if market interest rates increased 1.0%, our annual interest expense would increase approximately $4.0 million with a corresponding decrease in our net income and cash flows for the year. Conversely, if market interest rates decreased 1.0%, our annual interest expense would decrease by approximately $4.0 million with a corresponding increase in our net income and cash flows for the year.</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consolidated financial statements and supplementary data are included as a separate section of this Annual Report on Form 10-K commencing on page F-1 and are incorporated herein by reference.</w:t>
      </w:r>
    </w:p>
    <w:p>
      <w:pPr>
        <w:spacing w:after="0" w:line="207" w:lineRule="exact"/>
        <w:rPr>
          <w:sz w:val="20"/>
          <w:szCs w:val="20"/>
          <w:color w:val="auto"/>
        </w:rPr>
      </w:pPr>
    </w:p>
    <w:p>
      <w:pPr>
        <w:ind w:right="900"/>
        <w:spacing w:after="0" w:line="39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9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Trust maintains disclosure controls and procedures (as defined in Rule 13a-15(e) and 15d-15(e)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the Trust’s 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the Trust’s Chief Executive Officer and Chief Financial Officer, evaluated the effectiveness of the design and operation of the Trust’s disclosure controls and procedures as of December 31, 2020. Based on that evaluation, the Trust’s Chief Executive Officer and Chief Financial Officer concluded that, as of December 31, 2020, the Trust’s disclosure controls and procedures were effective at a reasonable assurance level.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Trust’s management is responsible for establishing and maintaining adequate internal control over financial reporting. Internal control over financial reporting is defined in Rule 13a-15(f) and 15d-15(f) under the Exchange Act as a process designed by, or under the supervision of, the Trust’s principal executive and principal financial officers and effected by our Board of Trustees, management and other personnel, to provide reasonable assurance regarding the reliability of financial reporting and the preparation of financial statements for external purposes in accordance with generally accepted accounting principles in the United States of America (GAAP) and includes those policies and procedures that:</w:t>
      </w:r>
    </w:p>
    <w:p>
      <w:pPr>
        <w:spacing w:after="0" w:line="14"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 of our assets;</w:t>
      </w:r>
    </w:p>
    <w:p>
      <w:pPr>
        <w:spacing w:after="0" w:line="34" w:lineRule="exact"/>
        <w:rPr>
          <w:rFonts w:ascii="Arial" w:cs="Arial" w:eastAsia="Arial" w:hAnsi="Arial"/>
          <w:sz w:val="17"/>
          <w:szCs w:val="17"/>
          <w:color w:val="auto"/>
        </w:rPr>
      </w:pPr>
    </w:p>
    <w:p>
      <w:pPr>
        <w:ind w:left="660" w:right="20" w:hanging="328"/>
        <w:spacing w:after="0" w:line="250"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our Trustees; and</w:t>
      </w:r>
    </w:p>
    <w:p>
      <w:pPr>
        <w:spacing w:after="0" w:line="1" w:lineRule="exact"/>
        <w:rPr>
          <w:rFonts w:ascii="Arial" w:cs="Arial" w:eastAsia="Arial" w:hAnsi="Arial"/>
          <w:sz w:val="18"/>
          <w:szCs w:val="18"/>
          <w:color w:val="auto"/>
        </w:rPr>
      </w:pPr>
    </w:p>
    <w:p>
      <w:pPr>
        <w:ind w:left="660" w:right="520" w:hanging="328"/>
        <w:spacing w:after="0" w:line="260"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assessed the effectiveness of the Trust’s internal control over financial reporting as of December 31, 2020. In making this assessment, we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that assessment and criteria, management concluded that the Trust's internal control over financial reporting was effective as of December 31, 2020.</w:t>
      </w:r>
    </w:p>
    <w:p>
      <w:pPr>
        <w:spacing w:after="0" w:line="79" w:lineRule="exact"/>
        <w:rPr>
          <w:sz w:val="20"/>
          <w:szCs w:val="20"/>
          <w:color w:val="auto"/>
        </w:rPr>
      </w:pPr>
    </w:p>
    <w:p>
      <w:pPr>
        <w:ind w:right="2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Grant Thornton LLP, the independent registered public accounting firm that audited the Trust's consolidated financial statements included in this Annual Report on Form 10-K, has issued an attestation report on the Trust's internal control over financial reporting, which appears on page </w:t>
      </w:r>
      <w:hyperlink w:anchor="page60">
        <w:r>
          <w:rPr>
            <w:rFonts w:ascii="Arial" w:cs="Arial" w:eastAsia="Arial" w:hAnsi="Arial"/>
            <w:sz w:val="18"/>
            <w:szCs w:val="18"/>
            <w:u w:val="single" w:color="auto"/>
            <w:color w:val="0000FF"/>
          </w:rPr>
          <w:t>F-2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our fourth fiscal quarter of 2020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information required in Part III is omitted from this Report but is incorporated herein by reference from our Proxy Statement for the 2021 Annual Meeting of Shareholders (as amended or supplemented, the “Proxy Statement”).</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TRUSTEES, EXECUTIVE OFFICERS AND CORPORATE GOVERNANCE</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and other information included in the Proxy Statement required by this Item 10 are incorporated herein by reference.</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We have adopted a Code of Ethics, which is applicable to our Chief Executive Officer and senior financial officers. The Code of Ethics is available in the Corporate Governance section of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0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pacing w:after="0" w:line="207"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sections of the Proxy Statement entitled “Share Ownership” and “Equity Compensation Plan Information” and other information included in the Proxy Statement required by this Item 12 are incorporated herein by reference.</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TRUSTEE INDEPENDENCE</w:t>
      </w:r>
    </w:p>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0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22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(a)(1) Financial Statements</w:t>
      </w:r>
    </w:p>
    <w:p>
      <w:pPr>
        <w:spacing w:after="0" w:line="189" w:lineRule="exact"/>
        <w:rPr>
          <w:sz w:val="20"/>
          <w:szCs w:val="20"/>
          <w:color w:val="auto"/>
        </w:rPr>
      </w:pPr>
    </w:p>
    <w:p>
      <w:pPr>
        <w:ind w:left="40" w:right="560"/>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Our consolidated financial statements and notes thereto, together with Reports of Independent Registered Public Accounting Firm are included as a separate section of this Annual Report on Form 10-K commencing on page </w:t>
      </w:r>
      <w:r>
        <w:rPr>
          <w:rFonts w:ascii="Arial" w:cs="Arial" w:eastAsia="Arial" w:hAnsi="Arial"/>
          <w:sz w:val="18"/>
          <w:szCs w:val="18"/>
          <w:u w:val="single" w:color="auto"/>
          <w:color w:val="0000FF"/>
        </w:rPr>
        <w:t>F-</w:t>
      </w:r>
      <w:hyperlink w:anchor="page59">
        <w:r>
          <w:rPr>
            <w:rFonts w:ascii="Arial" w:cs="Arial" w:eastAsia="Arial" w:hAnsi="Arial"/>
            <w:sz w:val="18"/>
            <w:szCs w:val="18"/>
            <w:u w:val="single" w:color="auto"/>
            <w:color w:val="0000FF"/>
          </w:rPr>
          <w:t>1</w:t>
        </w:r>
      </w:hyperlink>
      <w:r>
        <w:rPr>
          <w:rFonts w:ascii="Arial" w:cs="Arial" w:eastAsia="Arial" w:hAnsi="Arial"/>
          <w:sz w:val="18"/>
          <w:szCs w:val="18"/>
          <w:u w:val="single" w:color="auto"/>
          <w:color w:val="0000FF"/>
        </w:rPr>
        <w:t>.</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Our financial statement schedules are included in a separate section of this Annual Report on Form 10-K commencing on page </w:t>
      </w:r>
      <w:r>
        <w:rPr>
          <w:rFonts w:ascii="Arial" w:cs="Arial" w:eastAsia="Arial" w:hAnsi="Arial"/>
          <w:sz w:val="18"/>
          <w:szCs w:val="18"/>
          <w:u w:val="single" w:color="auto"/>
          <w:color w:val="0000FF"/>
        </w:rPr>
        <w:t>F-</w:t>
      </w:r>
      <w:hyperlink w:anchor="page90">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Exhibits</w:t>
      </w:r>
    </w:p>
    <w:p>
      <w:pPr>
        <w:spacing w:after="0" w:line="297" w:lineRule="exact"/>
        <w:rPr>
          <w:sz w:val="20"/>
          <w:szCs w:val="20"/>
          <w:color w:val="auto"/>
        </w:rPr>
      </w:pPr>
    </w:p>
    <w:p>
      <w:pPr>
        <w:ind w:left="300" w:hanging="261"/>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following documents are filed as exhibits are filed as part of, or incorporated by reference info, this report: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4" w:name="page55"/>
    <w:bookmarkEnd w:id="54"/>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38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Exhibit</w:t>
            </w:r>
          </w:p>
        </w:tc>
        <w:tc>
          <w:tcPr>
            <w:tcW w:w="10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40" w:type="dxa"/>
            <w:vAlign w:val="bottom"/>
          </w:tcPr>
          <w:p>
            <w:pPr>
              <w:spacing w:after="0"/>
              <w:rPr>
                <w:sz w:val="16"/>
                <w:szCs w:val="16"/>
                <w:color w:val="auto"/>
              </w:rPr>
            </w:pPr>
          </w:p>
        </w:tc>
        <w:tc>
          <w:tcPr>
            <w:tcW w:w="1018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w w:val="94"/>
              </w:rPr>
              <w:t>Declaration of Trust of Federal Realty Investment Trust dated May 5, 1999 as amended by the Articles of Amendment of Declaration of</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Trust of Federal Realty Investment Trust dated May 6, 2004, as corrected by the Certificate of Correction of Articles of Amendment of</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Declaration of Trust of Federal Realty Investment Trust dated June 17, 2004, as amended by the Articles of Amendment of Declaration of</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
          </w:tcPr>
          <w:p>
            <w:pPr>
              <w:ind w:left="20"/>
              <w:spacing w:after="0" w:line="176" w:lineRule="exact"/>
              <w:rPr>
                <w:rFonts w:ascii="Arial" w:cs="Arial" w:eastAsia="Arial" w:hAnsi="Arial"/>
                <w:sz w:val="18"/>
                <w:szCs w:val="18"/>
                <w:color w:val="auto"/>
                <w:w w:val="93"/>
              </w:rPr>
            </w:pPr>
            <w:r>
              <w:rPr>
                <w:rFonts w:ascii="Arial" w:cs="Arial" w:eastAsia="Arial" w:hAnsi="Arial"/>
                <w:sz w:val="18"/>
                <w:szCs w:val="18"/>
                <w:color w:val="auto"/>
                <w:w w:val="93"/>
              </w:rPr>
              <w:t xml:space="preserve">Trust of Federal Realty Investment Trust dated May 6, 2009 (previously filed as </w:t>
            </w:r>
            <w:hyperlink r:id="rId68">
              <w:r>
                <w:rPr>
                  <w:rFonts w:ascii="Arial" w:cs="Arial" w:eastAsia="Arial" w:hAnsi="Arial"/>
                  <w:sz w:val="18"/>
                  <w:szCs w:val="18"/>
                  <w:u w:val="single" w:color="auto"/>
                  <w:color w:val="0000FF"/>
                  <w:w w:val="93"/>
                </w:rPr>
                <w:t>Exhibit 3.1</w:t>
              </w:r>
              <w:r>
                <w:rPr>
                  <w:rFonts w:ascii="Arial" w:cs="Arial" w:eastAsia="Arial" w:hAnsi="Arial"/>
                  <w:sz w:val="18"/>
                  <w:szCs w:val="18"/>
                  <w:u w:val="single" w:color="auto"/>
                  <w:color w:val="auto"/>
                  <w:w w:val="93"/>
                </w:rPr>
                <w:t xml:space="preserve"> </w:t>
              </w:r>
            </w:hyperlink>
            <w:r>
              <w:rPr>
                <w:rFonts w:ascii="Arial" w:cs="Arial" w:eastAsia="Arial" w:hAnsi="Arial"/>
                <w:sz w:val="18"/>
                <w:szCs w:val="18"/>
                <w:color w:val="auto"/>
                <w:w w:val="93"/>
              </w:rPr>
              <w:t>to the Trust’s Registration Statement on Form</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rPr>
              <w:t>S-3 (File No. 333-160009) and incorporated herein by 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w w:val="92"/>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
          </w:tcPr>
          <w:p>
            <w:pPr>
              <w:ind w:left="20"/>
              <w:spacing w:after="0" w:line="176" w:lineRule="exact"/>
              <w:rPr>
                <w:rFonts w:ascii="Arial" w:cs="Arial" w:eastAsia="Arial" w:hAnsi="Arial"/>
                <w:sz w:val="18"/>
                <w:szCs w:val="18"/>
                <w:color w:val="auto"/>
                <w:w w:val="95"/>
              </w:rPr>
            </w:pPr>
            <w:r>
              <w:rPr>
                <w:rFonts w:ascii="Arial" w:cs="Arial" w:eastAsia="Arial" w:hAnsi="Arial"/>
                <w:sz w:val="18"/>
                <w:szCs w:val="18"/>
                <w:color w:val="auto"/>
                <w:w w:val="95"/>
              </w:rPr>
              <w:t xml:space="preserve">February 17, 2006, May 6, 2009, November 2, 2016, February 5, 2019, and April 2, 2020 (previously filed as </w:t>
            </w:r>
            <w:hyperlink r:id="rId69">
              <w:r>
                <w:rPr>
                  <w:rFonts w:ascii="Arial" w:cs="Arial" w:eastAsia="Arial" w:hAnsi="Arial"/>
                  <w:sz w:val="18"/>
                  <w:szCs w:val="18"/>
                  <w:u w:val="single" w:color="auto"/>
                  <w:color w:val="0000FF"/>
                  <w:w w:val="95"/>
                </w:rPr>
                <w:t>Exhibit 3.2</w:t>
              </w:r>
              <w:r>
                <w:rPr>
                  <w:rFonts w:ascii="Arial" w:cs="Arial" w:eastAsia="Arial" w:hAnsi="Arial"/>
                  <w:sz w:val="18"/>
                  <w:szCs w:val="18"/>
                  <w:u w:val="single" w:color="auto"/>
                  <w:color w:val="auto"/>
                  <w:w w:val="95"/>
                </w:rPr>
                <w:t xml:space="preserve"> </w:t>
              </w:r>
            </w:hyperlink>
            <w:r>
              <w:rPr>
                <w:rFonts w:ascii="Arial" w:cs="Arial" w:eastAsia="Arial" w:hAnsi="Arial"/>
                <w:sz w:val="18"/>
                <w:szCs w:val="18"/>
                <w:color w:val="auto"/>
                <w:w w:val="95"/>
              </w:rPr>
              <w:t>to the Trust’s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rPr>
              <w:t>Quarterly Report on Form 10-Q for the quarter ended March 31, 2020 (File No. 1-07533) and incorporated herein by 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10200" w:type="dxa"/>
            <w:vAlign w:val="bottom"/>
            <w:gridSpan w:val="2"/>
          </w:tcPr>
          <w:p>
            <w:pPr>
              <w:ind w:left="20"/>
              <w:spacing w:after="0"/>
              <w:rPr>
                <w:rFonts w:ascii="Arial" w:cs="Arial" w:eastAsia="Arial" w:hAnsi="Arial"/>
                <w:sz w:val="18"/>
                <w:szCs w:val="18"/>
                <w:color w:val="auto"/>
                <w:w w:val="98"/>
              </w:rPr>
            </w:pPr>
            <w:r>
              <w:rPr>
                <w:rFonts w:ascii="Arial" w:cs="Arial" w:eastAsia="Arial" w:hAnsi="Arial"/>
                <w:sz w:val="18"/>
                <w:szCs w:val="18"/>
                <w:color w:val="auto"/>
                <w:w w:val="98"/>
              </w:rPr>
              <w:t xml:space="preserve">Specimen Common Share certificate (previously filed as Exhibit 4(i) to the Trust’s Annual Report on </w:t>
            </w:r>
            <w:hyperlink r:id="rId70">
              <w:r>
                <w:rPr>
                  <w:rFonts w:ascii="Arial" w:cs="Arial" w:eastAsia="Arial" w:hAnsi="Arial"/>
                  <w:sz w:val="18"/>
                  <w:szCs w:val="18"/>
                  <w:u w:val="single" w:color="auto"/>
                  <w:color w:val="0000FF"/>
                  <w:w w:val="98"/>
                </w:rPr>
                <w:t>Form 10-K</w:t>
              </w:r>
              <w:r>
                <w:rPr>
                  <w:rFonts w:ascii="Arial" w:cs="Arial" w:eastAsia="Arial" w:hAnsi="Arial"/>
                  <w:sz w:val="18"/>
                  <w:szCs w:val="18"/>
                  <w:u w:val="single" w:color="auto"/>
                  <w:color w:val="auto"/>
                  <w:w w:val="98"/>
                </w:rPr>
                <w:t xml:space="preserve"> </w:t>
              </w:r>
            </w:hyperlink>
            <w:r>
              <w:rPr>
                <w:rFonts w:ascii="Arial" w:cs="Arial" w:eastAsia="Arial" w:hAnsi="Arial"/>
                <w:sz w:val="18"/>
                <w:szCs w:val="18"/>
                <w:color w:val="auto"/>
                <w:w w:val="98"/>
              </w:rPr>
              <w:t>for the year ended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w w:val="93"/>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rFonts w:ascii="Arial" w:cs="Arial" w:eastAsia="Arial" w:hAnsi="Arial"/>
                <w:sz w:val="18"/>
                <w:szCs w:val="18"/>
                <w:color w:val="0000FF"/>
                <w:w w:val="94"/>
              </w:rPr>
            </w:pPr>
            <w:hyperlink r:id="rId71">
              <w:r>
                <w:rPr>
                  <w:rFonts w:ascii="Arial" w:cs="Arial" w:eastAsia="Arial" w:hAnsi="Arial"/>
                  <w:sz w:val="18"/>
                  <w:szCs w:val="18"/>
                  <w:u w:val="single" w:color="auto"/>
                  <w:color w:val="0000FF"/>
                  <w:w w:val="94"/>
                </w:rPr>
                <w:t>Exhibit 4.1</w:t>
              </w:r>
              <w:r>
                <w:rPr>
                  <w:rFonts w:ascii="Arial" w:cs="Arial" w:eastAsia="Arial" w:hAnsi="Arial"/>
                  <w:sz w:val="18"/>
                  <w:szCs w:val="18"/>
                  <w:color w:val="0000FF"/>
                  <w:w w:val="94"/>
                </w:rPr>
                <w:t xml:space="preserve"> </w:t>
              </w:r>
            </w:hyperlink>
            <w:r>
              <w:rPr>
                <w:rFonts w:ascii="Arial" w:cs="Arial" w:eastAsia="Arial" w:hAnsi="Arial"/>
                <w:sz w:val="18"/>
                <w:szCs w:val="18"/>
                <w:color w:val="000000"/>
                <w:w w:val="94"/>
              </w:rPr>
              <w:t>to</w:t>
            </w:r>
            <w:r>
              <w:rPr>
                <w:rFonts w:ascii="Arial" w:cs="Arial" w:eastAsia="Arial" w:hAnsi="Arial"/>
                <w:sz w:val="18"/>
                <w:szCs w:val="18"/>
                <w:color w:val="0000FF"/>
                <w:w w:val="94"/>
              </w:rPr>
              <w:t xml:space="preserve"> </w:t>
            </w:r>
            <w:r>
              <w:rPr>
                <w:rFonts w:ascii="Arial" w:cs="Arial" w:eastAsia="Arial" w:hAnsi="Arial"/>
                <w:sz w:val="18"/>
                <w:szCs w:val="18"/>
                <w:color w:val="000000"/>
                <w:w w:val="94"/>
              </w:rPr>
              <w:t>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w w:val="93"/>
              </w:rPr>
              <w:t>** 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w w:val="91"/>
              </w:rPr>
              <w:t>** Indenture dated September 1, 1998 related to the Trust’s 3.00% Notes due 2022; 2.75% Notes due 2023; 3.95% Notes due 2024; 4.50%</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1"/>
              </w:rPr>
              <w:t>Notes due 2044; 2.55% Notes due 2021; 3.625% Notes due 2046; 3.25% Notes due 2027; 3.20% Notes due 2029; 3.50% Notes due 2030;</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
          </w:tcPr>
          <w:p>
            <w:pPr>
              <w:ind w:left="20"/>
              <w:spacing w:after="0" w:line="176" w:lineRule="exact"/>
              <w:rPr>
                <w:rFonts w:ascii="Arial" w:cs="Arial" w:eastAsia="Arial" w:hAnsi="Arial"/>
                <w:sz w:val="18"/>
                <w:szCs w:val="18"/>
                <w:color w:val="auto"/>
                <w:w w:val="95"/>
              </w:rPr>
            </w:pPr>
            <w:r>
              <w:rPr>
                <w:rFonts w:ascii="Arial" w:cs="Arial" w:eastAsia="Arial" w:hAnsi="Arial"/>
                <w:sz w:val="18"/>
                <w:szCs w:val="18"/>
                <w:color w:val="auto"/>
                <w:w w:val="95"/>
              </w:rPr>
              <w:t xml:space="preserve">1.25% Notes due 2026 (previously filed as </w:t>
            </w:r>
            <w:hyperlink r:id="rId72">
              <w:r>
                <w:rPr>
                  <w:rFonts w:ascii="Arial" w:cs="Arial" w:eastAsia="Arial" w:hAnsi="Arial"/>
                  <w:sz w:val="18"/>
                  <w:szCs w:val="18"/>
                  <w:u w:val="single" w:color="auto"/>
                  <w:color w:val="0000FF"/>
                  <w:w w:val="95"/>
                </w:rPr>
                <w:t>Exhibit 4(a)</w:t>
              </w:r>
              <w:r>
                <w:rPr>
                  <w:rFonts w:ascii="Arial" w:cs="Arial" w:eastAsia="Arial" w:hAnsi="Arial"/>
                  <w:sz w:val="18"/>
                  <w:szCs w:val="18"/>
                  <w:u w:val="single" w:color="auto"/>
                  <w:color w:val="auto"/>
                  <w:w w:val="95"/>
                </w:rPr>
                <w:t xml:space="preserve"> </w:t>
              </w:r>
            </w:hyperlink>
            <w:r>
              <w:rPr>
                <w:rFonts w:ascii="Arial" w:cs="Arial" w:eastAsia="Arial" w:hAnsi="Arial"/>
                <w:sz w:val="18"/>
                <w:szCs w:val="18"/>
                <w:color w:val="auto"/>
                <w:w w:val="95"/>
              </w:rPr>
              <w:t>to the Trust’s Registration Statement on Form S-3 (File No. 333-63619) filed 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rPr>
              <w:t>September 17, 1998 and incorporated herein by 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w w:val="91"/>
              </w:rPr>
              <w:t>Articles Supplementary relating to the 5.000% Series C Cumulative Redeemable Preferred Shares of Beneficial Interest (previously filed as</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
          </w:tcPr>
          <w:p>
            <w:pPr>
              <w:ind w:left="20"/>
              <w:spacing w:after="0" w:line="176" w:lineRule="exact"/>
              <w:rPr>
                <w:rFonts w:ascii="Arial" w:cs="Arial" w:eastAsia="Arial" w:hAnsi="Arial"/>
                <w:sz w:val="18"/>
                <w:szCs w:val="18"/>
                <w:color w:val="0000FF"/>
                <w:w w:val="93"/>
              </w:rPr>
            </w:pPr>
            <w:hyperlink r:id="rId73">
              <w:r>
                <w:rPr>
                  <w:rFonts w:ascii="Arial" w:cs="Arial" w:eastAsia="Arial" w:hAnsi="Arial"/>
                  <w:sz w:val="18"/>
                  <w:szCs w:val="18"/>
                  <w:u w:val="single" w:color="auto"/>
                  <w:color w:val="0000FF"/>
                  <w:w w:val="93"/>
                </w:rPr>
                <w:t>Exhibit 3.2</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to</w:t>
            </w:r>
            <w:r>
              <w:rPr>
                <w:rFonts w:ascii="Arial" w:cs="Arial" w:eastAsia="Arial" w:hAnsi="Arial"/>
                <w:sz w:val="18"/>
                <w:szCs w:val="18"/>
                <w:color w:val="0000FF"/>
                <w:w w:val="93"/>
              </w:rPr>
              <w:t xml:space="preserve"> </w:t>
            </w:r>
            <w:r>
              <w:rPr>
                <w:rFonts w:ascii="Arial" w:cs="Arial" w:eastAsia="Arial" w:hAnsi="Arial"/>
                <w:sz w:val="18"/>
                <w:szCs w:val="18"/>
                <w:color w:val="000000"/>
                <w:w w:val="93"/>
              </w:rPr>
              <w:t>the Trust's Registration Statement on Form 8-A (File No. 1-07533), filed on September 29, 2017 and incorporated herein by</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w w:val="92"/>
              </w:rPr>
              <w:t>Deposit Agreement, dated as of September 29, 2017, by and among Federal Realty Investment Trust, American Stock Transfer and Trust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
          </w:tcPr>
          <w:p>
            <w:pPr>
              <w:ind w:left="20"/>
              <w:spacing w:after="0" w:line="176" w:lineRule="exact"/>
              <w:rPr>
                <w:rFonts w:ascii="Arial" w:cs="Arial" w:eastAsia="Arial" w:hAnsi="Arial"/>
                <w:sz w:val="18"/>
                <w:szCs w:val="18"/>
                <w:color w:val="auto"/>
                <w:w w:val="97"/>
              </w:rPr>
            </w:pPr>
            <w:r>
              <w:rPr>
                <w:rFonts w:ascii="Arial" w:cs="Arial" w:eastAsia="Arial" w:hAnsi="Arial"/>
                <w:sz w:val="18"/>
                <w:szCs w:val="18"/>
                <w:color w:val="auto"/>
                <w:w w:val="97"/>
              </w:rPr>
              <w:t xml:space="preserve">Company, LLC, as Depositary, and all holders from time to time of Receipt (previously filed as </w:t>
            </w:r>
            <w:hyperlink r:id="rId74">
              <w:r>
                <w:rPr>
                  <w:rFonts w:ascii="Arial" w:cs="Arial" w:eastAsia="Arial" w:hAnsi="Arial"/>
                  <w:sz w:val="18"/>
                  <w:szCs w:val="18"/>
                  <w:u w:val="single" w:color="auto"/>
                  <w:color w:val="0000FF"/>
                  <w:w w:val="97"/>
                </w:rPr>
                <w:t>Exhibit 4.1</w:t>
              </w:r>
              <w:r>
                <w:rPr>
                  <w:rFonts w:ascii="Arial" w:cs="Arial" w:eastAsia="Arial" w:hAnsi="Arial"/>
                  <w:sz w:val="18"/>
                  <w:szCs w:val="18"/>
                  <w:u w:val="single" w:color="auto"/>
                  <w:color w:val="auto"/>
                  <w:w w:val="97"/>
                </w:rPr>
                <w:t xml:space="preserve"> </w:t>
              </w:r>
            </w:hyperlink>
            <w:r>
              <w:rPr>
                <w:rFonts w:ascii="Arial" w:cs="Arial" w:eastAsia="Arial" w:hAnsi="Arial"/>
                <w:sz w:val="18"/>
                <w:szCs w:val="18"/>
                <w:color w:val="auto"/>
                <w:w w:val="97"/>
              </w:rPr>
              <w:t>to the Trust's Registration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rPr>
              <w:t>Statement on Form 8-A (File No. 1-07533), filed on September 29, 2017 and incorporated herein by 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w w:val="93"/>
              </w:rPr>
              <w:t>Specimen certificate relating to the 5.000% Series C Cumulative Redeemable Preferred Shares of Beneficial Interest (previously filed as</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
          </w:tcPr>
          <w:p>
            <w:pPr>
              <w:ind w:left="20"/>
              <w:spacing w:after="0" w:line="176" w:lineRule="exact"/>
              <w:rPr>
                <w:rFonts w:ascii="Arial" w:cs="Arial" w:eastAsia="Arial" w:hAnsi="Arial"/>
                <w:sz w:val="18"/>
                <w:szCs w:val="18"/>
                <w:color w:val="0000FF"/>
                <w:w w:val="93"/>
              </w:rPr>
            </w:pPr>
            <w:hyperlink r:id="rId75">
              <w:r>
                <w:rPr>
                  <w:rFonts w:ascii="Arial" w:cs="Arial" w:eastAsia="Arial" w:hAnsi="Arial"/>
                  <w:sz w:val="18"/>
                  <w:szCs w:val="18"/>
                  <w:u w:val="single" w:color="auto"/>
                  <w:color w:val="0000FF"/>
                  <w:w w:val="93"/>
                </w:rPr>
                <w:t>Exhibit 4.3</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to</w:t>
            </w:r>
            <w:r>
              <w:rPr>
                <w:rFonts w:ascii="Arial" w:cs="Arial" w:eastAsia="Arial" w:hAnsi="Arial"/>
                <w:sz w:val="18"/>
                <w:szCs w:val="18"/>
                <w:color w:val="0000FF"/>
                <w:w w:val="93"/>
              </w:rPr>
              <w:t xml:space="preserve"> </w:t>
            </w:r>
            <w:r>
              <w:rPr>
                <w:rFonts w:ascii="Arial" w:cs="Arial" w:eastAsia="Arial" w:hAnsi="Arial"/>
                <w:sz w:val="18"/>
                <w:szCs w:val="18"/>
                <w:color w:val="000000"/>
                <w:w w:val="93"/>
              </w:rPr>
              <w:t>the Trust's Registration Statement on Form 8-A (File No. 1-07533), filed on September 29, 2017 and incorporated herein by</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10200" w:type="dxa"/>
            <w:vAlign w:val="bottom"/>
            <w:gridSpan w:val="2"/>
          </w:tcPr>
          <w:p>
            <w:pPr>
              <w:ind w:left="20"/>
              <w:spacing w:after="0"/>
              <w:rPr>
                <w:rFonts w:ascii="Arial" w:cs="Arial" w:eastAsia="Arial" w:hAnsi="Arial"/>
                <w:sz w:val="18"/>
                <w:szCs w:val="18"/>
                <w:color w:val="auto"/>
                <w:w w:val="92"/>
              </w:rPr>
            </w:pPr>
            <w:r>
              <w:rPr>
                <w:rFonts w:ascii="Arial" w:cs="Arial" w:eastAsia="Arial" w:hAnsi="Arial"/>
                <w:sz w:val="18"/>
                <w:szCs w:val="18"/>
                <w:color w:val="auto"/>
                <w:w w:val="92"/>
              </w:rPr>
              <w:t xml:space="preserve">Description of Securities (previously filed as </w:t>
            </w:r>
            <w:hyperlink r:id="rId76">
              <w:r>
                <w:rPr>
                  <w:rFonts w:ascii="Arial" w:cs="Arial" w:eastAsia="Arial" w:hAnsi="Arial"/>
                  <w:sz w:val="18"/>
                  <w:szCs w:val="18"/>
                  <w:u w:val="single" w:color="auto"/>
                  <w:color w:val="0000FF"/>
                  <w:w w:val="92"/>
                </w:rPr>
                <w:t>Exhibit 4.8</w:t>
              </w:r>
              <w:r>
                <w:rPr>
                  <w:rFonts w:ascii="Arial" w:cs="Arial" w:eastAsia="Arial" w:hAnsi="Arial"/>
                  <w:sz w:val="18"/>
                  <w:szCs w:val="18"/>
                  <w:u w:val="single" w:color="auto"/>
                  <w:color w:val="auto"/>
                  <w:w w:val="92"/>
                </w:rPr>
                <w:t xml:space="preserve"> </w:t>
              </w:r>
            </w:hyperlink>
            <w:r>
              <w:rPr>
                <w:rFonts w:ascii="Arial" w:cs="Arial" w:eastAsia="Arial" w:hAnsi="Arial"/>
                <w:sz w:val="18"/>
                <w:szCs w:val="18"/>
                <w:color w:val="auto"/>
                <w:w w:val="92"/>
              </w:rPr>
              <w:t>to the Trust's Annual Report on Form 10-K for the year ended December 31, 2019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rPr>
              <w:t>(File No. 001-07533 and incorporated here by 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10200" w:type="dxa"/>
            <w:vAlign w:val="bottom"/>
            <w:gridSpan w:val="2"/>
          </w:tcPr>
          <w:p>
            <w:pPr>
              <w:ind w:left="20"/>
              <w:spacing w:after="0"/>
              <w:rPr>
                <w:rFonts w:ascii="Arial" w:cs="Arial" w:eastAsia="Arial" w:hAnsi="Arial"/>
                <w:sz w:val="18"/>
                <w:szCs w:val="18"/>
                <w:color w:val="auto"/>
                <w:w w:val="92"/>
              </w:rPr>
            </w:pPr>
            <w:r>
              <w:rPr>
                <w:rFonts w:ascii="Arial" w:cs="Arial" w:eastAsia="Arial" w:hAnsi="Arial"/>
                <w:sz w:val="18"/>
                <w:szCs w:val="18"/>
                <w:color w:val="auto"/>
                <w:w w:val="92"/>
              </w:rPr>
              <w:t xml:space="preserve">* Severance Agreement between the Trust and Donald C. Wood dated February 22, 1999 (previously filed as a portion of </w:t>
            </w:r>
            <w:hyperlink r:id="rId77">
              <w:r>
                <w:rPr>
                  <w:rFonts w:ascii="Arial" w:cs="Arial" w:eastAsia="Arial" w:hAnsi="Arial"/>
                  <w:sz w:val="18"/>
                  <w:szCs w:val="18"/>
                  <w:u w:val="single" w:color="auto"/>
                  <w:color w:val="0000FF"/>
                  <w:w w:val="92"/>
                </w:rPr>
                <w:t>Exhibit 10</w:t>
              </w:r>
              <w:r>
                <w:rPr>
                  <w:rFonts w:ascii="Arial" w:cs="Arial" w:eastAsia="Arial" w:hAnsi="Arial"/>
                  <w:sz w:val="18"/>
                  <w:szCs w:val="18"/>
                  <w:u w:val="single" w:color="auto"/>
                  <w:color w:val="auto"/>
                  <w:w w:val="92"/>
                </w:rPr>
                <w:t xml:space="preserve"> </w:t>
              </w:r>
            </w:hyperlink>
            <w:r>
              <w:rPr>
                <w:rFonts w:ascii="Arial" w:cs="Arial" w:eastAsia="Arial" w:hAnsi="Arial"/>
                <w:sz w:val="18"/>
                <w:szCs w:val="18"/>
                <w:color w:val="auto"/>
                <w:w w:val="92"/>
              </w:rPr>
              <w:t>to the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Trust's Quarterly Report on Form 10-Q for the quarter ended March 31, 1999 (File No. 1-07533) (the "1999 1Q Form 10-Q") and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w w:val="95"/>
              </w:rPr>
              <w:t>* Executive Agreement between Federal Realty Investment Trust and Donald C. Wood dated February 22, 1999 (previously filed as 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portion of </w:t>
            </w:r>
            <w:hyperlink r:id="rId77">
              <w:r>
                <w:rPr>
                  <w:rFonts w:ascii="Arial" w:cs="Arial" w:eastAsia="Arial" w:hAnsi="Arial"/>
                  <w:sz w:val="18"/>
                  <w:szCs w:val="18"/>
                  <w:u w:val="single" w:color="auto"/>
                  <w:color w:val="0000FF"/>
                </w:rPr>
                <w:t>Exhibit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1999 1Q Form 10-Q and incorporated herein by 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w w:val="91"/>
              </w:rPr>
              <w:t>* Amendment to Executive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gridSpan w:val="2"/>
          </w:tcPr>
          <w:p>
            <w:pPr>
              <w:ind w:left="20"/>
              <w:spacing w:after="0" w:line="176" w:lineRule="exact"/>
              <w:rPr>
                <w:rFonts w:ascii="Arial" w:cs="Arial" w:eastAsia="Arial" w:hAnsi="Arial"/>
                <w:sz w:val="18"/>
                <w:szCs w:val="18"/>
                <w:color w:val="auto"/>
                <w:w w:val="95"/>
              </w:rPr>
            </w:pPr>
            <w:r>
              <w:rPr>
                <w:rFonts w:ascii="Arial" w:cs="Arial" w:eastAsia="Arial" w:hAnsi="Arial"/>
                <w:sz w:val="18"/>
                <w:szCs w:val="18"/>
                <w:color w:val="auto"/>
                <w:w w:val="95"/>
              </w:rPr>
              <w:t xml:space="preserve">filed as </w:t>
            </w:r>
            <w:hyperlink r:id="rId78">
              <w:r>
                <w:rPr>
                  <w:rFonts w:ascii="Arial" w:cs="Arial" w:eastAsia="Arial" w:hAnsi="Arial"/>
                  <w:sz w:val="18"/>
                  <w:szCs w:val="18"/>
                  <w:u w:val="single" w:color="auto"/>
                  <w:color w:val="0000FF"/>
                  <w:w w:val="95"/>
                </w:rPr>
                <w:t>Exhibit 10.12</w:t>
              </w:r>
              <w:r>
                <w:rPr>
                  <w:rFonts w:ascii="Arial" w:cs="Arial" w:eastAsia="Arial" w:hAnsi="Arial"/>
                  <w:sz w:val="18"/>
                  <w:szCs w:val="18"/>
                  <w:u w:val="single" w:color="auto"/>
                  <w:color w:val="auto"/>
                  <w:w w:val="95"/>
                </w:rPr>
                <w:t xml:space="preserve"> </w:t>
              </w:r>
            </w:hyperlink>
            <w:r>
              <w:rPr>
                <w:rFonts w:ascii="Arial" w:cs="Arial" w:eastAsia="Arial" w:hAnsi="Arial"/>
                <w:sz w:val="18"/>
                <w:szCs w:val="18"/>
                <w:color w:val="auto"/>
                <w:w w:val="95"/>
              </w:rPr>
              <w:t>to the Trust’s Annual Report on Form 10-K for the year ended December 31, 2004 (File No. 1-07533) (the “2004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10200" w:type="dxa"/>
            <w:vAlign w:val="bottom"/>
            <w:gridSpan w:val="2"/>
          </w:tcPr>
          <w:p>
            <w:pPr>
              <w:ind w:left="20"/>
              <w:spacing w:after="0"/>
              <w:rPr>
                <w:rFonts w:ascii="Arial" w:cs="Arial" w:eastAsia="Arial" w:hAnsi="Arial"/>
                <w:sz w:val="18"/>
                <w:szCs w:val="18"/>
                <w:color w:val="auto"/>
                <w:w w:val="94"/>
              </w:rPr>
            </w:pPr>
            <w:r>
              <w:rPr>
                <w:rFonts w:ascii="Arial" w:cs="Arial" w:eastAsia="Arial" w:hAnsi="Arial"/>
                <w:sz w:val="18"/>
                <w:szCs w:val="18"/>
                <w:color w:val="auto"/>
                <w:w w:val="94"/>
              </w:rPr>
              <w:t xml:space="preserve">2001 Long-Term Incentive Plan (previously filed as </w:t>
            </w:r>
            <w:hyperlink r:id="rId79">
              <w:r>
                <w:rPr>
                  <w:rFonts w:ascii="Arial" w:cs="Arial" w:eastAsia="Arial" w:hAnsi="Arial"/>
                  <w:sz w:val="18"/>
                  <w:szCs w:val="18"/>
                  <w:u w:val="single" w:color="auto"/>
                  <w:color w:val="0000FF"/>
                  <w:w w:val="94"/>
                </w:rPr>
                <w:t>Exhibit 99.1</w:t>
              </w:r>
              <w:r>
                <w:rPr>
                  <w:rFonts w:ascii="Arial" w:cs="Arial" w:eastAsia="Arial" w:hAnsi="Arial"/>
                  <w:sz w:val="18"/>
                  <w:szCs w:val="18"/>
                  <w:u w:val="single" w:color="auto"/>
                  <w:color w:val="auto"/>
                  <w:w w:val="94"/>
                </w:rPr>
                <w:t xml:space="preserve"> </w:t>
              </w:r>
            </w:hyperlink>
            <w:r>
              <w:rPr>
                <w:rFonts w:ascii="Arial" w:cs="Arial" w:eastAsia="Arial" w:hAnsi="Arial"/>
                <w:sz w:val="18"/>
                <w:szCs w:val="18"/>
                <w:color w:val="auto"/>
                <w:w w:val="94"/>
              </w:rPr>
              <w:t>to the Trust’s S-8 Registration Number 333-60364 filed on May 7, 2001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w w:val="96"/>
              </w:rPr>
              <w:t>* Health Coverage Continuation Agreement between Federal Realty Investment Trust and Donald C. Wood dated February 16, 2005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(previously filed as </w:t>
            </w:r>
            <w:hyperlink r:id="rId80">
              <w:r>
                <w:rPr>
                  <w:rFonts w:ascii="Arial" w:cs="Arial" w:eastAsia="Arial" w:hAnsi="Arial"/>
                  <w:sz w:val="18"/>
                  <w:szCs w:val="18"/>
                  <w:u w:val="single" w:color="auto"/>
                  <w:color w:val="0000FF"/>
                </w:rPr>
                <w:t>Exhibit 10.26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2004 Form 10-K and incorporated herein by 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10200" w:type="dxa"/>
            <w:vAlign w:val="bottom"/>
            <w:gridSpan w:val="2"/>
          </w:tcPr>
          <w:p>
            <w:pPr>
              <w:ind w:left="20"/>
              <w:spacing w:after="0"/>
              <w:rPr>
                <w:rFonts w:ascii="Arial" w:cs="Arial" w:eastAsia="Arial" w:hAnsi="Arial"/>
                <w:sz w:val="18"/>
                <w:szCs w:val="18"/>
                <w:color w:val="auto"/>
                <w:w w:val="92"/>
              </w:rPr>
            </w:pPr>
            <w:r>
              <w:rPr>
                <w:rFonts w:ascii="Arial" w:cs="Arial" w:eastAsia="Arial" w:hAnsi="Arial"/>
                <w:sz w:val="18"/>
                <w:szCs w:val="18"/>
                <w:color w:val="auto"/>
                <w:w w:val="92"/>
              </w:rPr>
              <w:t xml:space="preserve">* Severance Agreement between the Trust and Dawn M. Becker dated April 19, 2000 (previously filed as </w:t>
            </w:r>
            <w:hyperlink r:id="rId81">
              <w:r>
                <w:rPr>
                  <w:rFonts w:ascii="Arial" w:cs="Arial" w:eastAsia="Arial" w:hAnsi="Arial"/>
                  <w:sz w:val="18"/>
                  <w:szCs w:val="18"/>
                  <w:u w:val="single" w:color="auto"/>
                  <w:color w:val="0000FF"/>
                  <w:w w:val="92"/>
                </w:rPr>
                <w:t>Exhibit 10.26</w:t>
              </w:r>
              <w:r>
                <w:rPr>
                  <w:rFonts w:ascii="Arial" w:cs="Arial" w:eastAsia="Arial" w:hAnsi="Arial"/>
                  <w:sz w:val="18"/>
                  <w:szCs w:val="18"/>
                  <w:u w:val="single" w:color="auto"/>
                  <w:color w:val="auto"/>
                  <w:w w:val="92"/>
                </w:rPr>
                <w:t xml:space="preserve"> </w:t>
              </w:r>
            </w:hyperlink>
            <w:r>
              <w:rPr>
                <w:rFonts w:ascii="Arial" w:cs="Arial" w:eastAsia="Arial" w:hAnsi="Arial"/>
                <w:sz w:val="18"/>
                <w:szCs w:val="18"/>
                <w:color w:val="auto"/>
                <w:w w:val="92"/>
              </w:rPr>
              <w:t>to the Trust’s 2005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rPr>
              <w:t>2Q Form 10-Q and incorporated herein by reference)</w:t>
            </w: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10200" w:type="dxa"/>
            <w:vAlign w:val="bottom"/>
            <w:gridSpan w:val="2"/>
          </w:tcPr>
          <w:p>
            <w:pPr>
              <w:ind w:left="20"/>
              <w:spacing w:after="0"/>
              <w:rPr>
                <w:rFonts w:ascii="Arial" w:cs="Arial" w:eastAsia="Arial" w:hAnsi="Arial"/>
                <w:sz w:val="18"/>
                <w:szCs w:val="18"/>
                <w:color w:val="auto"/>
                <w:w w:val="92"/>
              </w:rPr>
            </w:pPr>
            <w:r>
              <w:rPr>
                <w:rFonts w:ascii="Arial" w:cs="Arial" w:eastAsia="Arial" w:hAnsi="Arial"/>
                <w:sz w:val="18"/>
                <w:szCs w:val="18"/>
                <w:color w:val="auto"/>
                <w:w w:val="92"/>
              </w:rPr>
              <w:t xml:space="preserve">* Amendment to Severance Agreement between the Trust and Dawn M. Becker dated February 16, 2005 (previously filed as </w:t>
            </w:r>
            <w:hyperlink r:id="rId82">
              <w:r>
                <w:rPr>
                  <w:rFonts w:ascii="Arial" w:cs="Arial" w:eastAsia="Arial" w:hAnsi="Arial"/>
                  <w:sz w:val="18"/>
                  <w:szCs w:val="18"/>
                  <w:u w:val="single" w:color="auto"/>
                  <w:color w:val="0000FF"/>
                  <w:w w:val="92"/>
                </w:rPr>
                <w:t>Exhibit 10.27</w:t>
              </w:r>
            </w:hyperlink>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0" w:type="dxa"/>
            <w:vAlign w:val="bottom"/>
            <w:gridSpan w:val="2"/>
          </w:tcPr>
          <w:p>
            <w:pPr>
              <w:ind w:left="20"/>
              <w:spacing w:after="0"/>
              <w:rPr>
                <w:sz w:val="20"/>
                <w:szCs w:val="20"/>
                <w:color w:val="auto"/>
              </w:rPr>
            </w:pPr>
            <w:r>
              <w:rPr>
                <w:rFonts w:ascii="Arial" w:cs="Arial" w:eastAsia="Arial" w:hAnsi="Arial"/>
                <w:sz w:val="18"/>
                <w:szCs w:val="18"/>
                <w:color w:val="auto"/>
              </w:rPr>
              <w:t>to the 2004 Form 10-K and incorporated herein by reference)</w:t>
            </w:r>
          </w:p>
        </w:tc>
        <w:tc>
          <w:tcPr>
            <w:tcW w:w="0" w:type="dxa"/>
            <w:vAlign w:val="bottom"/>
          </w:tcPr>
          <w:p>
            <w:pPr>
              <w:spacing w:after="0"/>
              <w:rPr>
                <w:sz w:val="1"/>
                <w:szCs w:val="1"/>
                <w:color w:val="auto"/>
              </w:rPr>
            </w:pPr>
          </w:p>
        </w:tc>
      </w:tr>
      <w:tr>
        <w:trPr>
          <w:trHeight w:val="904"/>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tcPr>
          <w:p>
            <w:pPr>
              <w:ind w:left="450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24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24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8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4"/>
                <w:szCs w:val="14"/>
                <w:color w:val="auto"/>
              </w:rPr>
            </w:pPr>
          </w:p>
        </w:tc>
        <w:tc>
          <w:tcPr>
            <w:tcW w:w="10200" w:type="dxa"/>
            <w:vAlign w:val="bottom"/>
            <w:tcBorders>
              <w:top w:val="single" w:sz="8" w:color="auto"/>
            </w:tcBorders>
            <w:gridSpan w:val="9"/>
          </w:tcPr>
          <w:p>
            <w:pPr>
              <w:ind w:left="20"/>
              <w:spacing w:after="0" w:line="170" w:lineRule="exact"/>
              <w:rPr>
                <w:sz w:val="20"/>
                <w:szCs w:val="20"/>
                <w:color w:val="auto"/>
              </w:rPr>
            </w:pPr>
            <w:r>
              <w:rPr>
                <w:rFonts w:ascii="Arial" w:cs="Arial" w:eastAsia="Arial" w:hAnsi="Arial"/>
                <w:sz w:val="18"/>
                <w:szCs w:val="18"/>
                <w:color w:val="auto"/>
                <w:w w:val="93"/>
              </w:rPr>
              <w:t>Form of Restricted Share Award Agreement for long term vesting and retention awards for shares issued out of the 2010 Plan (previously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10"/>
          </w:tcPr>
          <w:p>
            <w:pPr>
              <w:ind w:left="20"/>
              <w:spacing w:after="0" w:line="176" w:lineRule="exact"/>
              <w:rPr>
                <w:rFonts w:ascii="Arial" w:cs="Arial" w:eastAsia="Arial" w:hAnsi="Arial"/>
                <w:sz w:val="18"/>
                <w:szCs w:val="18"/>
                <w:color w:val="auto"/>
                <w:w w:val="92"/>
              </w:rPr>
            </w:pPr>
            <w:r>
              <w:rPr>
                <w:rFonts w:ascii="Arial" w:cs="Arial" w:eastAsia="Arial" w:hAnsi="Arial"/>
                <w:sz w:val="18"/>
                <w:szCs w:val="18"/>
                <w:color w:val="auto"/>
                <w:w w:val="92"/>
              </w:rPr>
              <w:t xml:space="preserve">filed as </w:t>
            </w:r>
            <w:hyperlink r:id="rId85">
              <w:r>
                <w:rPr>
                  <w:rFonts w:ascii="Arial" w:cs="Arial" w:eastAsia="Arial" w:hAnsi="Arial"/>
                  <w:sz w:val="18"/>
                  <w:szCs w:val="18"/>
                  <w:u w:val="single" w:color="auto"/>
                  <w:color w:val="0000FF"/>
                  <w:w w:val="92"/>
                </w:rPr>
                <w:t>Exhibit 10.35</w:t>
              </w:r>
              <w:r>
                <w:rPr>
                  <w:rFonts w:ascii="Arial" w:cs="Arial" w:eastAsia="Arial" w:hAnsi="Arial"/>
                  <w:sz w:val="18"/>
                  <w:szCs w:val="18"/>
                  <w:u w:val="single" w:color="auto"/>
                  <w:color w:val="auto"/>
                  <w:w w:val="92"/>
                </w:rPr>
                <w:t xml:space="preserve"> </w:t>
              </w:r>
            </w:hyperlink>
            <w:r>
              <w:rPr>
                <w:rFonts w:ascii="Arial" w:cs="Arial" w:eastAsia="Arial" w:hAnsi="Arial"/>
                <w:sz w:val="18"/>
                <w:szCs w:val="18"/>
                <w:color w:val="auto"/>
                <w:w w:val="92"/>
              </w:rPr>
              <w:t>to the Trust's Annual Report on Form 10-K for the year ended December 31, 2010 (File No. 1-07533) (the "2010 Form</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rPr>
              <w:t>10-K") and incorporated herein by reference)</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0240" w:type="dxa"/>
            <w:vAlign w:val="bottom"/>
            <w:gridSpan w:val="10"/>
          </w:tcPr>
          <w:p>
            <w:pPr>
              <w:ind w:left="20"/>
              <w:spacing w:after="0"/>
              <w:rPr>
                <w:rFonts w:ascii="Arial" w:cs="Arial" w:eastAsia="Arial" w:hAnsi="Arial"/>
                <w:sz w:val="18"/>
                <w:szCs w:val="18"/>
                <w:color w:val="auto"/>
                <w:w w:val="92"/>
              </w:rPr>
            </w:pPr>
            <w:r>
              <w:rPr>
                <w:rFonts w:ascii="Arial" w:cs="Arial" w:eastAsia="Arial" w:hAnsi="Arial"/>
                <w:sz w:val="18"/>
                <w:szCs w:val="18"/>
                <w:color w:val="auto"/>
                <w:w w:val="92"/>
              </w:rPr>
              <w:t xml:space="preserve">* Amendment to Severance Agreement between the Trust and Donald C. Wood dated January 1, 2009 (previously filed as </w:t>
            </w:r>
            <w:hyperlink r:id="rId86">
              <w:r>
                <w:rPr>
                  <w:rFonts w:ascii="Arial" w:cs="Arial" w:eastAsia="Arial" w:hAnsi="Arial"/>
                  <w:sz w:val="18"/>
                  <w:szCs w:val="18"/>
                  <w:u w:val="single" w:color="auto"/>
                  <w:color w:val="0000FF"/>
                  <w:w w:val="92"/>
                </w:rPr>
                <w:t>Exhibit 10.26</w:t>
              </w:r>
              <w:r>
                <w:rPr>
                  <w:rFonts w:ascii="Arial" w:cs="Arial" w:eastAsia="Arial" w:hAnsi="Arial"/>
                  <w:sz w:val="18"/>
                  <w:szCs w:val="18"/>
                  <w:u w:val="single" w:color="auto"/>
                  <w:color w:val="auto"/>
                  <w:w w:val="92"/>
                </w:rPr>
                <w:t xml:space="preserve"> </w:t>
              </w:r>
            </w:hyperlink>
            <w:r>
              <w:rPr>
                <w:rFonts w:ascii="Arial" w:cs="Arial" w:eastAsia="Arial" w:hAnsi="Arial"/>
                <w:sz w:val="18"/>
                <w:szCs w:val="18"/>
                <w:color w:val="auto"/>
                <w:w w:val="92"/>
              </w:rPr>
              <w:t>to</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10"/>
          </w:tcPr>
          <w:p>
            <w:pPr>
              <w:ind w:left="20"/>
              <w:spacing w:after="0" w:line="176" w:lineRule="exact"/>
              <w:rPr>
                <w:sz w:val="20"/>
                <w:szCs w:val="20"/>
                <w:color w:val="auto"/>
              </w:rPr>
            </w:pPr>
            <w:r>
              <w:rPr>
                <w:rFonts w:ascii="Arial" w:cs="Arial" w:eastAsia="Arial" w:hAnsi="Arial"/>
                <w:sz w:val="18"/>
                <w:szCs w:val="18"/>
                <w:color w:val="auto"/>
              </w:rPr>
              <w:t>the Trust’s Annual Report on Form 10-K for the year ended December 31, 2008 (File No. 1-07533) (“the 2008 Form 10-K”) and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1"/>
                <w:szCs w:val="21"/>
                <w:color w:val="auto"/>
              </w:rPr>
            </w:pPr>
          </w:p>
        </w:tc>
        <w:tc>
          <w:tcPr>
            <w:tcW w:w="10240" w:type="dxa"/>
            <w:vAlign w:val="bottom"/>
            <w:gridSpan w:val="10"/>
          </w:tcPr>
          <w:p>
            <w:pPr>
              <w:ind w:left="20"/>
              <w:spacing w:after="0"/>
              <w:rPr>
                <w:rFonts w:ascii="Arial" w:cs="Arial" w:eastAsia="Arial" w:hAnsi="Arial"/>
                <w:sz w:val="18"/>
                <w:szCs w:val="18"/>
                <w:color w:val="auto"/>
                <w:w w:val="93"/>
              </w:rPr>
            </w:pPr>
            <w:hyperlink r:id="rId87">
              <w:r>
                <w:rPr>
                  <w:rFonts w:ascii="Arial" w:cs="Arial" w:eastAsia="Arial" w:hAnsi="Arial"/>
                  <w:sz w:val="18"/>
                  <w:szCs w:val="18"/>
                  <w:color w:val="auto"/>
                  <w:w w:val="93"/>
                </w:rPr>
                <w:t xml:space="preserve">* Second Amendment to Executive Agreement between the Trust and Donald C. Wood dated January 1, 2009 (previously filed as </w:t>
              </w:r>
              <w:r>
                <w:rPr>
                  <w:rFonts w:ascii="Arial" w:cs="Arial" w:eastAsia="Arial" w:hAnsi="Arial"/>
                  <w:sz w:val="18"/>
                  <w:szCs w:val="18"/>
                  <w:color w:val="0000FF"/>
                  <w:w w:val="93"/>
                </w:rPr>
                <w:t>Exhibit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0" w:type="dxa"/>
            <w:vAlign w:val="bottom"/>
            <w:gridSpan w:val="4"/>
          </w:tcPr>
          <w:p>
            <w:pPr>
              <w:ind w:left="20"/>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10.</w:t>
              </w:r>
              <w:r>
                <w:rPr>
                  <w:rFonts w:ascii="Arial" w:cs="Arial" w:eastAsia="Arial" w:hAnsi="Arial"/>
                  <w:sz w:val="18"/>
                  <w:szCs w:val="18"/>
                  <w:u w:val="single" w:color="auto"/>
                  <w:color w:val="0000FF"/>
                </w:rPr>
                <w:t>27</w:t>
              </w:r>
              <w:r>
                <w:rPr>
                  <w:rFonts w:ascii="Arial" w:cs="Arial" w:eastAsia="Arial" w:hAnsi="Arial"/>
                  <w:sz w:val="18"/>
                  <w:szCs w:val="18"/>
                  <w:color w:val="0000FF"/>
                </w:rPr>
                <w:t xml:space="preserve"> </w:t>
              </w:r>
              <w:r>
                <w:rPr>
                  <w:rFonts w:ascii="Arial" w:cs="Arial" w:eastAsia="Arial" w:hAnsi="Arial"/>
                  <w:sz w:val="18"/>
                  <w:szCs w:val="18"/>
                  <w:color w:val="000000"/>
                </w:rPr>
                <w:t>to the Trust’s 2008 Form 10-K and incorporated herein by reference)</w:t>
              </w:r>
            </w:hyperlink>
          </w:p>
        </w:tc>
        <w:tc>
          <w:tcPr>
            <w:tcW w:w="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w w:val="92"/>
              </w:rPr>
              <w:t>* Amendment to Health Coverage Continuation Agreement between the Trust and Donald C. Wood dated January 1, 2009 (previously filed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10"/>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as </w:t>
            </w:r>
            <w:hyperlink r:id="rId88">
              <w:r>
                <w:rPr>
                  <w:rFonts w:ascii="Arial" w:cs="Arial" w:eastAsia="Arial" w:hAnsi="Arial"/>
                  <w:sz w:val="18"/>
                  <w:szCs w:val="18"/>
                  <w:u w:val="single" w:color="auto"/>
                  <w:color w:val="0000FF"/>
                </w:rPr>
                <w:t>Exhibit 10.28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1"/>
                <w:szCs w:val="21"/>
                <w:color w:val="auto"/>
              </w:rPr>
            </w:pPr>
          </w:p>
        </w:tc>
        <w:tc>
          <w:tcPr>
            <w:tcW w:w="10240" w:type="dxa"/>
            <w:vAlign w:val="bottom"/>
            <w:gridSpan w:val="10"/>
          </w:tcPr>
          <w:p>
            <w:pPr>
              <w:ind w:left="20"/>
              <w:spacing w:after="0"/>
              <w:rPr>
                <w:rFonts w:ascii="Arial" w:cs="Arial" w:eastAsia="Arial" w:hAnsi="Arial"/>
                <w:sz w:val="18"/>
                <w:szCs w:val="18"/>
                <w:color w:val="auto"/>
                <w:w w:val="92"/>
              </w:rPr>
            </w:pPr>
            <w:hyperlink r:id="rId89">
              <w:r>
                <w:rPr>
                  <w:rFonts w:ascii="Arial" w:cs="Arial" w:eastAsia="Arial" w:hAnsi="Arial"/>
                  <w:sz w:val="18"/>
                  <w:szCs w:val="18"/>
                  <w:color w:val="auto"/>
                  <w:w w:val="92"/>
                </w:rPr>
                <w:t xml:space="preserve">* Second Amendment to Severance Agreement between the Trust and Dawn M. Becker dated January 1, 2009 (previously filed as </w:t>
              </w:r>
              <w:r>
                <w:rPr>
                  <w:rFonts w:ascii="Arial" w:cs="Arial" w:eastAsia="Arial" w:hAnsi="Arial"/>
                  <w:sz w:val="18"/>
                  <w:szCs w:val="18"/>
                  <w:color w:val="0000FF"/>
                  <w:w w:val="92"/>
                </w:rPr>
                <w:t>Exhibit</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40" w:type="dxa"/>
            <w:vAlign w:val="bottom"/>
            <w:gridSpan w:val="5"/>
          </w:tcPr>
          <w:p>
            <w:pPr>
              <w:ind w:left="20"/>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10.</w:t>
              </w:r>
              <w:r>
                <w:rPr>
                  <w:rFonts w:ascii="Arial" w:cs="Arial" w:eastAsia="Arial" w:hAnsi="Arial"/>
                  <w:sz w:val="18"/>
                  <w:szCs w:val="18"/>
                  <w:u w:val="single" w:color="auto"/>
                  <w:color w:val="0000FF"/>
                </w:rPr>
                <w:t>30</w:t>
              </w:r>
              <w:r>
                <w:rPr>
                  <w:rFonts w:ascii="Arial" w:cs="Arial" w:eastAsia="Arial" w:hAnsi="Arial"/>
                  <w:sz w:val="18"/>
                  <w:szCs w:val="18"/>
                  <w:color w:val="0000FF"/>
                </w:rPr>
                <w:t xml:space="preserve"> </w:t>
              </w:r>
              <w:r>
                <w:rPr>
                  <w:rFonts w:ascii="Arial" w:cs="Arial" w:eastAsia="Arial" w:hAnsi="Arial"/>
                  <w:sz w:val="18"/>
                  <w:szCs w:val="18"/>
                  <w:color w:val="000000"/>
                </w:rPr>
                <w:t>to the Trust’s 2008 Form 10-K and incorporated herein by reference)</w:t>
              </w:r>
            </w:hyperlink>
          </w:p>
        </w:tc>
        <w:tc>
          <w:tcPr>
            <w:tcW w:w="4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ind w:left="2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10240" w:type="dxa"/>
            <w:vAlign w:val="bottom"/>
            <w:gridSpan w:val="10"/>
          </w:tcPr>
          <w:p>
            <w:pPr>
              <w:ind w:left="20"/>
              <w:spacing w:after="0"/>
              <w:rPr>
                <w:rFonts w:ascii="Arial" w:cs="Arial" w:eastAsia="Arial" w:hAnsi="Arial"/>
                <w:sz w:val="18"/>
                <w:szCs w:val="18"/>
                <w:color w:val="auto"/>
                <w:w w:val="93"/>
              </w:rPr>
            </w:pPr>
            <w:r>
              <w:rPr>
                <w:rFonts w:ascii="Arial" w:cs="Arial" w:eastAsia="Arial" w:hAnsi="Arial"/>
                <w:sz w:val="18"/>
                <w:szCs w:val="18"/>
                <w:color w:val="auto"/>
                <w:w w:val="93"/>
              </w:rPr>
              <w:t xml:space="preserve">2010 Performance Incentive Plan (previously filed as </w:t>
            </w:r>
            <w:hyperlink r:id="rId90">
              <w:r>
                <w:rPr>
                  <w:rFonts w:ascii="Arial" w:cs="Arial" w:eastAsia="Arial" w:hAnsi="Arial"/>
                  <w:sz w:val="18"/>
                  <w:szCs w:val="18"/>
                  <w:u w:val="single" w:color="auto"/>
                  <w:color w:val="0000FF"/>
                  <w:w w:val="93"/>
                </w:rPr>
                <w:t>Appendix A</w:t>
              </w:r>
              <w:r>
                <w:rPr>
                  <w:rFonts w:ascii="Arial" w:cs="Arial" w:eastAsia="Arial" w:hAnsi="Arial"/>
                  <w:sz w:val="18"/>
                  <w:szCs w:val="18"/>
                  <w:u w:val="single" w:color="auto"/>
                  <w:color w:val="auto"/>
                  <w:w w:val="93"/>
                </w:rPr>
                <w:t xml:space="preserve"> </w:t>
              </w:r>
            </w:hyperlink>
            <w:r>
              <w:rPr>
                <w:rFonts w:ascii="Arial" w:cs="Arial" w:eastAsia="Arial" w:hAnsi="Arial"/>
                <w:sz w:val="18"/>
                <w:szCs w:val="18"/>
                <w:color w:val="auto"/>
                <w:w w:val="93"/>
              </w:rPr>
              <w:t>to the Trust’s Definitive Proxy Statement for the 2010 Annual Meeting of</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c>
          <w:tcPr>
            <w:tcW w:w="10240" w:type="dxa"/>
            <w:vAlign w:val="bottom"/>
            <w:gridSpan w:val="10"/>
          </w:tcPr>
          <w:p>
            <w:pPr>
              <w:ind w:left="20"/>
              <w:spacing w:after="0"/>
              <w:rPr>
                <w:rFonts w:ascii="Arial" w:cs="Arial" w:eastAsia="Arial" w:hAnsi="Arial"/>
                <w:sz w:val="18"/>
                <w:szCs w:val="18"/>
                <w:color w:val="auto"/>
                <w:w w:val="94"/>
              </w:rPr>
            </w:pPr>
            <w:r>
              <w:rPr>
                <w:rFonts w:ascii="Arial" w:cs="Arial" w:eastAsia="Arial" w:hAnsi="Arial"/>
                <w:sz w:val="18"/>
                <w:szCs w:val="18"/>
                <w:color w:val="auto"/>
                <w:w w:val="94"/>
              </w:rPr>
              <w:t xml:space="preserve">Amendment to 2010 Performance Incentive Plan (“the 2010 Plan”) (previously filed as </w:t>
            </w:r>
            <w:hyperlink r:id="rId90">
              <w:r>
                <w:rPr>
                  <w:rFonts w:ascii="Arial" w:cs="Arial" w:eastAsia="Arial" w:hAnsi="Arial"/>
                  <w:sz w:val="18"/>
                  <w:szCs w:val="18"/>
                  <w:u w:val="single" w:color="auto"/>
                  <w:color w:val="0000FF"/>
                  <w:w w:val="94"/>
                </w:rPr>
                <w:t>Appendix A</w:t>
              </w:r>
              <w:r>
                <w:rPr>
                  <w:rFonts w:ascii="Arial" w:cs="Arial" w:eastAsia="Arial" w:hAnsi="Arial"/>
                  <w:sz w:val="18"/>
                  <w:szCs w:val="18"/>
                  <w:u w:val="single" w:color="auto"/>
                  <w:color w:val="auto"/>
                  <w:w w:val="94"/>
                </w:rPr>
                <w:t xml:space="preserve"> </w:t>
              </w:r>
            </w:hyperlink>
            <w:r>
              <w:rPr>
                <w:rFonts w:ascii="Arial" w:cs="Arial" w:eastAsia="Arial" w:hAnsi="Arial"/>
                <w:sz w:val="18"/>
                <w:szCs w:val="18"/>
                <w:color w:val="auto"/>
                <w:w w:val="94"/>
              </w:rPr>
              <w:t>to the Trust’s Proxy Statement for the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9"/>
                <w:szCs w:val="19"/>
                <w:color w:val="auto"/>
              </w:rPr>
            </w:pPr>
          </w:p>
        </w:tc>
        <w:tc>
          <w:tcPr>
            <w:tcW w:w="10240" w:type="dxa"/>
            <w:vAlign w:val="bottom"/>
            <w:gridSpan w:val="10"/>
          </w:tcPr>
          <w:p>
            <w:pPr>
              <w:ind w:left="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Restricted Share Award Agreement between the Trust and Donald C. Wood dated October 12, 2010 (previously filed as </w:t>
            </w:r>
            <w:hyperlink r:id="rId91">
              <w:r>
                <w:rPr>
                  <w:rFonts w:ascii="Arial" w:cs="Arial" w:eastAsia="Arial" w:hAnsi="Arial"/>
                  <w:sz w:val="18"/>
                  <w:szCs w:val="18"/>
                  <w:u w:val="single" w:color="auto"/>
                  <w:color w:val="0000FF"/>
                  <w:w w:val="93"/>
                </w:rPr>
                <w:t>Exhibit 10.36</w:t>
              </w:r>
              <w:r>
                <w:rPr>
                  <w:rFonts w:ascii="Arial" w:cs="Arial" w:eastAsia="Arial" w:hAnsi="Arial"/>
                  <w:sz w:val="18"/>
                  <w:szCs w:val="18"/>
                  <w:u w:val="single" w:color="auto"/>
                  <w:color w:val="auto"/>
                  <w:w w:val="93"/>
                </w:rPr>
                <w:t xml:space="preserve"> </w:t>
              </w:r>
            </w:hyperlink>
            <w:r>
              <w:rPr>
                <w:rFonts w:ascii="Arial" w:cs="Arial" w:eastAsia="Arial" w:hAnsi="Arial"/>
                <w:sz w:val="18"/>
                <w:szCs w:val="18"/>
                <w:color w:val="auto"/>
                <w:w w:val="93"/>
              </w:rPr>
              <w:t>to</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10"/>
          </w:tcPr>
          <w:p>
            <w:pPr>
              <w:ind w:left="20"/>
              <w:spacing w:after="0" w:line="176" w:lineRule="exact"/>
              <w:rPr>
                <w:sz w:val="20"/>
                <w:szCs w:val="20"/>
                <w:color w:val="auto"/>
              </w:rPr>
            </w:pPr>
            <w:r>
              <w:rPr>
                <w:rFonts w:ascii="Arial" w:cs="Arial" w:eastAsia="Arial" w:hAnsi="Arial"/>
                <w:sz w:val="18"/>
                <w:szCs w:val="18"/>
                <w:color w:val="auto"/>
                <w:w w:val="96"/>
              </w:rPr>
              <w:t>the Trust’s Quarterly Report on Form 10-Q for the quarter ended September 30, 2010 (File No. 01-07533) and incorporated herein by</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9"/>
                <w:szCs w:val="19"/>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w w:val="91"/>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10"/>
          </w:tcPr>
          <w:p>
            <w:pPr>
              <w:ind w:left="20"/>
              <w:spacing w:after="0" w:line="176" w:lineRule="exact"/>
              <w:rPr>
                <w:rFonts w:ascii="Arial" w:cs="Arial" w:eastAsia="Arial" w:hAnsi="Arial"/>
                <w:sz w:val="18"/>
                <w:szCs w:val="18"/>
                <w:color w:val="auto"/>
                <w:w w:val="93"/>
              </w:rPr>
            </w:pPr>
            <w:r>
              <w:rPr>
                <w:rFonts w:ascii="Arial" w:cs="Arial" w:eastAsia="Arial" w:hAnsi="Arial"/>
                <w:sz w:val="18"/>
                <w:szCs w:val="18"/>
                <w:color w:val="auto"/>
                <w:w w:val="93"/>
              </w:rPr>
              <w:t xml:space="preserve">Incentive Bonus Program and basic awards with annual vesting for shares issued out of the 2010 Plan (previously filed as </w:t>
            </w:r>
            <w:hyperlink r:id="rId92">
              <w:r>
                <w:rPr>
                  <w:rFonts w:ascii="Arial" w:cs="Arial" w:eastAsia="Arial" w:hAnsi="Arial"/>
                  <w:sz w:val="18"/>
                  <w:szCs w:val="18"/>
                  <w:u w:val="single" w:color="auto"/>
                  <w:color w:val="0000FF"/>
                  <w:w w:val="93"/>
                </w:rPr>
                <w:t>Exhibit 10.34</w:t>
              </w:r>
              <w:r>
                <w:rPr>
                  <w:rFonts w:ascii="Arial" w:cs="Arial" w:eastAsia="Arial" w:hAnsi="Arial"/>
                  <w:sz w:val="18"/>
                  <w:szCs w:val="18"/>
                  <w:u w:val="single" w:color="auto"/>
                  <w:color w:val="auto"/>
                  <w:w w:val="93"/>
                </w:rPr>
                <w:t xml:space="preserve"> </w:t>
              </w:r>
            </w:hyperlink>
            <w:r>
              <w:rPr>
                <w:rFonts w:ascii="Arial" w:cs="Arial" w:eastAsia="Arial" w:hAnsi="Arial"/>
                <w:sz w:val="18"/>
                <w:szCs w:val="18"/>
                <w:color w:val="auto"/>
                <w:w w:val="93"/>
              </w:rPr>
              <w:t>to</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rPr>
              <w:t>the Trust’s 2010 Form 10-K (File No. 1-07533) and incorporated herein by reference)</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9"/>
                <w:szCs w:val="19"/>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w w:val="91"/>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10"/>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Plan (previously filed as </w:t>
            </w:r>
            <w:hyperlink r:id="rId93">
              <w:r>
                <w:rPr>
                  <w:rFonts w:ascii="Arial" w:cs="Arial" w:eastAsia="Arial" w:hAnsi="Arial"/>
                  <w:sz w:val="18"/>
                  <w:szCs w:val="18"/>
                  <w:u w:val="single" w:color="auto"/>
                  <w:color w:val="0000FF"/>
                </w:rPr>
                <w:t>Exhibit 10.38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Trust’s 2010 Form 10-K (File No. 1-07533) and incorporated herein by reference)</w:t>
            </w:r>
          </w:p>
        </w:tc>
        <w:tc>
          <w:tcPr>
            <w:tcW w:w="0" w:type="dxa"/>
            <w:vAlign w:val="bottom"/>
          </w:tcPr>
          <w:p>
            <w:pPr>
              <w:spacing w:after="0"/>
              <w:rPr>
                <w:sz w:val="1"/>
                <w:szCs w:val="1"/>
                <w:color w:val="auto"/>
              </w:rPr>
            </w:pPr>
          </w:p>
        </w:tc>
      </w:tr>
      <w:tr>
        <w:trPr>
          <w:trHeight w:val="364"/>
        </w:trPr>
        <w:tc>
          <w:tcPr>
            <w:tcW w:w="880" w:type="dxa"/>
            <w:vAlign w:val="bottom"/>
          </w:tcPr>
          <w:p>
            <w:pPr>
              <w:ind w:left="2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w w:val="93"/>
              </w:rPr>
              <w:t>Form of Option Award Agreement for front loaded awards made under the Trust’s Long-Term Incentive Award Program for shares issued</w:t>
            </w: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10"/>
          </w:tcPr>
          <w:p>
            <w:pPr>
              <w:ind w:left="20"/>
              <w:spacing w:after="0" w:line="176" w:lineRule="exact"/>
              <w:rPr>
                <w:rFonts w:ascii="Arial" w:cs="Arial" w:eastAsia="Arial" w:hAnsi="Arial"/>
                <w:sz w:val="18"/>
                <w:szCs w:val="18"/>
                <w:color w:val="auto"/>
                <w:w w:val="98"/>
              </w:rPr>
            </w:pPr>
            <w:r>
              <w:rPr>
                <w:rFonts w:ascii="Arial" w:cs="Arial" w:eastAsia="Arial" w:hAnsi="Arial"/>
                <w:sz w:val="18"/>
                <w:szCs w:val="18"/>
                <w:color w:val="auto"/>
                <w:w w:val="98"/>
              </w:rPr>
              <w:t xml:space="preserve">out of the 2010 Plan (previously filed as </w:t>
            </w:r>
            <w:hyperlink r:id="rId94">
              <w:r>
                <w:rPr>
                  <w:rFonts w:ascii="Arial" w:cs="Arial" w:eastAsia="Arial" w:hAnsi="Arial"/>
                  <w:sz w:val="18"/>
                  <w:szCs w:val="18"/>
                  <w:u w:val="single" w:color="auto"/>
                  <w:color w:val="0000FF"/>
                  <w:w w:val="98"/>
                </w:rPr>
                <w:t>Exhibit 10.39</w:t>
              </w:r>
              <w:r>
                <w:rPr>
                  <w:rFonts w:ascii="Arial" w:cs="Arial" w:eastAsia="Arial" w:hAnsi="Arial"/>
                  <w:sz w:val="18"/>
                  <w:szCs w:val="18"/>
                  <w:u w:val="single" w:color="auto"/>
                  <w:color w:val="auto"/>
                  <w:w w:val="98"/>
                </w:rPr>
                <w:t xml:space="preserve"> </w:t>
              </w:r>
            </w:hyperlink>
            <w:r>
              <w:rPr>
                <w:rFonts w:ascii="Arial" w:cs="Arial" w:eastAsia="Arial" w:hAnsi="Arial"/>
                <w:sz w:val="18"/>
                <w:szCs w:val="18"/>
                <w:color w:val="auto"/>
                <w:w w:val="98"/>
              </w:rPr>
              <w:t>to the Trust’s 2010 Form 10-K (File No. 1-07533) and incorporated herein by</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64"/>
        </w:trPr>
        <w:tc>
          <w:tcPr>
            <w:tcW w:w="880" w:type="dxa"/>
            <w:vAlign w:val="bottom"/>
          </w:tcPr>
          <w:p>
            <w:pPr>
              <w:ind w:left="2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10240" w:type="dxa"/>
            <w:vAlign w:val="bottom"/>
            <w:gridSpan w:val="10"/>
          </w:tcPr>
          <w:p>
            <w:pPr>
              <w:ind w:left="20"/>
              <w:spacing w:after="0"/>
              <w:rPr>
                <w:rFonts w:ascii="Arial" w:cs="Arial" w:eastAsia="Arial" w:hAnsi="Arial"/>
                <w:sz w:val="18"/>
                <w:szCs w:val="18"/>
                <w:color w:val="auto"/>
                <w:w w:val="95"/>
              </w:rPr>
            </w:pPr>
            <w:r>
              <w:rPr>
                <w:rFonts w:ascii="Arial" w:cs="Arial" w:eastAsia="Arial" w:hAnsi="Arial"/>
                <w:sz w:val="18"/>
                <w:szCs w:val="18"/>
                <w:color w:val="auto"/>
                <w:w w:val="95"/>
              </w:rPr>
              <w:t xml:space="preserve">Form of Option Award Agreement for basic options awarded out of the 2010 Plan (previously filed as </w:t>
            </w:r>
            <w:hyperlink r:id="rId95">
              <w:r>
                <w:rPr>
                  <w:rFonts w:ascii="Arial" w:cs="Arial" w:eastAsia="Arial" w:hAnsi="Arial"/>
                  <w:sz w:val="18"/>
                  <w:szCs w:val="18"/>
                  <w:u w:val="single" w:color="auto"/>
                  <w:color w:val="0000FF"/>
                  <w:w w:val="95"/>
                </w:rPr>
                <w:t>Exhibit 10.40</w:t>
              </w:r>
              <w:r>
                <w:rPr>
                  <w:rFonts w:ascii="Arial" w:cs="Arial" w:eastAsia="Arial" w:hAnsi="Arial"/>
                  <w:sz w:val="18"/>
                  <w:szCs w:val="18"/>
                  <w:u w:val="single" w:color="auto"/>
                  <w:color w:val="auto"/>
                  <w:w w:val="95"/>
                </w:rPr>
                <w:t xml:space="preserve"> </w:t>
              </w:r>
            </w:hyperlink>
            <w:r>
              <w:rPr>
                <w:rFonts w:ascii="Arial" w:cs="Arial" w:eastAsia="Arial" w:hAnsi="Arial"/>
                <w:sz w:val="18"/>
                <w:szCs w:val="18"/>
                <w:color w:val="auto"/>
                <w:w w:val="95"/>
              </w:rPr>
              <w:t>to the Trust’s 2010</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rPr>
              <w:t>Form 10-K (File No. 1-07533) and incorporated herein by reference)</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w w:val="92"/>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10"/>
          </w:tcPr>
          <w:p>
            <w:pPr>
              <w:ind w:left="20"/>
              <w:spacing w:after="0" w:line="176" w:lineRule="exact"/>
              <w:rPr>
                <w:sz w:val="20"/>
                <w:szCs w:val="20"/>
                <w:color w:val="auto"/>
              </w:rPr>
            </w:pPr>
            <w:r>
              <w:rPr>
                <w:rFonts w:ascii="Arial" w:cs="Arial" w:eastAsia="Arial" w:hAnsi="Arial"/>
                <w:sz w:val="18"/>
                <w:szCs w:val="18"/>
                <w:color w:val="auto"/>
                <w:w w:val="98"/>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10"/>
          </w:tcPr>
          <w:p>
            <w:pPr>
              <w:ind w:left="20"/>
              <w:spacing w:after="0" w:line="176" w:lineRule="exact"/>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10"/>
          </w:tcPr>
          <w:p>
            <w:pPr>
              <w:ind w:left="20"/>
              <w:spacing w:after="0" w:line="176" w:lineRule="exact"/>
              <w:rPr>
                <w:rFonts w:ascii="Arial" w:cs="Arial" w:eastAsia="Arial" w:hAnsi="Arial"/>
                <w:sz w:val="18"/>
                <w:szCs w:val="18"/>
                <w:color w:val="auto"/>
                <w:w w:val="93"/>
              </w:rPr>
            </w:pPr>
            <w:r>
              <w:rPr>
                <w:rFonts w:ascii="Arial" w:cs="Arial" w:eastAsia="Arial" w:hAnsi="Arial"/>
                <w:sz w:val="18"/>
                <w:szCs w:val="18"/>
                <w:color w:val="auto"/>
                <w:w w:val="93"/>
              </w:rPr>
              <w:t xml:space="preserve">a Lead Arranger and Book Manager (previously filed as </w:t>
            </w:r>
            <w:hyperlink r:id="rId96">
              <w:r>
                <w:rPr>
                  <w:rFonts w:ascii="Arial" w:cs="Arial" w:eastAsia="Arial" w:hAnsi="Arial"/>
                  <w:sz w:val="18"/>
                  <w:szCs w:val="18"/>
                  <w:u w:val="single" w:color="auto"/>
                  <w:color w:val="0000FF"/>
                  <w:w w:val="93"/>
                </w:rPr>
                <w:t>Exhibit 10.1</w:t>
              </w:r>
              <w:r>
                <w:rPr>
                  <w:rFonts w:ascii="Arial" w:cs="Arial" w:eastAsia="Arial" w:hAnsi="Arial"/>
                  <w:sz w:val="18"/>
                  <w:szCs w:val="18"/>
                  <w:u w:val="single" w:color="auto"/>
                  <w:color w:val="auto"/>
                  <w:w w:val="93"/>
                </w:rPr>
                <w:t xml:space="preserve"> </w:t>
              </w:r>
            </w:hyperlink>
            <w:r>
              <w:rPr>
                <w:rFonts w:ascii="Arial" w:cs="Arial" w:eastAsia="Arial" w:hAnsi="Arial"/>
                <w:sz w:val="18"/>
                <w:szCs w:val="18"/>
                <w:color w:val="auto"/>
                <w:w w:val="93"/>
              </w:rPr>
              <w:t>to the Trust’s Current Report on Form 8-K (File No. 1-07533), filed on</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9"/>
                <w:szCs w:val="19"/>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w w:val="92"/>
              </w:rPr>
              <w:t>Revised Form of Restricted Share Award Agreement for front loaded awards made under the Trust’s Long-Term Incentive Award Program</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10"/>
          </w:tcPr>
          <w:p>
            <w:pPr>
              <w:ind w:left="20"/>
              <w:spacing w:after="0" w:line="176" w:lineRule="exact"/>
              <w:rPr>
                <w:rFonts w:ascii="Arial" w:cs="Arial" w:eastAsia="Arial" w:hAnsi="Arial"/>
                <w:sz w:val="18"/>
                <w:szCs w:val="18"/>
                <w:color w:val="auto"/>
                <w:w w:val="96"/>
              </w:rPr>
            </w:pPr>
            <w:r>
              <w:rPr>
                <w:rFonts w:ascii="Arial" w:cs="Arial" w:eastAsia="Arial" w:hAnsi="Arial"/>
                <w:sz w:val="18"/>
                <w:szCs w:val="18"/>
                <w:color w:val="auto"/>
                <w:w w:val="96"/>
              </w:rPr>
              <w:t xml:space="preserve">for shares issued out of the 2010 Plan (previously filed as </w:t>
            </w:r>
            <w:hyperlink r:id="rId97">
              <w:r>
                <w:rPr>
                  <w:rFonts w:ascii="Arial" w:cs="Arial" w:eastAsia="Arial" w:hAnsi="Arial"/>
                  <w:sz w:val="18"/>
                  <w:szCs w:val="18"/>
                  <w:u w:val="single" w:color="auto"/>
                  <w:color w:val="0000FF"/>
                  <w:w w:val="96"/>
                </w:rPr>
                <w:t>Exhibit 10.35</w:t>
              </w:r>
              <w:r>
                <w:rPr>
                  <w:rFonts w:ascii="Arial" w:cs="Arial" w:eastAsia="Arial" w:hAnsi="Arial"/>
                  <w:sz w:val="18"/>
                  <w:szCs w:val="18"/>
                  <w:u w:val="single" w:color="auto"/>
                  <w:color w:val="auto"/>
                  <w:w w:val="96"/>
                </w:rPr>
                <w:t xml:space="preserve"> </w:t>
              </w:r>
            </w:hyperlink>
            <w:r>
              <w:rPr>
                <w:rFonts w:ascii="Arial" w:cs="Arial" w:eastAsia="Arial" w:hAnsi="Arial"/>
                <w:sz w:val="18"/>
                <w:szCs w:val="18"/>
                <w:color w:val="auto"/>
                <w:w w:val="96"/>
              </w:rPr>
              <w:t>to the Trust's Annual Report on Form 10-K for the year ended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rPr>
              <w:t>December 31, 2012 (File No. 1-07533) (the "2012 Form 10-K") and incorporated herein by reference)</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9"/>
                <w:szCs w:val="19"/>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w w:val="97"/>
              </w:rPr>
              <w:t>Revised Form of Restricted Share Award Agreement for long-term vesting and retention awards made under the Trust’s Long-Term</w:t>
            </w: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10"/>
          </w:tcPr>
          <w:p>
            <w:pPr>
              <w:ind w:left="20"/>
              <w:spacing w:after="0" w:line="176" w:lineRule="exact"/>
              <w:rPr>
                <w:sz w:val="20"/>
                <w:szCs w:val="20"/>
                <w:color w:val="auto"/>
              </w:rPr>
            </w:pPr>
            <w:r>
              <w:rPr>
                <w:rFonts w:ascii="Arial" w:cs="Arial" w:eastAsia="Arial" w:hAnsi="Arial"/>
                <w:sz w:val="18"/>
                <w:szCs w:val="18"/>
                <w:color w:val="auto"/>
                <w:w w:val="93"/>
              </w:rPr>
              <w:t>Incentive Award Program for shares issued out of the 2010 Plan (previously filed as Exhibit 10.36 to the Trust's 2012 Form 10-K (File No.</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rPr>
              <w:t>1-07533) and incorporated herein by reference)</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9"/>
                <w:szCs w:val="19"/>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w w:val="94"/>
              </w:rPr>
              <w:t>Revised Form of Performance Share Award Agreement for shares awarded out of the 2010 Plan (previously filed as Exhibit 10.37 to the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rPr>
              <w:t>Trust's 2012 Form 10-K (File No. 1-07533) and incorporated herein by reference)</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9"/>
                <w:szCs w:val="19"/>
                <w:color w:val="auto"/>
              </w:rPr>
            </w:pPr>
          </w:p>
        </w:tc>
        <w:tc>
          <w:tcPr>
            <w:tcW w:w="10240" w:type="dxa"/>
            <w:vAlign w:val="bottom"/>
            <w:gridSpan w:val="10"/>
          </w:tcPr>
          <w:p>
            <w:pPr>
              <w:ind w:left="20"/>
              <w:spacing w:after="0"/>
              <w:rPr>
                <w:sz w:val="20"/>
                <w:szCs w:val="20"/>
                <w:color w:val="auto"/>
              </w:rPr>
            </w:pPr>
            <w:r>
              <w:rPr>
                <w:rFonts w:ascii="Arial" w:cs="Arial" w:eastAsia="Arial" w:hAnsi="Arial"/>
                <w:sz w:val="18"/>
                <w:szCs w:val="18"/>
                <w:color w:val="auto"/>
                <w:w w:val="90"/>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40" w:type="dxa"/>
            <w:vAlign w:val="bottom"/>
            <w:gridSpan w:val="10"/>
          </w:tcPr>
          <w:p>
            <w:pPr>
              <w:ind w:left="20"/>
              <w:spacing w:after="0" w:line="189" w:lineRule="exact"/>
              <w:rPr>
                <w:rFonts w:ascii="Arial" w:cs="Arial" w:eastAsia="Arial" w:hAnsi="Arial"/>
                <w:sz w:val="18"/>
                <w:szCs w:val="18"/>
                <w:color w:val="auto"/>
                <w:w w:val="93"/>
              </w:rPr>
            </w:pPr>
            <w:hyperlink r:id="rId98">
              <w:r>
                <w:rPr>
                  <w:rFonts w:ascii="Arial" w:cs="Arial" w:eastAsia="Arial" w:hAnsi="Arial"/>
                  <w:sz w:val="18"/>
                  <w:szCs w:val="18"/>
                  <w:color w:val="auto"/>
                  <w:w w:val="93"/>
                </w:rPr>
                <w:t xml:space="preserve">Annual Incentive Bonus Program and basic awards with annual vesting for shares issued out of the 2010 Plan (previously filed as </w:t>
              </w:r>
              <w:r>
                <w:rPr>
                  <w:rFonts w:ascii="Arial" w:cs="Arial" w:eastAsia="Arial" w:hAnsi="Arial"/>
                  <w:sz w:val="18"/>
                  <w:szCs w:val="18"/>
                  <w:color w:val="0000FF"/>
                  <w:w w:val="93"/>
                </w:rPr>
                <w:t>Exhibit</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380" w:type="dxa"/>
            <w:vAlign w:val="bottom"/>
            <w:gridSpan w:val="3"/>
          </w:tcPr>
          <w:p>
            <w:pPr>
              <w:ind w:left="20"/>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10.</w:t>
              </w:r>
              <w:r>
                <w:rPr>
                  <w:rFonts w:ascii="Arial" w:cs="Arial" w:eastAsia="Arial" w:hAnsi="Arial"/>
                  <w:sz w:val="18"/>
                  <w:szCs w:val="18"/>
                  <w:u w:val="single" w:color="auto"/>
                  <w:color w:val="0000FF"/>
                </w:rPr>
                <w:t>38</w:t>
              </w:r>
              <w:r>
                <w:rPr>
                  <w:rFonts w:ascii="Arial" w:cs="Arial" w:eastAsia="Arial" w:hAnsi="Arial"/>
                  <w:sz w:val="18"/>
                  <w:szCs w:val="18"/>
                  <w:color w:val="0000FF"/>
                </w:rPr>
                <w:t xml:space="preserve"> </w:t>
              </w:r>
              <w:r>
                <w:rPr>
                  <w:rFonts w:ascii="Arial" w:cs="Arial" w:eastAsia="Arial" w:hAnsi="Arial"/>
                  <w:sz w:val="18"/>
                  <w:szCs w:val="18"/>
                  <w:color w:val="000000"/>
                </w:rPr>
                <w:t>to the Trust's 2012 Form 10-K (File No. 1-07533) and incorporated herein by reference)</w:t>
              </w:r>
            </w:hyperlink>
          </w:p>
        </w:tc>
        <w:tc>
          <w:tcPr>
            <w:tcW w:w="540" w:type="dxa"/>
            <w:vAlign w:val="bottom"/>
            <w:tcBorders>
              <w:top w:val="single" w:sz="8" w:color="0000FF"/>
            </w:tcBorders>
            <w:gridSpan w:val="3"/>
          </w:tcPr>
          <w:p>
            <w:pPr>
              <w:spacing w:after="0"/>
              <w:rPr>
                <w:sz w:val="13"/>
                <w:szCs w:val="13"/>
                <w:color w:val="auto"/>
              </w:rPr>
            </w:pPr>
          </w:p>
        </w:tc>
        <w:tc>
          <w:tcPr>
            <w:tcW w:w="3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960" w:type="dxa"/>
            <w:vAlign w:val="bottom"/>
          </w:tcPr>
          <w:p>
            <w:pPr>
              <w:jc w:val="right"/>
              <w:ind w:right="457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18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1018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18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w w:val="92"/>
              </w:rPr>
              <w:t>First Amendment to the Credit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9"/>
          </w:tcPr>
          <w:p>
            <w:pPr>
              <w:spacing w:after="0" w:line="176" w:lineRule="exact"/>
              <w:rPr>
                <w:rFonts w:ascii="Arial" w:cs="Arial" w:eastAsia="Arial" w:hAnsi="Arial"/>
                <w:sz w:val="18"/>
                <w:szCs w:val="18"/>
                <w:color w:val="auto"/>
                <w:w w:val="93"/>
              </w:rPr>
            </w:pPr>
            <w:r>
              <w:rPr>
                <w:rFonts w:ascii="Arial" w:cs="Arial" w:eastAsia="Arial" w:hAnsi="Arial"/>
                <w:sz w:val="18"/>
                <w:szCs w:val="18"/>
                <w:color w:val="auto"/>
                <w:w w:val="93"/>
              </w:rPr>
              <w:t xml:space="preserve">party thereto, and Wells Fargo Bank, National Association, as Administrative Agent (previously filed as </w:t>
            </w:r>
            <w:hyperlink r:id="rId101">
              <w:r>
                <w:rPr>
                  <w:rFonts w:ascii="Arial" w:cs="Arial" w:eastAsia="Arial" w:hAnsi="Arial"/>
                  <w:sz w:val="18"/>
                  <w:szCs w:val="18"/>
                  <w:u w:val="single" w:color="auto"/>
                  <w:color w:val="0000FF"/>
                  <w:w w:val="93"/>
                </w:rPr>
                <w:t>Exhibit 10.1</w:t>
              </w:r>
              <w:r>
                <w:rPr>
                  <w:rFonts w:ascii="Arial" w:cs="Arial" w:eastAsia="Arial" w:hAnsi="Arial"/>
                  <w:sz w:val="18"/>
                  <w:szCs w:val="18"/>
                  <w:u w:val="single" w:color="auto"/>
                  <w:color w:val="auto"/>
                  <w:w w:val="93"/>
                </w:rPr>
                <w:t xml:space="preserve"> </w:t>
              </w:r>
            </w:hyperlink>
            <w:r>
              <w:rPr>
                <w:rFonts w:ascii="Arial" w:cs="Arial" w:eastAsia="Arial" w:hAnsi="Arial"/>
                <w:sz w:val="18"/>
                <w:szCs w:val="18"/>
                <w:color w:val="auto"/>
                <w:w w:val="93"/>
              </w:rPr>
              <w:t>to the Trust's Current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9"/>
          </w:tcPr>
          <w:p>
            <w:pPr>
              <w:spacing w:after="0"/>
              <w:rPr>
                <w:sz w:val="20"/>
                <w:szCs w:val="20"/>
                <w:color w:val="auto"/>
              </w:rPr>
            </w:pPr>
            <w:r>
              <w:rPr>
                <w:rFonts w:ascii="Arial" w:cs="Arial" w:eastAsia="Arial" w:hAnsi="Arial"/>
                <w:sz w:val="18"/>
                <w:szCs w:val="18"/>
                <w:color w:val="auto"/>
              </w:rPr>
              <w:t>Report on Form 8-K (File No. 1-07533), filed on April 26, 2013 and incorporated herein by reference)</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80" w:type="dxa"/>
            <w:vAlign w:val="bottom"/>
            <w:gridSpan w:val="9"/>
          </w:tcPr>
          <w:p>
            <w:pPr>
              <w:spacing w:after="0"/>
              <w:rPr>
                <w:sz w:val="20"/>
                <w:szCs w:val="20"/>
                <w:color w:val="auto"/>
              </w:rPr>
            </w:pPr>
            <w:r>
              <w:rPr>
                <w:rFonts w:ascii="Arial" w:cs="Arial" w:eastAsia="Arial" w:hAnsi="Arial"/>
                <w:sz w:val="18"/>
                <w:szCs w:val="18"/>
                <w:color w:val="auto"/>
                <w:w w:val="92"/>
              </w:rPr>
              <w:t>Second Amendment to Credit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9"/>
          </w:tcPr>
          <w:p>
            <w:pPr>
              <w:spacing w:after="0" w:line="176" w:lineRule="exact"/>
              <w:rPr>
                <w:rFonts w:ascii="Arial" w:cs="Arial" w:eastAsia="Arial" w:hAnsi="Arial"/>
                <w:sz w:val="18"/>
                <w:szCs w:val="18"/>
                <w:color w:val="auto"/>
                <w:w w:val="93"/>
              </w:rPr>
            </w:pPr>
            <w:r>
              <w:rPr>
                <w:rFonts w:ascii="Arial" w:cs="Arial" w:eastAsia="Arial" w:hAnsi="Arial"/>
                <w:sz w:val="18"/>
                <w:szCs w:val="18"/>
                <w:color w:val="auto"/>
                <w:w w:val="93"/>
              </w:rPr>
              <w:t xml:space="preserve">party thereto, and PNC Bank, National Association, as Administrative Agent (previously filed as </w:t>
            </w:r>
            <w:hyperlink r:id="rId102">
              <w:r>
                <w:rPr>
                  <w:rFonts w:ascii="Arial" w:cs="Arial" w:eastAsia="Arial" w:hAnsi="Arial"/>
                  <w:sz w:val="18"/>
                  <w:szCs w:val="18"/>
                  <w:u w:val="single" w:color="auto"/>
                  <w:color w:val="0000FF"/>
                  <w:w w:val="93"/>
                </w:rPr>
                <w:t>Exhibit 10.1</w:t>
              </w:r>
              <w:r>
                <w:rPr>
                  <w:rFonts w:ascii="Arial" w:cs="Arial" w:eastAsia="Arial" w:hAnsi="Arial"/>
                  <w:sz w:val="18"/>
                  <w:szCs w:val="18"/>
                  <w:u w:val="single" w:color="auto"/>
                  <w:color w:val="auto"/>
                  <w:w w:val="93"/>
                </w:rPr>
                <w:t xml:space="preserve"> </w:t>
              </w:r>
            </w:hyperlink>
            <w:r>
              <w:rPr>
                <w:rFonts w:ascii="Arial" w:cs="Arial" w:eastAsia="Arial" w:hAnsi="Arial"/>
                <w:sz w:val="18"/>
                <w:szCs w:val="18"/>
                <w:color w:val="auto"/>
                <w:w w:val="93"/>
              </w:rPr>
              <w:t>to the Trust's Current Report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9"/>
          </w:tcPr>
          <w:p>
            <w:pPr>
              <w:spacing w:after="0"/>
              <w:rPr>
                <w:sz w:val="20"/>
                <w:szCs w:val="20"/>
                <w:color w:val="auto"/>
              </w:rPr>
            </w:pPr>
            <w:r>
              <w:rPr>
                <w:rFonts w:ascii="Arial" w:cs="Arial" w:eastAsia="Arial" w:hAnsi="Arial"/>
                <w:sz w:val="18"/>
                <w:szCs w:val="18"/>
                <w:color w:val="auto"/>
              </w:rPr>
              <w:t>on Form 8K (File No. 1-07533), filed on April 26, 2016 and incorporated herein by reference)</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80" w:type="dxa"/>
            <w:vAlign w:val="bottom"/>
            <w:gridSpan w:val="9"/>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Severance Agreement between the Trust and Daniel Guglielmone dated August 15, 2016 (previously filed as </w:t>
            </w:r>
            <w:hyperlink r:id="rId103">
              <w:r>
                <w:rPr>
                  <w:rFonts w:ascii="Arial" w:cs="Arial" w:eastAsia="Arial" w:hAnsi="Arial"/>
                  <w:sz w:val="18"/>
                  <w:szCs w:val="18"/>
                  <w:u w:val="single" w:color="auto"/>
                  <w:color w:val="0000FF"/>
                  <w:w w:val="93"/>
                </w:rPr>
                <w:t>Exhibit 10.36</w:t>
              </w:r>
              <w:r>
                <w:rPr>
                  <w:rFonts w:ascii="Arial" w:cs="Arial" w:eastAsia="Arial" w:hAnsi="Arial"/>
                  <w:sz w:val="18"/>
                  <w:szCs w:val="18"/>
                  <w:u w:val="single" w:color="auto"/>
                  <w:color w:val="auto"/>
                  <w:w w:val="93"/>
                </w:rPr>
                <w:t xml:space="preserve"> </w:t>
              </w:r>
            </w:hyperlink>
            <w:r>
              <w:rPr>
                <w:rFonts w:ascii="Arial" w:cs="Arial" w:eastAsia="Arial" w:hAnsi="Arial"/>
                <w:sz w:val="18"/>
                <w:szCs w:val="18"/>
                <w:color w:val="auto"/>
                <w:w w:val="93"/>
              </w:rPr>
              <w:t>to the Trust's</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9"/>
          </w:tcPr>
          <w:p>
            <w:pPr>
              <w:spacing w:after="0"/>
              <w:rPr>
                <w:sz w:val="20"/>
                <w:szCs w:val="20"/>
                <w:color w:val="auto"/>
              </w:rPr>
            </w:pPr>
            <w:r>
              <w:rPr>
                <w:rFonts w:ascii="Arial" w:cs="Arial" w:eastAsia="Arial" w:hAnsi="Arial"/>
                <w:sz w:val="18"/>
                <w:szCs w:val="18"/>
                <w:color w:val="auto"/>
                <w:w w:val="97"/>
              </w:rPr>
              <w:t>Quarterly Report on Form 10-Q for the quarter ended September 30, 2016 (File No. 1-07533 and incorporated herein by reference)</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80" w:type="dxa"/>
            <w:vAlign w:val="bottom"/>
            <w:gridSpan w:val="9"/>
          </w:tcPr>
          <w:p>
            <w:pPr>
              <w:spacing w:after="0"/>
              <w:rPr>
                <w:sz w:val="20"/>
                <w:szCs w:val="20"/>
                <w:color w:val="auto"/>
              </w:rPr>
            </w:pPr>
            <w:r>
              <w:rPr>
                <w:rFonts w:ascii="Arial" w:cs="Arial" w:eastAsia="Arial" w:hAnsi="Arial"/>
                <w:sz w:val="18"/>
                <w:szCs w:val="18"/>
                <w:color w:val="auto"/>
              </w:rPr>
              <w:t>Amended and Restated Credit Agreement, dated as of July 25, 2019, by and among Federal Realty Investment</w:t>
            </w: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9"/>
          </w:tcPr>
          <w:p>
            <w:pPr>
              <w:spacing w:after="0" w:line="176" w:lineRule="exact"/>
              <w:rPr>
                <w:sz w:val="20"/>
                <w:szCs w:val="20"/>
                <w:color w:val="auto"/>
              </w:rPr>
            </w:pPr>
            <w:r>
              <w:rPr>
                <w:rFonts w:ascii="Arial" w:cs="Arial" w:eastAsia="Arial" w:hAnsi="Arial"/>
                <w:sz w:val="18"/>
                <w:szCs w:val="18"/>
                <w:color w:val="auto"/>
              </w:rPr>
              <w:t>Trust, each of the Lenders party thereto, and PNC Bank, National Association, as Administrative Agent</w:t>
            </w: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9"/>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(previously filed as </w:t>
            </w:r>
            <w:hyperlink r:id="rId104">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Trust's Current Report on Form 8-K (File No. 1-07533), filed on July 29,</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9"/>
          </w:tcPr>
          <w:p>
            <w:pPr>
              <w:spacing w:after="0"/>
              <w:rPr>
                <w:sz w:val="20"/>
                <w:szCs w:val="20"/>
                <w:color w:val="auto"/>
              </w:rPr>
            </w:pPr>
            <w:r>
              <w:rPr>
                <w:rFonts w:ascii="Arial" w:cs="Arial" w:eastAsia="Arial" w:hAnsi="Arial"/>
                <w:sz w:val="18"/>
                <w:szCs w:val="18"/>
                <w:color w:val="auto"/>
              </w:rPr>
              <w:t>2019 and incorporated herin by reference)</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80" w:type="dxa"/>
            <w:vAlign w:val="bottom"/>
            <w:gridSpan w:val="9"/>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2020 Performance Incentive Plan (previously filed as </w:t>
            </w:r>
            <w:hyperlink r:id="rId105">
              <w:r>
                <w:rPr>
                  <w:rFonts w:ascii="Arial" w:cs="Arial" w:eastAsia="Arial" w:hAnsi="Arial"/>
                  <w:sz w:val="18"/>
                  <w:szCs w:val="18"/>
                  <w:u w:val="single" w:color="auto"/>
                  <w:color w:val="0000FF"/>
                  <w:w w:val="92"/>
                </w:rPr>
                <w:t>Appendix B</w:t>
              </w:r>
              <w:r>
                <w:rPr>
                  <w:rFonts w:ascii="Arial" w:cs="Arial" w:eastAsia="Arial" w:hAnsi="Arial"/>
                  <w:sz w:val="18"/>
                  <w:szCs w:val="18"/>
                  <w:u w:val="single" w:color="auto"/>
                  <w:color w:val="auto"/>
                  <w:w w:val="92"/>
                </w:rPr>
                <w:t xml:space="preserve"> </w:t>
              </w:r>
            </w:hyperlink>
            <w:r>
              <w:rPr>
                <w:rFonts w:ascii="Arial" w:cs="Arial" w:eastAsia="Arial" w:hAnsi="Arial"/>
                <w:sz w:val="18"/>
                <w:szCs w:val="18"/>
                <w:color w:val="auto"/>
                <w:w w:val="92"/>
              </w:rPr>
              <w:t>to the Trust’s Definitive Proxy Statement for the 2020 Annual Meeting of</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9"/>
          </w:tcPr>
          <w:p>
            <w:pPr>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80" w:type="dxa"/>
            <w:vAlign w:val="bottom"/>
            <w:gridSpan w:val="9"/>
          </w:tcPr>
          <w:p>
            <w:pPr>
              <w:spacing w:after="0"/>
              <w:rPr>
                <w:sz w:val="20"/>
                <w:szCs w:val="20"/>
                <w:color w:val="auto"/>
              </w:rPr>
            </w:pPr>
            <w:r>
              <w:rPr>
                <w:rFonts w:ascii="Arial" w:cs="Arial" w:eastAsia="Arial" w:hAnsi="Arial"/>
                <w:sz w:val="18"/>
                <w:szCs w:val="18"/>
                <w:color w:val="auto"/>
                <w:w w:val="95"/>
              </w:rPr>
              <w:t>Term Loan Agreement dated as of May 6, 2020, by and among the Trust, as Borrower, the financial institutions party thereto and their</w:t>
            </w: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9"/>
          </w:tcPr>
          <w:p>
            <w:pPr>
              <w:spacing w:after="0" w:line="176" w:lineRule="exact"/>
              <w:rPr>
                <w:sz w:val="20"/>
                <w:szCs w:val="20"/>
                <w:color w:val="auto"/>
              </w:rPr>
            </w:pPr>
            <w:r>
              <w:rPr>
                <w:rFonts w:ascii="Arial" w:cs="Arial" w:eastAsia="Arial" w:hAnsi="Arial"/>
                <w:sz w:val="18"/>
                <w:szCs w:val="18"/>
                <w:color w:val="auto"/>
                <w:w w:val="91"/>
              </w:rPr>
              <w:t>permitted assignees under Section 12.6., as Lenders, PNC Bank, National Association, as Administrative Agent, Regions Bank, Truist Bank,</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9"/>
          </w:tcPr>
          <w:p>
            <w:pPr>
              <w:spacing w:after="0" w:line="176" w:lineRule="exact"/>
              <w:rPr>
                <w:sz w:val="20"/>
                <w:szCs w:val="20"/>
                <w:color w:val="auto"/>
              </w:rPr>
            </w:pPr>
            <w:r>
              <w:rPr>
                <w:rFonts w:ascii="Arial" w:cs="Arial" w:eastAsia="Arial" w:hAnsi="Arial"/>
                <w:sz w:val="18"/>
                <w:szCs w:val="18"/>
                <w:color w:val="auto"/>
                <w:w w:val="97"/>
              </w:rPr>
              <w:t>and U.S. Bank National Bank Association as Co-Syndication Agents, PNC Capital Markets, LLC, Regions Capital Markets, Suntrust</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80" w:type="dxa"/>
            <w:vAlign w:val="bottom"/>
            <w:gridSpan w:val="9"/>
          </w:tcPr>
          <w:p>
            <w:pPr>
              <w:spacing w:after="0" w:line="189" w:lineRule="exact"/>
              <w:rPr>
                <w:rFonts w:ascii="Arial" w:cs="Arial" w:eastAsia="Arial" w:hAnsi="Arial"/>
                <w:sz w:val="18"/>
                <w:szCs w:val="18"/>
                <w:color w:val="auto"/>
                <w:w w:val="94"/>
              </w:rPr>
            </w:pPr>
            <w:hyperlink r:id="rId106">
              <w:r>
                <w:rPr>
                  <w:rFonts w:ascii="Arial" w:cs="Arial" w:eastAsia="Arial" w:hAnsi="Arial"/>
                  <w:sz w:val="18"/>
                  <w:szCs w:val="18"/>
                  <w:color w:val="auto"/>
                  <w:w w:val="94"/>
                </w:rPr>
                <w:t xml:space="preserve">Robinson Humphrey, Inc., and U.S. Bank National Association, as Joint Lead Arrangers and Book Managers (previously filed as </w:t>
              </w:r>
              <w:r>
                <w:rPr>
                  <w:rFonts w:ascii="Arial" w:cs="Arial" w:eastAsia="Arial" w:hAnsi="Arial"/>
                  <w:sz w:val="18"/>
                  <w:szCs w:val="18"/>
                  <w:color w:val="0000FF"/>
                  <w:w w:val="94"/>
                </w:rPr>
                <w:t>Exhibit</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4"/>
          </w:tcPr>
          <w:p>
            <w:pPr>
              <w:spacing w:after="0" w:line="156" w:lineRule="exact"/>
              <w:rPr>
                <w:rFonts w:ascii="Arial" w:cs="Arial" w:eastAsia="Arial" w:hAnsi="Arial"/>
                <w:sz w:val="18"/>
                <w:szCs w:val="18"/>
                <w:color w:val="0000FF"/>
                <w:w w:val="92"/>
              </w:rPr>
            </w:pPr>
            <w:hyperlink r:id="rId106">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w:t>
              </w:r>
              <w:r>
                <w:rPr>
                  <w:rFonts w:ascii="Arial" w:cs="Arial" w:eastAsia="Arial" w:hAnsi="Arial"/>
                  <w:sz w:val="18"/>
                  <w:szCs w:val="18"/>
                  <w:color w:val="0000FF"/>
                  <w:w w:val="92"/>
                </w:rPr>
                <w:t xml:space="preserve"> </w:t>
              </w:r>
              <w:r>
                <w:rPr>
                  <w:rFonts w:ascii="Arial" w:cs="Arial" w:eastAsia="Arial" w:hAnsi="Arial"/>
                  <w:sz w:val="18"/>
                  <w:szCs w:val="18"/>
                  <w:color w:val="000000"/>
                  <w:w w:val="92"/>
                </w:rPr>
                <w:t>to the Trust's Current Report on Form 8-K (File No. 1-07533), filed on May 6, 2020 and incorporated herein by reference)</w:t>
              </w:r>
            </w:hyperlink>
          </w:p>
        </w:tc>
        <w:tc>
          <w:tcPr>
            <w:tcW w:w="54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ind w:left="2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80" w:type="dxa"/>
            <w:vAlign w:val="bottom"/>
            <w:gridSpan w:val="9"/>
          </w:tcPr>
          <w:p>
            <w:pPr>
              <w:spacing w:after="0"/>
              <w:rPr>
                <w:sz w:val="20"/>
                <w:szCs w:val="20"/>
                <w:color w:val="auto"/>
              </w:rPr>
            </w:pPr>
            <w:r>
              <w:rPr>
                <w:rFonts w:ascii="Arial" w:cs="Arial" w:eastAsia="Arial" w:hAnsi="Arial"/>
                <w:sz w:val="18"/>
                <w:szCs w:val="18"/>
                <w:color w:val="auto"/>
                <w:w w:val="93"/>
              </w:rPr>
              <w:t>First Amendment to the Credit Agreement, dated as of May 6, 2020, by and among Federal Realty Investment Trust, each of the Lenders</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9"/>
          </w:tcPr>
          <w:p>
            <w:pPr>
              <w:spacing w:after="0" w:line="176" w:lineRule="exact"/>
              <w:rPr>
                <w:rFonts w:ascii="Arial" w:cs="Arial" w:eastAsia="Arial" w:hAnsi="Arial"/>
                <w:sz w:val="18"/>
                <w:szCs w:val="18"/>
                <w:color w:val="auto"/>
                <w:w w:val="93"/>
              </w:rPr>
            </w:pPr>
            <w:r>
              <w:rPr>
                <w:rFonts w:ascii="Arial" w:cs="Arial" w:eastAsia="Arial" w:hAnsi="Arial"/>
                <w:sz w:val="18"/>
                <w:szCs w:val="18"/>
                <w:color w:val="auto"/>
                <w:w w:val="93"/>
              </w:rPr>
              <w:t xml:space="preserve">party thereto, and Wells Fargo Bank, National Association, as Administrative Agent (previously filed as </w:t>
            </w:r>
            <w:hyperlink r:id="rId107">
              <w:r>
                <w:rPr>
                  <w:rFonts w:ascii="Arial" w:cs="Arial" w:eastAsia="Arial" w:hAnsi="Arial"/>
                  <w:sz w:val="18"/>
                  <w:szCs w:val="18"/>
                  <w:u w:val="single" w:color="auto"/>
                  <w:color w:val="0000FF"/>
                  <w:w w:val="93"/>
                </w:rPr>
                <w:t>Exhibit 10.2</w:t>
              </w:r>
              <w:r>
                <w:rPr>
                  <w:rFonts w:ascii="Arial" w:cs="Arial" w:eastAsia="Arial" w:hAnsi="Arial"/>
                  <w:sz w:val="18"/>
                  <w:szCs w:val="18"/>
                  <w:u w:val="single" w:color="auto"/>
                  <w:color w:val="auto"/>
                  <w:w w:val="93"/>
                </w:rPr>
                <w:t xml:space="preserve"> </w:t>
              </w:r>
            </w:hyperlink>
            <w:r>
              <w:rPr>
                <w:rFonts w:ascii="Arial" w:cs="Arial" w:eastAsia="Arial" w:hAnsi="Arial"/>
                <w:sz w:val="18"/>
                <w:szCs w:val="18"/>
                <w:color w:val="auto"/>
                <w:w w:val="93"/>
              </w:rPr>
              <w:t>to the Trust's Current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9"/>
          </w:tcPr>
          <w:p>
            <w:pPr>
              <w:spacing w:after="0"/>
              <w:rPr>
                <w:sz w:val="20"/>
                <w:szCs w:val="20"/>
                <w:color w:val="auto"/>
              </w:rPr>
            </w:pPr>
            <w:r>
              <w:rPr>
                <w:rFonts w:ascii="Arial" w:cs="Arial" w:eastAsia="Arial" w:hAnsi="Arial"/>
                <w:sz w:val="18"/>
                <w:szCs w:val="18"/>
                <w:color w:val="auto"/>
              </w:rPr>
              <w:t>Report on Form 8-K (File No. 1-07533), filed on May 6, 2020, and incorporated herein by reference)</w:t>
            </w:r>
          </w:p>
        </w:tc>
        <w:tc>
          <w:tcPr>
            <w:tcW w:w="0" w:type="dxa"/>
            <w:vAlign w:val="bottom"/>
          </w:tcPr>
          <w:p>
            <w:pPr>
              <w:spacing w:after="0"/>
              <w:rPr>
                <w:sz w:val="1"/>
                <w:szCs w:val="1"/>
                <w:color w:val="auto"/>
              </w:rPr>
            </w:pP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80" w:type="dxa"/>
            <w:vAlign w:val="bottom"/>
            <w:gridSpan w:val="9"/>
          </w:tcPr>
          <w:p>
            <w:pPr>
              <w:spacing w:after="0"/>
              <w:rPr>
                <w:rFonts w:ascii="Arial" w:cs="Arial" w:eastAsia="Arial" w:hAnsi="Arial"/>
                <w:sz w:val="18"/>
                <w:szCs w:val="18"/>
                <w:color w:val="0000FF"/>
                <w:w w:val="91"/>
              </w:rPr>
            </w:pPr>
            <w:hyperlink w:anchor="page101">
              <w:r>
                <w:rPr>
                  <w:rFonts w:ascii="Arial" w:cs="Arial" w:eastAsia="Arial" w:hAnsi="Arial"/>
                  <w:sz w:val="18"/>
                  <w:szCs w:val="18"/>
                  <w:color w:val="0000FF"/>
                  <w:w w:val="91"/>
                </w:rPr>
                <w:t>Form of Restricted Share Award Agreement for awards made under the Trust’s Long-Term Incentive Award Program and the Trust’s Annual</w:t>
              </w:r>
            </w:hyperlink>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20" w:type="dxa"/>
            <w:vAlign w:val="bottom"/>
            <w:tcBorders>
              <w:top w:val="single" w:sz="8" w:color="0000FF"/>
            </w:tcBorders>
            <w:gridSpan w:val="7"/>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Incentive Bonus Program and basic awards with annual vesting for shares issued out of the 2020 Plan (filed herewith)</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 w:type="dxa"/>
            <w:vAlign w:val="bottom"/>
          </w:tcPr>
          <w:p>
            <w:pPr>
              <w:ind w:left="2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gridSpan w:val="9"/>
          </w:tcPr>
          <w:p>
            <w:pPr>
              <w:spacing w:after="0"/>
              <w:rPr>
                <w:rFonts w:ascii="Arial" w:cs="Arial" w:eastAsia="Arial" w:hAnsi="Arial"/>
                <w:sz w:val="18"/>
                <w:szCs w:val="18"/>
                <w:color w:val="0000FF"/>
                <w:w w:val="91"/>
              </w:rPr>
            </w:pPr>
            <w:hyperlink w:anchor="page105">
              <w:r>
                <w:rPr>
                  <w:rFonts w:ascii="Arial" w:cs="Arial" w:eastAsia="Arial" w:hAnsi="Arial"/>
                  <w:sz w:val="18"/>
                  <w:szCs w:val="18"/>
                  <w:color w:val="0000FF"/>
                  <w:w w:val="91"/>
                </w:rPr>
                <w:t>Form of Option Award Agreement for awards made under the Trust’s Long-Term Incentive Award Program for shares issued out of the 2020</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105">
              <w:r>
                <w:rPr>
                  <w:rFonts w:ascii="Arial" w:cs="Arial" w:eastAsia="Arial" w:hAnsi="Arial"/>
                  <w:sz w:val="18"/>
                  <w:szCs w:val="18"/>
                  <w:color w:val="0000FF"/>
                </w:rPr>
                <w:t>Plan (filed herewith)</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ind w:left="2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80" w:type="dxa"/>
            <w:vAlign w:val="bottom"/>
            <w:gridSpan w:val="9"/>
          </w:tcPr>
          <w:p>
            <w:pPr>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Form of Restricted Share Award Agreement for long-term vesting and retention awards made under the Trust’s Long-Term Incentive Award</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09">
              <w:r>
                <w:rPr>
                  <w:rFonts w:ascii="Arial" w:cs="Arial" w:eastAsia="Arial" w:hAnsi="Arial"/>
                  <w:sz w:val="18"/>
                  <w:szCs w:val="18"/>
                  <w:color w:val="0000FF"/>
                </w:rPr>
                <w:t>Program for shares issued out of the 2020 Plan (filed herewith)</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2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Form of Performance Share Award Agreement for shares awarded out of the 2020 Plan (filed herewith)</w:t>
              </w:r>
            </w:hyperlink>
          </w:p>
        </w:tc>
        <w:tc>
          <w:tcPr>
            <w:tcW w:w="0" w:type="dxa"/>
            <w:vAlign w:val="bottom"/>
          </w:tcPr>
          <w:p>
            <w:pPr>
              <w:spacing w:after="0"/>
              <w:rPr>
                <w:sz w:val="1"/>
                <w:szCs w:val="1"/>
                <w:color w:val="auto"/>
              </w:rPr>
            </w:pPr>
          </w:p>
        </w:tc>
      </w:tr>
      <w:tr>
        <w:trPr>
          <w:trHeight w:val="284"/>
        </w:trPr>
        <w:tc>
          <w:tcPr>
            <w:tcW w:w="880" w:type="dxa"/>
            <w:vAlign w:val="bottom"/>
          </w:tcPr>
          <w:p>
            <w:pPr>
              <w:ind w:left="2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Form of Option Award Agreement for basic options awarded out of the 2020 Plan (filed herewith)</w:t>
              </w:r>
            </w:hyperlink>
          </w:p>
        </w:tc>
        <w:tc>
          <w:tcPr>
            <w:tcW w:w="0" w:type="dxa"/>
            <w:vAlign w:val="bottom"/>
          </w:tcPr>
          <w:p>
            <w:pPr>
              <w:spacing w:after="0"/>
              <w:rPr>
                <w:sz w:val="1"/>
                <w:szCs w:val="1"/>
                <w:color w:val="auto"/>
              </w:rPr>
            </w:pPr>
          </w:p>
        </w:tc>
      </w:tr>
      <w:tr>
        <w:trPr>
          <w:trHeight w:val="283"/>
        </w:trPr>
        <w:tc>
          <w:tcPr>
            <w:tcW w:w="880" w:type="dxa"/>
            <w:vAlign w:val="bottom"/>
          </w:tcPr>
          <w:p>
            <w:pPr>
              <w:ind w:left="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Subsidiaries of Federal Realty Investment Trust (filed herewith)</w:t>
              </w:r>
            </w:hyperlink>
          </w:p>
        </w:tc>
        <w:tc>
          <w:tcPr>
            <w:tcW w:w="0" w:type="dxa"/>
            <w:vAlign w:val="bottom"/>
          </w:tcPr>
          <w:p>
            <w:pPr>
              <w:spacing w:after="0"/>
              <w:rPr>
                <w:sz w:val="1"/>
                <w:szCs w:val="1"/>
                <w:color w:val="auto"/>
              </w:rPr>
            </w:pPr>
          </w:p>
        </w:tc>
      </w:tr>
      <w:tr>
        <w:trPr>
          <w:trHeight w:val="283"/>
        </w:trPr>
        <w:tc>
          <w:tcPr>
            <w:tcW w:w="880" w:type="dxa"/>
            <w:vAlign w:val="bottom"/>
          </w:tcPr>
          <w:p>
            <w:pPr>
              <w:ind w:left="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Consent of Grant Thornton LLP (filed herewith)</w:t>
              </w:r>
            </w:hyperlink>
          </w:p>
        </w:tc>
        <w:tc>
          <w:tcPr>
            <w:tcW w:w="0" w:type="dxa"/>
            <w:vAlign w:val="bottom"/>
          </w:tcPr>
          <w:p>
            <w:pPr>
              <w:spacing w:after="0"/>
              <w:rPr>
                <w:sz w:val="1"/>
                <w:szCs w:val="1"/>
                <w:color w:val="auto"/>
              </w:rPr>
            </w:pPr>
          </w:p>
        </w:tc>
      </w:tr>
      <w:tr>
        <w:trPr>
          <w:trHeight w:val="284"/>
        </w:trPr>
        <w:tc>
          <w:tcPr>
            <w:tcW w:w="88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Rule 13a-14(a) Certification of Chief Executive Officer (filed herewith)</w:t>
              </w:r>
            </w:hyperlink>
          </w:p>
        </w:tc>
        <w:tc>
          <w:tcPr>
            <w:tcW w:w="0" w:type="dxa"/>
            <w:vAlign w:val="bottom"/>
          </w:tcPr>
          <w:p>
            <w:pPr>
              <w:spacing w:after="0"/>
              <w:rPr>
                <w:sz w:val="1"/>
                <w:szCs w:val="1"/>
                <w:color w:val="auto"/>
              </w:rPr>
            </w:pPr>
          </w:p>
        </w:tc>
      </w:tr>
      <w:tr>
        <w:trPr>
          <w:trHeight w:val="283"/>
        </w:trPr>
        <w:tc>
          <w:tcPr>
            <w:tcW w:w="88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Rule 13a-14(a) Certification of Chief Financial Officer (filed herewith)</w:t>
              </w:r>
            </w:hyperlink>
          </w:p>
        </w:tc>
        <w:tc>
          <w:tcPr>
            <w:tcW w:w="0" w:type="dxa"/>
            <w:vAlign w:val="bottom"/>
          </w:tcPr>
          <w:p>
            <w:pPr>
              <w:spacing w:after="0"/>
              <w:rPr>
                <w:sz w:val="1"/>
                <w:szCs w:val="1"/>
                <w:color w:val="auto"/>
              </w:rPr>
            </w:pPr>
          </w:p>
        </w:tc>
      </w:tr>
      <w:tr>
        <w:trPr>
          <w:trHeight w:val="284"/>
        </w:trPr>
        <w:tc>
          <w:tcPr>
            <w:tcW w:w="88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Section 1350 Certification of Chief Executive Officer (filed herewith)</w:t>
              </w:r>
            </w:hyperlink>
          </w:p>
        </w:tc>
        <w:tc>
          <w:tcPr>
            <w:tcW w:w="0" w:type="dxa"/>
            <w:vAlign w:val="bottom"/>
          </w:tcPr>
          <w:p>
            <w:pPr>
              <w:spacing w:after="0"/>
              <w:rPr>
                <w:sz w:val="1"/>
                <w:szCs w:val="1"/>
                <w:color w:val="auto"/>
              </w:rPr>
            </w:pPr>
          </w:p>
        </w:tc>
      </w:tr>
      <w:tr>
        <w:trPr>
          <w:trHeight w:val="283"/>
        </w:trPr>
        <w:tc>
          <w:tcPr>
            <w:tcW w:w="88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Section 1350 Certification of Chief Financial Officer (filed herewith)</w:t>
              </w:r>
            </w:hyperlink>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20" w:right="320" w:hanging="994"/>
        <w:spacing w:after="0" w:line="219"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Annual Report on Form 10-K for the year ended December 31, 2020,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5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and contained in Exhibit 101)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required to be filed as an exhibit pursuant to Item 15(b) of Form 10-K.</w:t>
      </w:r>
    </w:p>
    <w:p>
      <w:pPr>
        <w:spacing w:after="0" w:line="9" w:lineRule="exact"/>
        <w:rPr>
          <w:sz w:val="20"/>
          <w:szCs w:val="20"/>
          <w:color w:val="auto"/>
        </w:rPr>
      </w:pPr>
    </w:p>
    <w:p>
      <w:pPr>
        <w:ind w:right="260" w:firstLine="8"/>
        <w:spacing w:after="0" w:line="260" w:lineRule="auto"/>
        <w:tabs>
          <w:tab w:leader="none" w:pos="22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Pursuant to Regulation S-K Item 601(b)(4)(iii), the Trust by this filing agrees, upon request, to furnish to the Securities and Exchange Commission a copy of other instruments defining the rights of holders of long-term debt of the Trust.</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7" w:name="page58"/>
    <w:bookmarkEnd w:id="57"/>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58" w:name="page59"/>
    <w:bookmarkEnd w:id="58"/>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this February 11, 2021.</w:t>
      </w:r>
    </w:p>
    <w:p>
      <w:pPr>
        <w:spacing w:after="0" w:line="200" w:lineRule="exact"/>
        <w:rPr>
          <w:sz w:val="20"/>
          <w:szCs w:val="20"/>
          <w:color w:val="auto"/>
        </w:rPr>
      </w:pPr>
    </w:p>
    <w:p>
      <w:pPr>
        <w:spacing w:after="0" w:line="34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Federal Realty Investment Trust</w:t>
      </w:r>
    </w:p>
    <w:p>
      <w:pPr>
        <w:spacing w:after="0" w:line="293" w:lineRule="exact"/>
        <w:rPr>
          <w:sz w:val="20"/>
          <w:szCs w:val="20"/>
          <w:color w:val="auto"/>
        </w:rPr>
      </w:pPr>
    </w:p>
    <w:p>
      <w:pPr>
        <w:ind w:left="4980"/>
        <w:spacing w:after="0"/>
        <w:tabs>
          <w:tab w:leader="none" w:pos="6140" w:val="left"/>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23495</wp:posOffset>
            </wp:positionV>
            <wp:extent cx="24174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1" w:lineRule="exact"/>
        <w:rPr>
          <w:sz w:val="20"/>
          <w:szCs w:val="20"/>
          <w:color w:val="auto"/>
        </w:rPr>
      </w:pPr>
    </w:p>
    <w:p>
      <w:pPr>
        <w:jc w:val="center"/>
        <w:ind w:left="3080"/>
        <w:spacing w:after="0"/>
        <w:rPr>
          <w:sz w:val="20"/>
          <w:szCs w:val="20"/>
          <w:color w:val="auto"/>
        </w:rPr>
      </w:pPr>
      <w:r>
        <w:rPr>
          <w:rFonts w:ascii="Arial" w:cs="Arial" w:eastAsia="Arial" w:hAnsi="Arial"/>
          <w:sz w:val="14"/>
          <w:szCs w:val="14"/>
          <w:b w:val="1"/>
          <w:bCs w:val="1"/>
          <w:color w:val="auto"/>
        </w:rPr>
        <w:t>Donald C. Wood</w:t>
      </w:r>
    </w:p>
    <w:p>
      <w:pPr>
        <w:jc w:val="center"/>
        <w:ind w:left="3080"/>
        <w:spacing w:after="0"/>
        <w:rPr>
          <w:sz w:val="20"/>
          <w:szCs w:val="20"/>
          <w:color w:val="auto"/>
        </w:rPr>
      </w:pPr>
      <w:r>
        <w:rPr>
          <w:rFonts w:ascii="Arial" w:cs="Arial" w:eastAsia="Arial" w:hAnsi="Arial"/>
          <w:sz w:val="14"/>
          <w:szCs w:val="14"/>
          <w:b w:val="1"/>
          <w:bCs w:val="1"/>
          <w:color w:val="auto"/>
        </w:rPr>
        <w:t>Chief Executive Officer and Trustee</w:t>
      </w:r>
    </w:p>
    <w:p>
      <w:pPr>
        <w:spacing w:after="0" w:line="16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w w:val="89"/>
              </w:rPr>
              <w:t>Signature</w:t>
            </w:r>
          </w:p>
        </w:tc>
        <w:tc>
          <w:tcPr>
            <w:tcW w:w="4300" w:type="dxa"/>
            <w:vAlign w:val="bottom"/>
            <w:gridSpan w:val="3"/>
          </w:tcPr>
          <w:p>
            <w:pPr>
              <w:ind w:left="2220"/>
              <w:spacing w:after="0"/>
              <w:rPr>
                <w:sz w:val="20"/>
                <w:szCs w:val="20"/>
                <w:color w:val="auto"/>
              </w:rPr>
            </w:pPr>
            <w:r>
              <w:rPr>
                <w:rFonts w:ascii="Arial" w:cs="Arial" w:eastAsia="Arial" w:hAnsi="Arial"/>
                <w:sz w:val="14"/>
                <w:szCs w:val="14"/>
                <w:b w:val="1"/>
                <w:bCs w:val="1"/>
                <w:color w:val="auto"/>
              </w:rPr>
              <w:t>Title</w:t>
            </w:r>
          </w:p>
        </w:tc>
        <w:tc>
          <w:tcPr>
            <w:tcW w:w="2100" w:type="dxa"/>
            <w:vAlign w:val="bottom"/>
            <w:gridSpan w:val="3"/>
          </w:tcPr>
          <w:p>
            <w:pPr>
              <w:jc w:val="center"/>
              <w:ind w:left="67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1720" w:type="dxa"/>
            <w:vAlign w:val="bottom"/>
            <w:tcBorders>
              <w:bottom w:val="single" w:sz="8" w:color="auto"/>
            </w:tcBorders>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gridSpan w:val="3"/>
          </w:tcPr>
          <w:p>
            <w:pPr>
              <w:jc w:val="center"/>
              <w:ind w:right="134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ONALD</w:t>
            </w:r>
            <w:r>
              <w:rPr>
                <w:rFonts w:ascii="Arial" w:cs="Arial" w:eastAsia="Arial" w:hAnsi="Arial"/>
                <w:sz w:val="18"/>
                <w:szCs w:val="18"/>
                <w:color w:val="auto"/>
                <w:w w:val="99"/>
              </w:rPr>
              <w:t xml:space="preserve"> C. W</w:t>
            </w:r>
            <w:r>
              <w:rPr>
                <w:rFonts w:ascii="Arial" w:cs="Arial" w:eastAsia="Arial" w:hAnsi="Arial"/>
                <w:sz w:val="14"/>
                <w:szCs w:val="14"/>
                <w:color w:val="auto"/>
                <w:w w:val="99"/>
              </w:rPr>
              <w:t>OOD</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Chief Executive Officer and Trustee</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11, 2021</w:t>
            </w:r>
          </w:p>
        </w:tc>
      </w:tr>
      <w:tr>
        <w:trPr>
          <w:trHeight w:val="210"/>
        </w:trPr>
        <w:tc>
          <w:tcPr>
            <w:tcW w:w="1420" w:type="dxa"/>
            <w:vAlign w:val="bottom"/>
          </w:tcPr>
          <w:p>
            <w:pPr>
              <w:spacing w:after="0"/>
              <w:rPr>
                <w:sz w:val="18"/>
                <w:szCs w:val="18"/>
                <w:color w:val="auto"/>
              </w:rPr>
            </w:pPr>
          </w:p>
        </w:tc>
        <w:tc>
          <w:tcPr>
            <w:tcW w:w="302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4"/>
              </w:rPr>
              <w:t>Donald C. Wood</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(Principal Executive Officer)</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445"/>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2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G</w:t>
            </w:r>
            <w:r>
              <w:rPr>
                <w:rFonts w:ascii="Arial" w:cs="Arial" w:eastAsia="Arial" w:hAnsi="Arial"/>
                <w:sz w:val="14"/>
                <w:szCs w:val="14"/>
                <w:color w:val="auto"/>
              </w:rPr>
              <w:t>UGLIELMONE</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Executive Vice President - Chief Financial</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11, 2021</w:t>
            </w:r>
          </w:p>
        </w:tc>
      </w:tr>
      <w:tr>
        <w:trPr>
          <w:trHeight w:val="209"/>
        </w:trPr>
        <w:tc>
          <w:tcPr>
            <w:tcW w:w="1420" w:type="dxa"/>
            <w:vAlign w:val="bottom"/>
          </w:tcPr>
          <w:p>
            <w:pPr>
              <w:spacing w:after="0"/>
              <w:rPr>
                <w:sz w:val="18"/>
                <w:szCs w:val="18"/>
                <w:color w:val="auto"/>
              </w:rPr>
            </w:pPr>
          </w:p>
        </w:tc>
        <w:tc>
          <w:tcPr>
            <w:tcW w:w="302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3"/>
              </w:rPr>
              <w:t>Daniel Guglielmone</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Officer and Treasurer (Principal</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Financial and Accounting Officer)</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45"/>
        </w:trPr>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OSEPH</w:t>
            </w:r>
            <w:r>
              <w:rPr>
                <w:rFonts w:ascii="Arial" w:cs="Arial" w:eastAsia="Arial" w:hAnsi="Arial"/>
                <w:sz w:val="18"/>
                <w:szCs w:val="18"/>
                <w:color w:val="auto"/>
                <w:w w:val="96"/>
              </w:rPr>
              <w:t xml:space="preserve"> S. V</w:t>
            </w:r>
            <w:r>
              <w:rPr>
                <w:rFonts w:ascii="Arial" w:cs="Arial" w:eastAsia="Arial" w:hAnsi="Arial"/>
                <w:sz w:val="14"/>
                <w:szCs w:val="14"/>
                <w:color w:val="auto"/>
                <w:w w:val="96"/>
              </w:rPr>
              <w:t>ASSALLUZZO</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Non-Executive Chairman</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11, 2021</w:t>
            </w:r>
          </w:p>
        </w:tc>
      </w:tr>
      <w:tr>
        <w:trPr>
          <w:trHeight w:val="180"/>
        </w:trPr>
        <w:tc>
          <w:tcPr>
            <w:tcW w:w="1420" w:type="dxa"/>
            <w:vAlign w:val="bottom"/>
          </w:tcPr>
          <w:p>
            <w:pPr>
              <w:spacing w:after="0"/>
              <w:rPr>
                <w:sz w:val="15"/>
                <w:szCs w:val="15"/>
                <w:color w:val="auto"/>
              </w:rPr>
            </w:pPr>
          </w:p>
        </w:tc>
        <w:tc>
          <w:tcPr>
            <w:tcW w:w="302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86"/>
              </w:rPr>
              <w:t>Joseph S. Vassalluzzo</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448"/>
        </w:trPr>
        <w:tc>
          <w:tcPr>
            <w:tcW w:w="1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720" w:type="dxa"/>
            <w:vAlign w:val="bottom"/>
            <w:tcBorders>
              <w:bottom w:val="single" w:sz="8" w:color="auto"/>
            </w:tcBorders>
            <w:gridSpan w:val="3"/>
          </w:tcPr>
          <w:p>
            <w:pPr>
              <w:jc w:val="center"/>
              <w:ind w:right="134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ON</w:t>
            </w:r>
            <w:r>
              <w:rPr>
                <w:rFonts w:ascii="Arial" w:cs="Arial" w:eastAsia="Arial" w:hAnsi="Arial"/>
                <w:sz w:val="18"/>
                <w:szCs w:val="18"/>
                <w:color w:val="auto"/>
                <w:w w:val="95"/>
              </w:rPr>
              <w:t xml:space="preserve"> E. B</w:t>
            </w:r>
            <w:r>
              <w:rPr>
                <w:rFonts w:ascii="Arial" w:cs="Arial" w:eastAsia="Arial" w:hAnsi="Arial"/>
                <w:sz w:val="14"/>
                <w:szCs w:val="14"/>
                <w:color w:val="auto"/>
                <w:w w:val="95"/>
              </w:rPr>
              <w:t>ORTZ</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11, 2021</w:t>
            </w:r>
          </w:p>
        </w:tc>
      </w:tr>
      <w:tr>
        <w:trPr>
          <w:trHeight w:val="180"/>
        </w:trPr>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5"/>
              </w:rPr>
              <w:t>Jon E. Bortz</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448"/>
        </w:trPr>
        <w:tc>
          <w:tcPr>
            <w:tcW w:w="172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gridSpan w:val="3"/>
          </w:tcPr>
          <w:p>
            <w:pPr>
              <w:jc w:val="center"/>
              <w:ind w:right="134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AVID</w:t>
            </w:r>
            <w:r>
              <w:rPr>
                <w:rFonts w:ascii="Arial" w:cs="Arial" w:eastAsia="Arial" w:hAnsi="Arial"/>
                <w:sz w:val="18"/>
                <w:szCs w:val="18"/>
                <w:color w:val="auto"/>
                <w:w w:val="97"/>
              </w:rPr>
              <w:t xml:space="preserve"> W. F</w:t>
            </w:r>
            <w:r>
              <w:rPr>
                <w:rFonts w:ascii="Arial" w:cs="Arial" w:eastAsia="Arial" w:hAnsi="Arial"/>
                <w:sz w:val="14"/>
                <w:szCs w:val="14"/>
                <w:color w:val="auto"/>
                <w:w w:val="97"/>
              </w:rPr>
              <w:t>AEDER</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11, 2021</w:t>
            </w:r>
          </w:p>
        </w:tc>
      </w:tr>
      <w:tr>
        <w:trPr>
          <w:trHeight w:val="180"/>
        </w:trPr>
        <w:tc>
          <w:tcPr>
            <w:tcW w:w="1420" w:type="dxa"/>
            <w:vAlign w:val="bottom"/>
          </w:tcPr>
          <w:p>
            <w:pPr>
              <w:spacing w:after="0"/>
              <w:rPr>
                <w:sz w:val="15"/>
                <w:szCs w:val="15"/>
                <w:color w:val="auto"/>
              </w:rPr>
            </w:pPr>
          </w:p>
        </w:tc>
        <w:tc>
          <w:tcPr>
            <w:tcW w:w="302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w w:val="95"/>
              </w:rPr>
              <w:t>David W. Faeder</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502"/>
        </w:trPr>
        <w:tc>
          <w:tcPr>
            <w:tcW w:w="4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7"/>
                <w:szCs w:val="17"/>
                <w:color w:val="auto"/>
              </w:rPr>
              <w:t>E</w:t>
            </w:r>
            <w:r>
              <w:rPr>
                <w:rFonts w:ascii="Arial" w:cs="Arial" w:eastAsia="Arial" w:hAnsi="Arial"/>
                <w:sz w:val="14"/>
                <w:szCs w:val="14"/>
                <w:color w:val="auto"/>
              </w:rPr>
              <w:t xml:space="preserve">LIZABETH </w:t>
            </w:r>
            <w:r>
              <w:rPr>
                <w:rFonts w:ascii="Arial" w:cs="Arial" w:eastAsia="Arial" w:hAnsi="Arial"/>
                <w:sz w:val="17"/>
                <w:szCs w:val="17"/>
                <w:color w:val="auto"/>
              </w:rPr>
              <w:t>I. H</w:t>
            </w:r>
            <w:r>
              <w:rPr>
                <w:rFonts w:ascii="Arial" w:cs="Arial" w:eastAsia="Arial" w:hAnsi="Arial"/>
                <w:sz w:val="14"/>
                <w:szCs w:val="14"/>
                <w:color w:val="auto"/>
              </w:rPr>
              <w:t>OLLAND</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11, 2021</w:t>
            </w:r>
          </w:p>
        </w:tc>
      </w:tr>
      <w:tr>
        <w:trPr>
          <w:trHeight w:val="180"/>
        </w:trPr>
        <w:tc>
          <w:tcPr>
            <w:tcW w:w="1420" w:type="dxa"/>
            <w:vAlign w:val="bottom"/>
          </w:tcPr>
          <w:p>
            <w:pPr>
              <w:spacing w:after="0"/>
              <w:rPr>
                <w:sz w:val="15"/>
                <w:szCs w:val="15"/>
                <w:color w:val="auto"/>
              </w:rPr>
            </w:pPr>
          </w:p>
        </w:tc>
        <w:tc>
          <w:tcPr>
            <w:tcW w:w="302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8"/>
              </w:rPr>
              <w:t>Elizabeth I. Holland</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448"/>
        </w:trPr>
        <w:tc>
          <w:tcPr>
            <w:tcW w:w="4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7"/>
                <w:szCs w:val="17"/>
                <w:color w:val="auto"/>
              </w:rPr>
              <w:t>N</w:t>
            </w:r>
            <w:r>
              <w:rPr>
                <w:rFonts w:ascii="Arial" w:cs="Arial" w:eastAsia="Arial" w:hAnsi="Arial"/>
                <w:sz w:val="14"/>
                <w:szCs w:val="14"/>
                <w:color w:val="auto"/>
              </w:rPr>
              <w:t xml:space="preserve">ICOLE </w:t>
            </w:r>
            <w:r>
              <w:rPr>
                <w:rFonts w:ascii="Arial" w:cs="Arial" w:eastAsia="Arial" w:hAnsi="Arial"/>
                <w:sz w:val="17"/>
                <w:szCs w:val="17"/>
                <w:color w:val="auto"/>
              </w:rPr>
              <w:t>Y. L</w:t>
            </w:r>
            <w:r>
              <w:rPr>
                <w:rFonts w:ascii="Arial" w:cs="Arial" w:eastAsia="Arial" w:hAnsi="Arial"/>
                <w:sz w:val="14"/>
                <w:szCs w:val="14"/>
                <w:color w:val="auto"/>
              </w:rPr>
              <w:t>AMB-HALE</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11, 2021</w:t>
            </w:r>
          </w:p>
        </w:tc>
      </w:tr>
      <w:tr>
        <w:trPr>
          <w:trHeight w:val="180"/>
        </w:trPr>
        <w:tc>
          <w:tcPr>
            <w:tcW w:w="1420" w:type="dxa"/>
            <w:vAlign w:val="bottom"/>
          </w:tcPr>
          <w:p>
            <w:pPr>
              <w:spacing w:after="0"/>
              <w:rPr>
                <w:sz w:val="15"/>
                <w:szCs w:val="15"/>
                <w:color w:val="auto"/>
              </w:rPr>
            </w:pPr>
          </w:p>
        </w:tc>
        <w:tc>
          <w:tcPr>
            <w:tcW w:w="302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6"/>
              </w:rPr>
              <w:t>Nicole Y. Lamb-Hale</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448"/>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/S/</w:t>
            </w:r>
          </w:p>
        </w:tc>
        <w:tc>
          <w:tcPr>
            <w:tcW w:w="30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NTHONY</w:t>
            </w:r>
            <w:r>
              <w:rPr>
                <w:rFonts w:ascii="Arial" w:cs="Arial" w:eastAsia="Arial" w:hAnsi="Arial"/>
                <w:sz w:val="18"/>
                <w:szCs w:val="18"/>
                <w:color w:val="auto"/>
              </w:rPr>
              <w:t xml:space="preserve"> P. N</w:t>
            </w:r>
            <w:r>
              <w:rPr>
                <w:rFonts w:ascii="Arial" w:cs="Arial" w:eastAsia="Arial" w:hAnsi="Arial"/>
                <w:sz w:val="14"/>
                <w:szCs w:val="14"/>
                <w:color w:val="auto"/>
              </w:rPr>
              <w:t>ADER,</w:t>
            </w:r>
            <w:r>
              <w:rPr>
                <w:rFonts w:ascii="Arial" w:cs="Arial" w:eastAsia="Arial" w:hAnsi="Arial"/>
                <w:sz w:val="18"/>
                <w:szCs w:val="18"/>
                <w:color w:val="auto"/>
              </w:rPr>
              <w:t xml:space="preserve"> III</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11, 2021</w:t>
            </w:r>
          </w:p>
        </w:tc>
      </w:tr>
      <w:tr>
        <w:trPr>
          <w:trHeight w:val="180"/>
        </w:trPr>
        <w:tc>
          <w:tcPr>
            <w:tcW w:w="1420" w:type="dxa"/>
            <w:vAlign w:val="bottom"/>
          </w:tcPr>
          <w:p>
            <w:pPr>
              <w:spacing w:after="0"/>
              <w:rPr>
                <w:sz w:val="15"/>
                <w:szCs w:val="15"/>
                <w:color w:val="auto"/>
              </w:rPr>
            </w:pPr>
          </w:p>
        </w:tc>
        <w:tc>
          <w:tcPr>
            <w:tcW w:w="302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7"/>
              </w:rPr>
              <w:t>Anthony P. Nader, III</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448"/>
        </w:trPr>
        <w:tc>
          <w:tcPr>
            <w:tcW w:w="1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w:t>
            </w:r>
          </w:p>
        </w:tc>
        <w:tc>
          <w:tcPr>
            <w:tcW w:w="27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 xml:space="preserve">MARK </w:t>
            </w:r>
            <w:r>
              <w:rPr>
                <w:rFonts w:ascii="Arial" w:cs="Arial" w:eastAsia="Arial" w:hAnsi="Arial"/>
                <w:sz w:val="17"/>
                <w:szCs w:val="17"/>
                <w:color w:val="auto"/>
              </w:rPr>
              <w:t>S.</w:t>
            </w:r>
            <w:r>
              <w:rPr>
                <w:rFonts w:ascii="Arial" w:cs="Arial" w:eastAsia="Arial" w:hAnsi="Arial"/>
                <w:sz w:val="14"/>
                <w:szCs w:val="14"/>
                <w:color w:val="auto"/>
              </w:rPr>
              <w:t xml:space="preserve"> ORDAN</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11, 2021</w:t>
            </w:r>
          </w:p>
        </w:tc>
      </w:tr>
      <w:tr>
        <w:trPr>
          <w:trHeight w:val="180"/>
        </w:trPr>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8"/>
              </w:rPr>
              <w:t>Mark S. Ordan</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448"/>
        </w:trPr>
        <w:tc>
          <w:tcPr>
            <w:tcW w:w="1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gridSpan w:val="3"/>
          </w:tcPr>
          <w:p>
            <w:pPr>
              <w:jc w:val="center"/>
              <w:ind w:right="134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AIL</w:t>
            </w:r>
            <w:r>
              <w:rPr>
                <w:rFonts w:ascii="Arial" w:cs="Arial" w:eastAsia="Arial" w:hAnsi="Arial"/>
                <w:sz w:val="18"/>
                <w:szCs w:val="18"/>
                <w:color w:val="auto"/>
                <w:w w:val="95"/>
              </w:rPr>
              <w:t xml:space="preserve"> P. S</w:t>
            </w:r>
            <w:r>
              <w:rPr>
                <w:rFonts w:ascii="Arial" w:cs="Arial" w:eastAsia="Arial" w:hAnsi="Arial"/>
                <w:sz w:val="14"/>
                <w:szCs w:val="14"/>
                <w:color w:val="auto"/>
                <w:w w:val="95"/>
              </w:rPr>
              <w:t>TEINEL</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11, 2021</w:t>
            </w:r>
          </w:p>
        </w:tc>
      </w:tr>
      <w:tr>
        <w:trPr>
          <w:trHeight w:val="180"/>
        </w:trPr>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2"/>
              </w:rPr>
              <w:t>Gail P. Steinel</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180"/>
          </w:cols>
          <w:pgMar w:left="320" w:top="1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59" w:name="page60"/>
    <w:bookmarkEnd w:id="59"/>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8 and Item 15(a)(1) and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Consolidated Financial Statements</w:t>
            </w:r>
          </w:p>
        </w:tc>
        <w:tc>
          <w:tcPr>
            <w:tcW w:w="146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Page No.</w:t>
            </w:r>
          </w:p>
        </w:tc>
      </w:tr>
      <w:tr>
        <w:trPr>
          <w:trHeight w:val="183"/>
        </w:trPr>
        <w:tc>
          <w:tcPr>
            <w:tcW w:w="9760" w:type="dxa"/>
            <w:vAlign w:val="bottom"/>
          </w:tcPr>
          <w:p>
            <w:pPr>
              <w:ind w:left="20"/>
              <w:spacing w:after="0" w:line="182" w:lineRule="exact"/>
              <w:rPr>
                <w:sz w:val="20"/>
                <w:szCs w:val="20"/>
                <w:color w:val="auto"/>
              </w:rPr>
            </w:pPr>
            <w:r>
              <w:rPr>
                <w:rFonts w:ascii="Arial" w:cs="Arial" w:eastAsia="Arial" w:hAnsi="Arial"/>
                <w:sz w:val="18"/>
                <w:szCs w:val="18"/>
                <w:color w:val="auto"/>
              </w:rPr>
              <w:t>Report of Independent Registered Public Accounting Firm</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jc w:val="right"/>
              <w:ind w:right="20"/>
              <w:spacing w:after="0" w:line="182"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60">
              <w:r>
                <w:rPr>
                  <w:rFonts w:ascii="Arial" w:cs="Arial" w:eastAsia="Arial" w:hAnsi="Arial"/>
                  <w:sz w:val="18"/>
                  <w:szCs w:val="18"/>
                  <w:color w:val="0000FF"/>
                  <w:w w:val="88"/>
                </w:rPr>
                <w:t>2</w:t>
              </w:r>
            </w:hyperlink>
          </w:p>
        </w:tc>
      </w:tr>
      <w:tr>
        <w:trPr>
          <w:trHeight w:val="21"/>
        </w:trPr>
        <w:tc>
          <w:tcPr>
            <w:tcW w:w="9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7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Report of Independent Registered Public Accounting Firm</w:t>
            </w: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61">
              <w:r>
                <w:rPr>
                  <w:rFonts w:ascii="Arial" w:cs="Arial" w:eastAsia="Arial" w:hAnsi="Arial"/>
                  <w:sz w:val="18"/>
                  <w:szCs w:val="18"/>
                  <w:color w:val="0000FF"/>
                  <w:w w:val="88"/>
                </w:rPr>
                <w:t>3</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760" w:type="dxa"/>
            <w:vAlign w:val="bottom"/>
          </w:tcPr>
          <w:p>
            <w:pPr>
              <w:ind w:left="20"/>
              <w:spacing w:after="0" w:line="189" w:lineRule="exact"/>
              <w:rPr>
                <w:sz w:val="20"/>
                <w:szCs w:val="20"/>
                <w:color w:val="auto"/>
              </w:rPr>
            </w:pPr>
            <w:r>
              <w:rPr>
                <w:rFonts w:ascii="Arial" w:cs="Arial" w:eastAsia="Arial" w:hAnsi="Arial"/>
                <w:sz w:val="18"/>
                <w:szCs w:val="18"/>
                <w:color w:val="auto"/>
              </w:rPr>
              <w:t>Consolidated Balance Sheets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right"/>
              <w:ind w:right="20"/>
              <w:spacing w:after="0" w:line="189"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63">
              <w:r>
                <w:rPr>
                  <w:rFonts w:ascii="Arial" w:cs="Arial" w:eastAsia="Arial" w:hAnsi="Arial"/>
                  <w:sz w:val="18"/>
                  <w:szCs w:val="18"/>
                  <w:color w:val="0000FF"/>
                  <w:w w:val="88"/>
                </w:rPr>
                <w:t>5</w:t>
              </w:r>
            </w:hyperlink>
          </w:p>
        </w:tc>
      </w:tr>
      <w:tr>
        <w:trPr>
          <w:trHeight w:val="21"/>
        </w:trPr>
        <w:tc>
          <w:tcPr>
            <w:tcW w:w="9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7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Comprehensive Income</w:t>
            </w: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64">
              <w:r>
                <w:rPr>
                  <w:rFonts w:ascii="Arial" w:cs="Arial" w:eastAsia="Arial" w:hAnsi="Arial"/>
                  <w:sz w:val="18"/>
                  <w:szCs w:val="18"/>
                  <w:color w:val="0000FF"/>
                  <w:w w:val="88"/>
                </w:rPr>
                <w:t>6</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760" w:type="dxa"/>
            <w:vAlign w:val="bottom"/>
          </w:tcPr>
          <w:p>
            <w:pPr>
              <w:ind w:left="20"/>
              <w:spacing w:after="0" w:line="189" w:lineRule="exact"/>
              <w:rPr>
                <w:sz w:val="20"/>
                <w:szCs w:val="20"/>
                <w:color w:val="auto"/>
              </w:rPr>
            </w:pPr>
            <w:r>
              <w:rPr>
                <w:rFonts w:ascii="Arial" w:cs="Arial" w:eastAsia="Arial" w:hAnsi="Arial"/>
                <w:sz w:val="18"/>
                <w:szCs w:val="18"/>
                <w:color w:val="auto"/>
              </w:rPr>
              <w:t>Consolidated Statement of Shareholders’ Equity</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right"/>
              <w:ind w:right="20"/>
              <w:spacing w:after="0" w:line="189"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65">
              <w:r>
                <w:rPr>
                  <w:rFonts w:ascii="Arial" w:cs="Arial" w:eastAsia="Arial" w:hAnsi="Arial"/>
                  <w:sz w:val="18"/>
                  <w:szCs w:val="18"/>
                  <w:color w:val="0000FF"/>
                  <w:w w:val="88"/>
                </w:rPr>
                <w:t>7</w:t>
              </w:r>
            </w:hyperlink>
          </w:p>
        </w:tc>
      </w:tr>
      <w:tr>
        <w:trPr>
          <w:trHeight w:val="21"/>
        </w:trPr>
        <w:tc>
          <w:tcPr>
            <w:tcW w:w="9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7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Cash Flows</w:t>
            </w: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66">
              <w:r>
                <w:rPr>
                  <w:rFonts w:ascii="Arial" w:cs="Arial" w:eastAsia="Arial" w:hAnsi="Arial"/>
                  <w:sz w:val="18"/>
                  <w:szCs w:val="18"/>
                  <w:color w:val="0000FF"/>
                  <w:w w:val="88"/>
                </w:rPr>
                <w:t>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760" w:type="dxa"/>
            <w:vAlign w:val="bottom"/>
          </w:tcPr>
          <w:p>
            <w:pPr>
              <w:ind w:left="20"/>
              <w:spacing w:after="0" w:line="189" w:lineRule="exact"/>
              <w:rPr>
                <w:sz w:val="20"/>
                <w:szCs w:val="20"/>
                <w:color w:val="auto"/>
              </w:rPr>
            </w:pPr>
            <w:r>
              <w:rPr>
                <w:rFonts w:ascii="Arial" w:cs="Arial" w:eastAsia="Arial" w:hAnsi="Arial"/>
                <w:sz w:val="18"/>
                <w:szCs w:val="18"/>
                <w:color w:val="auto"/>
              </w:rPr>
              <w:t>Notes to Consolidated Financial Statements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right"/>
              <w:ind w:right="20"/>
              <w:spacing w:after="0" w:line="189"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67">
              <w:r>
                <w:rPr>
                  <w:rFonts w:ascii="Arial" w:cs="Arial" w:eastAsia="Arial" w:hAnsi="Arial"/>
                  <w:sz w:val="18"/>
                  <w:szCs w:val="18"/>
                  <w:color w:val="0000FF"/>
                  <w:w w:val="88"/>
                </w:rPr>
                <w:t>9</w:t>
              </w:r>
            </w:hyperlink>
          </w:p>
        </w:tc>
      </w:tr>
      <w:tr>
        <w:trPr>
          <w:trHeight w:val="20"/>
        </w:trPr>
        <w:tc>
          <w:tcPr>
            <w:tcW w:w="9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97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i w:val="1"/>
                <w:iCs w:val="1"/>
                <w:color w:val="auto"/>
              </w:rPr>
              <w:t>Financial Statement Schedules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97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Schedule III—Summary of Real Estate and Accumulated Depreciation</w:t>
            </w:r>
          </w:p>
        </w:tc>
        <w:tc>
          <w:tcPr>
            <w:tcW w:w="1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86"/>
              </w:rPr>
            </w:pPr>
            <w:r>
              <w:rPr>
                <w:rFonts w:ascii="Arial" w:cs="Arial" w:eastAsia="Arial" w:hAnsi="Arial"/>
                <w:sz w:val="18"/>
                <w:szCs w:val="18"/>
                <w:color w:val="0000FF"/>
                <w:w w:val="86"/>
              </w:rPr>
              <w:t>F-</w:t>
            </w:r>
            <w:hyperlink w:anchor="page90">
              <w:r>
                <w:rPr>
                  <w:rFonts w:ascii="Arial" w:cs="Arial" w:eastAsia="Arial" w:hAnsi="Arial"/>
                  <w:sz w:val="18"/>
                  <w:szCs w:val="18"/>
                  <w:color w:val="0000FF"/>
                  <w:w w:val="86"/>
                </w:rPr>
                <w:t>32</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760" w:type="dxa"/>
            <w:vAlign w:val="bottom"/>
          </w:tcPr>
          <w:p>
            <w:pPr>
              <w:ind w:left="20"/>
              <w:spacing w:after="0" w:line="189" w:lineRule="exact"/>
              <w:rPr>
                <w:sz w:val="20"/>
                <w:szCs w:val="20"/>
                <w:color w:val="auto"/>
              </w:rPr>
            </w:pPr>
            <w:r>
              <w:rPr>
                <w:rFonts w:ascii="Arial" w:cs="Arial" w:eastAsia="Arial" w:hAnsi="Arial"/>
                <w:sz w:val="18"/>
                <w:szCs w:val="18"/>
                <w:color w:val="auto"/>
              </w:rPr>
              <w:t>Schedule IV—Mortgage Loans on Real Estate</w:t>
            </w:r>
          </w:p>
        </w:tc>
        <w:tc>
          <w:tcPr>
            <w:tcW w:w="1100" w:type="dxa"/>
            <w:vAlign w:val="bottom"/>
          </w:tcPr>
          <w:p>
            <w:pPr>
              <w:spacing w:after="0"/>
              <w:rPr>
                <w:sz w:val="16"/>
                <w:szCs w:val="16"/>
                <w:color w:val="auto"/>
              </w:rPr>
            </w:pPr>
          </w:p>
        </w:tc>
        <w:tc>
          <w:tcPr>
            <w:tcW w:w="340" w:type="dxa"/>
            <w:vAlign w:val="bottom"/>
            <w:tcBorders>
              <w:bottom w:val="single" w:sz="8" w:color="0000FF"/>
            </w:tcBorders>
            <w:gridSpan w:val="2"/>
          </w:tcPr>
          <w:p>
            <w:pPr>
              <w:jc w:val="right"/>
              <w:spacing w:after="0" w:line="189" w:lineRule="exact"/>
              <w:rPr>
                <w:rFonts w:ascii="Arial" w:cs="Arial" w:eastAsia="Arial" w:hAnsi="Arial"/>
                <w:sz w:val="18"/>
                <w:szCs w:val="18"/>
                <w:color w:val="0000FF"/>
                <w:w w:val="86"/>
              </w:rPr>
            </w:pPr>
            <w:r>
              <w:rPr>
                <w:rFonts w:ascii="Arial" w:cs="Arial" w:eastAsia="Arial" w:hAnsi="Arial"/>
                <w:sz w:val="18"/>
                <w:szCs w:val="18"/>
                <w:color w:val="0000FF"/>
                <w:w w:val="86"/>
              </w:rPr>
              <w:t>F-</w:t>
            </w:r>
            <w:hyperlink w:anchor="page98">
              <w:r>
                <w:rPr>
                  <w:rFonts w:ascii="Arial" w:cs="Arial" w:eastAsia="Arial" w:hAnsi="Arial"/>
                  <w:sz w:val="18"/>
                  <w:szCs w:val="18"/>
                  <w:color w:val="0000FF"/>
                  <w:w w:val="86"/>
                </w:rPr>
                <w:t>40</w:t>
              </w:r>
            </w:hyperlink>
          </w:p>
        </w:tc>
        <w:tc>
          <w:tcPr>
            <w:tcW w:w="20" w:type="dxa"/>
            <w:vAlign w:val="bottom"/>
          </w:tcPr>
          <w:p>
            <w:pPr>
              <w:spacing w:after="0"/>
              <w:rPr>
                <w:sz w:val="16"/>
                <w:szCs w:val="16"/>
                <w:color w:val="auto"/>
              </w:rPr>
            </w:pPr>
          </w:p>
        </w:tc>
      </w:tr>
    </w:tbl>
    <w:p>
      <w:pPr>
        <w:spacing w:after="0" w:line="175"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All other schedules have been omitted either because the information is not applicable, not material, or is disclosed in our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0" w:name="page61"/>
    <w:bookmarkEnd w:id="60"/>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We have audited the internal control over financial reporting of Federal Realty Investment Trust (a Maryland real estate investment trust) and subsidiaries (collectively, the "Trust") as of December 31, 2020,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Trust maintained, in all material respects, effective internal control over financial reporting as of December 31, 2020,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Trust as of and for the year ended December 31, 2020, and our report dated February 11, 2021 expressed an unqualified opinion on those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Trust’s management is responsible for maintaining effective internal control over financial reporting and for its assessment of the effectiveness of internal control over financial reporting, included in the accompanying Management's Evaluation of Disclosure Controls and Procedures. Our responsibility is to express an opinion on the Trust’s internal control over financial reporting based on our audit.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have audited the accompanying consolidated balance sheets of Federal Realty Investment Trust (a Maryland real estate investment trust) and subsidiaries (collectively, the "Trust") as of December 31, 2020 and 2019, the related consolidated statements of comprehensive income, changes in shareholders’ equity, and cash flows for each of the three years in the period ended December 31, 2020, and the related notes and financial statement schedules included under Item 15(a) (collectively referred to as the “financial statements”). In our opinion, the financial statements present fairly, in all material respects, the financial position of the Trust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Trust’s internal control over financial reporting as of December 31, 2020,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February 11, 2021 expressed an unqualified opinion.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These financial statements are the responsibility of the Trust’s management. Our responsibility is to express an opinion on the Trust’s financial statements based on our audits.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2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 or on the accounts or disclosures to which it relates.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Collectibility Assessment</w:t>
      </w:r>
    </w:p>
    <w:p>
      <w:pPr>
        <w:spacing w:after="0" w:line="13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In order to recognize rental revenue on an accrual basis, the Trust must determine whether substantially all of the rents due under a lease arrangement are collectible. If the Trust reaches the conclusion that substantially all of the rents are not collectible for a specific lease, then rental revenue under that arrangement can only be recognized when cash payment from the tenant is received.</w:t>
      </w: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Significant judgment is exercised by the Trust when making a collectibility assessment and includes the following considerations which require challenging and subjective auditor judgment in the execution of our audit procedures:</w:t>
      </w:r>
    </w:p>
    <w:p>
      <w:pPr>
        <w:ind w:left="660" w:hanging="328"/>
        <w:spacing w:after="0" w:line="235"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Creditworthiness of the tenant.</w:t>
      </w:r>
    </w:p>
    <w:p>
      <w:pPr>
        <w:ind w:left="660" w:hanging="328"/>
        <w:spacing w:after="0" w:line="23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Current economic conditions.</w:t>
      </w: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Historical experience with the tenant and other tenants operating in the same industry.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collectibility assessment included the following: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assessed the design and tested the operating effectiveness of internal controls relating to the collectibility assessment process.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evaluated management’s accounting policies related to this assessment.</w:t>
      </w:r>
    </w:p>
    <w:p>
      <w:pPr>
        <w:ind w:left="660" w:hanging="328"/>
        <w:spacing w:after="0" w:line="23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verified the completeness of the population of tenants that management evaluated.</w:t>
      </w:r>
    </w:p>
    <w:p>
      <w:pPr>
        <w:ind w:left="660" w:right="400" w:hanging="328"/>
        <w:spacing w:after="0" w:line="264" w:lineRule="auto"/>
        <w:tabs>
          <w:tab w:leader="none" w:pos="655"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researched recent publicly available information such as bankruptcy filings, industry journals, and periodicals, and for any of the Trust’s tenants identified in our research we evaluated whether such information was considered in management’s collectibility assessment.</w:t>
      </w:r>
    </w:p>
    <w:p>
      <w:pPr>
        <w:ind w:left="660" w:right="520" w:hanging="328"/>
        <w:spacing w:after="0" w:line="234"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a sample of tenant receivables where collectibility was deemed as probable, we inspected and evaluated management’s documentation supporting the collectibility assessment.</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selected a sample of tenant receivable balances to verify they are accurately aged.</w:t>
      </w:r>
    </w:p>
    <w:p>
      <w:pPr>
        <w:ind w:left="660" w:right="660" w:hanging="328"/>
        <w:spacing w:after="0" w:line="234"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selected a sample of leases to evaluate the collectibility assessment conclusion reached by management and performed the following procedures for each selection:</w:t>
      </w:r>
    </w:p>
    <w:p>
      <w:pPr>
        <w:spacing w:after="0" w:line="1"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Verified that management’s accounting policies related to the collectibility assessment were followed.</w:t>
      </w:r>
    </w:p>
    <w:p>
      <w:pPr>
        <w:ind w:left="1300" w:hanging="320"/>
        <w:spacing w:after="0" w:line="234" w:lineRule="auto"/>
        <w:tabs>
          <w:tab w:leader="none" w:pos="1296" w:val="left"/>
        </w:tabs>
        <w:numPr>
          <w:ilvl w:val="1"/>
          <w:numId w:val="59"/>
        </w:numPr>
        <w:rPr>
          <w:rFonts w:ascii="Arial" w:cs="Arial" w:eastAsia="Arial" w:hAnsi="Arial"/>
          <w:sz w:val="18"/>
          <w:szCs w:val="18"/>
          <w:color w:val="auto"/>
        </w:rPr>
      </w:pPr>
      <w:r>
        <w:rPr>
          <w:rFonts w:ascii="Arial" w:cs="Arial" w:eastAsia="Arial" w:hAnsi="Arial"/>
          <w:sz w:val="18"/>
          <w:szCs w:val="18"/>
          <w:color w:val="auto"/>
        </w:rPr>
        <w:t>Obtained from management documentation such as tenant collection history and any direct correspondence and evaluated management’s considerations supporting the collectibility assessment conclusion reached.</w:t>
      </w:r>
    </w:p>
    <w:p>
      <w:pPr>
        <w:spacing w:after="0" w:line="1" w:lineRule="exact"/>
        <w:rPr>
          <w:rFonts w:ascii="Arial" w:cs="Arial" w:eastAsia="Arial" w:hAnsi="Arial"/>
          <w:sz w:val="18"/>
          <w:szCs w:val="18"/>
          <w:color w:val="auto"/>
        </w:rPr>
      </w:pPr>
    </w:p>
    <w:p>
      <w:pPr>
        <w:ind w:left="1300" w:right="60" w:hanging="320"/>
        <w:spacing w:after="0" w:line="243" w:lineRule="auto"/>
        <w:tabs>
          <w:tab w:leader="none" w:pos="1296"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Researched publicly available information to independently verify the completeness and accuracy of management’s information used to make the collectibility assessment.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Trust’s auditor since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612"/>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30"/>
        </w:trPr>
        <w:tc>
          <w:tcPr>
            <w:tcW w:w="8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60" w:type="dxa"/>
            <w:vAlign w:val="bottom"/>
            <w:gridSpan w:val="4"/>
          </w:tcPr>
          <w:p>
            <w:pPr>
              <w:jc w:val="center"/>
              <w:ind w:right="91"/>
              <w:spacing w:after="0" w:line="130" w:lineRule="exact"/>
              <w:rPr>
                <w:sz w:val="20"/>
                <w:szCs w:val="20"/>
                <w:color w:val="auto"/>
              </w:rPr>
            </w:pPr>
            <w:r>
              <w:rPr>
                <w:rFonts w:ascii="Arial" w:cs="Arial" w:eastAsia="Arial" w:hAnsi="Arial"/>
                <w:sz w:val="14"/>
                <w:szCs w:val="14"/>
                <w:b w:val="1"/>
                <w:bCs w:val="1"/>
                <w:color w:val="auto"/>
                <w:w w:val="91"/>
              </w:rPr>
              <w:t>(In thousands, except share and per</w:t>
            </w:r>
          </w:p>
        </w:tc>
        <w:tc>
          <w:tcPr>
            <w:tcW w:w="0" w:type="dxa"/>
            <w:vAlign w:val="bottom"/>
          </w:tcPr>
          <w:p>
            <w:pPr>
              <w:spacing w:after="0"/>
              <w:rPr>
                <w:sz w:val="1"/>
                <w:szCs w:val="1"/>
                <w:color w:val="auto"/>
              </w:rPr>
            </w:pPr>
          </w:p>
        </w:tc>
      </w:tr>
      <w:tr>
        <w:trPr>
          <w:trHeight w:val="186"/>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90"/>
              </w:rPr>
              <w:t>share data)</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560" w:type="dxa"/>
            <w:vAlign w:val="bottom"/>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 at cost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w w:val="96"/>
              </w:rPr>
              <w:t>Operating (including $1,703,202 and $1,676,866 of consolidated variable interest entities,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7,771,981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7,535,983</w:t>
            </w: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9"/>
              </w:rPr>
              <w:t>Construction-in-progress (including $44,896 and $102,583 of consolidated variable interest entities,</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810,889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760,420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rPr>
              <w:t>Assets held for sale</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23"/>
        </w:trPr>
        <w:tc>
          <w:tcPr>
            <w:tcW w:w="85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8,582,870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8,298,132</w:t>
            </w:r>
          </w:p>
        </w:tc>
        <w:tc>
          <w:tcPr>
            <w:tcW w:w="0" w:type="dxa"/>
            <w:vAlign w:val="bottom"/>
          </w:tcPr>
          <w:p>
            <w:pPr>
              <w:spacing w:after="0"/>
              <w:rPr>
                <w:sz w:val="1"/>
                <w:szCs w:val="1"/>
                <w:color w:val="auto"/>
              </w:rPr>
            </w:pPr>
          </w:p>
        </w:tc>
      </w:tr>
      <w:tr>
        <w:trPr>
          <w:trHeight w:val="175"/>
        </w:trPr>
        <w:tc>
          <w:tcPr>
            <w:tcW w:w="8560" w:type="dxa"/>
            <w:vAlign w:val="bottom"/>
          </w:tcPr>
          <w:p>
            <w:pPr>
              <w:ind w:left="660"/>
              <w:spacing w:after="0" w:line="176" w:lineRule="exact"/>
              <w:rPr>
                <w:sz w:val="20"/>
                <w:szCs w:val="20"/>
                <w:color w:val="auto"/>
              </w:rPr>
            </w:pPr>
            <w:r>
              <w:rPr>
                <w:rFonts w:ascii="Arial" w:cs="Arial" w:eastAsia="Arial" w:hAnsi="Arial"/>
                <w:sz w:val="18"/>
                <w:szCs w:val="18"/>
                <w:color w:val="auto"/>
                <w:w w:val="91"/>
              </w:rPr>
              <w:t>Less accumulated depreciation and amortization (including $335,735 and $296,165 of consolidated variable</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(2,357,692)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1"/>
              </w:rPr>
              <w:t>(2,215,413)</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interest entities, respectively)</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 estate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6,225,178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6,082,719</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798,329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127,432</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and notes receivable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152,572</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Mortgage notes receivable,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partnerships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28,604</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92,248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93,774</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right of use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52,402</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227,060</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7,607,624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6,794,992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60" w:type="dxa"/>
            <w:vAlign w:val="bottom"/>
          </w:tcPr>
          <w:p>
            <w:pPr>
              <w:ind w:left="660"/>
              <w:spacing w:after="0" w:line="176" w:lineRule="exact"/>
              <w:rPr>
                <w:sz w:val="20"/>
                <w:szCs w:val="20"/>
                <w:color w:val="auto"/>
              </w:rPr>
            </w:pPr>
            <w:r>
              <w:rPr>
                <w:rFonts w:ascii="Arial" w:cs="Arial" w:eastAsia="Arial" w:hAnsi="Arial"/>
                <w:sz w:val="18"/>
                <w:szCs w:val="18"/>
                <w:color w:val="auto"/>
                <w:w w:val="99"/>
              </w:rPr>
              <w:t>Mortgages payable, net (including $413,681 and $469,184 of consolidated variable interest entities,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484,111</w:t>
            </w:r>
          </w:p>
        </w:tc>
        <w:tc>
          <w:tcPr>
            <w:tcW w:w="12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545,679</w:t>
            </w: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rPr>
              <w:t>respectively)</w:t>
            </w:r>
          </w:p>
        </w:tc>
        <w:tc>
          <w:tcPr>
            <w:tcW w:w="16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Notes payable,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Senior notes and debentures,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3,404,488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2,807,134</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255,503</w:t>
            </w: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83,839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81,676</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Security deposits payable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21,701</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72,441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73,628</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Finance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72,062</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157,938</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4,921,157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4,019,102</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Commitments and contingencies (Note 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139,758</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Preferred shares, authorized 15,000,000 shares, $.01 par: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780"/>
              <w:spacing w:after="0" w:line="176" w:lineRule="exact"/>
              <w:rPr>
                <w:sz w:val="20"/>
                <w:szCs w:val="20"/>
                <w:color w:val="auto"/>
              </w:rPr>
            </w:pPr>
            <w:r>
              <w:rPr>
                <w:rFonts w:ascii="Arial" w:cs="Arial" w:eastAsia="Arial" w:hAnsi="Arial"/>
                <w:sz w:val="18"/>
                <w:szCs w:val="18"/>
                <w:color w:val="auto"/>
                <w:w w:val="94"/>
              </w:rPr>
              <w:t>5.0% Series C Cumulative Redeemable Preferred Shares, (stated at liquidation preference $25,000 per</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30"/>
        </w:trPr>
        <w:tc>
          <w:tcPr>
            <w:tcW w:w="8560" w:type="dxa"/>
            <w:vAlign w:val="bottom"/>
          </w:tcPr>
          <w:p>
            <w:pPr>
              <w:ind w:left="780"/>
              <w:spacing w:after="0"/>
              <w:rPr>
                <w:sz w:val="20"/>
                <w:szCs w:val="20"/>
                <w:color w:val="auto"/>
              </w:rPr>
            </w:pPr>
            <w:r>
              <w:rPr>
                <w:rFonts w:ascii="Arial" w:cs="Arial" w:eastAsia="Arial" w:hAnsi="Arial"/>
                <w:sz w:val="18"/>
                <w:szCs w:val="18"/>
                <w:color w:val="auto"/>
              </w:rPr>
              <w:t>share), 6,000 shares issued and outstanding</w:t>
            </w: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0"/>
              </w:rPr>
              <w:t>5.417% Series 1 Cumulative Convertible Preferred Shares, (stated at liquidation preference $25 per share),</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399,896 shares issued and outstanding</w:t>
            </w: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60" w:type="dxa"/>
            <w:vAlign w:val="bottom"/>
          </w:tcPr>
          <w:p>
            <w:pPr>
              <w:ind w:left="660"/>
              <w:spacing w:after="0" w:line="176" w:lineRule="exact"/>
              <w:rPr>
                <w:sz w:val="20"/>
                <w:szCs w:val="20"/>
                <w:color w:val="auto"/>
              </w:rPr>
            </w:pPr>
            <w:r>
              <w:rPr>
                <w:rFonts w:ascii="Arial" w:cs="Arial" w:eastAsia="Arial" w:hAnsi="Arial"/>
                <w:sz w:val="18"/>
                <w:szCs w:val="18"/>
                <w:color w:val="auto"/>
                <w:w w:val="91"/>
              </w:rPr>
              <w:t>Common shares of beneficial interest, $.01 par, 100,000,000 shares authorized, 76,727,394 and 75,540,804</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3,297,305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3,166,522</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(988,272)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(791,124)</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2,464,157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2,535,341</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100,791</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2,548,747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2,636,132</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7,607,624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6,794,992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64" w:name="page65"/>
    <w:bookmarkEnd w:id="64"/>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left="452"/>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1"/>
        </w:trPr>
        <w:tc>
          <w:tcPr>
            <w:tcW w:w="7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6"/>
          </w:tcPr>
          <w:p>
            <w:pPr>
              <w:jc w:val="center"/>
              <w:ind w:left="452"/>
              <w:spacing w:after="0"/>
              <w:rPr>
                <w:sz w:val="20"/>
                <w:szCs w:val="20"/>
                <w:color w:val="auto"/>
              </w:rPr>
            </w:pPr>
            <w:r>
              <w:rPr>
                <w:rFonts w:ascii="Arial" w:cs="Arial" w:eastAsia="Arial" w:hAnsi="Arial"/>
                <w:sz w:val="14"/>
                <w:szCs w:val="14"/>
                <w:b w:val="1"/>
                <w:bCs w:val="1"/>
                <w:color w:val="auto"/>
                <w:w w:val="91"/>
              </w:rPr>
              <w:t>(In thousands, except per share data)</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160" w:type="dxa"/>
            <w:vAlign w:val="bottom"/>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912,287</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Mortgage interest income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835,494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935,788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915,436</w:t>
            </w:r>
          </w:p>
        </w:tc>
        <w:tc>
          <w:tcPr>
            <w:tcW w:w="0" w:type="dxa"/>
            <w:vAlign w:val="bottom"/>
          </w:tcPr>
          <w:p>
            <w:pPr>
              <w:spacing w:after="0"/>
              <w:rPr>
                <w:sz w:val="1"/>
                <w:szCs w:val="1"/>
                <w:color w:val="auto"/>
              </w:rPr>
            </w:pPr>
          </w:p>
        </w:tc>
      </w:tr>
      <w:tr>
        <w:trPr>
          <w:trHeight w:val="209"/>
        </w:trPr>
        <w:tc>
          <w:tcPr>
            <w:tcW w:w="7160" w:type="dxa"/>
            <w:vAlign w:val="bottom"/>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173,094</w:t>
            </w:r>
          </w:p>
        </w:tc>
        <w:tc>
          <w:tcPr>
            <w:tcW w:w="0" w:type="dxa"/>
            <w:vAlign w:val="bottom"/>
          </w:tcPr>
          <w:p>
            <w:pPr>
              <w:spacing w:after="0"/>
              <w:rPr>
                <w:sz w:val="1"/>
                <w:szCs w:val="1"/>
                <w:color w:val="auto"/>
              </w:rPr>
            </w:pPr>
          </w:p>
        </w:tc>
      </w:tr>
      <w:tr>
        <w:trPr>
          <w:trHeight w:val="230"/>
        </w:trPr>
        <w:tc>
          <w:tcPr>
            <w:tcW w:w="7160" w:type="dxa"/>
            <w:vAlign w:val="bottom"/>
          </w:tcPr>
          <w:p>
            <w:pPr>
              <w:ind w:left="360"/>
              <w:spacing w:after="0"/>
              <w:rPr>
                <w:sz w:val="20"/>
                <w:szCs w:val="20"/>
                <w:color w:val="auto"/>
              </w:rPr>
            </w:pPr>
            <w:r>
              <w:rPr>
                <w:rFonts w:ascii="Arial" w:cs="Arial" w:eastAsia="Arial" w:hAnsi="Arial"/>
                <w:sz w:val="18"/>
                <w:szCs w:val="18"/>
                <w:color w:val="auto"/>
              </w:rPr>
              <w:t>Real estate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110,927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114,776</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33,600</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239,758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244,245</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581,270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565,715</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charge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Gain on sale of real estate, net of tax</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116,393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11,915</w:t>
            </w:r>
          </w:p>
        </w:tc>
        <w:tc>
          <w:tcPr>
            <w:tcW w:w="0" w:type="dxa"/>
            <w:vAlign w:val="bottom"/>
          </w:tcPr>
          <w:p>
            <w:pPr>
              <w:spacing w:after="0"/>
              <w:rPr>
                <w:sz w:val="1"/>
                <w:szCs w:val="1"/>
                <w:color w:val="auto"/>
              </w:rPr>
            </w:pPr>
          </w:p>
        </w:tc>
      </w:tr>
      <w:tr>
        <w:trPr>
          <w:trHeight w:val="196"/>
        </w:trPr>
        <w:tc>
          <w:tcPr>
            <w:tcW w:w="7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289,524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470,911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361,636</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OTHER INCOME/(EXPENSE)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interest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9"/>
        </w:trPr>
        <w:tc>
          <w:tcPr>
            <w:tcW w:w="71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(109,623)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(110,154)</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extinguishment of debt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Loss from partnerships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249,026</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TRUST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241,907</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Dividends on preferred shares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233,865</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BASIC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Weighted average number of common shares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75,515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74,766</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73,274</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COMMON SHARE, DILUTED</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73,302</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249,026</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comprehensive loss - change in value of interest rate swaps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248,588</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THE TRUST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241,469</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65" w:name="page66"/>
    <w:bookmarkEnd w:id="65"/>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DECEMBER 31, 2017</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January 1, 2018 adoption of new accounting standard</w:t>
      </w:r>
    </w:p>
    <w:p>
      <w:pPr>
        <w:spacing w:after="0" w:line="40" w:lineRule="exact"/>
        <w:rPr>
          <w:sz w:val="20"/>
          <w:szCs w:val="20"/>
          <w:color w:val="auto"/>
        </w:rPr>
      </w:pPr>
    </w:p>
    <w:p>
      <w:pPr>
        <w:ind w:left="40" w:right="280"/>
        <w:spacing w:after="0" w:line="253" w:lineRule="auto"/>
        <w:rPr>
          <w:sz w:val="20"/>
          <w:szCs w:val="20"/>
          <w:color w:val="auto"/>
        </w:rPr>
      </w:pPr>
      <w:r>
        <w:rPr>
          <w:rFonts w:ascii="Arial" w:cs="Arial" w:eastAsia="Arial" w:hAnsi="Arial"/>
          <w:sz w:val="13"/>
          <w:szCs w:val="13"/>
          <w:color w:val="auto"/>
        </w:rPr>
        <w:t>Net income, excluding $3,865 attributable to redeemable noncontrolling interests</w:t>
      </w:r>
    </w:p>
    <w:p>
      <w:pPr>
        <w:spacing w:after="0" w:line="9" w:lineRule="exact"/>
        <w:rPr>
          <w:sz w:val="20"/>
          <w:szCs w:val="20"/>
          <w:color w:val="auto"/>
        </w:rPr>
      </w:pPr>
    </w:p>
    <w:p>
      <w:pPr>
        <w:ind w:left="40" w:right="180"/>
        <w:spacing w:after="0" w:line="253" w:lineRule="auto"/>
        <w:rPr>
          <w:sz w:val="20"/>
          <w:szCs w:val="20"/>
          <w:color w:val="auto"/>
        </w:rPr>
      </w:pPr>
      <w:r>
        <w:rPr>
          <w:rFonts w:ascii="Arial" w:cs="Arial" w:eastAsia="Arial" w:hAnsi="Arial"/>
          <w:sz w:val="13"/>
          <w:szCs w:val="13"/>
          <w:color w:val="auto"/>
        </w:rPr>
        <w:t>Other comprehensive loss - change in value of interest rate swaps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2"/>
          <w:szCs w:val="12"/>
          <w:color w:val="auto"/>
        </w:rPr>
        <w:t>Dividends declared to common shareholders ($4.04 per share)</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declared to preferred shareholders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 to noncontrolling interests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shares issued, net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Exercise of stock options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Share-based compensation expense, net of forfeitures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withheld for employee taxes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Conversion and redemption of OP units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Contributions from noncontrolling interests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 to redeemable noncontrolling interests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DECEMBER 31, 2018</w:t>
      </w:r>
    </w:p>
    <w:p>
      <w:pPr>
        <w:spacing w:after="0" w:line="53" w:lineRule="exact"/>
        <w:rPr>
          <w:sz w:val="20"/>
          <w:szCs w:val="20"/>
          <w:color w:val="auto"/>
        </w:rPr>
      </w:pPr>
    </w:p>
    <w:p>
      <w:pPr>
        <w:ind w:left="40" w:right="160"/>
        <w:spacing w:after="0" w:line="253" w:lineRule="auto"/>
        <w:rPr>
          <w:sz w:val="20"/>
          <w:szCs w:val="20"/>
          <w:color w:val="auto"/>
        </w:rPr>
      </w:pPr>
      <w:r>
        <w:rPr>
          <w:rFonts w:ascii="Arial" w:cs="Arial" w:eastAsia="Arial" w:hAnsi="Arial"/>
          <w:sz w:val="13"/>
          <w:szCs w:val="13"/>
          <w:color w:val="auto"/>
        </w:rPr>
        <w:t>January 1, 2019 adoption of new accounting standard - See Note 2</w:t>
      </w:r>
    </w:p>
    <w:p>
      <w:pPr>
        <w:spacing w:after="0" w:line="9" w:lineRule="exact"/>
        <w:rPr>
          <w:sz w:val="20"/>
          <w:szCs w:val="20"/>
          <w:color w:val="auto"/>
        </w:rPr>
      </w:pPr>
    </w:p>
    <w:p>
      <w:pPr>
        <w:ind w:left="40" w:right="280"/>
        <w:spacing w:after="0" w:line="253" w:lineRule="auto"/>
        <w:rPr>
          <w:sz w:val="20"/>
          <w:szCs w:val="20"/>
          <w:color w:val="auto"/>
        </w:rPr>
      </w:pPr>
      <w:r>
        <w:rPr>
          <w:rFonts w:ascii="Arial" w:cs="Arial" w:eastAsia="Arial" w:hAnsi="Arial"/>
          <w:sz w:val="13"/>
          <w:szCs w:val="13"/>
          <w:color w:val="auto"/>
        </w:rPr>
        <w:t>Net income, excluding $3,430 attributable to redeemable noncontrolling interests</w:t>
      </w:r>
    </w:p>
    <w:p>
      <w:pPr>
        <w:spacing w:after="0" w:line="9" w:lineRule="exact"/>
        <w:rPr>
          <w:sz w:val="20"/>
          <w:szCs w:val="20"/>
          <w:color w:val="auto"/>
        </w:rPr>
      </w:pPr>
    </w:p>
    <w:p>
      <w:pPr>
        <w:ind w:left="40" w:right="180"/>
        <w:spacing w:after="0" w:line="253" w:lineRule="auto"/>
        <w:rPr>
          <w:sz w:val="20"/>
          <w:szCs w:val="20"/>
          <w:color w:val="auto"/>
        </w:rPr>
      </w:pPr>
      <w:r>
        <w:rPr>
          <w:rFonts w:ascii="Arial" w:cs="Arial" w:eastAsia="Arial" w:hAnsi="Arial"/>
          <w:sz w:val="13"/>
          <w:szCs w:val="13"/>
          <w:color w:val="auto"/>
        </w:rPr>
        <w:t>Other comprehensive loss - change in value of interest rate swaps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2"/>
          <w:szCs w:val="12"/>
          <w:color w:val="auto"/>
        </w:rPr>
        <w:t>Dividends declared to common shareholders ($4.14 per share)</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declared to preferred shareholders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 to noncontrolling interests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shares issued, net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Share-based compensation expense, net of forfeitures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withheld for employee taxes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Conversion and redemption of OP units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Contributions from noncontrolling interests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 to redeemable noncontrolling interests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DECEMBER 31, 2019</w:t>
      </w:r>
    </w:p>
    <w:p>
      <w:pPr>
        <w:spacing w:after="0" w:line="53" w:lineRule="exact"/>
        <w:rPr>
          <w:sz w:val="20"/>
          <w:szCs w:val="20"/>
          <w:color w:val="auto"/>
        </w:rPr>
      </w:pPr>
    </w:p>
    <w:p>
      <w:pPr>
        <w:ind w:left="40" w:right="160"/>
        <w:spacing w:after="0" w:line="253" w:lineRule="auto"/>
        <w:rPr>
          <w:sz w:val="20"/>
          <w:szCs w:val="20"/>
          <w:color w:val="auto"/>
        </w:rPr>
      </w:pPr>
      <w:r>
        <w:rPr>
          <w:rFonts w:ascii="Arial" w:cs="Arial" w:eastAsia="Arial" w:hAnsi="Arial"/>
          <w:sz w:val="13"/>
          <w:szCs w:val="13"/>
          <w:color w:val="auto"/>
        </w:rPr>
        <w:t>January 1, 2020 adoption of new accounting standard - See Note 2</w:t>
      </w:r>
    </w:p>
    <w:p>
      <w:pPr>
        <w:spacing w:after="0" w:line="9" w:lineRule="exact"/>
        <w:rPr>
          <w:sz w:val="20"/>
          <w:szCs w:val="20"/>
          <w:color w:val="auto"/>
        </w:rPr>
      </w:pPr>
    </w:p>
    <w:p>
      <w:pPr>
        <w:ind w:left="40" w:right="280"/>
        <w:spacing w:after="0" w:line="253" w:lineRule="auto"/>
        <w:rPr>
          <w:sz w:val="20"/>
          <w:szCs w:val="20"/>
          <w:color w:val="auto"/>
        </w:rPr>
      </w:pPr>
      <w:r>
        <w:rPr>
          <w:rFonts w:ascii="Arial" w:cs="Arial" w:eastAsia="Arial" w:hAnsi="Arial"/>
          <w:sz w:val="13"/>
          <w:szCs w:val="13"/>
          <w:color w:val="auto"/>
        </w:rPr>
        <w:t>Net income, excluding $2,228 attributable to redeemable noncontrolling interests</w:t>
      </w:r>
    </w:p>
    <w:p>
      <w:pPr>
        <w:spacing w:after="0" w:line="9" w:lineRule="exact"/>
        <w:rPr>
          <w:sz w:val="20"/>
          <w:szCs w:val="20"/>
          <w:color w:val="auto"/>
        </w:rPr>
      </w:pPr>
    </w:p>
    <w:p>
      <w:pPr>
        <w:ind w:left="40" w:right="180"/>
        <w:spacing w:after="0" w:line="236" w:lineRule="auto"/>
        <w:rPr>
          <w:sz w:val="20"/>
          <w:szCs w:val="20"/>
          <w:color w:val="auto"/>
        </w:rPr>
      </w:pPr>
      <w:r>
        <w:rPr>
          <w:rFonts w:ascii="Arial" w:cs="Arial" w:eastAsia="Arial" w:hAnsi="Arial"/>
          <w:sz w:val="13"/>
          <w:szCs w:val="13"/>
          <w:color w:val="auto"/>
        </w:rPr>
        <w:t>Other comprehensive loss - change in value of interest rate swaps, excluding $471 attributable to redeemable noncontrolling interest</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2"/>
          <w:szCs w:val="12"/>
          <w:color w:val="auto"/>
        </w:rPr>
        <w:t>Dividends declared to common shareholders ($4.22 per share)</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declared to preferred shareholders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 to noncontrolling interests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shares issued, net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Share-based compensation expense, net of forfeitures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withheld for employee taxes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Redemption of OP units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Contributions from noncontrolling interests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 of noncontrolling interest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 to redeemable noncontrolling interests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ind w:right="34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342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9"/>
          </w:tcPr>
          <w:p>
            <w:pPr>
              <w:ind w:left="460"/>
              <w:spacing w:after="0"/>
              <w:rPr>
                <w:sz w:val="20"/>
                <w:szCs w:val="20"/>
                <w:color w:val="auto"/>
              </w:rPr>
            </w:pPr>
            <w:r>
              <w:rPr>
                <w:rFonts w:ascii="Arial" w:cs="Arial" w:eastAsia="Arial" w:hAnsi="Arial"/>
                <w:sz w:val="14"/>
                <w:szCs w:val="14"/>
                <w:b w:val="1"/>
                <w:bCs w:val="1"/>
                <w:color w:val="auto"/>
                <w:w w:val="95"/>
              </w:rPr>
              <w:t>Shareholders’ Equity of the Trust</w:t>
            </w: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2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Preferred Shares</w:t>
            </w:r>
          </w:p>
        </w:tc>
        <w:tc>
          <w:tcPr>
            <w:tcW w:w="80" w:type="dxa"/>
            <w:vAlign w:val="bottom"/>
            <w:vMerge w:val="restart"/>
          </w:tcPr>
          <w:p>
            <w:pPr>
              <w:spacing w:after="0"/>
              <w:rPr>
                <w:sz w:val="11"/>
                <w:szCs w:val="11"/>
                <w:color w:val="auto"/>
              </w:rPr>
            </w:pPr>
          </w:p>
        </w:tc>
        <w:tc>
          <w:tcPr>
            <w:tcW w:w="1440" w:type="dxa"/>
            <w:vAlign w:val="bottom"/>
            <w:gridSpan w:val="4"/>
            <w:vMerge w:val="restart"/>
          </w:tcPr>
          <w:p>
            <w:pPr>
              <w:jc w:val="right"/>
              <w:ind w:right="153"/>
              <w:spacing w:after="0"/>
              <w:rPr>
                <w:sz w:val="20"/>
                <w:szCs w:val="20"/>
                <w:color w:val="auto"/>
              </w:rPr>
            </w:pPr>
            <w:r>
              <w:rPr>
                <w:rFonts w:ascii="Arial" w:cs="Arial" w:eastAsia="Arial" w:hAnsi="Arial"/>
                <w:sz w:val="14"/>
                <w:szCs w:val="14"/>
                <w:b w:val="1"/>
                <w:bCs w:val="1"/>
                <w:color w:val="auto"/>
              </w:rPr>
              <w:t>Common Shares</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920" w:type="dxa"/>
            <w:vAlign w:val="bottom"/>
          </w:tcPr>
          <w:p>
            <w:pPr>
              <w:jc w:val="right"/>
              <w:ind w:right="32"/>
              <w:spacing w:after="0" w:line="135" w:lineRule="exact"/>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80" w:type="dxa"/>
            <w:vAlign w:val="bottom"/>
            <w:tcBorders>
              <w:bottom w:val="single" w:sz="8" w:color="auto"/>
            </w:tcBorders>
            <w:gridSpan w:val="3"/>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Additional</w:t>
            </w:r>
          </w:p>
        </w:tc>
        <w:tc>
          <w:tcPr>
            <w:tcW w:w="940" w:type="dxa"/>
            <w:vAlign w:val="bottom"/>
            <w:gridSpan w:val="3"/>
          </w:tcPr>
          <w:p>
            <w:pPr>
              <w:ind w:left="40"/>
              <w:spacing w:after="0" w:line="115" w:lineRule="exact"/>
              <w:rPr>
                <w:sz w:val="20"/>
                <w:szCs w:val="20"/>
                <w:color w:val="auto"/>
              </w:rPr>
            </w:pPr>
            <w:r>
              <w:rPr>
                <w:rFonts w:ascii="Arial" w:cs="Arial" w:eastAsia="Arial" w:hAnsi="Arial"/>
                <w:sz w:val="13"/>
                <w:szCs w:val="13"/>
                <w:b w:val="1"/>
                <w:bCs w:val="1"/>
                <w:color w:val="auto"/>
              </w:rPr>
              <w:t>Dividends in</w:t>
            </w:r>
          </w:p>
        </w:tc>
        <w:tc>
          <w:tcPr>
            <w:tcW w:w="80" w:type="dxa"/>
            <w:vAlign w:val="bottom"/>
          </w:tcPr>
          <w:p>
            <w:pPr>
              <w:spacing w:after="0"/>
              <w:rPr>
                <w:sz w:val="10"/>
                <w:szCs w:val="10"/>
                <w:color w:val="auto"/>
              </w:rPr>
            </w:pPr>
          </w:p>
        </w:tc>
        <w:tc>
          <w:tcPr>
            <w:tcW w:w="1000" w:type="dxa"/>
            <w:vAlign w:val="bottom"/>
            <w:gridSpan w:val="2"/>
          </w:tcPr>
          <w:p>
            <w:pPr>
              <w:ind w:left="220"/>
              <w:spacing w:after="0" w:line="115"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right"/>
              <w:ind w:right="232"/>
              <w:spacing w:after="0" w:line="11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8"/>
              </w:rPr>
              <w:t>Paid-in</w:t>
            </w:r>
          </w:p>
        </w:tc>
        <w:tc>
          <w:tcPr>
            <w:tcW w:w="9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Excess of Net</w:t>
            </w: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10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Noncontrolling</w:t>
            </w:r>
          </w:p>
        </w:tc>
        <w:tc>
          <w:tcPr>
            <w:tcW w:w="9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8"/>
        </w:trPr>
        <w:tc>
          <w:tcPr>
            <w:tcW w:w="680" w:type="dxa"/>
            <w:vAlign w:val="bottom"/>
            <w:tcBorders>
              <w:bottom w:val="single" w:sz="8" w:color="auto"/>
            </w:tcBorders>
            <w:gridSpan w:val="2"/>
            <w:vMerge w:val="continue"/>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70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Income</w:t>
            </w:r>
          </w:p>
        </w:tc>
        <w:tc>
          <w:tcPr>
            <w:tcW w:w="10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4"/>
              </w:rPr>
              <w:t>Income/(Loss)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9"/>
        </w:trPr>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6"/>
          </w:tcPr>
          <w:p>
            <w:pPr>
              <w:ind w:left="40"/>
              <w:spacing w:after="0"/>
              <w:rPr>
                <w:sz w:val="20"/>
                <w:szCs w:val="20"/>
                <w:color w:val="auto"/>
              </w:rPr>
            </w:pPr>
            <w:r>
              <w:rPr>
                <w:rFonts w:ascii="Arial" w:cs="Arial" w:eastAsia="Arial" w:hAnsi="Arial"/>
                <w:sz w:val="13"/>
                <w:szCs w:val="13"/>
                <w:b w:val="1"/>
                <w:bCs w:val="1"/>
                <w:color w:val="auto"/>
                <w:w w:val="87"/>
              </w:rPr>
              <w:t>(In thousands, except share data)</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00" w:type="dxa"/>
            <w:vAlign w:val="bottom"/>
          </w:tcPr>
          <w:p>
            <w:pPr>
              <w:jc w:val="right"/>
              <w:ind w:right="12"/>
              <w:spacing w:after="0"/>
              <w:rPr>
                <w:sz w:val="20"/>
                <w:szCs w:val="20"/>
                <w:color w:val="auto"/>
              </w:rPr>
            </w:pPr>
            <w:r>
              <w:rPr>
                <w:rFonts w:ascii="Arial" w:cs="Arial" w:eastAsia="Arial" w:hAnsi="Arial"/>
                <w:sz w:val="13"/>
                <w:szCs w:val="13"/>
                <w:color w:val="auto"/>
              </w:rPr>
              <w:t>405,896</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$ 159,997</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73,090,877</w:t>
            </w:r>
          </w:p>
        </w:tc>
        <w:tc>
          <w:tcPr>
            <w:tcW w:w="80" w:type="dxa"/>
            <w:vAlign w:val="bottom"/>
          </w:tcPr>
          <w:p>
            <w:pPr>
              <w:spacing w:after="0"/>
              <w:rPr>
                <w:sz w:val="16"/>
                <w:szCs w:val="16"/>
                <w:color w:val="auto"/>
              </w:rPr>
            </w:pPr>
          </w:p>
        </w:tc>
        <w:tc>
          <w:tcPr>
            <w:tcW w:w="220" w:type="dxa"/>
            <w:vAlign w:val="bottom"/>
          </w:tcPr>
          <w:p>
            <w:pPr>
              <w:jc w:val="right"/>
              <w:ind w:right="72"/>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733</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2,855,321</w:t>
            </w:r>
          </w:p>
        </w:tc>
        <w:tc>
          <w:tcPr>
            <w:tcW w:w="1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(749,367)</w:t>
            </w:r>
          </w:p>
        </w:tc>
        <w:tc>
          <w:tcPr>
            <w:tcW w:w="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2"/>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124,808</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2,391,514</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(6,028)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(6,028)</w:t>
            </w:r>
          </w:p>
        </w:tc>
        <w:tc>
          <w:tcPr>
            <w:tcW w:w="0" w:type="dxa"/>
            <w:vAlign w:val="bottom"/>
          </w:tcPr>
          <w:p>
            <w:pPr>
              <w:spacing w:after="0"/>
              <w:rPr>
                <w:sz w:val="1"/>
                <w:szCs w:val="1"/>
                <w:color w:val="auto"/>
              </w:rPr>
            </w:pPr>
          </w:p>
        </w:tc>
      </w:tr>
      <w:tr>
        <w:trPr>
          <w:trHeight w:val="324"/>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241,907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3,254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245,161</w:t>
            </w:r>
          </w:p>
        </w:tc>
        <w:tc>
          <w:tcPr>
            <w:tcW w:w="0" w:type="dxa"/>
            <w:vAlign w:val="bottom"/>
          </w:tcPr>
          <w:p>
            <w:pPr>
              <w:spacing w:after="0"/>
              <w:rPr>
                <w:sz w:val="1"/>
                <w:szCs w:val="1"/>
                <w:color w:val="auto"/>
              </w:rPr>
            </w:pPr>
          </w:p>
        </w:tc>
      </w:tr>
      <w:tr>
        <w:trPr>
          <w:trHeight w:val="324"/>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(438)</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(297,347)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(297,347)</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(8,042)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(8,042)</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(5,175)</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987,461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126,061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126,071</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105,803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4,572</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17,952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2,159</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55,223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12,735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12,736</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(8,432)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(958)</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(5,468)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(6,012)</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4,020</w:t>
            </w:r>
          </w:p>
        </w:tc>
        <w:tc>
          <w:tcPr>
            <w:tcW w:w="0" w:type="dxa"/>
            <w:vAlign w:val="bottom"/>
          </w:tcPr>
          <w:p>
            <w:pPr>
              <w:spacing w:after="0"/>
              <w:rPr>
                <w:sz w:val="1"/>
                <w:szCs w:val="1"/>
                <w:color w:val="auto"/>
              </w:rPr>
            </w:pPr>
          </w:p>
        </w:tc>
      </w:tr>
      <w:tr>
        <w:trPr>
          <w:trHeight w:val="197"/>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5,097</w:t>
            </w:r>
          </w:p>
        </w:tc>
        <w:tc>
          <w:tcPr>
            <w:tcW w:w="0" w:type="dxa"/>
            <w:vAlign w:val="bottom"/>
          </w:tcPr>
          <w:p>
            <w:pPr>
              <w:spacing w:after="0"/>
              <w:rPr>
                <w:sz w:val="1"/>
                <w:szCs w:val="1"/>
                <w:color w:val="auto"/>
              </w:rPr>
            </w:pPr>
          </w:p>
        </w:tc>
      </w:tr>
      <w:tr>
        <w:trPr>
          <w:trHeight w:val="175"/>
        </w:trPr>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3"/>
                <w:szCs w:val="13"/>
                <w:color w:val="auto"/>
              </w:rPr>
              <w:t>405,896</w:t>
            </w:r>
          </w:p>
        </w:tc>
        <w:tc>
          <w:tcPr>
            <w:tcW w:w="8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$ 159,997</w:t>
            </w:r>
          </w:p>
        </w:tc>
        <w:tc>
          <w:tcPr>
            <w:tcW w:w="8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74,249,633</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72"/>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745</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3,004,442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(818,877)</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(416)</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121,439</w:t>
            </w:r>
          </w:p>
        </w:tc>
        <w:tc>
          <w:tcPr>
            <w:tcW w:w="8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2,467,330</w:t>
            </w:r>
          </w:p>
        </w:tc>
        <w:tc>
          <w:tcPr>
            <w:tcW w:w="0" w:type="dxa"/>
            <w:vAlign w:val="bottom"/>
          </w:tcPr>
          <w:p>
            <w:pPr>
              <w:spacing w:after="0"/>
              <w:rPr>
                <w:sz w:val="1"/>
                <w:szCs w:val="1"/>
                <w:color w:val="auto"/>
              </w:rPr>
            </w:pPr>
          </w:p>
        </w:tc>
      </w:tr>
      <w:tr>
        <w:trPr>
          <w:trHeight w:val="324"/>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(7,098)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(7,098)</w:t>
            </w:r>
          </w:p>
        </w:tc>
        <w:tc>
          <w:tcPr>
            <w:tcW w:w="0" w:type="dxa"/>
            <w:vAlign w:val="bottom"/>
          </w:tcPr>
          <w:p>
            <w:pPr>
              <w:spacing w:after="0"/>
              <w:rPr>
                <w:sz w:val="1"/>
                <w:szCs w:val="1"/>
                <w:color w:val="auto"/>
              </w:rPr>
            </w:pPr>
          </w:p>
        </w:tc>
      </w:tr>
      <w:tr>
        <w:trPr>
          <w:trHeight w:val="324"/>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353,866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3,246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357,112</w:t>
            </w:r>
          </w:p>
        </w:tc>
        <w:tc>
          <w:tcPr>
            <w:tcW w:w="0" w:type="dxa"/>
            <w:vAlign w:val="bottom"/>
          </w:tcPr>
          <w:p>
            <w:pPr>
              <w:spacing w:after="0"/>
              <w:rPr>
                <w:sz w:val="1"/>
                <w:szCs w:val="1"/>
                <w:color w:val="auto"/>
              </w:rPr>
            </w:pPr>
          </w:p>
        </w:tc>
      </w:tr>
      <w:tr>
        <w:trPr>
          <w:trHeight w:val="324"/>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(310,973)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(310,973)</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(8,042)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(8,042)</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(9,961)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(9,961)</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1,069,740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142,705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142,716</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15,909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2,095</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111,555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13,329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13,330</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(34,320)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(4,626)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(4,626)</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128,287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14,102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(14,176)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97"/>
        </w:trPr>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(5,525)</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(5,525)</w:t>
            </w:r>
          </w:p>
        </w:tc>
        <w:tc>
          <w:tcPr>
            <w:tcW w:w="0" w:type="dxa"/>
            <w:vAlign w:val="bottom"/>
          </w:tcPr>
          <w:p>
            <w:pPr>
              <w:spacing w:after="0"/>
              <w:rPr>
                <w:sz w:val="1"/>
                <w:szCs w:val="1"/>
                <w:color w:val="auto"/>
              </w:rPr>
            </w:pPr>
          </w:p>
        </w:tc>
      </w:tr>
      <w:tr>
        <w:trPr>
          <w:trHeight w:val="175"/>
        </w:trPr>
        <w:tc>
          <w:tcPr>
            <w:tcW w:w="600" w:type="dxa"/>
            <w:vAlign w:val="bottom"/>
          </w:tcPr>
          <w:p>
            <w:pPr>
              <w:jc w:val="right"/>
              <w:ind w:right="12"/>
              <w:spacing w:after="0"/>
              <w:rPr>
                <w:sz w:val="20"/>
                <w:szCs w:val="20"/>
                <w:color w:val="auto"/>
              </w:rPr>
            </w:pPr>
            <w:r>
              <w:rPr>
                <w:rFonts w:ascii="Arial" w:cs="Arial" w:eastAsia="Arial" w:hAnsi="Arial"/>
                <w:sz w:val="13"/>
                <w:szCs w:val="13"/>
                <w:color w:val="auto"/>
              </w:rPr>
              <w:t>405,896</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$ 159,997</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75,540,804</w:t>
            </w:r>
          </w:p>
        </w:tc>
        <w:tc>
          <w:tcPr>
            <w:tcW w:w="8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759</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3,166,522</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(791,124)</w:t>
            </w:r>
          </w:p>
        </w:tc>
        <w:tc>
          <w:tcPr>
            <w:tcW w:w="8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(813)</w:t>
            </w:r>
          </w:p>
        </w:tc>
        <w:tc>
          <w:tcPr>
            <w:tcW w:w="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100,791</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2,636,132</w:t>
            </w:r>
          </w:p>
        </w:tc>
        <w:tc>
          <w:tcPr>
            <w:tcW w:w="0" w:type="dxa"/>
            <w:vAlign w:val="bottom"/>
          </w:tcPr>
          <w:p>
            <w:pPr>
              <w:spacing w:after="0"/>
              <w:rPr>
                <w:sz w:val="1"/>
                <w:szCs w:val="1"/>
                <w:color w:val="auto"/>
              </w:rPr>
            </w:pPr>
          </w:p>
        </w:tc>
      </w:tr>
      <w:tr>
        <w:trPr>
          <w:trHeight w:val="324"/>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324"/>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131,706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1,954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133,660</w:t>
            </w:r>
          </w:p>
        </w:tc>
        <w:tc>
          <w:tcPr>
            <w:tcW w:w="0" w:type="dxa"/>
            <w:vAlign w:val="bottom"/>
          </w:tcPr>
          <w:p>
            <w:pPr>
              <w:spacing w:after="0"/>
              <w:rPr>
                <w:sz w:val="1"/>
                <w:szCs w:val="1"/>
                <w:color w:val="auto"/>
              </w:rPr>
            </w:pPr>
          </w:p>
        </w:tc>
      </w:tr>
      <w:tr>
        <w:trPr>
          <w:trHeight w:val="45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(4,831)</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(320,302)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(320,302)</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(8,042)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(8,042)</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(8,874)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(8,874)</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1,080,882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98,828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98,839</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24,491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2,072</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114,251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13,243</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(33,034)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(4,052)</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(3,320)</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89"/>
        </w:trPr>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(6,111)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(7,321)</w:t>
            </w:r>
          </w:p>
        </w:tc>
        <w:tc>
          <w:tcPr>
            <w:tcW w:w="0" w:type="dxa"/>
            <w:vAlign w:val="bottom"/>
          </w:tcPr>
          <w:p>
            <w:pPr>
              <w:spacing w:after="0"/>
              <w:rPr>
                <w:sz w:val="1"/>
                <w:szCs w:val="1"/>
                <w:color w:val="auto"/>
              </w:rPr>
            </w:pPr>
          </w:p>
        </w:tc>
      </w:tr>
      <w:tr>
        <w:trPr>
          <w:trHeight w:val="196"/>
        </w:trPr>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21,933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21,933</w:t>
            </w:r>
          </w:p>
        </w:tc>
        <w:tc>
          <w:tcPr>
            <w:tcW w:w="0" w:type="dxa"/>
            <w:vAlign w:val="bottom"/>
          </w:tcPr>
          <w:p>
            <w:pPr>
              <w:spacing w:after="0"/>
              <w:rPr>
                <w:sz w:val="1"/>
                <w:szCs w:val="1"/>
                <w:color w:val="auto"/>
              </w:rPr>
            </w:pPr>
          </w:p>
        </w:tc>
      </w:tr>
      <w:tr>
        <w:trPr>
          <w:trHeight w:val="183"/>
        </w:trPr>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color w:val="auto"/>
              </w:rPr>
              <w:t>405,896</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$ 159,997</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76,727,394</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771</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3,297,305</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(988,272)</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(5,644)</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84,590</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2,548,747</w:t>
            </w:r>
          </w:p>
        </w:tc>
        <w:tc>
          <w:tcPr>
            <w:tcW w:w="0" w:type="dxa"/>
            <w:vAlign w:val="bottom"/>
          </w:tcPr>
          <w:p>
            <w:pPr>
              <w:spacing w:after="0"/>
              <w:rPr>
                <w:sz w:val="1"/>
                <w:szCs w:val="1"/>
                <w:color w:val="auto"/>
              </w:rPr>
            </w:pPr>
          </w:p>
        </w:tc>
      </w:tr>
      <w:tr>
        <w:trPr>
          <w:trHeight w:val="27"/>
        </w:trPr>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-2161540</wp:posOffset>
            </wp:positionH>
            <wp:positionV relativeFrom="paragraph">
              <wp:posOffset>-6231255</wp:posOffset>
            </wp:positionV>
            <wp:extent cx="7106285"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8">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-5991225</wp:posOffset>
            </wp:positionV>
            <wp:extent cx="7106285"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9">
                      <a:extLst>
                        <a:ext uri="{28A0092B-C50C-407E-A947-70E740481C1C}"/>
                      </a:extLst>
                    </a:blip>
                    <a:srcRect/>
                    <a:stretch>
                      <a:fillRect/>
                    </a:stretch>
                  </pic:blipFill>
                  <pic:spPr bwMode="auto">
                    <a:xfrm>
                      <a:off x="0" y="0"/>
                      <a:ext cx="7106285" cy="205740"/>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-5579745</wp:posOffset>
            </wp:positionV>
            <wp:extent cx="7106285"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-5339715</wp:posOffset>
            </wp:positionV>
            <wp:extent cx="7106285"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1">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-5099685</wp:posOffset>
            </wp:positionV>
            <wp:extent cx="7106285"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2">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-4859655</wp:posOffset>
            </wp:positionV>
            <wp:extent cx="7106285"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3">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-4619625</wp:posOffset>
            </wp:positionV>
            <wp:extent cx="7106285" cy="120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4">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-4379595</wp:posOffset>
            </wp:positionV>
            <wp:extent cx="7106285"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-4131310</wp:posOffset>
            </wp:positionV>
            <wp:extent cx="7106285"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6">
                      <a:extLst>
                        <a:ext uri="{28A0092B-C50C-407E-A947-70E740481C1C}"/>
                      </a:extLst>
                    </a:blip>
                    <a:srcRect/>
                    <a:stretch>
                      <a:fillRect/>
                    </a:stretch>
                  </pic:blipFill>
                  <pic:spPr bwMode="auto">
                    <a:xfrm>
                      <a:off x="0" y="0"/>
                      <a:ext cx="7106285" cy="205740"/>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-3719830</wp:posOffset>
            </wp:positionV>
            <wp:extent cx="7106285"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7">
                      <a:extLst>
                        <a:ext uri="{28A0092B-C50C-407E-A947-70E740481C1C}"/>
                      </a:extLst>
                    </a:blip>
                    <a:srcRect/>
                    <a:stretch>
                      <a:fillRect/>
                    </a:stretch>
                  </pic:blipFill>
                  <pic:spPr bwMode="auto">
                    <a:xfrm>
                      <a:off x="0" y="0"/>
                      <a:ext cx="7106285" cy="205740"/>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-3394075</wp:posOffset>
            </wp:positionV>
            <wp:extent cx="7106285"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-3154045</wp:posOffset>
            </wp:positionV>
            <wp:extent cx="7106285"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-2914015</wp:posOffset>
            </wp:positionV>
            <wp:extent cx="7106285"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-2673985</wp:posOffset>
            </wp:positionV>
            <wp:extent cx="7106285"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-2433955</wp:posOffset>
            </wp:positionV>
            <wp:extent cx="7106285"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-2185035</wp:posOffset>
            </wp:positionV>
            <wp:extent cx="7106285"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3">
                      <a:extLst>
                        <a:ext uri="{28A0092B-C50C-407E-A947-70E740481C1C}"/>
                      </a:extLst>
                    </a:blip>
                    <a:srcRect/>
                    <a:stretch>
                      <a:fillRect/>
                    </a:stretch>
                  </pic:blipFill>
                  <pic:spPr bwMode="auto">
                    <a:xfrm>
                      <a:off x="0" y="0"/>
                      <a:ext cx="7106285" cy="205740"/>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-1773555</wp:posOffset>
            </wp:positionV>
            <wp:extent cx="7106285" cy="291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4">
                      <a:extLst>
                        <a:ext uri="{28A0092B-C50C-407E-A947-70E740481C1C}"/>
                      </a:extLst>
                    </a:blip>
                    <a:srcRect/>
                    <a:stretch>
                      <a:fillRect/>
                    </a:stretch>
                  </pic:blipFill>
                  <pic:spPr bwMode="auto">
                    <a:xfrm>
                      <a:off x="0" y="0"/>
                      <a:ext cx="7106285" cy="29146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-1362075</wp:posOffset>
            </wp:positionV>
            <wp:extent cx="7106285" cy="120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5">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-1122045</wp:posOffset>
            </wp:positionV>
            <wp:extent cx="7106285"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-882015</wp:posOffset>
            </wp:positionV>
            <wp:extent cx="7106285"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-641985</wp:posOffset>
            </wp:positionV>
            <wp:extent cx="7106285"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-401955</wp:posOffset>
            </wp:positionV>
            <wp:extent cx="7106285"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9">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-161925</wp:posOffset>
            </wp:positionV>
            <wp:extent cx="710628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3400" w:space="40"/>
            <w:col w:w="7780"/>
          </w:cols>
          <w:pgMar w:left="320" w:top="126" w:right="359" w:bottom="1440" w:gutter="0" w:footer="0" w:header="0"/>
        </w:sect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consolidated statements.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66" w:name="page67"/>
    <w:bookmarkEnd w:id="66"/>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left="551"/>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r>
      <w:tr>
        <w:trPr>
          <w:trHeight w:val="187"/>
        </w:trPr>
        <w:tc>
          <w:tcPr>
            <w:tcW w:w="7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2018</w:t>
            </w:r>
          </w:p>
        </w:tc>
      </w:tr>
      <w:tr>
        <w:trPr>
          <w:trHeight w:val="181"/>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2"/>
        </w:trPr>
        <w:tc>
          <w:tcPr>
            <w:tcW w:w="76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249,026</w:t>
            </w:r>
          </w:p>
        </w:tc>
      </w:tr>
      <w:tr>
        <w:trPr>
          <w:trHeight w:val="229"/>
        </w:trPr>
        <w:tc>
          <w:tcPr>
            <w:tcW w:w="7680" w:type="dxa"/>
            <w:vAlign w:val="bottom"/>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244,245</w:t>
            </w:r>
          </w:p>
        </w:tc>
      </w:tr>
      <w:tr>
        <w:trPr>
          <w:trHeight w:val="230"/>
        </w:trPr>
        <w:tc>
          <w:tcPr>
            <w:tcW w:w="7680" w:type="dxa"/>
            <w:vAlign w:val="bottom"/>
          </w:tcPr>
          <w:p>
            <w:pPr>
              <w:ind w:left="680"/>
              <w:spacing w:after="0"/>
              <w:rPr>
                <w:sz w:val="20"/>
                <w:szCs w:val="20"/>
                <w:color w:val="auto"/>
              </w:rPr>
            </w:pPr>
            <w:r>
              <w:rPr>
                <w:rFonts w:ascii="Arial" w:cs="Arial" w:eastAsia="Arial" w:hAnsi="Arial"/>
                <w:sz w:val="18"/>
                <w:szCs w:val="18"/>
                <w:color w:val="auto"/>
              </w:rPr>
              <w:t>Impairment charge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sale of real estate, net of tax</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(11,915)</w:t>
            </w:r>
          </w:p>
        </w:tc>
      </w:tr>
      <w:tr>
        <w:trPr>
          <w:trHeight w:val="230"/>
        </w:trPr>
        <w:tc>
          <w:tcPr>
            <w:tcW w:w="7680" w:type="dxa"/>
            <w:vAlign w:val="bottom"/>
          </w:tcPr>
          <w:p>
            <w:pPr>
              <w:ind w:left="68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from partnerships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r>
      <w:tr>
        <w:trPr>
          <w:trHeight w:val="229"/>
        </w:trPr>
        <w:tc>
          <w:tcPr>
            <w:tcW w:w="7680" w:type="dxa"/>
            <w:vAlign w:val="bottom"/>
          </w:tcPr>
          <w:p>
            <w:pPr>
              <w:ind w:left="68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4,147</w:t>
            </w: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680" w:type="dxa"/>
            <w:vAlign w:val="bottom"/>
          </w:tcPr>
          <w:p>
            <w:pPr>
              <w:ind w:left="680"/>
              <w:spacing w:after="0"/>
              <w:rPr>
                <w:sz w:val="20"/>
                <w:szCs w:val="20"/>
                <w:color w:val="auto"/>
              </w:rPr>
            </w:pPr>
            <w:r>
              <w:rPr>
                <w:rFonts w:ascii="Arial" w:cs="Arial" w:eastAsia="Arial" w:hAnsi="Arial"/>
                <w:sz w:val="18"/>
                <w:szCs w:val="18"/>
                <w:color w:val="auto"/>
              </w:rPr>
              <w:t>Proceeds from new market tax credit transaction, net of deferred costs</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12,353</w:t>
            </w:r>
          </w:p>
        </w:tc>
      </w:tr>
      <w:tr>
        <w:trPr>
          <w:trHeight w:val="229"/>
        </w:trPr>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decrease in accounts receivable,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30"/>
        </w:trPr>
        <w:tc>
          <w:tcPr>
            <w:tcW w:w="7680" w:type="dxa"/>
            <w:vAlign w:val="bottom"/>
          </w:tcPr>
          <w:p>
            <w:pPr>
              <w:ind w:left="680"/>
              <w:spacing w:after="0"/>
              <w:rPr>
                <w:sz w:val="20"/>
                <w:szCs w:val="20"/>
                <w:color w:val="auto"/>
              </w:rPr>
            </w:pPr>
            <w:r>
              <w:rPr>
                <w:rFonts w:ascii="Arial" w:cs="Arial" w:eastAsia="Arial" w:hAnsi="Arial"/>
                <w:sz w:val="18"/>
                <w:szCs w:val="18"/>
                <w:color w:val="auto"/>
              </w:rPr>
              <w:t>Increase in prepaid expenses and other assets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(2,070)</w:t>
            </w:r>
          </w:p>
        </w:tc>
      </w:tr>
      <w:tr>
        <w:trPr>
          <w:trHeight w:val="229"/>
        </w:trPr>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in accounts payable and accrued expenses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r>
      <w:tr>
        <w:trPr>
          <w:trHeight w:val="230"/>
        </w:trPr>
        <w:tc>
          <w:tcPr>
            <w:tcW w:w="76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(Decrease) increase in security deposits and other liabilities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13,937</w:t>
            </w:r>
          </w:p>
        </w:tc>
      </w:tr>
      <w:tr>
        <w:trPr>
          <w:trHeight w:val="223"/>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516,688</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real estate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w:t>
            </w: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Capital expenditures - development and redevelopment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(433,872)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(327,074)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(302,120)</w:t>
            </w:r>
          </w:p>
        </w:tc>
      </w:tr>
      <w:tr>
        <w:trPr>
          <w:trHeight w:val="229"/>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 other</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(66,138)</w:t>
            </w: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Costs associated with property sold under threat of condemnation, net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real estate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177,775</w:t>
            </w: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Proceeds from partnership formation</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37,998</w:t>
            </w:r>
          </w:p>
        </w:tc>
      </w:tr>
      <w:tr>
        <w:trPr>
          <w:trHeight w:val="229"/>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partnerships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Distribution from partnerships in excess of earnings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Leasing costs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(25,430)</w:t>
            </w:r>
          </w:p>
        </w:tc>
      </w:tr>
      <w:tr>
        <w:trPr>
          <w:trHeight w:val="230"/>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Increase in mortgage and other notes receivable, net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(192,247)</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repayments under revolving credit facility, including costs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Issuance of senior notes, net of costs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1,094,283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399,913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Redemption and retirement of senior notes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Issuance of notes payable, net of costs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398,722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mortgages, finance leases, and notes payable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(16,620)</w:t>
            </w: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Issuance of common shares, net of costs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99,177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130,918</w:t>
            </w: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 to common and preferred shareholders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(301,194)</w:t>
            </w: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Shares withheld for employee taxes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29"/>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from noncontrolling interests</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r>
      <w:tr>
        <w:trPr>
          <w:trHeight w:val="230"/>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Distributions to and redemptions of noncontrolling interests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(15,293)</w:t>
            </w:r>
          </w:p>
        </w:tc>
      </w:tr>
      <w:tr>
        <w:trPr>
          <w:trHeight w:val="223"/>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661,736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(241,309)</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Increase in cash, cash equivalents, and restricted cash</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663,282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83,132</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153,614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25,200</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816,896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153,614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108,332</w:t>
            </w: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67" w:name="page68"/>
    <w:bookmarkEnd w:id="67"/>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 2019 and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December 31, 2020, we owned or had a majority interest in community and neighborhood shopping centers and mixed-use properties which are operated as 101 predominantly retail real estate projects.</w:t>
      </w:r>
    </w:p>
    <w:p>
      <w:pPr>
        <w:spacing w:after="0" w:line="13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108"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March 2020, the World Health Organization declared the outbreak of novel coronavirus disease ("COVID-19") as a pandemic. While we currently expect the impact to our properties is temporary in nature, the extent of the future effects of COVID-19 on our business, results of operations, cash flows, and growth prospects is highly uncertain and will ultimately depend on future developments, none of which can be predicted with any certainty.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beginning January 1, 2019, with our adoption of Accounting Standards Codification (ASC) 842, "Leases"</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leases with our tenants are classified as operating leases. When collection of substantially all lease payments during the lease term is considered probable, the lease qualifies for accrual accounting. Lease payments are recognized on a straight-line basis from the point in time when the tenant controls the space through the term of the related lease. Variable lease payments relating to percentage rent are recognized at the end of the lease year or earlier if we have determined the required sales level is achieved. Real estate tax and other cost reimbursements are recognized on an accrual basis over the periods in which the related expenditures are incurred. Many of our leases contain tenant options that enable the tenant to extend the term of the lease at expiration at pre-established rental rates that often include fixed rent increases, consumer price index adjustments or other market rate adjustments from the prior base rent. For a tenant to terminate its lease agreement prior to the end of the agreed term, we may require that they pay a fee to cancel the lease agreement. Lease termination fees are generally recognized on the termination date if the tenant has relinquished control of the space. When a lease is terminated early but the tenant continues to control the space under a modified lease agreement, the lease termination fee is generally recognized evenly over the remaining term of the modified lease agreement. Lease concessions (unrelated to the COVID-19 pandemic) are evaluated to determine whether the concession represents a modification of the original lease contract. Modifications generally result in a reassessment of the lease term and lease classification, and remeasurement of lease payments received. Remeasured lease payments are recognized on a straight-line basis over the remaining term of the modified lease contract.</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8" w:name="page69"/>
    <w:bookmarkEnd w:id="68"/>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April 2020, the Financial Accounting Standards Board ("FASB") issued interpretive guidance relating to the accounting for lease concessions provided as a result of the COVID-19 pandemic that allows entities to treat the concession as if it was a part of the existing contract instead of applying lease modification accounting. This guidance is only applicable to the COVID-19 pandemic related lease concessions that do not result in a substantial increase in the rights of the lessor or the obligations of the lessee. We have elected this option relating to qualifying rent deferral and rent abatement agreements. For qualifying lease modifications with rent deferrals, this results in no change to our revenue recognition but an increase in the lease receivable balance until the deferred rent has been repaid. For qualifying lease modifications that include rent abatement concessions, this results in a direct reduction of rental income in the current period. As of December 31, 2020, we have entered into rent deferral agreements and rent abatement agreements related to the COVID-19 pandemic representing approximately $36 million and $35 million, respectively, of rent otherwise owed during the year ended December 31, 2020, and continue negotiations with other tenants.</w:t>
      </w:r>
    </w:p>
    <w:p>
      <w:pPr>
        <w:spacing w:after="0" w:line="12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If leases currently classified as not probable are subsequently changed to probable, any lease receivables (including straight-line rent receivables) are re-instated with a corresponding increase to rental income.</w:t>
      </w:r>
    </w:p>
    <w:p>
      <w:pPr>
        <w:spacing w:after="0" w:line="12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Since March 2020, federal, state, and local governments have taken various actions to mitigate the spread of COVID-19. This includes initially ordering closures of nonessential business and ordering residents to generally stay at home, subsequent phased re-openings, and during the fourth quarter of 2020, additional closures and capacity limitations as infection levels increased in certain areas. These actions, along with the general concern over the spread of COVID-19, have resulted in many of our tenants temporarily or even permanently closing their businesses, and for some, it has impacted their ability to pay rent. As a result, we revised our collectibility assumptions for many of our tenants most significantly impacted by COVID-19. Accordingly, during the year ended December 31, 2020, we recognized collectibility related adjustments of $106.6 million. This includes changes in our collectibility assessments from probable to not probable, disputed rents, and any rent abatements directly related to COVID-19, as well as the write-off of $12.7 million of straight-line rent receivables related to tenants changed to a cash basis of revenue recognition during the year ended December 31, 2020. As of December 31, 2020, the revenue from approximately 35% of our tenants (based on total commercial leases) is being recognized on a cash basis. As of December 31, 2020 and 2019, our straight-line rent receivables balance was $103.3 million and $100.3 million, respectively, and is included in "accounts and notes receivable, net" on our consolidated balance sheet.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prior to January 1, 2019</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Prior to January 1, 2019, management estimates of collectability were considered when reserving for billed and accrued lease receivables and straight-line rent receivables. Full and partial reserves were recorded when determined to be appropriate with a corresponding charge to bad debt expense. The primary impact of the adoption of ASC 842, “Leases,” on our recognition of lease revenue relates to the upfront and ongoing assessment of the collectability of substantially all lease payments required by the new standard.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 recognition policies</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Sales of real estate are recognized generally upon the transfer of control, which usually occurs when the real estate is legally sold. When we enter into a transaction to sell a property or a portion of a property, we evaluate the recognition of the sale under ASC 610-20, "Other Income - Gains and Losses from the Derecognition of Nonfinancial Assets." In accordance with ASC 610-20, we apply the guidance in ASC 606, "Revenue from Contracts with Customers,"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requires us to make assumptions and apply significant judgment.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1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Land, buildings and improvements are recorded at cost. Depreciation is computed using the straight-line method. Estimated useful lives range generally from 35 years to a maximum of 50 years on buildings and major improvements. Minor</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9" w:name="page70"/>
    <w:bookmarkEnd w:id="69"/>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2020, 2019 and 2018, real estate depreciation expense was $227.9 million, $215.4 million and $216.0 million, respectively, including amounts from real estate sold.</w:t>
      </w:r>
    </w:p>
    <w:p>
      <w:pPr>
        <w:spacing w:after="0" w:line="10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in-place leases, assumed debt, if any, and to current assets and liabilities acquired, if any. The value allocated to in-place leases is amortized over the related lease term and reflected as rental income in the consolidated statements of comprehensive income.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2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Transaction costs related to asset acquisitions, such as broker fees, transfer taxes, legal, accounting, valuation, and other professional and consulting fees, are capitalized as part of the acquisition cost. The acquisition of an operating shopping center typically qualifies as an asset acquisition.</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Prior to the adoption of ASU 2016-02, "Leases," when applicable, as lessee, we classified our leases of land and building as operating or capital leases. We were required to use judgment and make estimates in determining the lease term, the estimated economic life of the property and the interest rate to be used in determining whether or not the lease meets the qualification of a capital lease. Subsequently, capital leases are now considered "finance leases."</w:t>
      </w:r>
    </w:p>
    <w:p>
      <w:pPr>
        <w:spacing w:after="0" w:line="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capitalize certain costs related to the development and redevelopment of real estate including pre-construction costs, real estate taxes, insurance, construction costs and salaries and related costs of personnel directly involved, are capitalized.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Impairment</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define cash and cash equivalents as cash on hand, demand deposits with financial institutions and short term liquid investments with an initial maturity, when purchased, under three months. Cash balances in individual banks may exceed the federally insured limit by the Federal Deposit Insurance Corporation (the “FDIC”). At December 31, 2020, we had $803.6 million in excess of the FDIC insured limit.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Prepaid expenses and other assets consist primarily of lease costs, prepaid property taxes and acquired above market leases. Capitalized lease costs are incremental direct costs incurred which were essential to originate a successful leasing arrangement and would not have been incurred had the leasing transaction not taken place. These costs include third party commissions related to obtaining a lease. Capitalized lease costs are amortized over the initial life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 If a tenant vacates its space prior to the contractual termination of its lease, the unamortized balance of any previously capitalized lease costs are written off. See the "Leases" section in this note for further discussion regarding the change in accounting for lease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0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Costs related to the issuance of debt instruments are deferred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 Debt issuance costs related to our revolving credit facility are classified as an asset and are included in "prepaid expenses and other assets" in our consolidated balance sheets. All other debt issuance costs are presented as a direct deduction from the carrying amount of the debt liability.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0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 December 31, 2020, we have two interest rate swap agreements that effectively fix the interest rate on a mortgage payable associated with our Hoboken acquisition at 3.67%. Both swaps were designated and qualify for cash flow hedge accounting. As of December 31, 2020, our Assembly Row hotel joint venture is a party to two interest rate swap agreements that effectively fix the interest rate on the joint venture's mortgage debt at 5.206%. Both swaps were designated and qualify as cash flow hedges. Hedge ineffectiveness has not impacted earnings in 2020, 2019 and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Notes Receivable</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invested in certain mortgage loans that, because of their nature, qualify as loan receivables. At the time of investment,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 In one of our mortgage loan arrangements, we receive additional interest, however, we never receive in excess of 50% of the residual profit in the project, and because the borrower has either a substantial investment in the project or has guaranteed all or a portion of our loan (or a combination thereof), the loans qualify for loan accounting. The amounts under these arrangements are presented as mortgage notes receivable at December 31, 2020 and 2019.</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Mortgage notes receivable are recorded at cost, net of any valuation adjustments. Effective January 1, 2020, (upon the adoption of ASU 2016-13, "Financial Instruments - Credit Losses," as amended and interpreted), we account for mortgage notes receivable using the "expected credit loss" model, and accordingly impairment losses are estimated and recorded for the entire life of the loan. Prior to the implementation of ASC 326, we recognized impairment losses as incurred. Interest income is accrued as earned. Mortgage notes receivable are considered past due based on the contractual terms of the note agreement. 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quarterly basis, we evaluate the collectability of each mortgage note receivable and update our expected credit loss model based on various factors which may include payment history, expected fair value of the collateral securing the loan, internal and external credit information and/or economic trends. A loan is considered impaired when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Since two loans are collateralized by a first mortgage, these loans have risk characteristics similar to the risks in owning commercial real estate.</w:t>
      </w:r>
    </w:p>
    <w:p>
      <w:pPr>
        <w:spacing w:after="0" w:line="13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At December 31, 2020, we had four mortgage notes receivable with an aggregate carrying amount, net of valuation adjustments of $39.9 million, and a weighted average interest rate of 10.0%. Approximately $30.3 million of the loans are secured by first mortgages on retail buildings at December 31,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Compensation</w:t>
      </w:r>
    </w:p>
    <w:p>
      <w:pPr>
        <w:spacing w:after="0" w:line="9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grant share based compensation awards to employees and trustees typically in the form of restricted common shares, common shares, and options. We measure share based compensation expense based on the grant date fair value of the award and recognize the expense ratably over the requisite service period, which is typically the vesting period. See Note 12 for further discussion regarding our share based compensation plans and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0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spacing w:after="0" w:line="11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Our equity method investments in the Pike &amp; Rose hotel joint venture, the Assembly Row hotel joint venture, and the La Alameda shopping center are also considered variable interests in a VIE. As we do not control the activities that most significantly impact the economic performance of the joint ventures, we are not the primary beneficiary and do not consolidate. As of December 31, 2020 and 2019, our investment in these joint ventures and maximum exposure to loss was $18.7 million and $23.4 million, respectively. On January 4, 2021, we acquired our partner's interest in the Pike &amp; Rose hotel joint venture. See footnote 15 to the consolidated financial statements for additional details of this transaction.</w:t>
      </w:r>
    </w:p>
    <w:p>
      <w:pPr>
        <w:spacing w:after="0" w:line="12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we have 17 entities that meet the criteria of a VIE in which we hold a variable interest. For each of these entities, we control the significant operating decisions and consequently have the power to direct the activities that most significantly impact the economic performance of the entities. As we also have the obligation to absorb the majority of the losses and/or the right to receive a majority of the benefits for each of these entities, all are consolidated in our financial statements. Net real estate assets related to VIEs included in our consolidated balance sheets were approximately $1.4 billion and $1.5 billion as of December 31, 2020 and 2019, respectively, and mortgages related to VIEs included in our consolidated balance sheets were approximately $413.7 million and $469.2 million, as of December 31, 2020 and 2019, respectively.</w:t>
      </w:r>
    </w:p>
    <w:p>
      <w:pPr>
        <w:spacing w:after="0" w:line="12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have also evaluated our mortgage notes receivable investments and determined that the entities obligated under the mortgage notes are not VIEs. Our equity method investments and mortgage notes receivable balances are presented separately in our consolidated balance sheets.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10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2" w:name="page73"/>
    <w:bookmarkEnd w:id="72"/>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redeemable noncontrolling interests: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6"/>
              </w:rPr>
              <w:t>Year Ended</w:t>
            </w:r>
          </w:p>
        </w:tc>
        <w:tc>
          <w:tcPr>
            <w:tcW w:w="820" w:type="dxa"/>
            <w:vAlign w:val="bottom"/>
          </w:tcPr>
          <w:p>
            <w:pPr>
              <w:spacing w:after="0"/>
              <w:rPr>
                <w:sz w:val="16"/>
                <w:szCs w:val="16"/>
                <w:color w:val="auto"/>
              </w:rPr>
            </w:pPr>
          </w:p>
        </w:tc>
      </w:tr>
      <w:tr>
        <w:trPr>
          <w:trHeight w:val="195"/>
        </w:trPr>
        <w:tc>
          <w:tcPr>
            <w:tcW w:w="8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16"/>
                <w:szCs w:val="16"/>
                <w:color w:val="auto"/>
              </w:rPr>
            </w:pPr>
          </w:p>
        </w:tc>
      </w:tr>
      <w:tr>
        <w:trPr>
          <w:trHeight w:val="187"/>
        </w:trPr>
        <w:tc>
          <w:tcPr>
            <w:tcW w:w="8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180"/>
        </w:trPr>
        <w:tc>
          <w:tcPr>
            <w:tcW w:w="8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center"/>
              <w:ind w:left="457"/>
              <w:spacing w:after="0"/>
              <w:rPr>
                <w:sz w:val="20"/>
                <w:szCs w:val="20"/>
                <w:color w:val="auto"/>
              </w:rPr>
            </w:pPr>
            <w:r>
              <w:rPr>
                <w:rFonts w:ascii="Arial" w:cs="Arial" w:eastAsia="Arial" w:hAnsi="Arial"/>
                <w:sz w:val="14"/>
                <w:szCs w:val="14"/>
                <w:color w:val="auto"/>
                <w:w w:val="91"/>
              </w:rPr>
              <w:t>(In thousands)</w:t>
            </w:r>
          </w:p>
        </w:tc>
        <w:tc>
          <w:tcPr>
            <w:tcW w:w="820" w:type="dxa"/>
            <w:vAlign w:val="bottom"/>
          </w:tcPr>
          <w:p>
            <w:pPr>
              <w:spacing w:after="0"/>
              <w:rPr>
                <w:sz w:val="15"/>
                <w:szCs w:val="15"/>
                <w:color w:val="auto"/>
              </w:rPr>
            </w:pPr>
          </w:p>
        </w:tc>
      </w:tr>
      <w:tr>
        <w:trPr>
          <w:trHeight w:val="23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136,208</w:t>
            </w:r>
          </w:p>
        </w:tc>
      </w:tr>
      <w:tr>
        <w:trPr>
          <w:trHeight w:val="230"/>
        </w:trPr>
        <w:tc>
          <w:tcPr>
            <w:tcW w:w="8620" w:type="dxa"/>
            <w:vAlign w:val="bottom"/>
          </w:tcPr>
          <w:p>
            <w:pPr>
              <w:ind w:left="220"/>
              <w:spacing w:after="0"/>
              <w:rPr>
                <w:sz w:val="20"/>
                <w:szCs w:val="20"/>
                <w:color w:val="auto"/>
              </w:rPr>
            </w:pPr>
            <w:r>
              <w:rPr>
                <w:rFonts w:ascii="Arial" w:cs="Arial" w:eastAsia="Arial" w:hAnsi="Arial"/>
                <w:sz w:val="18"/>
                <w:szCs w:val="18"/>
                <w:color w:val="auto"/>
              </w:rPr>
              <w:t>Contributions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9,961</w:t>
            </w:r>
          </w:p>
        </w:tc>
      </w:tr>
      <w:tr>
        <w:trPr>
          <w:trHeight w:val="229"/>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r>
      <w:tr>
        <w:trPr>
          <w:trHeight w:val="230"/>
        </w:trPr>
        <w:tc>
          <w:tcPr>
            <w:tcW w:w="8620" w:type="dxa"/>
            <w:vAlign w:val="bottom"/>
          </w:tcPr>
          <w:p>
            <w:pPr>
              <w:ind w:left="220"/>
              <w:spacing w:after="0"/>
              <w:rPr>
                <w:sz w:val="20"/>
                <w:szCs w:val="20"/>
                <w:color w:val="auto"/>
              </w:rPr>
            </w:pPr>
            <w:r>
              <w:rPr>
                <w:rFonts w:ascii="Arial" w:cs="Arial" w:eastAsia="Arial" w:hAnsi="Arial"/>
                <w:sz w:val="18"/>
                <w:szCs w:val="18"/>
                <w:color w:val="auto"/>
              </w:rPr>
              <w:t>Distributions &amp; redemptions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(15,366)</w:t>
            </w:r>
          </w:p>
        </w:tc>
      </w:tr>
      <w:tr>
        <w:trPr>
          <w:trHeight w:val="229"/>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loss - change in value of interest rate swaps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 in redemption value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5,525</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139,758</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August 2, 2019, we acquired the 10.1% redeemable noncontrolling interest in the partnership that owns our Montrose Crossing Shopping Center for $10.0 million, bringing our ownership interest to 100%.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adopted ASC 842 effective January 1, 2019 under the modified retrospective approach and elected the optional transition method to apply the provisions of ASC 842 as of the adoption date, rather than the earliest period presented. We elected to apply certain adoption related practical expedients for all leases that commenced prior to the election date. These practical expedients included not reassessing whether any expired or existing contracts were or contained leases; not reassessing the lease classification for any expired or existing leases; and not reassessing initial direct costs for any existing leases. We also elected the practical expedient for lessors to combine our lease and non-lease components (primarily impacts common area maintenance recoveries).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0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recorded a charge to the opening accumulated dividends in excess of net income of $7.1 million in 2019 as a result of the adoption of ASC 842. This charge was attributable to the write off certain direct leasing costs recorded under the previous lease accounting rules for leases which had not commenced as well as the write off of unreserved receivables (including straight-line receivables) for leases where we had determined the collection of substantially all the lease payments required for the term is not probable. Also upon adoption of ASC 842 and reflected in our 2019 and 2020 financial statements, we do not record a gross up of revenue and expense for costs (such as real estate taxes) paid directly by lessees on our behalf.</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ground leases at 12 properties which are accounted for as operating leases. The operating lease right of use ("ROU") assets and related liabilities are shown separately on the face of our consolidated balance sheet and reflect the present value of the minimum lease payments. A key input in the calculation is the discount rate. As the rate implied in the lease agreements is not readily determinable, we utilize our incremental borrowing rate that correspond to the remaining term of the lease, our credit spread, and and adjustment to reflect the collateralized payment terms present in the lease. Our operating lease agreements may include options to extend the lease term or terminate it early. We include options to extend or terminate leases in the ROU operating lease asset and liability when it is reasonably certain we will exercise these options. Operating lease expense is recognized on a straight-line basis over the non-cancellable lease term and is included in rental expenses in our consolidated statements of operations. We elected to apply the short-term lease exemption within ASC 842, and as such we have not recorded an ROU asset or lease liability for leases with terms of less than 12 months.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Internal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3" w:name="page74"/>
    <w:bookmarkEnd w:id="73"/>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Revenue Code of 1986, as amended (the “Code”). A TRS is subject to federal and state income taxes. Our TRS activities have not been material.</w:t>
      </w:r>
    </w:p>
    <w:p>
      <w:pPr>
        <w:spacing w:after="0" w:line="18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With few exceptions, we are no longer subject to U.S. federal, state, and local tax examinations by tax authorities for years before 2016. As of December 31, 2020 and 2019, we had no material unrecognized tax benefits. While we currently have no material unrecognized tax benefits, as a policy, we recognize penalties and interest accrued related to unrecognized tax benefits as income tax expense.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primary business is the ownership, management, and redevelopment of retail and mixed-use properties. We review operating and financial information for each property on an individual basis and therefore, each property represents an individual operating segment. We evaluate financial performance using property operating income, which consists of rental income, other property income and mortgage interest income, less rental expenses and real estate taxes. No individual commercial or residential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4" w:name="page75"/>
    <w:bookmarkEnd w:id="74"/>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ectPr>
          <w:pgSz w:w="11900" w:h="16838" w:orient="portrait"/>
          <w:cols w:equalWidth="0" w:num="1">
            <w:col w:w="11160"/>
          </w:cols>
          <w:pgMar w:left="320" w:top="126" w:right="41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6541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u w:val="single" w:color="auto"/>
          <w:color w:val="auto"/>
        </w:rPr>
        <w:t>Adopted on January 1, 2020:</w:t>
      </w:r>
    </w:p>
    <w:p>
      <w:pPr>
        <w:spacing w:after="0" w:line="86" w:lineRule="exact"/>
        <w:rPr>
          <w:sz w:val="20"/>
          <w:szCs w:val="20"/>
          <w:color w:val="auto"/>
        </w:rPr>
      </w:pPr>
    </w:p>
    <w:p>
      <w:pPr>
        <w:ind w:left="20" w:right="140"/>
        <w:spacing w:after="0" w:line="309" w:lineRule="auto"/>
        <w:rPr>
          <w:sz w:val="20"/>
          <w:szCs w:val="20"/>
          <w:color w:val="auto"/>
        </w:rPr>
      </w:pPr>
      <w:r>
        <w:rPr>
          <w:rFonts w:ascii="Arial" w:cs="Arial" w:eastAsia="Arial" w:hAnsi="Arial"/>
          <w:sz w:val="14"/>
          <w:szCs w:val="14"/>
          <w:color w:val="auto"/>
        </w:rPr>
        <w:t>Financial Instruments - Credit Losses (Topic 326) and related updates: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ASU 2016-13, June</w:t>
      </w:r>
    </w:p>
    <w:p>
      <w:pPr>
        <w:ind w:left="100"/>
        <w:spacing w:after="0" w:line="211" w:lineRule="auto"/>
        <w:rPr>
          <w:sz w:val="20"/>
          <w:szCs w:val="20"/>
          <w:color w:val="auto"/>
        </w:rPr>
      </w:pPr>
      <w:r>
        <w:rPr>
          <w:rFonts w:ascii="Arial" w:cs="Arial" w:eastAsia="Arial" w:hAnsi="Arial"/>
          <w:sz w:val="16"/>
          <w:szCs w:val="16"/>
          <w:color w:val="auto"/>
        </w:rPr>
        <w:t xml:space="preserve">2016, </w:t>
      </w:r>
      <w:r>
        <w:rPr>
          <w:rFonts w:ascii="Arial" w:cs="Arial" w:eastAsia="Arial" w:hAnsi="Arial"/>
          <w:sz w:val="16"/>
          <w:szCs w:val="16"/>
          <w:i w:val="1"/>
          <w:iCs w:val="1"/>
          <w:color w:val="auto"/>
        </w:rPr>
        <w:t>Financial</w:t>
      </w:r>
    </w:p>
    <w:p>
      <w:pPr>
        <w:ind w:left="100"/>
        <w:spacing w:after="0" w:line="211" w:lineRule="auto"/>
        <w:rPr>
          <w:sz w:val="20"/>
          <w:szCs w:val="20"/>
          <w:color w:val="auto"/>
        </w:rPr>
      </w:pPr>
      <w:r>
        <w:rPr>
          <w:rFonts w:ascii="Arial" w:cs="Arial" w:eastAsia="Arial" w:hAnsi="Arial"/>
          <w:sz w:val="16"/>
          <w:szCs w:val="16"/>
          <w:i w:val="1"/>
          <w:iCs w:val="1"/>
          <w:color w:val="auto"/>
        </w:rPr>
        <w:t>Instruments - Credit</w:t>
      </w:r>
    </w:p>
    <w:p>
      <w:pPr>
        <w:ind w:left="100"/>
        <w:spacing w:after="0"/>
        <w:rPr>
          <w:sz w:val="20"/>
          <w:szCs w:val="20"/>
          <w:color w:val="auto"/>
        </w:rPr>
      </w:pPr>
      <w:r>
        <w:rPr>
          <w:rFonts w:ascii="Arial" w:cs="Arial" w:eastAsia="Arial" w:hAnsi="Arial"/>
          <w:sz w:val="16"/>
          <w:szCs w:val="16"/>
          <w:i w:val="1"/>
          <w:iCs w:val="1"/>
          <w:color w:val="auto"/>
        </w:rPr>
        <w:t>Losses (Topic 326)</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ASU 2018-19,</w:t>
      </w:r>
    </w:p>
    <w:p>
      <w:pPr>
        <w:ind w:left="100"/>
        <w:spacing w:after="0" w:line="211" w:lineRule="auto"/>
        <w:rPr>
          <w:sz w:val="20"/>
          <w:szCs w:val="20"/>
          <w:color w:val="auto"/>
        </w:rPr>
      </w:pPr>
      <w:r>
        <w:rPr>
          <w:rFonts w:ascii="Arial" w:cs="Arial" w:eastAsia="Arial" w:hAnsi="Arial"/>
          <w:sz w:val="16"/>
          <w:szCs w:val="16"/>
          <w:color w:val="auto"/>
        </w:rPr>
        <w:t>November 2018,</w:t>
      </w:r>
    </w:p>
    <w:p>
      <w:pPr>
        <w:ind w:left="100"/>
        <w:spacing w:after="0" w:line="211" w:lineRule="auto"/>
        <w:rPr>
          <w:sz w:val="20"/>
          <w:szCs w:val="20"/>
          <w:color w:val="auto"/>
        </w:rPr>
      </w:pPr>
      <w:r>
        <w:rPr>
          <w:rFonts w:ascii="Arial" w:cs="Arial" w:eastAsia="Arial" w:hAnsi="Arial"/>
          <w:sz w:val="16"/>
          <w:szCs w:val="16"/>
          <w:i w:val="1"/>
          <w:iCs w:val="1"/>
          <w:color w:val="auto"/>
        </w:rPr>
        <w:t>Codification</w:t>
      </w:r>
    </w:p>
    <w:p>
      <w:pPr>
        <w:ind w:left="20"/>
        <w:spacing w:after="0" w:line="211" w:lineRule="auto"/>
        <w:rPr>
          <w:sz w:val="20"/>
          <w:szCs w:val="20"/>
          <w:color w:val="auto"/>
        </w:rPr>
      </w:pPr>
      <w:r>
        <w:rPr>
          <w:rFonts w:ascii="Arial" w:cs="Arial" w:eastAsia="Arial" w:hAnsi="Arial"/>
          <w:sz w:val="16"/>
          <w:szCs w:val="16"/>
          <w:i w:val="1"/>
          <w:iCs w:val="1"/>
          <w:color w:val="auto"/>
        </w:rPr>
        <w:t>improvements to</w:t>
      </w:r>
    </w:p>
    <w:p>
      <w:pPr>
        <w:ind w:left="100"/>
        <w:spacing w:after="0" w:line="212" w:lineRule="auto"/>
        <w:rPr>
          <w:sz w:val="20"/>
          <w:szCs w:val="20"/>
          <w:color w:val="auto"/>
        </w:rPr>
      </w:pPr>
      <w:r>
        <w:rPr>
          <w:rFonts w:ascii="Arial" w:cs="Arial" w:eastAsia="Arial" w:hAnsi="Arial"/>
          <w:sz w:val="16"/>
          <w:szCs w:val="16"/>
          <w:i w:val="1"/>
          <w:iCs w:val="1"/>
          <w:color w:val="auto"/>
        </w:rPr>
        <w:t>Topic 326,</w:t>
      </w:r>
    </w:p>
    <w:p>
      <w:pPr>
        <w:ind w:left="100"/>
        <w:spacing w:after="0" w:line="211" w:lineRule="auto"/>
        <w:rPr>
          <w:sz w:val="20"/>
          <w:szCs w:val="20"/>
          <w:color w:val="auto"/>
        </w:rPr>
      </w:pPr>
      <w:r>
        <w:rPr>
          <w:rFonts w:ascii="Arial" w:cs="Arial" w:eastAsia="Arial" w:hAnsi="Arial"/>
          <w:sz w:val="16"/>
          <w:szCs w:val="16"/>
          <w:i w:val="1"/>
          <w:iCs w:val="1"/>
          <w:color w:val="auto"/>
        </w:rPr>
        <w:t>Financial</w:t>
      </w:r>
    </w:p>
    <w:p>
      <w:pPr>
        <w:ind w:left="100"/>
        <w:spacing w:after="0" w:line="211" w:lineRule="auto"/>
        <w:rPr>
          <w:sz w:val="20"/>
          <w:szCs w:val="20"/>
          <w:color w:val="auto"/>
        </w:rPr>
      </w:pPr>
      <w:r>
        <w:rPr>
          <w:rFonts w:ascii="Arial" w:cs="Arial" w:eastAsia="Arial" w:hAnsi="Arial"/>
          <w:sz w:val="16"/>
          <w:szCs w:val="16"/>
          <w:i w:val="1"/>
          <w:iCs w:val="1"/>
          <w:color w:val="auto"/>
        </w:rPr>
        <w:t>Instruments - Credit</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Losses</w:t>
      </w:r>
    </w:p>
    <w:p>
      <w:pPr>
        <w:spacing w:after="0" w:line="72" w:lineRule="exact"/>
        <w:rPr>
          <w:sz w:val="20"/>
          <w:szCs w:val="20"/>
          <w:color w:val="auto"/>
        </w:rPr>
      </w:pPr>
    </w:p>
    <w:p>
      <w:pPr>
        <w:ind w:left="20" w:right="140"/>
        <w:spacing w:after="0" w:line="219" w:lineRule="auto"/>
        <w:rPr>
          <w:sz w:val="20"/>
          <w:szCs w:val="20"/>
          <w:color w:val="auto"/>
        </w:rPr>
      </w:pPr>
      <w:r>
        <w:rPr>
          <w:rFonts w:ascii="Arial" w:cs="Arial" w:eastAsia="Arial" w:hAnsi="Arial"/>
          <w:sz w:val="16"/>
          <w:szCs w:val="16"/>
          <w:color w:val="auto"/>
        </w:rPr>
        <w:t xml:space="preserve">ASU 2018-15, August 2018, </w:t>
      </w:r>
      <w:r>
        <w:rPr>
          <w:rFonts w:ascii="Arial" w:cs="Arial" w:eastAsia="Arial" w:hAnsi="Arial"/>
          <w:sz w:val="16"/>
          <w:szCs w:val="16"/>
          <w:i w:val="1"/>
          <w:iCs w:val="1"/>
          <w:color w:val="auto"/>
        </w:rPr>
        <w:t>Intangibles - Goodwill and Other Internal Use Software: Customers Accounting for Implementation Costs Incurred in a Cloud Computing Arrangement That Is a Service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u w:val="single" w:color="auto"/>
          <w:color w:val="auto"/>
        </w:rPr>
        <w:t>Issued in 2020:</w:t>
      </w:r>
    </w:p>
    <w:p>
      <w:pPr>
        <w:spacing w:after="0" w:line="32" w:lineRule="exact"/>
        <w:rPr>
          <w:sz w:val="20"/>
          <w:szCs w:val="20"/>
          <w:color w:val="auto"/>
        </w:rPr>
      </w:pPr>
    </w:p>
    <w:p>
      <w:pPr>
        <w:ind w:left="20" w:right="80"/>
        <w:spacing w:after="0" w:line="272" w:lineRule="auto"/>
        <w:rPr>
          <w:sz w:val="20"/>
          <w:szCs w:val="20"/>
          <w:color w:val="auto"/>
        </w:rPr>
      </w:pPr>
      <w:r>
        <w:rPr>
          <w:rFonts w:ascii="Arial" w:cs="Arial" w:eastAsia="Arial" w:hAnsi="Arial"/>
          <w:sz w:val="15"/>
          <w:szCs w:val="15"/>
          <w:color w:val="auto"/>
        </w:rPr>
        <w:t xml:space="preserve">ASU 2020-04, March 2020, </w:t>
      </w:r>
      <w:r>
        <w:rPr>
          <w:rFonts w:ascii="Arial" w:cs="Arial" w:eastAsia="Arial" w:hAnsi="Arial"/>
          <w:sz w:val="15"/>
          <w:szCs w:val="15"/>
          <w:i w:val="1"/>
          <w:iCs w:val="1"/>
          <w:color w:val="auto"/>
        </w:rPr>
        <w:t>Reference</w:t>
      </w:r>
      <w:r>
        <w:rPr>
          <w:rFonts w:ascii="Arial" w:cs="Arial" w:eastAsia="Arial" w:hAnsi="Arial"/>
          <w:sz w:val="15"/>
          <w:szCs w:val="15"/>
          <w:color w:val="auto"/>
        </w:rPr>
        <w:t xml:space="preserve"> </w:t>
      </w:r>
      <w:r>
        <w:rPr>
          <w:rFonts w:ascii="Arial" w:cs="Arial" w:eastAsia="Arial" w:hAnsi="Arial"/>
          <w:sz w:val="15"/>
          <w:szCs w:val="15"/>
          <w:i w:val="1"/>
          <w:iCs w:val="1"/>
          <w:color w:val="auto"/>
        </w:rPr>
        <w:t>Rate Reform (Topic 848)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line="218" w:lineRule="auto"/>
        <w:rPr>
          <w:sz w:val="20"/>
          <w:szCs w:val="20"/>
          <w:color w:val="auto"/>
        </w:rPr>
      </w:pPr>
      <w:r>
        <w:rPr>
          <w:rFonts w:ascii="Arial" w:cs="Arial" w:eastAsia="Arial" w:hAnsi="Arial"/>
          <w:sz w:val="16"/>
          <w:szCs w:val="16"/>
          <w:color w:val="auto"/>
        </w:rPr>
        <w:t xml:space="preserve">ASU 2020-06, August 2020, </w:t>
      </w:r>
      <w:r>
        <w:rPr>
          <w:rFonts w:ascii="Arial" w:cs="Arial" w:eastAsia="Arial" w:hAnsi="Arial"/>
          <w:sz w:val="16"/>
          <w:szCs w:val="16"/>
          <w:i w:val="1"/>
          <w:iCs w:val="1"/>
          <w:color w:val="auto"/>
        </w:rPr>
        <w:t>Debt -</w:t>
      </w:r>
      <w:r>
        <w:rPr>
          <w:rFonts w:ascii="Arial" w:cs="Arial" w:eastAsia="Arial" w:hAnsi="Arial"/>
          <w:sz w:val="16"/>
          <w:szCs w:val="16"/>
          <w:color w:val="auto"/>
        </w:rPr>
        <w:t xml:space="preserve"> </w:t>
      </w:r>
      <w:r>
        <w:rPr>
          <w:rFonts w:ascii="Arial" w:cs="Arial" w:eastAsia="Arial" w:hAnsi="Arial"/>
          <w:sz w:val="16"/>
          <w:szCs w:val="16"/>
          <w:i w:val="1"/>
          <w:iCs w:val="1"/>
          <w:color w:val="auto"/>
        </w:rPr>
        <w:t>Debt with Conversion and Other Options (Subtopic 470-20) and Derivatives and Hedging - Contracts in Entity's Own Equity (Subtopic 815-40): Accounting for Convertible Instruments and Contracts in an Entity's Own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20320</wp:posOffset>
            </wp:positionV>
            <wp:extent cx="28975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00"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This ASU changes the impairment model for most financial assets and certain other instruments, requiring the use of an "expected credit loss" model and adding more disclosure requirements.</w:t>
      </w:r>
    </w:p>
    <w:p>
      <w:pPr>
        <w:spacing w:after="0" w:line="113" w:lineRule="exact"/>
        <w:rPr>
          <w:sz w:val="20"/>
          <w:szCs w:val="20"/>
          <w:color w:val="auto"/>
        </w:rPr>
      </w:pPr>
    </w:p>
    <w:p>
      <w:pPr>
        <w:jc w:val="both"/>
        <w:ind w:right="20"/>
        <w:spacing w:after="0" w:line="230" w:lineRule="auto"/>
        <w:rPr>
          <w:sz w:val="20"/>
          <w:szCs w:val="20"/>
          <w:color w:val="auto"/>
        </w:rPr>
      </w:pPr>
      <w:r>
        <w:rPr>
          <w:rFonts w:ascii="Arial" w:cs="Arial" w:eastAsia="Arial" w:hAnsi="Arial"/>
          <w:sz w:val="16"/>
          <w:szCs w:val="16"/>
          <w:color w:val="auto"/>
        </w:rPr>
        <w:t>ASU 2018-19 clarifies that impairment of of receivables arising from operating leases should accounted for in accordance with Topic 842,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This ASU requires a customer in a cloud computing arrangement (i.e. hosting arrangement) that is a service contract to follow the internal-use software guidance in ASC 350-40 to determine which implementation costs to capitalize as assets. Capitalized implementation costs related to a hosting arrangement that is a service contract will be amortized over the term of the hosting arrangement. Entities will expense costs during the preliminary project and post-implementation stages as they are incurred.</w:t>
      </w:r>
    </w:p>
    <w:p>
      <w:pPr>
        <w:spacing w:after="0" w:line="118" w:lineRule="exact"/>
        <w:rPr>
          <w:sz w:val="20"/>
          <w:szCs w:val="20"/>
          <w:color w:val="auto"/>
        </w:rPr>
      </w:pPr>
    </w:p>
    <w:p>
      <w:pPr>
        <w:ind w:right="320"/>
        <w:spacing w:after="0" w:line="275" w:lineRule="auto"/>
        <w:rPr>
          <w:sz w:val="20"/>
          <w:szCs w:val="20"/>
          <w:color w:val="auto"/>
        </w:rPr>
      </w:pPr>
      <w:r>
        <w:rPr>
          <w:rFonts w:ascii="Arial" w:cs="Arial" w:eastAsia="Arial" w:hAnsi="Arial"/>
          <w:sz w:val="14"/>
          <w:szCs w:val="14"/>
          <w:color w:val="auto"/>
        </w:rPr>
        <w:t>The guidance can be applied prospectively to all implementation costs incurred after the date of adoption or retrospectively in accordance with ASC 250-10-45-5 through ASC 250-10-45-10.</w:t>
      </w:r>
    </w:p>
    <w:p>
      <w:pPr>
        <w:spacing w:after="0" w:line="257"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This ASU provides companies with optional practical expedients to ease the accounting burden for contract modifications associated with transitioning away from LIBOR and other interbank offered rates that are expected to be discontinued as part of reference rate reform. For hedges, the guidance generally allows changes to the reference rate and other critical terms without having to de-designate the hedging relationship, as well as allows the shortcut method to continue to be applied. For contract modifications, changes in the reference rate or other critical terms will be treated as a continuation of the prior contract. This guidance can be applied immediately, however, is generally only available through December 31, 2022.</w:t>
      </w:r>
    </w:p>
    <w:p>
      <w:pPr>
        <w:spacing w:after="0" w:line="60"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This ASU simplifies the accounting for convertible instruments by removing the requirements to separately present certain conversion features in equity, simplifying the settlement assessment that entities are required to perform to determine whether a contract qualifies for equity classification, and generally requiring use of the if-converted method for all convertible instruments in the diluted EPS calculation and include the effect of potential share settlement (if the effect is more dilutive). The guidance is effective for annual periods beginning after December 15, 2021, and interim periods therein.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500"/>
        <w:spacing w:after="0" w:line="245" w:lineRule="auto"/>
        <w:rPr>
          <w:sz w:val="20"/>
          <w:szCs w:val="20"/>
          <w:color w:val="auto"/>
        </w:rPr>
      </w:pPr>
      <w:r>
        <w:rPr>
          <w:rFonts w:ascii="Arial" w:cs="Arial" w:eastAsia="Arial" w:hAnsi="Arial"/>
          <w:sz w:val="16"/>
          <w:szCs w:val="16"/>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1905</wp:posOffset>
            </wp:positionV>
            <wp:extent cx="24428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7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Upon adoption of this standard, we recorded expected losses of $0.5 million in opening accumulated dividends in excess of net income. During the year ended December 31, 2020, we recorded additional expected losses of $0.4 million, which are included in rental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spacing w:after="0" w:line="309" w:lineRule="auto"/>
        <w:rPr>
          <w:sz w:val="20"/>
          <w:szCs w:val="20"/>
          <w:color w:val="auto"/>
        </w:rPr>
      </w:pPr>
      <w:r>
        <w:rPr>
          <w:rFonts w:ascii="Arial" w:cs="Arial" w:eastAsia="Arial" w:hAnsi="Arial"/>
          <w:sz w:val="14"/>
          <w:szCs w:val="14"/>
          <w:color w:val="auto"/>
        </w:rPr>
        <w:t>The adoption of this standard did not have a significant impact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We are still evaluating the impact of reference rate reform and whether we will apply any of these practical expedients.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20"/>
        <w:spacing w:after="0" w:line="230" w:lineRule="auto"/>
        <w:rPr>
          <w:sz w:val="20"/>
          <w:szCs w:val="20"/>
          <w:color w:val="auto"/>
        </w:rPr>
      </w:pPr>
      <w:r>
        <w:rPr>
          <w:rFonts w:ascii="Arial" w:cs="Arial" w:eastAsia="Arial" w:hAnsi="Arial"/>
          <w:sz w:val="16"/>
          <w:szCs w:val="16"/>
          <w:color w:val="auto"/>
        </w:rPr>
        <w:t>The adoption of this standard is not expected to have a significant impact to our consolidated financial statements.</w:t>
      </w:r>
    </w:p>
    <w:p>
      <w:pPr>
        <w:spacing w:after="0" w:line="1174" w:lineRule="exact"/>
        <w:rPr>
          <w:sz w:val="20"/>
          <w:szCs w:val="20"/>
          <w:color w:val="auto"/>
        </w:rPr>
      </w:pPr>
    </w:p>
    <w:p>
      <w:pPr>
        <w:sectPr>
          <w:pgSz w:w="11900" w:h="16838" w:orient="portrait"/>
          <w:cols w:equalWidth="0" w:num="3">
            <w:col w:w="2600" w:space="140"/>
            <w:col w:w="4520" w:space="160"/>
            <w:col w:w="3740"/>
          </w:cols>
          <w:pgMar w:left="320" w:top="126"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type w:val="continuous"/>
        </w:sectPr>
      </w:pPr>
    </w:p>
    <w:bookmarkStart w:id="75" w:name="page76"/>
    <w:bookmarkEnd w:id="75"/>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Total interest costs incurred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159,718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130,110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129,001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capitalized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(18,847)</w:t>
            </w:r>
          </w:p>
        </w:tc>
        <w:tc>
          <w:tcPr>
            <w:tcW w:w="0" w:type="dxa"/>
            <w:vAlign w:val="bottom"/>
          </w:tcPr>
          <w:p>
            <w:pPr>
              <w:spacing w:after="0"/>
              <w:rPr>
                <w:sz w:val="1"/>
                <w:szCs w:val="1"/>
                <w:color w:val="auto"/>
              </w:rPr>
            </w:pPr>
          </w:p>
        </w:tc>
      </w:tr>
      <w:tr>
        <w:trPr>
          <w:trHeight w:val="223"/>
        </w:trPr>
        <w:tc>
          <w:tcPr>
            <w:tcW w:w="7020" w:type="dxa"/>
            <w:vAlign w:val="bottom"/>
          </w:tcPr>
          <w:p>
            <w:pPr>
              <w:ind w:left="6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109,623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110,154</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paid for interest, net of amounts capitalized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107,494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NON-CASH INVESTING AND FINANCING TRANSACTIONS (1):</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DownREIT operating partnership units issued with acquisition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18,920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 loans assumed with acquisition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DownREIT operating partnership units redeemed for common shares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14,105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of partner loan receivable via dilution of partner interests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Shares issued under dividend reinvestment plan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 from noncontrolling interest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See Note 5 for additional disclosures relating to the mortgages entered into and assumed as a result of the Hoboken acquisition.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6"/>
                <w:szCs w:val="16"/>
                <w:color w:val="auto"/>
              </w:rPr>
            </w:pPr>
          </w:p>
        </w:tc>
      </w:t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187"/>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r>
      <w:tr>
        <w:trPr>
          <w:trHeight w:val="23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CASH, CASH EQUIVALENTS, AND RESTRICTED CASH:</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798,329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127,432</w:t>
            </w: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26,182</w:t>
            </w:r>
          </w:p>
        </w:tc>
      </w:tr>
      <w:tr>
        <w:trPr>
          <w:trHeight w:val="223"/>
        </w:trPr>
        <w:tc>
          <w:tcPr>
            <w:tcW w:w="8440" w:type="dxa"/>
            <w:vAlign w:val="bottom"/>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816,896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153,614</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Restricted cash balances are included in "prepaid expenses and other assets" on our consolidated balance sheets.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Property Acquisitions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Date Acquired</w:t>
            </w:r>
          </w:p>
        </w:tc>
        <w:tc>
          <w:tcPr>
            <w:tcW w:w="3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2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City/State</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Gross Leasable</w:t>
            </w:r>
          </w:p>
        </w:tc>
        <w:tc>
          <w:tcPr>
            <w:tcW w:w="160" w:type="dxa"/>
            <w:vAlign w:val="bottom"/>
          </w:tcPr>
          <w:p>
            <w:pPr>
              <w:spacing w:after="0"/>
              <w:rPr>
                <w:sz w:val="16"/>
                <w:szCs w:val="16"/>
                <w:color w:val="auto"/>
              </w:rPr>
            </w:pPr>
          </w:p>
        </w:tc>
        <w:tc>
          <w:tcPr>
            <w:tcW w:w="1240" w:type="dxa"/>
            <w:vAlign w:val="bottom"/>
            <w:vMerge w:val="restart"/>
          </w:tcPr>
          <w:p>
            <w:pPr>
              <w:jc w:val="right"/>
              <w:ind w:right="77"/>
              <w:spacing w:after="0"/>
              <w:rPr>
                <w:sz w:val="20"/>
                <w:szCs w:val="20"/>
                <w:color w:val="auto"/>
              </w:rPr>
            </w:pPr>
            <w:r>
              <w:rPr>
                <w:rFonts w:ascii="Arial" w:cs="Arial" w:eastAsia="Arial" w:hAnsi="Arial"/>
                <w:sz w:val="16"/>
                <w:szCs w:val="16"/>
                <w:b w:val="1"/>
                <w:bCs w:val="1"/>
                <w:color w:val="auto"/>
                <w:w w:val="91"/>
              </w:rPr>
              <w:t>Purchase Price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80" w:type="dxa"/>
            <w:vAlign w:val="bottom"/>
            <w:gridSpan w:val="2"/>
            <w:vMerge w:val="continue"/>
          </w:tcPr>
          <w:p>
            <w:pPr>
              <w:spacing w:after="0"/>
              <w:rPr>
                <w:sz w:val="18"/>
                <w:szCs w:val="18"/>
                <w:color w:val="auto"/>
              </w:rPr>
            </w:pPr>
          </w:p>
        </w:tc>
        <w:tc>
          <w:tcPr>
            <w:tcW w:w="3400" w:type="dxa"/>
            <w:vAlign w:val="bottom"/>
            <w:gridSpan w:val="2"/>
            <w:vMerge w:val="continue"/>
          </w:tcPr>
          <w:p>
            <w:pPr>
              <w:spacing w:after="0"/>
              <w:rPr>
                <w:sz w:val="18"/>
                <w:szCs w:val="18"/>
                <w:color w:val="auto"/>
              </w:rPr>
            </w:pPr>
          </w:p>
        </w:tc>
        <w:tc>
          <w:tcPr>
            <w:tcW w:w="2580" w:type="dxa"/>
            <w:vAlign w:val="bottom"/>
            <w:gridSpan w:val="2"/>
            <w:vMerge w:val="continue"/>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Area (GLA)</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square feet)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10, 2020</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Fairfax Junction</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Fairfax, Virginia</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92"/>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February 12, 2020</w:t>
            </w: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Hoboken (2 mixed-use buildings)</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Hoboken, New Jersey</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12,000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14.3</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60" w:right="80" w:hanging="252"/>
        <w:spacing w:after="0" w:line="271" w:lineRule="auto"/>
        <w:tabs>
          <w:tab w:leader="none" w:pos="272"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This property is adjacent to, and will be operated as part of the property acquired in 2019. The purchase price was paid with a combination of cash and the issuance of 163,322 downREIT operating partnership units. Approximately $0.5 million and $0.4 million of net assets acquired were allocated to other assets for "above market leases," and other liabilities for "below market leases," respectively.</w:t>
      </w:r>
    </w:p>
    <w:p>
      <w:pPr>
        <w:ind w:left="260" w:right="260" w:hanging="252"/>
        <w:spacing w:after="0" w:line="255" w:lineRule="auto"/>
        <w:tabs>
          <w:tab w:leader="none" w:pos="2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purchase price includes the assumption of $8.9 million of mortgage debt, and is in addition to the 37 buildings previously acquired in 2019, and was completed through the same joint venture. Less than $0.1 million and approximately $3.3 million of net assets acquired were allocated to other assets for "above market leases," and other liabilities for "below market leases," respectively.</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6" w:name="page77"/>
    <w:bookmarkEnd w:id="76"/>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Impairment</w:t>
      </w:r>
    </w:p>
    <w:p>
      <w:pPr>
        <w:spacing w:after="0" w:line="10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 September 1, 2020, the $60.6 million non-recourse mortgage loan on The Shops at Sunset Place matured. The mortgage was not repaid, and thus the lender declared the loan in default. We evaluated our long-term plans for the property, taking into account current market conditions and prospective development and redevelopment returns, as well as the impact of COVID-19 on the revenue prospects for the property, and concluded we did not expect to move forward with the planned redevelopment or repay the mortgage balance, and thus, did not expect to be long term holders of the asset. Given these expectations, we recorded an impairment charge of $57.2 million during the third quarter of 2020.</w:t>
      </w:r>
    </w:p>
    <w:p>
      <w:pPr>
        <w:spacing w:after="0" w:line="4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fair value estimate used to determine the impairment charge was determined by market comparable data and discounted cash flow analyses. The cash flows utilized in such analyses are comprised of unobservable inputs which include forecasted rental revenue and expenses based upon market conditions and future expectations. The capitalization rates and discount rates utilized in such analyses are based upon unobservable rates that we believe to be within a reasonable range of current market rates for the property. Based on these inputs, we have determined that the $57 million estimated valuation of the property is classified within Level 3 of the fair value hierarchy.</w:t>
      </w:r>
    </w:p>
    <w:p>
      <w:pPr>
        <w:spacing w:after="0" w:line="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December 31, 2020, we sold The Shops at Sunset Place for $65.5 million and repaid the mortgage loan. The resulting gain of $9.2 million is included in the cumulative 2020 gain of $98.1 million noted in the 2020 Property Dispositions section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Property Dispositions</w:t>
      </w:r>
    </w:p>
    <w:p>
      <w:pPr>
        <w:spacing w:after="0" w:line="1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year ended December 31, 2020, we sold three properties (including The Shops at Sunset Place discussed above) and one building for a total sales price of $186.1 million, which resulted in a gain of $98.1 million.</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year ended December 31, 2020, we closed on the sale of the remaining two condominium units at our Pike &amp; Rose property, receiving proceeds net of closing costs of $2.1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Property Acquisitions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Date Acquired</w:t>
            </w:r>
          </w:p>
        </w:tc>
        <w:tc>
          <w:tcPr>
            <w:tcW w:w="3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2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City/State</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Gross Leasable</w:t>
            </w:r>
          </w:p>
        </w:tc>
        <w:tc>
          <w:tcPr>
            <w:tcW w:w="160" w:type="dxa"/>
            <w:vAlign w:val="bottom"/>
          </w:tcPr>
          <w:p>
            <w:pPr>
              <w:spacing w:after="0"/>
              <w:rPr>
                <w:sz w:val="16"/>
                <w:szCs w:val="16"/>
                <w:color w:val="auto"/>
              </w:rPr>
            </w:pPr>
          </w:p>
        </w:tc>
        <w:tc>
          <w:tcPr>
            <w:tcW w:w="1240" w:type="dxa"/>
            <w:vAlign w:val="bottom"/>
            <w:vMerge w:val="restart"/>
          </w:tcPr>
          <w:p>
            <w:pPr>
              <w:jc w:val="right"/>
              <w:ind w:right="75"/>
              <w:spacing w:after="0"/>
              <w:rPr>
                <w:sz w:val="20"/>
                <w:szCs w:val="20"/>
                <w:color w:val="auto"/>
              </w:rPr>
            </w:pPr>
            <w:r>
              <w:rPr>
                <w:rFonts w:ascii="Arial" w:cs="Arial" w:eastAsia="Arial" w:hAnsi="Arial"/>
                <w:sz w:val="16"/>
                <w:szCs w:val="16"/>
                <w:b w:val="1"/>
                <w:bCs w:val="1"/>
                <w:color w:val="auto"/>
                <w:w w:val="91"/>
              </w:rPr>
              <w:t>Purchase Price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80" w:type="dxa"/>
            <w:vAlign w:val="bottom"/>
            <w:gridSpan w:val="2"/>
            <w:vMerge w:val="continue"/>
          </w:tcPr>
          <w:p>
            <w:pPr>
              <w:spacing w:after="0"/>
              <w:rPr>
                <w:sz w:val="18"/>
                <w:szCs w:val="18"/>
                <w:color w:val="auto"/>
              </w:rPr>
            </w:pPr>
          </w:p>
        </w:tc>
        <w:tc>
          <w:tcPr>
            <w:tcW w:w="3400" w:type="dxa"/>
            <w:vAlign w:val="bottom"/>
            <w:gridSpan w:val="2"/>
            <w:vMerge w:val="continue"/>
          </w:tcPr>
          <w:p>
            <w:pPr>
              <w:spacing w:after="0"/>
              <w:rPr>
                <w:sz w:val="18"/>
                <w:szCs w:val="18"/>
                <w:color w:val="auto"/>
              </w:rPr>
            </w:pPr>
          </w:p>
        </w:tc>
        <w:tc>
          <w:tcPr>
            <w:tcW w:w="2580" w:type="dxa"/>
            <w:vAlign w:val="bottom"/>
            <w:gridSpan w:val="2"/>
            <w:vMerge w:val="continue"/>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Area (GLA)</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square feet)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8, 2019</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Fairfax Junction</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Fairfax, Virginia</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September 13, 2019</w:t>
            </w: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San Antonio Center</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Mountain View, California</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15, 2019</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Georgetowne Shopping Center</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Brooklyn, New York</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147,000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Various 2019</w:t>
            </w: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Hoboken (37 mixed-use buildings)</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Hoboken, New Jersey</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158,000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189.2</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60" w:right="360" w:hanging="252"/>
        <w:spacing w:after="0" w:line="258" w:lineRule="auto"/>
        <w:tabs>
          <w:tab w:leader="none" w:pos="27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Approximately $0.6 million and $0.4 million of net assets acquired were allocated to other assets for "above market leases," and other liabilities for "below market leases," respectively.</w:t>
      </w:r>
    </w:p>
    <w:p>
      <w:pPr>
        <w:spacing w:after="0" w:line="1" w:lineRule="exact"/>
        <w:rPr>
          <w:rFonts w:ascii="Arial" w:cs="Arial" w:eastAsia="Arial" w:hAnsi="Arial"/>
          <w:sz w:val="18"/>
          <w:szCs w:val="18"/>
          <w:color w:val="auto"/>
        </w:rPr>
      </w:pPr>
    </w:p>
    <w:p>
      <w:pPr>
        <w:ind w:left="260" w:right="360" w:hanging="252"/>
        <w:spacing w:after="0" w:line="258" w:lineRule="auto"/>
        <w:tabs>
          <w:tab w:leader="none" w:pos="27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Approximately $2.0 million and $0.4 million of net assets acquired were allocated to other assets for "above market leases," and other liabilities for "below market leases," respectively.</w:t>
      </w:r>
    </w:p>
    <w:p>
      <w:pPr>
        <w:ind w:left="260" w:right="100" w:hanging="252"/>
        <w:spacing w:after="0" w:line="259" w:lineRule="auto"/>
        <w:tabs>
          <w:tab w:leader="none" w:pos="27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These acquisitions were completed through a newly formed joint venture, for which we own a 90% interest. The purchase price includes new and assumptions of mortgage debt totaling approximately $98.0 million. This property includes 123 residential units in addition to the GLA in the table above. Approximately $3.6 million and $8.1 million of net assets acquired were allocated to other assets for "above market leases," and other liabilities for "below market leases," respectively.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Property Dispositions</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11, 2019, we received $154.7 million in net proceeds related to the sale under the threat of condemnation of 11.7 acres of San Antonio Center to a local school district ("the condemning authority"). As part of the transaction, the condemning authority will commence condemnation proceedings in order to terminate all existing leases they assumed at closing. We have indemnified the condemning authority for all costs incurred related to the condemnation proceedings including any payments required to tenants at the property and expect the process will take several years to complete. The consideration in the transaction is considered variable because we have agreed to indemnify the condemning authority for these costs. Consequently, at December 31, 2019, we recorded a liability of $45.5 million to reflect our estimate of the final consideration, net of estimated condemnation proceeding costs and other transaction related costs. The resulting net gain on sale was approximately $85.1 million.</w:t>
      </w:r>
    </w:p>
    <w:p>
      <w:pPr>
        <w:spacing w:after="0" w:line="12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year ended December 31, 2019, we sold three properties and one land parcel for a net sales price of $149.0 million, which resulted in a net gain of $28.3 million.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During the year ended December 31, 2019, we closed on the sale of 43 condominium units at our Assembly Row and Pike &amp; Rose properties (combined), received proceeds net of closing costs of $20.1 million, and recognized a gain of $2.6 million, net of income taxes. The cost basis for the remaining condominium units as of December 31, 2019 is $1.7 million, and is included in "assets held for sale" on our consolidated balance sheet.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4—ACQUIRED IN-PLACE LEASES</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Acquired lease assets comprise above market leases where we are the lessor and below market leases where we are the lessee. Acquired lease liabilities comprise below market leases where we are the lessor and above market leases where we are the lessee. As a lessor, acquired above market leases are included in prepaid expenses and other assets, and acquired below market leases are included in other liabilities and deferred credits. In accordance with our adoption of ASC Topic 842, acquired below market leases and acquired above market leases where we are the lessee are included in right of use assets. The following is a summary of our acquired lease assets and liabilities: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 2020</w:t>
            </w:r>
          </w:p>
        </w:tc>
        <w:tc>
          <w:tcPr>
            <w:tcW w:w="520" w:type="dxa"/>
            <w:vAlign w:val="bottom"/>
          </w:tcPr>
          <w:p>
            <w:pPr>
              <w:spacing w:after="0"/>
              <w:rPr>
                <w:sz w:val="16"/>
                <w:szCs w:val="16"/>
                <w:color w:val="auto"/>
              </w:rPr>
            </w:pPr>
          </w:p>
        </w:tc>
        <w:tc>
          <w:tcPr>
            <w:tcW w:w="2800" w:type="dxa"/>
            <w:vAlign w:val="bottom"/>
            <w:gridSpan w:val="4"/>
          </w:tcPr>
          <w:p>
            <w:pPr>
              <w:jc w:val="right"/>
              <w:ind w:right="99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4"/>
        </w:trPr>
        <w:tc>
          <w:tcPr>
            <w:tcW w:w="43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336"/>
              <w:spacing w:after="0" w:line="135"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95"/>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Amortization</w:t>
            </w: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Above market leases, lessor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(31,661)</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(32,833)</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Below market leases, lessee</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market leases, lessor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66,419</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Above market leases, lessee</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value allocated to in-place leases where we are the lessor is amortized over the related lease term and reflected as additional rental income for below market leases or a reduction of rental income for above market leases in the consolidated statements of comprehensive income. The related amortization of in-place leases where we are the lessee is reflected as additional rental expense for below market leases or a reduction of rental expenses for above market leases in the consolidated statements of comprehensive income. The following is a summary of acquired lease amortization: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7"/>
        </w:trPr>
        <w:tc>
          <w:tcPr>
            <w:tcW w:w="5480" w:type="dxa"/>
            <w:vAlign w:val="bottom"/>
          </w:tcPr>
          <w:p>
            <w:pPr>
              <w:spacing w:after="0"/>
              <w:rPr>
                <w:sz w:val="16"/>
                <w:szCs w:val="16"/>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2018</w:t>
            </w:r>
          </w:p>
        </w:tc>
      </w:tr>
      <w:tr>
        <w:trPr>
          <w:trHeight w:val="183"/>
        </w:trPr>
        <w:tc>
          <w:tcPr>
            <w:tcW w:w="5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above market leases, lessor</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below market leases, lessor</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12,445</w:t>
            </w:r>
          </w:p>
        </w:tc>
      </w:tr>
      <w:tr>
        <w:trPr>
          <w:trHeight w:val="24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increase in rental income</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54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tcPr>
          <w:p>
            <w:pPr>
              <w:spacing w:after="0"/>
              <w:rPr>
                <w:sz w:val="8"/>
                <w:szCs w:val="8"/>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below market leases, lessee</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above market leases, lessee</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r>
      <w:tr>
        <w:trPr>
          <w:trHeight w:val="24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increase in rental expense</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remaining weighted average amortization period for our acquired lease assets and acquired lease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1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December 31, 2020</w:t>
            </w:r>
          </w:p>
        </w:tc>
      </w:tr>
      <w:tr>
        <w:trPr>
          <w:trHeight w:val="40"/>
        </w:trPr>
        <w:tc>
          <w:tcPr>
            <w:tcW w:w="934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Above market leases, lessor</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years</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Below market leases, lessee</w:t>
            </w:r>
          </w:p>
        </w:tc>
        <w:tc>
          <w:tcPr>
            <w:tcW w:w="1860" w:type="dxa"/>
            <w:vAlign w:val="bottom"/>
          </w:tcPr>
          <w:p>
            <w:pPr>
              <w:jc w:val="right"/>
              <w:spacing w:after="0"/>
              <w:rPr>
                <w:sz w:val="20"/>
                <w:szCs w:val="20"/>
                <w:color w:val="auto"/>
              </w:rPr>
            </w:pPr>
            <w:r>
              <w:rPr>
                <w:rFonts w:ascii="Arial" w:cs="Arial" w:eastAsia="Arial" w:hAnsi="Arial"/>
                <w:sz w:val="18"/>
                <w:szCs w:val="18"/>
                <w:color w:val="auto"/>
              </w:rPr>
              <w:t>38.6 years</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market leases, lessor</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years</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Above market leases, lessee</w:t>
            </w:r>
          </w:p>
        </w:tc>
        <w:tc>
          <w:tcPr>
            <w:tcW w:w="1860" w:type="dxa"/>
            <w:vAlign w:val="bottom"/>
          </w:tcPr>
          <w:p>
            <w:pPr>
              <w:jc w:val="right"/>
              <w:spacing w:after="0"/>
              <w:rPr>
                <w:sz w:val="20"/>
                <w:szCs w:val="20"/>
                <w:color w:val="auto"/>
              </w:rPr>
            </w:pPr>
            <w:r>
              <w:rPr>
                <w:rFonts w:ascii="Arial" w:cs="Arial" w:eastAsia="Arial" w:hAnsi="Arial"/>
                <w:sz w:val="18"/>
                <w:szCs w:val="18"/>
                <w:color w:val="auto"/>
              </w:rPr>
              <w:t>13.4 years</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for acquired in-place leases during the next five years and thereafter, assuming no early lease terminations, is as follows: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8" w:name="page79"/>
    <w:bookmarkEnd w:id="78"/>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Acquired Lease Assets</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Acquired Lease Liabilities</w:t>
            </w:r>
          </w:p>
        </w:tc>
      </w:tr>
      <w:tr>
        <w:trPr>
          <w:trHeight w:val="187"/>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r>
      <w:tr>
        <w:trPr>
          <w:trHeight w:val="231"/>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3,302</w:t>
            </w:r>
          </w:p>
        </w:tc>
        <w:tc>
          <w:tcPr>
            <w:tcW w:w="120" w:type="dxa"/>
            <w:vAlign w:val="bottom"/>
          </w:tcPr>
          <w:p>
            <w:pPr>
              <w:spacing w:after="0"/>
              <w:rPr>
                <w:sz w:val="19"/>
                <w:szCs w:val="19"/>
                <w:color w:val="auto"/>
              </w:rPr>
            </w:pP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7,738</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7,253</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1,911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6,300</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29,835</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77,688</w:t>
            </w:r>
          </w:p>
        </w:tc>
      </w:tr>
      <w:tr>
        <w:trPr>
          <w:trHeight w:val="223"/>
        </w:trPr>
        <w:tc>
          <w:tcPr>
            <w:tcW w:w="74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42,313</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113,264</w:t>
            </w:r>
          </w:p>
        </w:tc>
      </w:tr>
      <w:tr>
        <w:trPr>
          <w:trHeight w:val="21"/>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79" w:name="page80"/>
    <w:bookmarkEnd w:id="79"/>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2020 and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Principal Balance as of December 31,</w:t>
            </w: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1860" w:type="dxa"/>
            <w:vAlign w:val="bottom"/>
          </w:tcPr>
          <w:p>
            <w:pPr>
              <w:jc w:val="right"/>
              <w:ind w:right="40"/>
              <w:spacing w:after="0"/>
              <w:rPr>
                <w:sz w:val="20"/>
                <w:szCs w:val="20"/>
                <w:color w:val="auto"/>
              </w:rPr>
            </w:pPr>
            <w:r>
              <w:rPr>
                <w:rFonts w:ascii="Arial" w:cs="Arial" w:eastAsia="Arial" w:hAnsi="Arial"/>
                <w:sz w:val="14"/>
                <w:szCs w:val="14"/>
                <w:b w:val="1"/>
                <w:bCs w:val="1"/>
                <w:color w:val="auto"/>
              </w:rPr>
              <w:t>Stated Maturity Date as of</w:t>
            </w:r>
          </w:p>
        </w:tc>
        <w:tc>
          <w:tcPr>
            <w:tcW w:w="0" w:type="dxa"/>
            <w:vAlign w:val="bottom"/>
          </w:tcPr>
          <w:p>
            <w:pPr>
              <w:spacing w:after="0"/>
              <w:rPr>
                <w:sz w:val="1"/>
                <w:szCs w:val="1"/>
                <w:color w:val="auto"/>
              </w:rPr>
            </w:pPr>
          </w:p>
        </w:tc>
      </w:tr>
      <w:tr>
        <w:trPr>
          <w:trHeight w:val="188"/>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Debt</w:t>
            </w:r>
          </w:p>
        </w:tc>
        <w:tc>
          <w:tcPr>
            <w:tcW w:w="24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1860" w:type="dxa"/>
            <w:vAlign w:val="bottom"/>
          </w:tcPr>
          <w:p>
            <w:pPr>
              <w:jc w:val="right"/>
              <w:ind w:right="2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1"/>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Mortgages payable</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gridSpan w:val="4"/>
            <w:shd w:val="clear" w:color="auto" w:fill="CCEEFF"/>
          </w:tcPr>
          <w:p>
            <w:pPr>
              <w:jc w:val="right"/>
              <w:ind w:right="39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The Shops at Sunset Place</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61,987</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5.62 %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233"/>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29th Place</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3,878</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5.91 %</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Sylmar Towne Center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16,630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5.39 %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June 6, 2021</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Plaza Del Sol</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5.23 %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THE AVENUE at White Marsh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52,705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52,705</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3.35 %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Montrose Crossing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67,492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4.20 %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Azalea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3.73 %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Bell Gardens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4.06 %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Plaza El Segundo</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3.83 %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The Grove at Shrewsbury (East)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3.77 %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Brook 35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4.65 %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Hoboken (24 Buildings)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56,450</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LIBOR + 1.95%</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15, 2029</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Various Hoboken (14 Buildings)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24,627</w:t>
            </w: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Various (1)</w:t>
            </w:r>
          </w:p>
        </w:tc>
        <w:tc>
          <w:tcPr>
            <w:tcW w:w="1860" w:type="dxa"/>
            <w:vAlign w:val="bottom"/>
          </w:tcPr>
          <w:p>
            <w:pPr>
              <w:jc w:val="right"/>
              <w:spacing w:after="0"/>
              <w:rPr>
                <w:sz w:val="20"/>
                <w:szCs w:val="20"/>
                <w:color w:val="auto"/>
              </w:rPr>
            </w:pPr>
            <w:r>
              <w:rPr>
                <w:rFonts w:ascii="Arial" w:cs="Arial" w:eastAsia="Arial" w:hAnsi="Arial"/>
                <w:sz w:val="16"/>
                <w:szCs w:val="16"/>
                <w:color w:val="auto"/>
              </w:rPr>
              <w:t>Various through 2029</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Chelsea</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5.36 %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Hoboken (1 Building)</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16,874</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3.75 %</w:t>
            </w:r>
          </w:p>
        </w:tc>
        <w:tc>
          <w:tcPr>
            <w:tcW w:w="1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July 1, 2042</w:t>
            </w:r>
          </w:p>
        </w:tc>
        <w:tc>
          <w:tcPr>
            <w:tcW w:w="0" w:type="dxa"/>
            <w:vAlign w:val="bottom"/>
          </w:tcPr>
          <w:p>
            <w:pPr>
              <w:spacing w:after="0"/>
              <w:rPr>
                <w:sz w:val="1"/>
                <w:szCs w:val="1"/>
                <w:color w:val="auto"/>
              </w:rPr>
            </w:pPr>
          </w:p>
        </w:tc>
      </w:tr>
      <w:tr>
        <w:trPr>
          <w:trHeight w:val="213"/>
        </w:trPr>
        <w:tc>
          <w:tcPr>
            <w:tcW w:w="51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547,247</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gridSpan w:val="2"/>
          </w:tcPr>
          <w:p>
            <w:pPr>
              <w:ind w:left="880"/>
              <w:spacing w:after="0"/>
              <w:rPr>
                <w:sz w:val="20"/>
                <w:szCs w:val="20"/>
                <w:color w:val="auto"/>
              </w:rPr>
            </w:pPr>
            <w:r>
              <w:rPr>
                <w:rFonts w:ascii="Arial" w:cs="Arial" w:eastAsia="Arial" w:hAnsi="Arial"/>
                <w:sz w:val="16"/>
                <w:szCs w:val="16"/>
                <w:color w:val="auto"/>
              </w:rPr>
              <w:t>Net unamortized premium and debt issuance costs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mortgages payable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484,111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545,679</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120" w:type="dxa"/>
            <w:vAlign w:val="bottom"/>
            <w:gridSpan w:val="2"/>
          </w:tcPr>
          <w:p>
            <w:pPr>
              <w:ind w:left="20"/>
              <w:spacing w:after="0"/>
              <w:rPr>
                <w:sz w:val="20"/>
                <w:szCs w:val="20"/>
                <w:color w:val="auto"/>
              </w:rPr>
            </w:pPr>
            <w:r>
              <w:rPr>
                <w:rFonts w:ascii="Arial" w:cs="Arial" w:eastAsia="Arial" w:hAnsi="Arial"/>
                <w:sz w:val="16"/>
                <w:szCs w:val="16"/>
                <w:b w:val="1"/>
                <w:bCs w:val="1"/>
                <w:color w:val="auto"/>
              </w:rPr>
              <w:t>Notes payable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Term loan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LIBOR + 1.35%</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May 6, 2021</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Revolving credit facility</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LIBOR + 0.775%</w:t>
            </w:r>
          </w:p>
        </w:tc>
        <w:tc>
          <w:tcPr>
            <w:tcW w:w="1860" w:type="dxa"/>
            <w:vAlign w:val="bottom"/>
          </w:tcPr>
          <w:p>
            <w:pPr>
              <w:jc w:val="right"/>
              <w:spacing w:after="0"/>
              <w:rPr>
                <w:sz w:val="20"/>
                <w:szCs w:val="20"/>
                <w:color w:val="auto"/>
              </w:rPr>
            </w:pPr>
            <w:r>
              <w:rPr>
                <w:rFonts w:ascii="Arial" w:cs="Arial" w:eastAsia="Arial" w:hAnsi="Arial"/>
                <w:sz w:val="16"/>
                <w:szCs w:val="16"/>
                <w:color w:val="auto"/>
              </w:rPr>
              <w:t>January 19, 2024</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11.31 %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06"/>
        </w:trPr>
        <w:tc>
          <w:tcPr>
            <w:tcW w:w="5120" w:type="dxa"/>
            <w:vAlign w:val="bottom"/>
            <w:gridSpan w:val="2"/>
          </w:tcPr>
          <w:p>
            <w:pPr>
              <w:ind w:left="680"/>
              <w:spacing w:after="0"/>
              <w:rPr>
                <w:sz w:val="20"/>
                <w:szCs w:val="20"/>
                <w:color w:val="auto"/>
              </w:rPr>
            </w:pPr>
            <w:r>
              <w:rPr>
                <w:rFonts w:ascii="Arial" w:cs="Arial" w:eastAsia="Arial" w:hAnsi="Arial"/>
                <w:sz w:val="16"/>
                <w:szCs w:val="16"/>
                <w:color w:val="auto"/>
              </w:rPr>
              <w:t>Subtotal</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403,270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3,843</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Net unamortized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2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notes payable</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402,776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3,781</w:t>
            </w:r>
          </w:p>
        </w:tc>
        <w:tc>
          <w:tcPr>
            <w:tcW w:w="1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Senior notes and debentures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2.55% notes</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2.55 %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3.00% notes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2.75%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2.75 %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3.95 %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1.25%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February 15, 2026</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7.48% debentures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7.48 %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3.25%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475,000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6.82% medium term notes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6.82 %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3.20%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3.20 %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June 15, 2029</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3.50% notes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1, 2030</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4.50%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4.50 %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3.625% notes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3.625 %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07"/>
        </w:trPr>
        <w:tc>
          <w:tcPr>
            <w:tcW w:w="5120" w:type="dxa"/>
            <w:vAlign w:val="bottom"/>
            <w:gridSpan w:val="2"/>
          </w:tcPr>
          <w:p>
            <w:pPr>
              <w:ind w:left="680"/>
              <w:spacing w:after="0"/>
              <w:rPr>
                <w:sz w:val="20"/>
                <w:szCs w:val="20"/>
                <w:color w:val="auto"/>
              </w:rPr>
            </w:pPr>
            <w:r>
              <w:rPr>
                <w:rFonts w:ascii="Arial" w:cs="Arial" w:eastAsia="Arial" w:hAnsi="Arial"/>
                <w:sz w:val="16"/>
                <w:szCs w:val="16"/>
                <w:color w:val="auto"/>
              </w:rPr>
              <w:t>Subtotal</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3,419,200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2,819,200</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Net unamortized discount and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2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senior notes and debentures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3,404,488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2,807,134</w:t>
            </w:r>
          </w:p>
        </w:tc>
        <w:tc>
          <w:tcPr>
            <w:tcW w:w="1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debt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4,291,375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3,356,594</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8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5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interest rates on these mortgages range from 3.91% to 5.00%.</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connection with the two buildings we acquired in Hoboken, New Jersey on February 12, 2020, we assumed two mortgage loans with a net face amount of $8.9 million and a fair value of $9.0 million. The mortgage loans bear interest at 4.00% and mature on July 27, 2027.</w:t>
      </w:r>
    </w:p>
    <w:p>
      <w:pPr>
        <w:sectPr>
          <w:pgSz w:w="11900" w:h="16838" w:orient="portrait"/>
          <w:cols w:equalWidth="0" w:num="1">
            <w:col w:w="11200"/>
          </w:cols>
          <w:pgMar w:left="320" w:top="126" w:right="3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80" w:name="page81"/>
    <w:bookmarkEnd w:id="80"/>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March 2020, in order to strengthen our financial position and balance sheet, to maximize our liquidity, and to provide maximum financial flexibility to continue our business initiatives as the effects of COVID-19 continue to evolve, we borrowed $990.0 million under our revolving credit facility, representing a draw-down of almost the entirety of our $1.0 billion revolving credit facility. This amount was subsequently repaid when we entered into a $400.0 million unsecured term loan on May 6, 2020 and issued $700.0 million of fixed rate unsecured senior notes on May 11, 2020.</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unsecured term loan matures on May 6, 2021, plus one twelve month extension at our option, and bears interest at LIBOR plus 135 basis points based on our current credit rating. Our net proceeds from this transaction after underwriting fees and other costs were $398.7 million.</w:t>
      </w:r>
    </w:p>
    <w:p>
      <w:pPr>
        <w:spacing w:after="0" w:line="9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$700.0 million of unsecured senior notes issued in May 2020 comprise a $300.0 million reopening of our 3.95% senior notes maturing on January 15, 2024 and a $400.0 million issuance of 3.50% senior notes maturing on June 1, 2030. The 3.95% senior notes were offered at 103.257% of the principal amount with a yield to maturity of 2.944%, and have the same terms and are of the same series as the $300.0 million senior notes issued on December 9, 2013. The 3.50% senior notes were offered at 98.911% of the principal amount with a yield to maturity of 3.630%. Our net proceeds from these transactions after the net issuance premium, underwriting fees, and other costs were $700.1 million.</w:t>
      </w:r>
    </w:p>
    <w:p>
      <w:pPr>
        <w:spacing w:after="0" w:line="1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September 1, 2020, the $60.6 million non-recourse mortgage loan on The Shops at Sunset Place matured and was not repaid. The lender declared the loan in default until the non-recourse loan was repaid as part of the sale of the property on December 31, 2020. The default did not trigger a cross default with any other indebtedness. The repayment amount including accrued interest and fees, net of $4.5 million of escrows held by the lender was $58.5 million.</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October 13, 2020, we issued $400.0 million of fixed rate senior unsecured notes that mature on February 15, 2026 and bear interest at 1.25%. The notes were offered at 99.339% of the principal amount with a yield to maturity of 1.379%. The net proceeds of the notes, or "green bonds," after issuance discount, underwriting fees, and other costs were approximately $394.2 million, and will be allocated to the financing and refinancing of recently completed and future eligible green projects, which includes (i) investments in acquisitions of buildings; (ii) building developments or redevelopments; (iii) renovations in existing buildings; and (iv) tenant improvement projects, in each case that have received, or are expected to receive, in the three years prior to the issuance of the notes or during the term of the notes, a LEED Silver, Gold, or Platinum certification (or environmentally equivalent successor standards). Net proceeds allocated to previously incurred costs associated with eligible green projects will be available for repayment of indebtedness.</w:t>
      </w:r>
    </w:p>
    <w:p>
      <w:pPr>
        <w:spacing w:after="0" w:line="11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December 15, 2020, we repaid our $250.0 million 2.55% notes prior to the original maturity date of January 15, 2021 at par. The redemption price of $252.7 million included accrued but unpaid interest of $2.7 million.</w:t>
      </w:r>
    </w:p>
    <w:p>
      <w:pPr>
        <w:spacing w:after="0" w:line="11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On December 31, 2020, we repaid our $250.0 million 3.00% notes prior to the original maturity date of August 1, 2022. The redemption price of $263.5 million included a make-whole premium of $10.4 million and accrued but unpaid interest of $3.1 million. The "early extinguishment of debt" charge in 2020 of $11.2 million includes the make-whole premium and the write off of the unamortized discount and debt issuance fees.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On December 31, 2020, we also repaid the $3.6 million mortgage loan on 29th Place, at par, prior to its original maturity date.</w:t>
      </w:r>
    </w:p>
    <w:p>
      <w:pPr>
        <w:spacing w:after="0" w:line="17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During 2020, 2019 and 2018, the maximum amount of borrowings outstanding under our revolving credit facility was $990.0 million, $116.5 million and $177.0 million, respectively. The weighted average amount of borrowings outstanding was $138.5 million, $26.8 million and $83.1 million, respectively, and the weighted average interest rate, before amortization of debt fees, was 1.5%, 3.2% and 2.7%, respectively. The revolving credit facility requires an annual facility fee of $1.0 million. At December 31, 2020 and 2019, our revolving credit facility had no balance outstanding.</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revolving credit facility, term loan, and certain notes require us to comply with various financial covenants, including the maintenance of minimum shareholders’ equity and debt coverage ratios and a maximum ratio of debt to net worth. As of December 31, 2020, we were in compliance with all default related debt covenants.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1" w:name="page82"/>
    <w:bookmarkEnd w:id="81"/>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on mortgages payable, notes payable, senior notes and debentures as of December 31, 2020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Mortgages</w:t>
            </w:r>
          </w:p>
        </w:tc>
        <w:tc>
          <w:tcPr>
            <w:tcW w:w="280" w:type="dxa"/>
            <w:vAlign w:val="bottom"/>
          </w:tcPr>
          <w:p>
            <w:pPr>
              <w:spacing w:after="0"/>
              <w:rPr>
                <w:sz w:val="14"/>
                <w:szCs w:val="14"/>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Notes</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Senior Notes and</w:t>
            </w:r>
          </w:p>
        </w:tc>
        <w:tc>
          <w:tcPr>
            <w:tcW w:w="260" w:type="dxa"/>
            <w:vAlign w:val="bottom"/>
          </w:tcPr>
          <w:p>
            <w:pPr>
              <w:spacing w:after="0"/>
              <w:rPr>
                <w:sz w:val="14"/>
                <w:szCs w:val="14"/>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4"/>
                <w:szCs w:val="14"/>
                <w:color w:val="auto"/>
              </w:rPr>
            </w:pPr>
          </w:p>
        </w:tc>
      </w:tr>
      <w:tr>
        <w:trPr>
          <w:trHeight w:val="188"/>
        </w:trPr>
        <w:tc>
          <w:tcPr>
            <w:tcW w:w="3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4"/>
                <w:szCs w:val="14"/>
                <w:b w:val="1"/>
                <w:bCs w:val="1"/>
                <w:color w:val="auto"/>
                <w:w w:val="94"/>
              </w:rPr>
              <w:t>Payable</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Payable</w:t>
            </w: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Debentures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Principal</w:t>
            </w:r>
          </w:p>
        </w:tc>
        <w:tc>
          <w:tcPr>
            <w:tcW w:w="520" w:type="dxa"/>
            <w:vAlign w:val="bottom"/>
          </w:tcPr>
          <w:p>
            <w:pPr>
              <w:spacing w:after="0"/>
              <w:rPr>
                <w:sz w:val="16"/>
                <w:szCs w:val="16"/>
                <w:color w:val="auto"/>
              </w:rPr>
            </w:pPr>
          </w:p>
        </w:tc>
      </w:tr>
      <w:tr>
        <w:trPr>
          <w:trHeight w:val="183"/>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1"/>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28,101</w:t>
            </w:r>
          </w:p>
        </w:tc>
        <w:tc>
          <w:tcPr>
            <w:tcW w:w="5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400,676</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w w:val="90"/>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428,777</w:t>
            </w:r>
          </w:p>
        </w:tc>
        <w:tc>
          <w:tcPr>
            <w:tcW w:w="520" w:type="dxa"/>
            <w:vAlign w:val="bottom"/>
          </w:tcPr>
          <w:p>
            <w:pPr>
              <w:spacing w:after="0"/>
              <w:rPr>
                <w:sz w:val="19"/>
                <w:szCs w:val="19"/>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119,706</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120,457</w:t>
            </w:r>
          </w:p>
        </w:tc>
        <w:tc>
          <w:tcPr>
            <w:tcW w:w="520" w:type="dxa"/>
            <w:vAlign w:val="bottom"/>
            <w:shd w:val="clear" w:color="auto" w:fill="CCEEFF"/>
          </w:tcPr>
          <w:p>
            <w:pPr>
              <w:spacing w:after="0"/>
              <w:rPr>
                <w:sz w:val="19"/>
                <w:szCs w:val="19"/>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3,549</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279,314</w:t>
            </w:r>
          </w:p>
        </w:tc>
        <w:tc>
          <w:tcPr>
            <w:tcW w:w="520" w:type="dxa"/>
            <w:vAlign w:val="bottom"/>
          </w:tcPr>
          <w:p>
            <w:pPr>
              <w:spacing w:after="0"/>
              <w:rPr>
                <w:sz w:val="19"/>
                <w:szCs w:val="19"/>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0"/>
              </w:rPr>
              <w:t>(2)</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604,344</w:t>
            </w:r>
          </w:p>
        </w:tc>
        <w:tc>
          <w:tcPr>
            <w:tcW w:w="520" w:type="dxa"/>
            <w:vAlign w:val="bottom"/>
            <w:shd w:val="clear" w:color="auto" w:fill="CCEEFF"/>
          </w:tcPr>
          <w:p>
            <w:pPr>
              <w:spacing w:after="0"/>
              <w:rPr>
                <w:sz w:val="19"/>
                <w:szCs w:val="19"/>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48,033</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48,366</w:t>
            </w:r>
          </w:p>
        </w:tc>
        <w:tc>
          <w:tcPr>
            <w:tcW w:w="520" w:type="dxa"/>
            <w:vAlign w:val="bottom"/>
          </w:tcPr>
          <w:p>
            <w:pPr>
              <w:spacing w:after="0"/>
              <w:rPr>
                <w:sz w:val="19"/>
                <w:szCs w:val="19"/>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282,958</w:t>
            </w:r>
          </w:p>
        </w:tc>
        <w:tc>
          <w:tcPr>
            <w:tcW w:w="5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2,544,200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2,827,247</w:t>
            </w:r>
          </w:p>
        </w:tc>
        <w:tc>
          <w:tcPr>
            <w:tcW w:w="520" w:type="dxa"/>
            <w:vAlign w:val="bottom"/>
            <w:shd w:val="clear" w:color="auto" w:fill="CCEEFF"/>
          </w:tcPr>
          <w:p>
            <w:pPr>
              <w:spacing w:after="0"/>
              <w:rPr>
                <w:sz w:val="19"/>
                <w:szCs w:val="19"/>
                <w:color w:val="auto"/>
              </w:rPr>
            </w:pPr>
          </w:p>
        </w:tc>
      </w:tr>
      <w:tr>
        <w:trPr>
          <w:trHeight w:val="223"/>
        </w:trPr>
        <w:tc>
          <w:tcPr>
            <w:tcW w:w="38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486,035</w:t>
            </w:r>
          </w:p>
        </w:tc>
        <w:tc>
          <w:tcPr>
            <w:tcW w:w="5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403,270</w:t>
            </w:r>
          </w:p>
        </w:tc>
        <w:tc>
          <w:tcPr>
            <w:tcW w:w="5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3,419,200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4,308,505</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
        </w:trPr>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$400.0 million term loan matures on May 6, 2021 plus one twelve month extension, at our option.</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$1.0 billion revolving credit facility matures on January 19, 2024, plus two six-month extensions at our option. As of December 31, 2020, there was no outstanding balance under this credit facility.</w:t>
      </w:r>
    </w:p>
    <w:p>
      <w:pPr>
        <w:ind w:left="660" w:right="260" w:hanging="328"/>
        <w:spacing w:after="0" w:line="260" w:lineRule="auto"/>
        <w:tabs>
          <w:tab w:leader="none" w:pos="6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premium/discount and debt issuance costs on mortgage loans, notes payable, and senior notes as of December 31,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10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fair value measurement is based on the assumptions that market participants would use in pricing an asset or liability in an orderly transaction. The hierarchy for inputs used in measuring fair value are as follows:</w:t>
      </w:r>
    </w:p>
    <w:p>
      <w:pPr>
        <w:spacing w:after="0" w:line="89" w:lineRule="exact"/>
        <w:rPr>
          <w:sz w:val="20"/>
          <w:szCs w:val="20"/>
          <w:color w:val="auto"/>
        </w:rPr>
      </w:pPr>
    </w:p>
    <w:p>
      <w:pPr>
        <w:ind w:left="620" w:hanging="594"/>
        <w:spacing w:after="0"/>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1 Inputs—quoted prices in active markets for identical assets or liabilities</w:t>
      </w:r>
    </w:p>
    <w:p>
      <w:pPr>
        <w:spacing w:after="0" w:line="171" w:lineRule="exact"/>
        <w:rPr>
          <w:rFonts w:ascii="Arial" w:cs="Arial" w:eastAsia="Arial" w:hAnsi="Arial"/>
          <w:sz w:val="18"/>
          <w:szCs w:val="18"/>
          <w:color w:val="auto"/>
        </w:rPr>
      </w:pPr>
    </w:p>
    <w:p>
      <w:pPr>
        <w:ind w:left="620" w:hanging="594"/>
        <w:spacing w:after="0"/>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2 Inputs—observable inputs other than quoted prices in active markets for identical assets and liabilities</w:t>
      </w:r>
    </w:p>
    <w:p>
      <w:pPr>
        <w:spacing w:after="0" w:line="184" w:lineRule="exact"/>
        <w:rPr>
          <w:rFonts w:ascii="Arial" w:cs="Arial" w:eastAsia="Arial" w:hAnsi="Arial"/>
          <w:sz w:val="18"/>
          <w:szCs w:val="18"/>
          <w:color w:val="auto"/>
        </w:rPr>
      </w:pPr>
    </w:p>
    <w:p>
      <w:pPr>
        <w:ind w:left="620" w:right="2940" w:hanging="594"/>
        <w:spacing w:after="0" w:line="235" w:lineRule="auto"/>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3 Inputs—prices or valuation techniques that require inputs that are both significant to the fair value measurement and unobservable</w:t>
      </w:r>
    </w:p>
    <w:p>
      <w:pPr>
        <w:spacing w:after="0" w:line="17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34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5"/>
                <w:szCs w:val="15"/>
                <w:color w:val="auto"/>
              </w:rPr>
            </w:pPr>
          </w:p>
        </w:tc>
        <w:tc>
          <w:tcPr>
            <w:tcW w:w="112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1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881"/>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Mortgages and notes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886,887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549,460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562,049</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Senior notes and debentures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3,404,488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3,761,465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2,807,134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3,001,216</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 of December 31, 2020, we have two interest rate swap agreements with notional amounts of $56.5 million that are measured at fair value on a recurring basis. The interest rate swap agreements fix the interest rate on $56.5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December 31, 2020 was a liability of $4.7 million and is included in "prepaid expenses and other assets" on our consolidated balance sheet. During 2020, the value of our interest rate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2" w:name="page83"/>
    <w:bookmarkEnd w:id="82"/>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swaps decreased $4.8 million (including $0.7 million reclassified from other comprehensive loss to interest expense). A summary of our financial (liabilities) assets that are measured at fair value on a recurring basis, by level within the fair value hierarchy is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December 31, 2020</w:t>
            </w:r>
          </w:p>
        </w:tc>
        <w:tc>
          <w:tcPr>
            <w:tcW w:w="5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2019</w:t>
            </w:r>
          </w:p>
        </w:tc>
        <w:tc>
          <w:tcPr>
            <w:tcW w:w="820" w:type="dxa"/>
            <w:vAlign w:val="bottom"/>
            <w:tcBorders>
              <w:bottom w:val="single" w:sz="8" w:color="auto"/>
            </w:tcBorders>
          </w:tcPr>
          <w:p>
            <w:pPr>
              <w:spacing w:after="0"/>
              <w:rPr>
                <w:sz w:val="16"/>
                <w:szCs w:val="16"/>
                <w:color w:val="auto"/>
              </w:rPr>
            </w:pPr>
          </w:p>
        </w:tc>
      </w:tr>
      <w:tr>
        <w:trPr>
          <w:trHeight w:val="187"/>
        </w:trPr>
        <w:tc>
          <w:tcPr>
            <w:tcW w:w="27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Level 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r>
      <w:tr>
        <w:trPr>
          <w:trHeight w:val="183"/>
        </w:trPr>
        <w:tc>
          <w:tcPr>
            <w:tcW w:w="2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60" w:type="dxa"/>
            <w:vAlign w:val="bottom"/>
            <w:gridSpan w:val="4"/>
          </w:tcPr>
          <w:p>
            <w:pPr>
              <w:ind w:left="3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(4,711)</w:t>
            </w:r>
          </w:p>
        </w:tc>
        <w:tc>
          <w:tcPr>
            <w:tcW w:w="76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bl>
    <w:p>
      <w:pPr>
        <w:spacing w:after="0" w:line="17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One of our equity method investees has two interest rate swaps which qualify as cash flow hedges. At December 31, 2020 and December 31, 2019, our share of the decrease in fair value of the related swaps included in "accumulated other comprehensive loss" was $0.5 million and $0.9 million, respectively.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10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1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previous experience in our portfolio, and future increases in costs of claims, when making these determinations. If our liability costs exceed these accruals, it will reduce our net income.</w:t>
      </w:r>
    </w:p>
    <w:p>
      <w:pPr>
        <w:spacing w:after="0" w:line="10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December 17, 2020, we acquired one of our partner's preferred and common interests in the partnership that owns our Plaza El Segundo property for $7.3 million, bringing our ownership to approximately 78.2%.</w:t>
      </w:r>
    </w:p>
    <w:p>
      <w:pPr>
        <w:spacing w:after="0" w:line="11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December 11, 2019, we received proceeds related to the sale under the threat of condemnation at San Antonio Center as discussed in Note 3 to the consolidated financial statements. We have indemnified the condemning authority for all costs incurred related to the condemnation proceedings including any payments required to tenants at the property and expect the process will take several years to complete. During 2020, we incurred $12.9 million of net payments to tenants, and consequently, at December 31, 2020, we have a liability of $32.6 million to reflect our estimate of the remaining consideration.</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December 31, 2020 and 2019, our reserves for general liability costs were $4.6 million and $3.0 million, respectively, and are included in “accounts payable and accrued expenses” in our consolidated balance sheets. Any potential losses which exceed our estimates would result in a decrease in our net income. During 2020 and 2019, we made payments from these reserves of $0.8 million and $1.3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we had letters of credit outstanding of approximately $4.7 million.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3" w:name="page84"/>
    <w:bookmarkEnd w:id="83"/>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December 31, 2020 in connection with capital improvement, development, and redevelopment projects, the Trust has contractual obligations of approximately $356.1 million.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operating lease agreements on several shopping centers and one office lease requiring minimum annual payments as follows,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36"/>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175,387</w:t>
            </w:r>
          </w:p>
        </w:tc>
        <w:tc>
          <w:tcPr>
            <w:tcW w:w="0" w:type="dxa"/>
            <w:vAlign w:val="bottom"/>
          </w:tcPr>
          <w:p>
            <w:pPr>
              <w:spacing w:after="0"/>
              <w:rPr>
                <w:sz w:val="1"/>
                <w:szCs w:val="1"/>
                <w:color w:val="auto"/>
              </w:rPr>
            </w:pP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Total future minimum operating lease payments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201,201</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(128,760)</w:t>
            </w:r>
          </w:p>
        </w:tc>
        <w:tc>
          <w:tcPr>
            <w:tcW w:w="0" w:type="dxa"/>
            <w:vAlign w:val="bottom"/>
          </w:tcPr>
          <w:p>
            <w:pPr>
              <w:spacing w:after="0"/>
              <w:rPr>
                <w:sz w:val="1"/>
                <w:szCs w:val="1"/>
                <w:color w:val="auto"/>
              </w:rPr>
            </w:pP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72,441</w:t>
            </w:r>
          </w:p>
        </w:tc>
        <w:tc>
          <w:tcPr>
            <w:tcW w:w="0" w:type="dxa"/>
            <w:vAlign w:val="bottom"/>
          </w:tcPr>
          <w:p>
            <w:pPr>
              <w:spacing w:after="0"/>
              <w:rPr>
                <w:sz w:val="1"/>
                <w:szCs w:val="1"/>
                <w:color w:val="auto"/>
              </w:rPr>
            </w:pPr>
          </w:p>
        </w:tc>
      </w:tr>
      <w:tr>
        <w:trPr>
          <w:trHeight w:val="21"/>
        </w:trPr>
        <w:tc>
          <w:tcPr>
            <w:tcW w:w="9880" w:type="dxa"/>
            <w:vAlign w:val="bottom"/>
            <w:vMerge w:val="restart"/>
          </w:tcPr>
          <w:p>
            <w:pPr>
              <w:spacing w:after="0"/>
              <w:rPr>
                <w:sz w:val="20"/>
                <w:szCs w:val="20"/>
                <w:color w:val="auto"/>
              </w:rPr>
            </w:pPr>
            <w:r>
              <w:rPr>
                <w:rFonts w:ascii="Arial" w:cs="Arial" w:eastAsia="Arial" w:hAnsi="Arial"/>
                <w:sz w:val="18"/>
                <w:szCs w:val="18"/>
                <w:color w:val="auto"/>
                <w:w w:val="92"/>
              </w:rPr>
              <w:t>Future minimum lease payments and their present value for properties under finance leases as of December 31, 2020, are as follows:</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9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9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35"/>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60,013</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80,837</w:t>
            </w:r>
          </w:p>
        </w:tc>
        <w:tc>
          <w:tcPr>
            <w:tcW w:w="0" w:type="dxa"/>
            <w:vAlign w:val="bottom"/>
          </w:tcPr>
          <w:p>
            <w:pPr>
              <w:spacing w:after="0"/>
              <w:rPr>
                <w:sz w:val="1"/>
                <w:szCs w:val="1"/>
                <w:color w:val="auto"/>
              </w:rPr>
            </w:pP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Total future minimum finance lease payments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154,486</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(82,437)</w:t>
            </w:r>
          </w:p>
        </w:tc>
        <w:tc>
          <w:tcPr>
            <w:tcW w:w="0" w:type="dxa"/>
            <w:vAlign w:val="bottom"/>
          </w:tcPr>
          <w:p>
            <w:pPr>
              <w:spacing w:after="0"/>
              <w:rPr>
                <w:sz w:val="1"/>
                <w:szCs w:val="1"/>
                <w:color w:val="auto"/>
              </w:rPr>
            </w:pP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72,049</w:t>
            </w:r>
          </w:p>
        </w:tc>
        <w:tc>
          <w:tcPr>
            <w:tcW w:w="0" w:type="dxa"/>
            <w:vAlign w:val="bottom"/>
          </w:tcPr>
          <w:p>
            <w:pPr>
              <w:spacing w:after="0"/>
              <w:rPr>
                <w:sz w:val="1"/>
                <w:szCs w:val="1"/>
                <w:color w:val="auto"/>
              </w:rPr>
            </w:pP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4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Under the terms of the Congressional Plaza partnership agreement, a minority partner has the right to require us and the other minority partner to purchase its 26.63% interest in Congressional Plaza at the interest’s then-current fair market value. If the okother minority partner defaults in their obligation, we must purchase the full interest. Based on management’s current estimate of fair market value as of December 31, 2020, our estimated maximum liability upon exercise of the put option would range from approximately $69 million to $72 million.</w:t>
      </w:r>
    </w:p>
    <w:p>
      <w:pPr>
        <w:spacing w:after="0" w:line="5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master lease for Melville Mall includes a fixed purchase price option in 2021 for $5 million. If we fail to exercise our purchase option, the owner of Melville Mall has a put option which would require us to purchase Melville Mall in 2023 for $5 million.</w:t>
      </w:r>
    </w:p>
    <w:p>
      <w:pPr>
        <w:spacing w:after="0" w:line="3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2020, our estimated maximum liability upon exercise of the put option would range from approximately $28 million to $35 million.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4" w:name="page85"/>
    <w:bookmarkEnd w:id="84"/>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2020, our estimated maximum liability upon exercise of the put option would range from $6 million to $7 million.</w:t>
      </w:r>
    </w:p>
    <w:p>
      <w:pPr>
        <w:spacing w:after="0" w:line="1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Effective September 18, 2023, the other member in Hoboken has the right to require us to purchase all of its 10.0% ownership interest at the interest's then-current fair market value. Based on management's current estimate of fair market value as of December 31, 2020, our estimated maximum liability upon exercise of the put option would range from $5 million to $6 million.</w:t>
      </w:r>
    </w:p>
    <w:p>
      <w:pPr>
        <w:spacing w:after="0" w:line="6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744,617 downREIT operating partnership units are outstanding which have a total fair value of $63.4 million, based on our closing stock price on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1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a Dividend Reinvestment Plan (the “Plan”), whereby shareholders may use their dividends and optional cash payments to purchase shares. In 2020, 2019 and 2018, 24,491 shares, 15,909 shares and 17,952 shares, respectively, were issued under the Plan.</w:t>
      </w:r>
    </w:p>
    <w:p>
      <w:pPr>
        <w:spacing w:after="0" w:line="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December 31, 2020, 2019, and 2018, we had 6,000,000 Depositary Shares outstanding, each representing 1/1000th interest of 5.0% Series C Cumulative Redeemable Preferred Share, par value $0.01 per share ("Series C Preferred Shares"), at the liquidation preference of $25.00 per depositary share (or $25,000 per Series C Preferred share). The Series C Preferred Shares accrue dividends at a rate of 5.0% of the $25,000 liquidation preference per year and are redeemable at our option on or after September 29, 2022. Additionally, they are not convertible and holders of these shares generally have no voting rights, unless we fail to pay dividends for six or more quarters.</w:t>
      </w:r>
    </w:p>
    <w:p>
      <w:pPr>
        <w:spacing w:after="0" w:line="12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As of December 31, 2020, 2019, and 2018, we had 399,896 shares of 5.417% Series 1 Cumulative Convertible Preferred Shares (“Series 1 Preferred Shares”) outstanding that have a liquidation preference of $25 per share and par value $0.01 per share. The Series 1 Preferred Shares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3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May 7, 2018, we replaced our existing at-the-market (“ATM”) equity program with a new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of outstanding under our revolving credit facility and/or for general corporate purposes. For the year ended December 31, 2020, we issued 1,080,804 common shares at a weighted average price per share of $92.51 for net cash proceeds of $98.8 million including paying $1.0 million in commissions and $0.1 million in additional offering expenses related to the sales of these common shares. For the year ended December 31, 2019, we issued 1,069,699 common shares at a weighted average price per share of $134.71 for net cash proceeds of $142.7 million and paid $1.2 million in commissions and $0.2 million in additional offering expenses related to the sales of these common shares. As of December 31, 2020, we had the capacity to issue up to $28.4 million in common shares under our ATM equity program.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9—DIVIDENDS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87"/>
        </w:trPr>
        <w:tc>
          <w:tcPr>
            <w:tcW w:w="5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6"/>
                <w:szCs w:val="16"/>
                <w:color w:val="auto"/>
              </w:rPr>
            </w:pPr>
          </w:p>
        </w:tc>
      </w:tr>
      <w:tr>
        <w:trPr>
          <w:trHeight w:val="183"/>
        </w:trPr>
        <w:tc>
          <w:tcPr>
            <w:tcW w:w="5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Declared</w:t>
            </w:r>
          </w:p>
        </w:tc>
        <w:tc>
          <w:tcPr>
            <w:tcW w:w="200" w:type="dxa"/>
            <w:vAlign w:val="bottom"/>
          </w:tcPr>
          <w:p>
            <w:pPr>
              <w:spacing w:after="0"/>
              <w:rPr>
                <w:sz w:val="15"/>
                <w:szCs w:val="15"/>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Paid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Declared</w:t>
            </w:r>
          </w:p>
        </w:tc>
        <w:tc>
          <w:tcPr>
            <w:tcW w:w="22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Paid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Declared</w:t>
            </w:r>
          </w:p>
        </w:tc>
        <w:tc>
          <w:tcPr>
            <w:tcW w:w="22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Paid</w:t>
            </w:r>
          </w:p>
        </w:tc>
      </w:tr>
      <w:tr>
        <w:trPr>
          <w:trHeight w:val="224"/>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5.0% Series C Cumulative Redeemable Preferred shares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r>
    </w:tbl>
    <w:p>
      <w:pPr>
        <w:spacing w:after="0" w:line="40" w:lineRule="exact"/>
        <w:rPr>
          <w:sz w:val="20"/>
          <w:szCs w:val="20"/>
          <w:color w:val="auto"/>
        </w:rPr>
      </w:pPr>
    </w:p>
    <w:p>
      <w:pPr>
        <w:ind w:left="280" w:hanging="254"/>
        <w:spacing w:after="0"/>
        <w:tabs>
          <w:tab w:leader="none" w:pos="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 represents dividends per depositary share, each representing 1/1000th of a share.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5" w:name="page86"/>
    <w:bookmarkEnd w:id="85"/>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income tax status of dividends per share paid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Ordinary dividend</w:t>
            </w: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3.452</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Return of capital</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0.758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Ordinary dividend eligible for 15% rate</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0.161</w:t>
            </w:r>
          </w:p>
        </w:tc>
        <w:tc>
          <w:tcPr>
            <w:tcW w:w="0" w:type="dxa"/>
            <w:vAlign w:val="bottom"/>
          </w:tcPr>
          <w:p>
            <w:pPr>
              <w:spacing w:after="0"/>
              <w:rPr>
                <w:sz w:val="1"/>
                <w:szCs w:val="1"/>
                <w:color w:val="auto"/>
              </w:rPr>
            </w:pPr>
          </w:p>
        </w:tc>
      </w:tr>
      <w:tr>
        <w:trPr>
          <w:trHeight w:val="248"/>
        </w:trPr>
        <w:tc>
          <w:tcPr>
            <w:tcW w:w="70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4.210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5.417% Series 1 Cumulative Convertible Preferred shares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dividend</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1.354</w:t>
            </w:r>
          </w:p>
        </w:tc>
        <w:tc>
          <w:tcPr>
            <w:tcW w:w="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Ordinary dividend eligible for 15% rate</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0.054</w:t>
            </w:r>
          </w:p>
        </w:tc>
        <w:tc>
          <w:tcPr>
            <w:tcW w:w="0" w:type="dxa"/>
            <w:vAlign w:val="bottom"/>
          </w:tcPr>
          <w:p>
            <w:pPr>
              <w:spacing w:after="0"/>
              <w:rPr>
                <w:sz w:val="1"/>
                <w:szCs w:val="1"/>
                <w:color w:val="auto"/>
              </w:rPr>
            </w:pPr>
          </w:p>
        </w:tc>
      </w:tr>
      <w:tr>
        <w:trPr>
          <w:trHeight w:val="248"/>
        </w:trPr>
        <w:tc>
          <w:tcPr>
            <w:tcW w:w="70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5.0% Series C Cumulative Redeemable Preferred shares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dividend</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Ordinary dividend eligible for 15% rate</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0.052</w:t>
            </w:r>
          </w:p>
        </w:tc>
        <w:tc>
          <w:tcPr>
            <w:tcW w:w="0" w:type="dxa"/>
            <w:vAlign w:val="bottom"/>
          </w:tcPr>
          <w:p>
            <w:pPr>
              <w:spacing w:after="0"/>
              <w:rPr>
                <w:sz w:val="1"/>
                <w:szCs w:val="1"/>
                <w:color w:val="auto"/>
              </w:rPr>
            </w:pPr>
          </w:p>
        </w:tc>
      </w:tr>
      <w:tr>
        <w:trPr>
          <w:trHeight w:val="248"/>
        </w:trPr>
        <w:tc>
          <w:tcPr>
            <w:tcW w:w="70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5, 2020, the Trustees declared a quarterly cash dividend of $1.06 per common share, payable January 15, 2021 to common shareholders of record on January 4,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0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At December 31, 2020, our 101 predominantly retail shopping center and mixed-use properties are located in 11 states and the District of Columbia. There are approximately 2,800 commercial leases and 2,700 residential leases. Our commercial tenants range from sole proprietorships to national retailers and corporations. At December 31, 2020, no one tenant or corporate group of tenants accounted for more than 3.6% of annualized base rent.</w:t>
      </w:r>
    </w:p>
    <w:p>
      <w:pPr>
        <w:spacing w:after="0" w:line="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1 year or less.</w:t>
      </w:r>
    </w:p>
    <w:p>
      <w:pPr>
        <w:spacing w:after="0" w:line="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2020, future minimum rentals from noncancelable commercial operating leases (excluding both tenant reimbursements of operating expenses and percentage rent based on tenants' sales) are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r>
      <w:tr>
        <w:trPr>
          <w:trHeight w:val="236"/>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586,082</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549,529</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486,269</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421,945</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349,671</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1,493,377</w:t>
            </w:r>
          </w:p>
        </w:tc>
      </w:tr>
      <w:tr>
        <w:trPr>
          <w:trHeight w:val="223"/>
        </w:trPr>
        <w:tc>
          <w:tcPr>
            <w:tcW w:w="9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3,886,873</w:t>
            </w:r>
          </w:p>
        </w:tc>
      </w:tr>
      <w:tr>
        <w:trPr>
          <w:trHeight w:val="21"/>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6" w:name="page87"/>
    <w:bookmarkEnd w:id="86"/>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on our operating and finance leases where we are the lessee: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734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w w:val="96"/>
              </w:rPr>
              <w:t>2019</w:t>
            </w:r>
          </w:p>
        </w:tc>
      </w:tr>
      <w:tr>
        <w:trPr>
          <w:trHeight w:val="183"/>
        </w:trPr>
        <w:tc>
          <w:tcPr>
            <w:tcW w:w="7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120" w:type="dxa"/>
            <w:vAlign w:val="bottom"/>
          </w:tcPr>
          <w:p>
            <w:pPr>
              <w:spacing w:after="0"/>
              <w:rPr>
                <w:sz w:val="15"/>
                <w:szCs w:val="15"/>
                <w:color w:val="auto"/>
              </w:rPr>
            </w:pPr>
          </w:p>
        </w:tc>
      </w:tr>
      <w:tr>
        <w:trPr>
          <w:trHeight w:val="231"/>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w:t>
            </w:r>
          </w:p>
        </w:tc>
        <w:tc>
          <w:tcPr>
            <w:tcW w:w="1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right-of-use assets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1,284</w:t>
            </w:r>
          </w:p>
        </w:tc>
      </w:tr>
      <w:tr>
        <w:trPr>
          <w:trHeight w:val="229"/>
        </w:trPr>
        <w:tc>
          <w:tcPr>
            <w:tcW w:w="734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11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5,824</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6,063</w:t>
            </w:r>
          </w:p>
        </w:tc>
      </w:tr>
      <w:tr>
        <w:trPr>
          <w:trHeight w:val="23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487</w:t>
            </w:r>
          </w:p>
        </w:tc>
      </w:tr>
      <w:tr>
        <w:trPr>
          <w:trHeight w:val="24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98"/>
              </w:rPr>
              <w:t>13,409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13,658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INFORMATION:</w:t>
            </w: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ROU assets obtained in exchange for operating lease liabilities</w:t>
            </w:r>
          </w:p>
        </w:tc>
        <w:tc>
          <w:tcPr>
            <w:tcW w:w="11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finance lease liabilities</w:t>
            </w:r>
          </w:p>
        </w:tc>
        <w:tc>
          <w:tcPr>
            <w:tcW w:w="1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cash flows for finance leases</w:t>
            </w: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5,736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5,759</w:t>
            </w:r>
          </w:p>
        </w:tc>
      </w:tr>
      <w:tr>
        <w:trPr>
          <w:trHeight w:val="229"/>
        </w:trPr>
        <w:tc>
          <w:tcPr>
            <w:tcW w:w="7340" w:type="dxa"/>
            <w:vAlign w:val="bottom"/>
          </w:tcPr>
          <w:p>
            <w:pPr>
              <w:ind w:left="260"/>
              <w:spacing w:after="0"/>
              <w:rPr>
                <w:sz w:val="20"/>
                <w:szCs w:val="20"/>
                <w:color w:val="auto"/>
              </w:rPr>
            </w:pPr>
            <w:r>
              <w:rPr>
                <w:rFonts w:ascii="Arial" w:cs="Arial" w:eastAsia="Arial" w:hAnsi="Arial"/>
                <w:sz w:val="18"/>
                <w:szCs w:val="18"/>
                <w:color w:val="auto"/>
              </w:rPr>
              <w:t>Operating cash flows for operating leases</w:t>
            </w:r>
          </w:p>
        </w:tc>
        <w:tc>
          <w:tcPr>
            <w:tcW w:w="11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5,561</w:t>
            </w:r>
          </w:p>
        </w:tc>
      </w:tr>
      <w:tr>
        <w:trPr>
          <w:trHeight w:val="230"/>
        </w:trPr>
        <w:tc>
          <w:tcPr>
            <w:tcW w:w="7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Financing cash flows for finance leases</w:t>
            </w: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w:t>
            </w:r>
          </w:p>
        </w:tc>
      </w:tr>
      <w:tr>
        <w:trPr>
          <w:trHeight w:val="162"/>
        </w:trPr>
        <w:tc>
          <w:tcPr>
            <w:tcW w:w="7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r>
      <w:tr>
        <w:trPr>
          <w:trHeight w:val="188"/>
        </w:trPr>
        <w:tc>
          <w:tcPr>
            <w:tcW w:w="734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120" w:type="dxa"/>
            <w:vAlign w:val="bottom"/>
            <w:tcBorders>
              <w:bottom w:val="single" w:sz="8" w:color="auto"/>
            </w:tcBorders>
            <w:shd w:val="clear" w:color="auto" w:fill="CCEEFF"/>
          </w:tcPr>
          <w:p>
            <w:pPr>
              <w:spacing w:after="0"/>
              <w:rPr>
                <w:sz w:val="16"/>
                <w:szCs w:val="16"/>
                <w:color w:val="auto"/>
              </w:rPr>
            </w:pPr>
          </w:p>
        </w:tc>
      </w:tr>
      <w:tr>
        <w:trPr>
          <w:trHeight w:val="181"/>
        </w:trPr>
        <w:tc>
          <w:tcPr>
            <w:tcW w:w="7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jc w:val="right"/>
              <w:ind w:right="713"/>
              <w:spacing w:after="0"/>
              <w:rPr>
                <w:sz w:val="20"/>
                <w:szCs w:val="20"/>
                <w:color w:val="auto"/>
              </w:rPr>
            </w:pPr>
            <w:r>
              <w:rPr>
                <w:rFonts w:ascii="Arial" w:cs="Arial" w:eastAsia="Arial" w:hAnsi="Arial"/>
                <w:sz w:val="14"/>
                <w:szCs w:val="14"/>
                <w:b w:val="1"/>
                <w:bCs w:val="1"/>
                <w:color w:val="auto"/>
                <w:w w:val="96"/>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remaining term - finance leases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remaining term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discount rate - finance leases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discount rate - operating leases</w:t>
      </w:r>
    </w:p>
    <w:p>
      <w:pPr>
        <w:spacing w:after="0" w:line="200" w:lineRule="exact"/>
        <w:rPr>
          <w:sz w:val="20"/>
          <w:szCs w:val="20"/>
          <w:color w:val="auto"/>
        </w:rPr>
      </w:pPr>
    </w:p>
    <w:p>
      <w:pPr>
        <w:spacing w:after="0" w:line="209" w:lineRule="exact"/>
        <w:rPr>
          <w:sz w:val="20"/>
          <w:szCs w:val="20"/>
          <w:color w:val="auto"/>
        </w:rPr>
      </w:pPr>
    </w:p>
    <w:p>
      <w:pPr>
        <w:ind w:right="2300"/>
        <w:spacing w:after="0" w:line="511" w:lineRule="auto"/>
        <w:rPr>
          <w:sz w:val="20"/>
          <w:szCs w:val="20"/>
          <w:color w:val="auto"/>
        </w:rPr>
      </w:pPr>
      <w:r>
        <w:rPr>
          <w:rFonts w:ascii="Arial" w:cs="Arial" w:eastAsia="Arial" w:hAnsi="Arial"/>
          <w:sz w:val="17"/>
          <w:szCs w:val="17"/>
          <w:b w:val="1"/>
          <w:bCs w:val="1"/>
          <w:color w:val="auto"/>
        </w:rPr>
        <w:t xml:space="preserve">NOTE 11—COMPONENTS OF RENTAL EXPENSE </w:t>
      </w:r>
      <w:r>
        <w:rPr>
          <w:rFonts w:ascii="Arial" w:cs="Arial" w:eastAsia="Arial" w:hAnsi="Arial"/>
          <w:sz w:val="17"/>
          <w:szCs w:val="17"/>
          <w:color w:val="auto"/>
        </w:rPr>
        <w:t>The principal components of rental expenses are as follows: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252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17.3 years</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 years</w:t>
            </w:r>
          </w:p>
        </w:tc>
      </w:tr>
      <w:tr>
        <w:trPr>
          <w:trHeight w:val="229"/>
        </w:trPr>
        <w:tc>
          <w:tcPr>
            <w:tcW w:w="2520" w:type="dxa"/>
            <w:vAlign w:val="bottom"/>
          </w:tcPr>
          <w:p>
            <w:pPr>
              <w:jc w:val="right"/>
              <w:ind w:right="550"/>
              <w:spacing w:after="0"/>
              <w:rPr>
                <w:sz w:val="20"/>
                <w:szCs w:val="20"/>
                <w:color w:val="auto"/>
              </w:rPr>
            </w:pPr>
            <w:r>
              <w:rPr>
                <w:rFonts w:ascii="Arial" w:cs="Arial" w:eastAsia="Arial" w:hAnsi="Arial"/>
                <w:sz w:val="18"/>
                <w:szCs w:val="18"/>
                <w:color w:val="auto"/>
              </w:rPr>
              <w:t>53.4 years</w:t>
            </w:r>
          </w:p>
        </w:tc>
        <w:tc>
          <w:tcPr>
            <w:tcW w:w="1380" w:type="dxa"/>
            <w:vAlign w:val="bottom"/>
          </w:tcPr>
          <w:p>
            <w:pPr>
              <w:jc w:val="right"/>
              <w:spacing w:after="0"/>
              <w:rPr>
                <w:sz w:val="20"/>
                <w:szCs w:val="20"/>
                <w:color w:val="auto"/>
              </w:rPr>
            </w:pPr>
            <w:r>
              <w:rPr>
                <w:rFonts w:ascii="Arial" w:cs="Arial" w:eastAsia="Arial" w:hAnsi="Arial"/>
                <w:sz w:val="18"/>
                <w:szCs w:val="18"/>
                <w:color w:val="auto"/>
              </w:rPr>
              <w:t>53.7 years</w:t>
            </w:r>
          </w:p>
        </w:tc>
      </w:tr>
      <w:tr>
        <w:trPr>
          <w:trHeight w:val="230"/>
        </w:trPr>
        <w:tc>
          <w:tcPr>
            <w:tcW w:w="2520" w:type="dxa"/>
            <w:vAlign w:val="bottom"/>
          </w:tcPr>
          <w:p>
            <w:pPr>
              <w:jc w:val="right"/>
              <w:ind w:right="550"/>
              <w:spacing w:after="0"/>
              <w:rPr>
                <w:sz w:val="20"/>
                <w:szCs w:val="20"/>
                <w:color w:val="auto"/>
              </w:rPr>
            </w:pPr>
            <w:r>
              <w:rPr>
                <w:rFonts w:ascii="Arial" w:cs="Arial" w:eastAsia="Arial" w:hAnsi="Arial"/>
                <w:sz w:val="18"/>
                <w:szCs w:val="18"/>
                <w:color w:val="auto"/>
              </w:rPr>
              <w:t>8.0 %</w:t>
            </w:r>
          </w:p>
        </w:tc>
        <w:tc>
          <w:tcPr>
            <w:tcW w:w="138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30"/>
        </w:trPr>
        <w:tc>
          <w:tcPr>
            <w:tcW w:w="2520" w:type="dxa"/>
            <w:vAlign w:val="bottom"/>
          </w:tcPr>
          <w:p>
            <w:pPr>
              <w:jc w:val="right"/>
              <w:ind w:right="550"/>
              <w:spacing w:after="0"/>
              <w:rPr>
                <w:sz w:val="20"/>
                <w:szCs w:val="20"/>
                <w:color w:val="auto"/>
              </w:rPr>
            </w:pPr>
            <w:r>
              <w:rPr>
                <w:rFonts w:ascii="Arial" w:cs="Arial" w:eastAsia="Arial" w:hAnsi="Arial"/>
                <w:sz w:val="18"/>
                <w:szCs w:val="18"/>
                <w:color w:val="auto"/>
              </w:rPr>
              <w:t>4.4 %</w:t>
            </w:r>
          </w:p>
        </w:tc>
        <w:tc>
          <w:tcPr>
            <w:tcW w:w="1380" w:type="dxa"/>
            <w:vAlign w:val="bottom"/>
          </w:tcPr>
          <w:p>
            <w:pPr>
              <w:jc w:val="right"/>
              <w:spacing w:after="0"/>
              <w:rPr>
                <w:sz w:val="20"/>
                <w:szCs w:val="20"/>
                <w:color w:val="auto"/>
              </w:rPr>
            </w:pPr>
            <w:r>
              <w:rPr>
                <w:rFonts w:ascii="Arial" w:cs="Arial" w:eastAsia="Arial" w:hAnsi="Arial"/>
                <w:sz w:val="18"/>
                <w:szCs w:val="18"/>
                <w:color w:val="auto"/>
              </w:rPr>
              <w:t>4.5 %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2425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6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r>
      <w:tr>
        <w:trPr>
          <w:trHeight w:val="190"/>
        </w:trPr>
        <w:tc>
          <w:tcPr>
            <w:tcW w:w="1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100" w:type="dxa"/>
            <w:vAlign w:val="bottom"/>
          </w:tcPr>
          <w:p>
            <w:pPr>
              <w:spacing w:after="0"/>
              <w:rPr>
                <w:sz w:val="16"/>
                <w:szCs w:val="16"/>
                <w:color w:val="auto"/>
              </w:rPr>
            </w:pPr>
          </w:p>
        </w:tc>
      </w:tr>
    </w:tbl>
    <w:p>
      <w:pPr>
        <w:spacing w:after="0" w:line="20" w:lineRule="exact"/>
        <w:rPr>
          <w:sz w:val="20"/>
          <w:szCs w:val="20"/>
          <w:color w:val="auto"/>
        </w:rPr>
      </w:pPr>
    </w:p>
    <w:p>
      <w:pPr>
        <w:sectPr>
          <w:pgSz w:w="11900" w:h="16838" w:orient="portrait"/>
          <w:cols w:equalWidth="0" w:num="2">
            <w:col w:w="6620" w:space="720"/>
            <w:col w:w="390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Repairs and maintenance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67,745</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Utilities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27,635</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fees and costs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24,024</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Payroll</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16,140</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7,935</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Ground rent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Bad debt (1)</w:t>
            </w: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4,708</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(2)</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12,663</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rental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170,920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173,094</w:t>
            </w:r>
          </w:p>
        </w:tc>
      </w:tr>
      <w:tr>
        <w:trPr>
          <w:trHeight w:val="20"/>
        </w:trPr>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660" w:right="40" w:hanging="328"/>
        <w:spacing w:after="0" w:line="250" w:lineRule="auto"/>
        <w:tabs>
          <w:tab w:leader="none" w:pos="654"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Collectibility adjustments are now presented as a reduction of rental income rather than rental expense in accordance with our adoption of the new lease standard in 2019.</w:t>
      </w:r>
    </w:p>
    <w:p>
      <w:pPr>
        <w:ind w:left="660" w:right="460" w:hanging="328"/>
        <w:spacing w:after="0" w:line="260" w:lineRule="auto"/>
        <w:tabs>
          <w:tab w:leader="none" w:pos="654"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operating for the year ended December 31, 2019 includes an $11.9 million charge relating to the buyout of a lease at Assembly Square Marketplace.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7" w:name="page88"/>
    <w:bookmarkEnd w:id="87"/>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12—SHARE-BASED COMPENSATION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617"/>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181"/>
        </w:trPr>
        <w:tc>
          <w:tcPr>
            <w:tcW w:w="7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73"/>
        </w:trPr>
        <w:tc>
          <w:tcPr>
            <w:tcW w:w="7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Grants of common shares and options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13,243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13,330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12,736</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share-based compensation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4"/>
              </w:rPr>
              <w:t>(1,319)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1"/>
              </w:rPr>
              <w:t>(1,054)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4"/>
              </w:rPr>
              <w:t>(1,017)</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8"/>
              </w:rPr>
              <w:t>11,924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8"/>
              </w:rPr>
              <w:t>12,276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8"/>
              </w:rPr>
              <w:t>11,719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As of December 31, 2020, we have grants outstanding under two share-based compensation plans. In May 2020, our shareholders approved the 2020 Performance Incentive Plan ("the 2020 Plan"), which authorized the grant of share options, common shares, and other share-based awards for up to 1,750,000 common shares of beneficial interest. Our 2010 Long Term Incentive Plan, as amended (the "2010 Plan”), which expired in May 2020, authorized the grant of share options, common shares and other share-based awards for up to 2,450,000 common shares of beneficial interest.</w:t>
      </w:r>
    </w:p>
    <w:p>
      <w:pPr>
        <w:spacing w:after="0" w:line="10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Option awards under the plans are required to have an exercise price at least equal to the closing trading price of our common shares on the date of grant. Options and restricted share awards under the plan generally vest over three to seven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 or upon termination without cause.</w:t>
      </w:r>
    </w:p>
    <w:p>
      <w:pPr>
        <w:spacing w:after="0" w:line="13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 No options were granted in 2020 and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assumptions used to value options granted in 2018:</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Year Ended December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31,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Risk free interest rate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377"/>
        </w:trPr>
        <w:tc>
          <w:tcPr>
            <w:tcW w:w="5800" w:type="dxa"/>
            <w:vAlign w:val="bottom"/>
            <w:gridSpan w:val="3"/>
          </w:tcPr>
          <w:p>
            <w:pPr>
              <w:spacing w:after="0"/>
              <w:rPr>
                <w:sz w:val="20"/>
                <w:szCs w:val="20"/>
                <w:color w:val="auto"/>
              </w:rPr>
            </w:pPr>
            <w:r>
              <w:rPr>
                <w:rFonts w:ascii="Arial" w:cs="Arial" w:eastAsia="Arial" w:hAnsi="Arial"/>
                <w:sz w:val="18"/>
                <w:szCs w:val="18"/>
                <w:color w:val="auto"/>
              </w:rPr>
              <w:t>The following table provides a summary of option activity for 2020: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0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22"/>
                <w:szCs w:val="22"/>
                <w:color w:val="auto"/>
              </w:rPr>
            </w:pPr>
          </w:p>
        </w:tc>
        <w:tc>
          <w:tcPr>
            <w:tcW w:w="14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80" w:type="dxa"/>
            <w:vAlign w:val="bottom"/>
          </w:tcPr>
          <w:p>
            <w:pPr>
              <w:ind w:left="560"/>
              <w:spacing w:after="0" w:line="135" w:lineRule="exact"/>
              <w:rPr>
                <w:sz w:val="20"/>
                <w:szCs w:val="20"/>
                <w:color w:val="auto"/>
              </w:rPr>
            </w:pPr>
            <w:r>
              <w:rPr>
                <w:rFonts w:ascii="Arial" w:cs="Arial" w:eastAsia="Arial" w:hAnsi="Arial"/>
                <w:sz w:val="14"/>
                <w:szCs w:val="14"/>
                <w:b w:val="1"/>
                <w:bCs w:val="1"/>
                <w:color w:val="auto"/>
              </w:rPr>
              <w:t>Under</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Exercise</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1"/>
                <w:szCs w:val="11"/>
                <w:color w:val="auto"/>
              </w:rPr>
            </w:pPr>
          </w:p>
        </w:tc>
        <w:tc>
          <w:tcPr>
            <w:tcW w:w="14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080" w:type="dxa"/>
            <w:vAlign w:val="bottom"/>
          </w:tcPr>
          <w:p>
            <w:pPr>
              <w:ind w:left="540"/>
              <w:spacing w:after="0"/>
              <w:rPr>
                <w:sz w:val="20"/>
                <w:szCs w:val="20"/>
                <w:color w:val="auto"/>
              </w:rPr>
            </w:pPr>
            <w:r>
              <w:rPr>
                <w:rFonts w:ascii="Arial" w:cs="Arial" w:eastAsia="Arial" w:hAnsi="Arial"/>
                <w:sz w:val="14"/>
                <w:szCs w:val="14"/>
                <w:b w:val="1"/>
                <w:bCs w:val="1"/>
                <w:color w:val="auto"/>
              </w:rPr>
              <w:t>Option</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Contractual Term</w:t>
            </w:r>
          </w:p>
        </w:tc>
        <w:tc>
          <w:tcPr>
            <w:tcW w:w="120" w:type="dxa"/>
            <w:vAlign w:val="bottom"/>
          </w:tcPr>
          <w:p>
            <w:pPr>
              <w:spacing w:after="0"/>
              <w:rPr>
                <w:sz w:val="16"/>
                <w:szCs w:val="16"/>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152.34</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08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CCEEFF"/>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December 31, 2020</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00" w:type="dxa"/>
            <w:vAlign w:val="bottom"/>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152.34</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ind w:left="1160"/>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weighted-average grant-date fair value of options granted in 2018 was $14.42 per share, which were later forfeited during 2018. The total cash received from options exercised during 2018 was $4.6 million. The total intrinsic value of options exercised during the year ended December 31, 2018 was $8.2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restricted share activity for 2020:</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8" w:name="page89"/>
    <w:bookmarkEnd w:id="88"/>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5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88"/>
        </w:trPr>
        <w:tc>
          <w:tcPr>
            <w:tcW w:w="804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116,351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131.78</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233,178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weighted-average grant-date fair value of stock awarded in 2020, 2019 and 2018 was $124.55, $133.30 and $112.88, respectively. The total vesting-date fair value of shares vested during the year ended December 31, 2020, 2019 and 2018, was $12.4 million, $13.0 million and $9.7 million, respectively.</w:t>
      </w:r>
    </w:p>
    <w:p>
      <w:pPr>
        <w:spacing w:after="0" w:line="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December 31, 2020, there was $17.0 million of total unrecognized compensation cost related to unvested share-based compensation arrangements (i.e. options and unvested shares) granted under our plans. This cost is expected to be recognized over the next 5.3 years with a weighted-average period of 2.1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2020, common shares were awarded under various compensation plans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gridSpan w:val="2"/>
          </w:tcPr>
          <w:p>
            <w:pPr>
              <w:ind w:left="960"/>
              <w:spacing w:after="0"/>
              <w:rPr>
                <w:sz w:val="20"/>
                <w:szCs w:val="20"/>
                <w:color w:val="auto"/>
              </w:rPr>
            </w:pPr>
            <w:r>
              <w:rPr>
                <w:rFonts w:ascii="Arial" w:cs="Arial" w:eastAsia="Arial" w:hAnsi="Arial"/>
                <w:sz w:val="14"/>
                <w:szCs w:val="14"/>
                <w:b w:val="1"/>
                <w:bCs w:val="1"/>
                <w:color w:val="auto"/>
              </w:rPr>
              <w:t>Date</w:t>
            </w:r>
          </w:p>
        </w:tc>
        <w:tc>
          <w:tcPr>
            <w:tcW w:w="1100" w:type="dxa"/>
            <w:vAlign w:val="bottom"/>
          </w:tcPr>
          <w:p>
            <w:pPr>
              <w:spacing w:after="0"/>
              <w:rPr>
                <w:sz w:val="16"/>
                <w:szCs w:val="16"/>
                <w:color w:val="auto"/>
              </w:rPr>
            </w:pPr>
          </w:p>
        </w:tc>
        <w:tc>
          <w:tcPr>
            <w:tcW w:w="2300" w:type="dxa"/>
            <w:vAlign w:val="bottom"/>
            <w:gridSpan w:val="2"/>
          </w:tcPr>
          <w:p>
            <w:pPr>
              <w:ind w:left="340"/>
              <w:spacing w:after="0"/>
              <w:rPr>
                <w:sz w:val="20"/>
                <w:szCs w:val="20"/>
                <w:color w:val="auto"/>
              </w:rPr>
            </w:pPr>
            <w:r>
              <w:rPr>
                <w:rFonts w:ascii="Arial" w:cs="Arial" w:eastAsia="Arial" w:hAnsi="Arial"/>
                <w:sz w:val="14"/>
                <w:szCs w:val="14"/>
                <w:b w:val="1"/>
                <w:bCs w:val="1"/>
                <w:color w:val="auto"/>
              </w:rPr>
              <w:t>Award</w:t>
            </w:r>
          </w:p>
        </w:tc>
        <w:tc>
          <w:tcPr>
            <w:tcW w:w="2380" w:type="dxa"/>
            <w:vAlign w:val="bottom"/>
            <w:gridSpan w:val="2"/>
          </w:tcPr>
          <w:p>
            <w:pPr>
              <w:ind w:left="720"/>
              <w:spacing w:after="0"/>
              <w:rPr>
                <w:sz w:val="20"/>
                <w:szCs w:val="20"/>
                <w:color w:val="auto"/>
              </w:rPr>
            </w:pPr>
            <w:r>
              <w:rPr>
                <w:rFonts w:ascii="Arial" w:cs="Arial" w:eastAsia="Arial" w:hAnsi="Arial"/>
                <w:sz w:val="14"/>
                <w:szCs w:val="14"/>
                <w:b w:val="1"/>
                <w:bCs w:val="1"/>
                <w:color w:val="auto"/>
              </w:rPr>
              <w:t>Vesting Term</w:t>
            </w:r>
          </w:p>
        </w:tc>
        <w:tc>
          <w:tcPr>
            <w:tcW w:w="3100" w:type="dxa"/>
            <w:vAlign w:val="bottom"/>
          </w:tcPr>
          <w:p>
            <w:pPr>
              <w:ind w:left="1200"/>
              <w:spacing w:after="0"/>
              <w:rPr>
                <w:sz w:val="20"/>
                <w:szCs w:val="20"/>
                <w:color w:val="auto"/>
              </w:rPr>
            </w:pPr>
            <w:r>
              <w:rPr>
                <w:rFonts w:ascii="Arial" w:cs="Arial" w:eastAsia="Arial" w:hAnsi="Arial"/>
                <w:sz w:val="14"/>
                <w:szCs w:val="14"/>
                <w:b w:val="1"/>
                <w:bCs w:val="1"/>
                <w:color w:val="auto"/>
              </w:rPr>
              <w:t>Beneficiary</w:t>
            </w:r>
          </w:p>
        </w:tc>
      </w:tr>
      <w:tr>
        <w:trPr>
          <w:trHeight w:val="229"/>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4, 2021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2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Immediate</w:t>
            </w:r>
          </w:p>
        </w:tc>
        <w:tc>
          <w:tcPr>
            <w:tcW w:w="120" w:type="dxa"/>
            <w:vAlign w:val="bottom"/>
            <w:tcBorders>
              <w:top w:val="single" w:sz="8" w:color="CCEEFF"/>
            </w:tcBorders>
            <w:shd w:val="clear" w:color="auto" w:fill="CCEEFF"/>
          </w:tcPr>
          <w:p>
            <w:pPr>
              <w:spacing w:after="0"/>
              <w:rPr>
                <w:sz w:val="19"/>
                <w:szCs w:val="19"/>
                <w:color w:val="auto"/>
              </w:rPr>
            </w:pPr>
          </w:p>
        </w:tc>
        <w:tc>
          <w:tcPr>
            <w:tcW w:w="3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Trustees</w:t>
            </w:r>
          </w:p>
        </w:tc>
      </w:tr>
      <w:tr>
        <w:trPr>
          <w:trHeight w:val="229"/>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February 10, 2021</w:t>
            </w:r>
          </w:p>
        </w:tc>
        <w:tc>
          <w:tcPr>
            <w:tcW w:w="1100" w:type="dxa"/>
            <w:vAlign w:val="bottom"/>
          </w:tcPr>
          <w:p>
            <w:pPr>
              <w:jc w:val="right"/>
              <w:spacing w:after="0"/>
              <w:rPr>
                <w:sz w:val="20"/>
                <w:szCs w:val="20"/>
                <w:color w:val="auto"/>
              </w:rPr>
            </w:pPr>
            <w:r>
              <w:rPr>
                <w:rFonts w:ascii="Arial" w:cs="Arial" w:eastAsia="Arial" w:hAnsi="Arial"/>
                <w:sz w:val="18"/>
                <w:szCs w:val="18"/>
                <w:color w:val="auto"/>
              </w:rPr>
              <w:t>137,210</w:t>
            </w:r>
          </w:p>
        </w:tc>
        <w:tc>
          <w:tcPr>
            <w:tcW w:w="2300" w:type="dxa"/>
            <w:vAlign w:val="bottom"/>
            <w:gridSpan w:val="2"/>
          </w:tcPr>
          <w:p>
            <w:pPr>
              <w:ind w:left="40"/>
              <w:spacing w:after="0"/>
              <w:rPr>
                <w:sz w:val="20"/>
                <w:szCs w:val="20"/>
                <w:color w:val="auto"/>
              </w:rPr>
            </w:pPr>
            <w:r>
              <w:rPr>
                <w:rFonts w:ascii="Arial" w:cs="Arial" w:eastAsia="Arial" w:hAnsi="Arial"/>
                <w:sz w:val="18"/>
                <w:szCs w:val="18"/>
                <w:color w:val="auto"/>
              </w:rPr>
              <w:t>Restricted Shares</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3-5 years</w:t>
            </w:r>
          </w:p>
        </w:tc>
        <w:tc>
          <w:tcPr>
            <w:tcW w:w="3100" w:type="dxa"/>
            <w:vAlign w:val="bottom"/>
          </w:tcPr>
          <w:p>
            <w:pPr>
              <w:ind w:left="20"/>
              <w:spacing w:after="0"/>
              <w:rPr>
                <w:sz w:val="20"/>
                <w:szCs w:val="20"/>
                <w:color w:val="auto"/>
              </w:rPr>
            </w:pPr>
            <w:r>
              <w:rPr>
                <w:rFonts w:ascii="Arial" w:cs="Arial" w:eastAsia="Arial" w:hAnsi="Arial"/>
                <w:sz w:val="18"/>
                <w:szCs w:val="18"/>
                <w:color w:val="auto"/>
              </w:rPr>
              <w:t>Officers and key employees</w:t>
            </w:r>
          </w:p>
        </w:tc>
      </w:tr>
      <w:tr>
        <w:trPr>
          <w:trHeight w:val="230"/>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10, 2021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 years</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Officers and key employees</w:t>
            </w:r>
          </w:p>
        </w:tc>
      </w:tr>
    </w:tbl>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Additionally, on February 10, 2021, 10,441 restricted stock units were awarded to an officer that vest at the end of four years. The final awards earned are based on meeting certain market based performance criteria, and may vary from 0% to 200% of the original award.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13—SAVINGS AND RETIREMENT PLANS</w:t>
      </w:r>
    </w:p>
    <w:p>
      <w:pPr>
        <w:spacing w:after="0" w:line="10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a savings and retirement plan in accordance with the provisions of Section 401(k) of the Code. Generally, employees can elect, at their discretion, to contribute a portion of their compensation up to a maximum of $19,500 for 2020, $19,000 for 2019, and 18,500 for 2018.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Our expense for the years ended December 31, 2020, 2019 and 2018 was approximately $813,000, $764,000 and $688,000, respectively.</w:t>
      </w:r>
    </w:p>
    <w:p>
      <w:pPr>
        <w:spacing w:after="0" w:line="1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 non-qualified deferred compensation plan for our officers and certain other employees was established in 1994 that allows the participants to defer a portion of their income. As of December 31, 2020 and 2019, we are liable to participants for approximately $18.0 million and $14.7 million, respectively, under this plan. Although this is an unfunded plan, we have purchased certain investments to match this obligation. Our obligation under this plan and the related investments are both included in the accompanying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2020, 2019, and 2018 we had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682 anti-dilutive stock options in 2020, 2019, and 2018, respectively.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89" w:name="page90"/>
    <w:bookmarkEnd w:id="89"/>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475"/>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1"/>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gridSpan w:val="7"/>
          </w:tcPr>
          <w:p>
            <w:pPr>
              <w:jc w:val="center"/>
              <w:ind w:right="192"/>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32"/>
        </w:trPr>
        <w:tc>
          <w:tcPr>
            <w:tcW w:w="76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249,026</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Less: Preferred share dividends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Income from operations attributable to noncontrolling interests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Earnings allocated to unvested shares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shareholders, basic and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232,935</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outstanding—basic</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73,274</w:t>
            </w:r>
          </w:p>
        </w:tc>
        <w:tc>
          <w:tcPr>
            <w:tcW w:w="0" w:type="dxa"/>
            <w:vAlign w:val="bottom"/>
          </w:tcPr>
          <w:p>
            <w:pPr>
              <w:spacing w:after="0"/>
              <w:rPr>
                <w:sz w:val="1"/>
                <w:szCs w:val="1"/>
                <w:color w:val="auto"/>
              </w:rPr>
            </w:pP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outstanding—diluted</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73,302</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 BASIC AND DILUTED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15—SUBSEQUENT EVENTS</w:t>
      </w:r>
    </w:p>
    <w:p>
      <w:pPr>
        <w:spacing w:after="0" w:line="10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January 4, 2021, we acquired our partner's 20% interest in our joint venture arrangement related to the Pike &amp; Rose hotel for $2.3 million, and repaid the $31.5 million mortgage loan. As a result of the transaction, we gained control of the hotel portion of this property, and effective January 4, 2021, we have consolidated this asset.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On February 5, 2021, we repaid the $16.2 million mortgage loan on Sylmar Town Center, at par, prior to its original maturity date.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0" w:name="page91"/>
    <w:bookmarkEnd w:id="90"/>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2020</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D</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8"/>
              </w:rPr>
              <w:t>COLUMN E</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COLUMN F</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8"/>
        </w:trPr>
        <w:tc>
          <w:tcPr>
            <w:tcW w:w="1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Cost</w:t>
            </w:r>
          </w:p>
        </w:tc>
        <w:tc>
          <w:tcPr>
            <w:tcW w:w="244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8"/>
              </w:rPr>
              <w:t>Gross amount at which carried at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3"/>
          </w:tcPr>
          <w:p>
            <w:pPr>
              <w:jc w:val="center"/>
              <w:ind w:right="40"/>
              <w:spacing w:after="0" w:line="122" w:lineRule="exact"/>
              <w:rPr>
                <w:sz w:val="20"/>
                <w:szCs w:val="20"/>
                <w:color w:val="auto"/>
              </w:rPr>
            </w:pPr>
            <w:r>
              <w:rPr>
                <w:rFonts w:ascii="Arial" w:cs="Arial" w:eastAsia="Arial" w:hAnsi="Arial"/>
                <w:sz w:val="13"/>
                <w:szCs w:val="13"/>
                <w:b w:val="1"/>
                <w:bCs w:val="1"/>
                <w:color w:val="auto"/>
                <w:w w:val="84"/>
              </w:rPr>
              <w:t>close of period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depreciation</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20" w:type="dxa"/>
            <w:vAlign w:val="bottom"/>
            <w:gridSpan w:val="2"/>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7"/>
              </w:rPr>
              <w:t>Capitalized</w:t>
            </w: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91"/>
              </w:rPr>
              <w:t>Building and</w:t>
            </w: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Building and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Depreciation</w:t>
            </w:r>
          </w:p>
        </w:tc>
        <w:tc>
          <w:tcPr>
            <w:tcW w:w="820" w:type="dxa"/>
            <w:vAlign w:val="bottom"/>
            <w:gridSpan w:val="2"/>
            <w:vMerge w:val="continue"/>
          </w:tcPr>
          <w:p>
            <w:pPr>
              <w:spacing w:after="0"/>
              <w:rPr>
                <w:sz w:val="10"/>
                <w:szCs w:val="10"/>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22"/>
        </w:trPr>
        <w:tc>
          <w:tcPr>
            <w:tcW w:w="1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to</w:t>
            </w:r>
          </w:p>
        </w:tc>
        <w:tc>
          <w:tcPr>
            <w:tcW w:w="7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2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c>
          <w:tcPr>
            <w:tcW w:w="840" w:type="dxa"/>
            <w:vAlign w:val="bottom"/>
            <w:gridSpan w:val="2"/>
          </w:tcPr>
          <w:p>
            <w:pPr>
              <w:ind w:left="260"/>
              <w:spacing w:after="0" w:line="122" w:lineRule="exact"/>
              <w:rPr>
                <w:sz w:val="20"/>
                <w:szCs w:val="20"/>
                <w:color w:val="auto"/>
              </w:rPr>
            </w:pPr>
            <w:r>
              <w:rPr>
                <w:rFonts w:ascii="Arial" w:cs="Arial" w:eastAsia="Arial" w:hAnsi="Arial"/>
                <w:sz w:val="13"/>
                <w:szCs w:val="13"/>
                <w:b w:val="1"/>
                <w:bCs w:val="1"/>
                <w:color w:val="auto"/>
              </w:rPr>
              <w:t>and</w:t>
            </w: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vMerge w:val="continue"/>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9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5"/>
              </w:rPr>
              <w:t>Improvements</w:t>
            </w:r>
          </w:p>
        </w:tc>
        <w:tc>
          <w:tcPr>
            <w:tcW w:w="8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Improvements</w:t>
            </w: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Construction</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188"/>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29TH PLACE (Virginia)</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   10,211</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88"/>
              </w:rPr>
              <w:t>$18,863</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4"/>
                <w:szCs w:val="14"/>
                <w:color w:val="auto"/>
                <w:w w:val="96"/>
              </w:rPr>
              <w:t>$9,588</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10,195</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w w:val="93"/>
              </w:rPr>
              <w:t>$28,467</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  38,662</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14,173</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1975 - 2001</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5/30/2007</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ANDORRA (Pennsylvania)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2,432</w:t>
            </w:r>
          </w:p>
        </w:tc>
        <w:tc>
          <w:tcPr>
            <w:tcW w:w="8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12,346</w:t>
            </w:r>
          </w:p>
        </w:tc>
        <w:tc>
          <w:tcPr>
            <w:tcW w:w="820" w:type="dxa"/>
            <w:vAlign w:val="bottom"/>
            <w:gridSpan w:val="2"/>
          </w:tcPr>
          <w:p>
            <w:pPr>
              <w:jc w:val="right"/>
              <w:ind w:right="3"/>
              <w:spacing w:after="0"/>
              <w:rPr>
                <w:sz w:val="20"/>
                <w:szCs w:val="20"/>
                <w:color w:val="auto"/>
              </w:rPr>
            </w:pPr>
            <w:r>
              <w:rPr>
                <w:rFonts w:ascii="Arial" w:cs="Arial" w:eastAsia="Arial" w:hAnsi="Arial"/>
                <w:sz w:val="14"/>
                <w:szCs w:val="14"/>
                <w:color w:val="auto"/>
              </w:rPr>
              <w:t>16,148</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2,432</w:t>
            </w:r>
          </w:p>
        </w:tc>
        <w:tc>
          <w:tcPr>
            <w:tcW w:w="900" w:type="dxa"/>
            <w:vAlign w:val="bottom"/>
            <w:gridSpan w:val="2"/>
          </w:tcPr>
          <w:p>
            <w:pPr>
              <w:jc w:val="right"/>
              <w:ind w:right="6"/>
              <w:spacing w:after="0"/>
              <w:rPr>
                <w:sz w:val="20"/>
                <w:szCs w:val="20"/>
                <w:color w:val="auto"/>
              </w:rPr>
            </w:pPr>
            <w:r>
              <w:rPr>
                <w:rFonts w:ascii="Arial" w:cs="Arial" w:eastAsia="Arial" w:hAnsi="Arial"/>
                <w:sz w:val="14"/>
                <w:szCs w:val="14"/>
                <w:color w:val="auto"/>
              </w:rPr>
              <w:t>28,494</w:t>
            </w:r>
          </w:p>
        </w:tc>
        <w:tc>
          <w:tcPr>
            <w:tcW w:w="8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30,926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21,200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1953</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1/12/1988</w:t>
            </w: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ASSEMBLY</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ROW/ASSEMBLY SQUARE</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2005, 2012-</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MARKETPLACE</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93,252</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34,196</w:t>
            </w:r>
          </w:p>
        </w:tc>
        <w:tc>
          <w:tcPr>
            <w:tcW w:w="82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4"/>
                <w:szCs w:val="14"/>
                <w:color w:val="auto"/>
              </w:rPr>
              <w:t>832,881</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69,421</w:t>
            </w:r>
          </w:p>
        </w:tc>
        <w:tc>
          <w:tcPr>
            <w:tcW w:w="90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890,908</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960,329</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88,384</w:t>
            </w:r>
          </w:p>
        </w:tc>
        <w:tc>
          <w:tcPr>
            <w:tcW w:w="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2005-2013</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AZALEA (California)</w:t>
            </w:r>
          </w:p>
        </w:tc>
        <w:tc>
          <w:tcPr>
            <w:tcW w:w="800" w:type="dxa"/>
            <w:vAlign w:val="bottom"/>
          </w:tcPr>
          <w:p>
            <w:pPr>
              <w:jc w:val="right"/>
              <w:spacing w:after="0"/>
              <w:rPr>
                <w:sz w:val="20"/>
                <w:szCs w:val="20"/>
                <w:color w:val="auto"/>
              </w:rPr>
            </w:pPr>
            <w:r>
              <w:rPr>
                <w:rFonts w:ascii="Arial" w:cs="Arial" w:eastAsia="Arial" w:hAnsi="Arial"/>
                <w:sz w:val="14"/>
                <w:szCs w:val="14"/>
                <w:color w:val="auto"/>
              </w:rPr>
              <w:t>39,750</w:t>
            </w: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40,219</w:t>
            </w:r>
          </w:p>
        </w:tc>
        <w:tc>
          <w:tcPr>
            <w:tcW w:w="8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67,117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40,219</w:t>
            </w:r>
          </w:p>
        </w:tc>
        <w:tc>
          <w:tcPr>
            <w:tcW w:w="900" w:type="dxa"/>
            <w:vAlign w:val="bottom"/>
            <w:gridSpan w:val="2"/>
          </w:tcPr>
          <w:p>
            <w:pPr>
              <w:jc w:val="right"/>
              <w:ind w:right="6"/>
              <w:spacing w:after="0"/>
              <w:rPr>
                <w:sz w:val="20"/>
                <w:szCs w:val="20"/>
                <w:color w:val="auto"/>
              </w:rPr>
            </w:pPr>
            <w:r>
              <w:rPr>
                <w:rFonts w:ascii="Arial" w:cs="Arial" w:eastAsia="Arial" w:hAnsi="Arial"/>
                <w:sz w:val="14"/>
                <w:szCs w:val="14"/>
                <w:color w:val="auto"/>
              </w:rPr>
              <w:t>67,110</w:t>
            </w:r>
          </w:p>
        </w:tc>
        <w:tc>
          <w:tcPr>
            <w:tcW w:w="8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107,329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8,550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8/2/2017</w:t>
            </w: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BALA CYNWYD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3,565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14,466</w:t>
            </w:r>
          </w:p>
        </w:tc>
        <w:tc>
          <w:tcPr>
            <w:tcW w:w="82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4"/>
                <w:szCs w:val="14"/>
                <w:color w:val="auto"/>
              </w:rPr>
              <w:t>46,447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90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61,795</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64,478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24,619</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1955/2020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9/22/1993</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BARCROFT PLAZA</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4"/>
              </w:rPr>
              <w:t>1963, 1972,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1/13/16 &amp;</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12,617</w:t>
            </w:r>
          </w:p>
        </w:tc>
        <w:tc>
          <w:tcPr>
            <w:tcW w:w="80" w:type="dxa"/>
            <w:vAlign w:val="bottom"/>
          </w:tcPr>
          <w:p>
            <w:pPr>
              <w:spacing w:after="0"/>
              <w:rPr>
                <w:sz w:val="11"/>
                <w:szCs w:val="11"/>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4"/>
                <w:szCs w:val="14"/>
                <w:color w:val="auto"/>
              </w:rPr>
              <w:t>29,603</w:t>
            </w:r>
          </w:p>
        </w:tc>
        <w:tc>
          <w:tcPr>
            <w:tcW w:w="820" w:type="dxa"/>
            <w:vAlign w:val="bottom"/>
            <w:gridSpan w:val="2"/>
            <w:vMerge w:val="restart"/>
          </w:tcPr>
          <w:p>
            <w:pPr>
              <w:jc w:val="right"/>
              <w:ind w:right="3"/>
              <w:spacing w:after="0"/>
              <w:rPr>
                <w:sz w:val="20"/>
                <w:szCs w:val="20"/>
                <w:color w:val="auto"/>
              </w:rPr>
            </w:pPr>
            <w:r>
              <w:rPr>
                <w:rFonts w:ascii="Arial" w:cs="Arial" w:eastAsia="Arial" w:hAnsi="Arial"/>
                <w:sz w:val="14"/>
                <w:szCs w:val="14"/>
                <w:color w:val="auto"/>
              </w:rPr>
              <w:t>7,235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12,617</w:t>
            </w:r>
          </w:p>
        </w:tc>
        <w:tc>
          <w:tcPr>
            <w:tcW w:w="900" w:type="dxa"/>
            <w:vAlign w:val="bottom"/>
            <w:gridSpan w:val="2"/>
            <w:vMerge w:val="restart"/>
          </w:tcPr>
          <w:p>
            <w:pPr>
              <w:jc w:val="right"/>
              <w:ind w:right="6"/>
              <w:spacing w:after="0"/>
              <w:rPr>
                <w:sz w:val="20"/>
                <w:szCs w:val="20"/>
                <w:color w:val="auto"/>
              </w:rPr>
            </w:pPr>
            <w:r>
              <w:rPr>
                <w:rFonts w:ascii="Arial" w:cs="Arial" w:eastAsia="Arial" w:hAnsi="Arial"/>
                <w:sz w:val="14"/>
                <w:szCs w:val="14"/>
                <w:color w:val="auto"/>
              </w:rPr>
              <w:t>36,838</w:t>
            </w:r>
          </w:p>
        </w:tc>
        <w:tc>
          <w:tcPr>
            <w:tcW w:w="8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49,455</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5,904</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1990, &amp;</w:t>
            </w: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(Virginia)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11/7/16</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BARRACKS ROAD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4,363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16,459</w:t>
            </w:r>
          </w:p>
        </w:tc>
        <w:tc>
          <w:tcPr>
            <w:tcW w:w="82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4"/>
                <w:szCs w:val="14"/>
                <w:color w:val="auto"/>
              </w:rPr>
              <w:t>48,774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4,363</w:t>
            </w:r>
          </w:p>
        </w:tc>
        <w:tc>
          <w:tcPr>
            <w:tcW w:w="90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65,233</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69,596</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48,945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12/31/1985</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BELL GARDENS (California)</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12,082</w:t>
            </w: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24,406</w:t>
            </w:r>
          </w:p>
        </w:tc>
        <w:tc>
          <w:tcPr>
            <w:tcW w:w="80" w:type="dxa"/>
            <w:vAlign w:val="bottom"/>
          </w:tcPr>
          <w:p>
            <w:pPr>
              <w:spacing w:after="0"/>
              <w:rPr>
                <w:sz w:val="11"/>
                <w:szCs w:val="11"/>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4"/>
                <w:szCs w:val="14"/>
                <w:color w:val="auto"/>
              </w:rPr>
              <w:t>85,947</w:t>
            </w:r>
          </w:p>
        </w:tc>
        <w:tc>
          <w:tcPr>
            <w:tcW w:w="820" w:type="dxa"/>
            <w:vAlign w:val="bottom"/>
            <w:gridSpan w:val="2"/>
            <w:vMerge w:val="restart"/>
          </w:tcPr>
          <w:p>
            <w:pPr>
              <w:jc w:val="right"/>
              <w:ind w:right="3"/>
              <w:spacing w:after="0"/>
              <w:rPr>
                <w:sz w:val="20"/>
                <w:szCs w:val="20"/>
                <w:color w:val="auto"/>
              </w:rPr>
            </w:pPr>
            <w:r>
              <w:rPr>
                <w:rFonts w:ascii="Arial" w:cs="Arial" w:eastAsia="Arial" w:hAnsi="Arial"/>
                <w:sz w:val="14"/>
                <w:szCs w:val="14"/>
                <w:color w:val="auto"/>
              </w:rPr>
              <w:t>671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24,406</w:t>
            </w:r>
          </w:p>
        </w:tc>
        <w:tc>
          <w:tcPr>
            <w:tcW w:w="900" w:type="dxa"/>
            <w:vAlign w:val="bottom"/>
            <w:gridSpan w:val="2"/>
            <w:vMerge w:val="restart"/>
          </w:tcPr>
          <w:p>
            <w:pPr>
              <w:jc w:val="right"/>
              <w:ind w:right="6"/>
              <w:spacing w:after="0"/>
              <w:rPr>
                <w:sz w:val="20"/>
                <w:szCs w:val="20"/>
                <w:color w:val="auto"/>
              </w:rPr>
            </w:pPr>
            <w:r>
              <w:rPr>
                <w:rFonts w:ascii="Arial" w:cs="Arial" w:eastAsia="Arial" w:hAnsi="Arial"/>
                <w:sz w:val="14"/>
                <w:szCs w:val="14"/>
                <w:color w:val="auto"/>
              </w:rPr>
              <w:t>86,618</w:t>
            </w:r>
          </w:p>
        </w:tc>
        <w:tc>
          <w:tcPr>
            <w:tcW w:w="8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111,024</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14,425</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4"/>
              </w:rPr>
              <w:t>1990, 2003,</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8/2/17 &amp;</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11/29/18</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12/31/93,</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6/2/97,</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1/20/06,</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BETHESDA ROW</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9/25/08,</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continue"/>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46,579</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35,406</w:t>
            </w:r>
          </w:p>
        </w:tc>
        <w:tc>
          <w:tcPr>
            <w:tcW w:w="82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4"/>
                <w:szCs w:val="14"/>
                <w:color w:val="auto"/>
              </w:rPr>
              <w:t>162,367</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43,904</w:t>
            </w:r>
          </w:p>
        </w:tc>
        <w:tc>
          <w:tcPr>
            <w:tcW w:w="90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200,448</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244,352</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92,357</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1945-2008</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9/30/08, &amp;</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12/27/10</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BRICK PLAZA (New Jersey)</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24,715</w:t>
            </w:r>
          </w:p>
        </w:tc>
        <w:tc>
          <w:tcPr>
            <w:tcW w:w="820" w:type="dxa"/>
            <w:vAlign w:val="bottom"/>
            <w:gridSpan w:val="2"/>
          </w:tcPr>
          <w:p>
            <w:pPr>
              <w:jc w:val="right"/>
              <w:ind w:right="3"/>
              <w:spacing w:after="0"/>
              <w:rPr>
                <w:sz w:val="20"/>
                <w:szCs w:val="20"/>
                <w:color w:val="auto"/>
              </w:rPr>
            </w:pPr>
            <w:r>
              <w:rPr>
                <w:rFonts w:ascii="Arial" w:cs="Arial" w:eastAsia="Arial" w:hAnsi="Arial"/>
                <w:sz w:val="14"/>
                <w:szCs w:val="14"/>
                <w:color w:val="auto"/>
              </w:rPr>
              <w:t>78,133</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4,094</w:t>
            </w:r>
          </w:p>
        </w:tc>
        <w:tc>
          <w:tcPr>
            <w:tcW w:w="900" w:type="dxa"/>
            <w:vAlign w:val="bottom"/>
            <w:gridSpan w:val="2"/>
          </w:tcPr>
          <w:p>
            <w:pPr>
              <w:jc w:val="right"/>
              <w:ind w:right="6"/>
              <w:spacing w:after="0"/>
              <w:rPr>
                <w:sz w:val="20"/>
                <w:szCs w:val="20"/>
                <w:color w:val="auto"/>
              </w:rPr>
            </w:pPr>
            <w:r>
              <w:rPr>
                <w:rFonts w:ascii="Arial" w:cs="Arial" w:eastAsia="Arial" w:hAnsi="Arial"/>
                <w:sz w:val="14"/>
                <w:szCs w:val="14"/>
                <w:color w:val="auto"/>
              </w:rPr>
              <w:t>98,754</w:t>
            </w:r>
          </w:p>
        </w:tc>
        <w:tc>
          <w:tcPr>
            <w:tcW w:w="8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102,848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56,240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1958</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12/28/1989</w:t>
            </w: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BRISTOL PLAZA</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3,856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15,959</w:t>
            </w:r>
          </w:p>
        </w:tc>
        <w:tc>
          <w:tcPr>
            <w:tcW w:w="82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4"/>
                <w:szCs w:val="14"/>
                <w:color w:val="auto"/>
              </w:rPr>
              <w:t>12,230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90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28,189</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32,045</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19,549</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9/22/1995</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(Connecticut)</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BROOK 35 (New Jersey)</w:t>
            </w:r>
          </w:p>
        </w:tc>
        <w:tc>
          <w:tcPr>
            <w:tcW w:w="800" w:type="dxa"/>
            <w:vAlign w:val="bottom"/>
          </w:tcPr>
          <w:p>
            <w:pPr>
              <w:jc w:val="right"/>
              <w:spacing w:after="0"/>
              <w:rPr>
                <w:sz w:val="20"/>
                <w:szCs w:val="20"/>
                <w:color w:val="auto"/>
              </w:rPr>
            </w:pPr>
            <w:r>
              <w:rPr>
                <w:rFonts w:ascii="Arial" w:cs="Arial" w:eastAsia="Arial" w:hAnsi="Arial"/>
                <w:sz w:val="14"/>
                <w:szCs w:val="14"/>
                <w:color w:val="auto"/>
              </w:rPr>
              <w:t>11,325</w:t>
            </w: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7,128</w:t>
            </w:r>
          </w:p>
        </w:tc>
        <w:tc>
          <w:tcPr>
            <w:tcW w:w="8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38,355</w:t>
            </w:r>
          </w:p>
        </w:tc>
        <w:tc>
          <w:tcPr>
            <w:tcW w:w="820" w:type="dxa"/>
            <w:vAlign w:val="bottom"/>
            <w:gridSpan w:val="2"/>
          </w:tcPr>
          <w:p>
            <w:pPr>
              <w:jc w:val="right"/>
              <w:ind w:right="3"/>
              <w:spacing w:after="0"/>
              <w:rPr>
                <w:sz w:val="20"/>
                <w:szCs w:val="20"/>
                <w:color w:val="auto"/>
              </w:rPr>
            </w:pPr>
            <w:r>
              <w:rPr>
                <w:rFonts w:ascii="Arial" w:cs="Arial" w:eastAsia="Arial" w:hAnsi="Arial"/>
                <w:sz w:val="14"/>
                <w:szCs w:val="14"/>
                <w:color w:val="auto"/>
              </w:rPr>
              <w:t>3,103</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7,128</w:t>
            </w:r>
          </w:p>
        </w:tc>
        <w:tc>
          <w:tcPr>
            <w:tcW w:w="900" w:type="dxa"/>
            <w:vAlign w:val="bottom"/>
            <w:gridSpan w:val="2"/>
          </w:tcPr>
          <w:p>
            <w:pPr>
              <w:jc w:val="right"/>
              <w:ind w:right="6"/>
              <w:spacing w:after="0"/>
              <w:rPr>
                <w:sz w:val="20"/>
                <w:szCs w:val="20"/>
                <w:color w:val="auto"/>
              </w:rPr>
            </w:pPr>
            <w:r>
              <w:rPr>
                <w:rFonts w:ascii="Arial" w:cs="Arial" w:eastAsia="Arial" w:hAnsi="Arial"/>
                <w:sz w:val="14"/>
                <w:szCs w:val="14"/>
                <w:color w:val="auto"/>
              </w:rPr>
              <w:t>41,458</w:t>
            </w:r>
          </w:p>
        </w:tc>
        <w:tc>
          <w:tcPr>
            <w:tcW w:w="8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48,586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9,853</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1986/2004</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1/1/2014</w:t>
            </w: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CAMPUS PLAZA</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16,710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13,412</w:t>
            </w:r>
          </w:p>
        </w:tc>
        <w:tc>
          <w:tcPr>
            <w:tcW w:w="82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4"/>
                <w:szCs w:val="14"/>
                <w:color w:val="auto"/>
              </w:rPr>
              <w:t>326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16,710</w:t>
            </w:r>
          </w:p>
        </w:tc>
        <w:tc>
          <w:tcPr>
            <w:tcW w:w="90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13,738</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30,448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2,952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CHELSEA COMMONS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1962/1969/</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8/25/06,</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continue"/>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5,057</w:t>
            </w: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8,689</w:t>
            </w:r>
          </w:p>
        </w:tc>
        <w:tc>
          <w:tcPr>
            <w:tcW w:w="80" w:type="dxa"/>
            <w:vAlign w:val="bottom"/>
          </w:tcPr>
          <w:p>
            <w:pPr>
              <w:spacing w:after="0"/>
              <w:rPr>
                <w:sz w:val="11"/>
                <w:szCs w:val="11"/>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4"/>
                <w:szCs w:val="14"/>
                <w:color w:val="auto"/>
              </w:rPr>
              <w:t>19,466</w:t>
            </w:r>
          </w:p>
        </w:tc>
        <w:tc>
          <w:tcPr>
            <w:tcW w:w="820" w:type="dxa"/>
            <w:vAlign w:val="bottom"/>
            <w:gridSpan w:val="2"/>
            <w:vMerge w:val="restart"/>
          </w:tcPr>
          <w:p>
            <w:pPr>
              <w:jc w:val="right"/>
              <w:ind w:right="3"/>
              <w:spacing w:after="0"/>
              <w:rPr>
                <w:sz w:val="20"/>
                <w:szCs w:val="20"/>
                <w:color w:val="auto"/>
              </w:rPr>
            </w:pPr>
            <w:r>
              <w:rPr>
                <w:rFonts w:ascii="Arial" w:cs="Arial" w:eastAsia="Arial" w:hAnsi="Arial"/>
                <w:sz w:val="14"/>
                <w:szCs w:val="14"/>
                <w:color w:val="auto"/>
              </w:rPr>
              <w:t>2,410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8,669</w:t>
            </w:r>
          </w:p>
        </w:tc>
        <w:tc>
          <w:tcPr>
            <w:tcW w:w="900" w:type="dxa"/>
            <w:vAlign w:val="bottom"/>
            <w:gridSpan w:val="2"/>
            <w:vMerge w:val="restart"/>
          </w:tcPr>
          <w:p>
            <w:pPr>
              <w:jc w:val="right"/>
              <w:ind w:right="6"/>
              <w:spacing w:after="0"/>
              <w:rPr>
                <w:sz w:val="20"/>
                <w:szCs w:val="20"/>
                <w:color w:val="auto"/>
              </w:rPr>
            </w:pPr>
            <w:r>
              <w:rPr>
                <w:rFonts w:ascii="Arial" w:cs="Arial" w:eastAsia="Arial" w:hAnsi="Arial"/>
                <w:sz w:val="14"/>
                <w:szCs w:val="14"/>
                <w:color w:val="auto"/>
              </w:rPr>
              <w:t>21,896</w:t>
            </w:r>
          </w:p>
        </w:tc>
        <w:tc>
          <w:tcPr>
            <w:tcW w:w="8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30,565</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9,040</w:t>
            </w: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1/30/07, &amp;</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(Massachusetts)</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7/16/08</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5/4/15,</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7/1/15,</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1990/1994,</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12/16/15,</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7/26/16,</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COCOWALK (Florida)</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34,406</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72,123</w:t>
            </w:r>
          </w:p>
        </w:tc>
        <w:tc>
          <w:tcPr>
            <w:tcW w:w="82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4"/>
                <w:szCs w:val="14"/>
                <w:color w:val="auto"/>
              </w:rPr>
              <w:t>73,504</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50,838</w:t>
            </w:r>
          </w:p>
        </w:tc>
        <w:tc>
          <w:tcPr>
            <w:tcW w:w="90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129,195</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180,033</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12,333</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8"/>
              </w:rPr>
              <w:t>1922-1973,</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6/30/17, &amp;</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vMerge w:val="continue"/>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2018-2019</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8/10/17</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COLORADO BLVD</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2,415</w:t>
            </w:r>
          </w:p>
        </w:tc>
        <w:tc>
          <w:tcPr>
            <w:tcW w:w="80" w:type="dxa"/>
            <w:vAlign w:val="bottom"/>
          </w:tcPr>
          <w:p>
            <w:pPr>
              <w:spacing w:after="0"/>
              <w:rPr>
                <w:sz w:val="11"/>
                <w:szCs w:val="11"/>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4"/>
                <w:szCs w:val="14"/>
                <w:color w:val="auto"/>
              </w:rPr>
              <w:t>3,964</w:t>
            </w:r>
          </w:p>
        </w:tc>
        <w:tc>
          <w:tcPr>
            <w:tcW w:w="820" w:type="dxa"/>
            <w:vAlign w:val="bottom"/>
            <w:gridSpan w:val="2"/>
            <w:vMerge w:val="restart"/>
          </w:tcPr>
          <w:p>
            <w:pPr>
              <w:jc w:val="right"/>
              <w:ind w:right="3"/>
              <w:spacing w:after="0"/>
              <w:rPr>
                <w:sz w:val="20"/>
                <w:szCs w:val="20"/>
                <w:color w:val="auto"/>
              </w:rPr>
            </w:pPr>
            <w:r>
              <w:rPr>
                <w:rFonts w:ascii="Arial" w:cs="Arial" w:eastAsia="Arial" w:hAnsi="Arial"/>
                <w:sz w:val="14"/>
                <w:szCs w:val="14"/>
                <w:color w:val="auto"/>
              </w:rPr>
              <w:t>6,905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2,415</w:t>
            </w:r>
          </w:p>
        </w:tc>
        <w:tc>
          <w:tcPr>
            <w:tcW w:w="900" w:type="dxa"/>
            <w:vAlign w:val="bottom"/>
            <w:gridSpan w:val="2"/>
            <w:vMerge w:val="restart"/>
          </w:tcPr>
          <w:p>
            <w:pPr>
              <w:jc w:val="right"/>
              <w:ind w:right="6"/>
              <w:spacing w:after="0"/>
              <w:rPr>
                <w:sz w:val="20"/>
                <w:szCs w:val="20"/>
                <w:color w:val="auto"/>
              </w:rPr>
            </w:pPr>
            <w:r>
              <w:rPr>
                <w:rFonts w:ascii="Arial" w:cs="Arial" w:eastAsia="Arial" w:hAnsi="Arial"/>
                <w:sz w:val="14"/>
                <w:szCs w:val="14"/>
                <w:color w:val="auto"/>
              </w:rPr>
              <w:t>10,869</w:t>
            </w:r>
          </w:p>
        </w:tc>
        <w:tc>
          <w:tcPr>
            <w:tcW w:w="8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13,284</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9,397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1905-1988</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8/14/98</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1" w:name="page92"/>
    <w:bookmarkEnd w:id="91"/>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2020</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94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COLUMN C</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D</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8"/>
              </w:rPr>
              <w:t>COLUMN E</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COLUMN I</w:t>
            </w:r>
          </w:p>
        </w:tc>
        <w:tc>
          <w:tcPr>
            <w:tcW w:w="0" w:type="dxa"/>
            <w:vAlign w:val="bottom"/>
          </w:tcPr>
          <w:p>
            <w:pPr>
              <w:spacing w:after="0"/>
              <w:rPr>
                <w:sz w:val="1"/>
                <w:szCs w:val="1"/>
                <w:color w:val="auto"/>
              </w:rPr>
            </w:pPr>
          </w:p>
        </w:tc>
      </w:tr>
      <w:tr>
        <w:trPr>
          <w:trHeight w:val="148"/>
        </w:trPr>
        <w:tc>
          <w:tcPr>
            <w:tcW w:w="1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vMerge w:val="restart"/>
          </w:tcPr>
          <w:p>
            <w:pPr>
              <w:jc w:val="right"/>
              <w:ind w:right="169"/>
              <w:spacing w:after="0"/>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Cost</w:t>
            </w:r>
          </w:p>
        </w:tc>
        <w:tc>
          <w:tcPr>
            <w:tcW w:w="242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7"/>
              </w:rPr>
              <w:t>Gross amount at which carried at</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3"/>
          </w:tcPr>
          <w:p>
            <w:pPr>
              <w:jc w:val="center"/>
              <w:ind w:right="40"/>
              <w:spacing w:after="0" w:line="122" w:lineRule="exact"/>
              <w:rPr>
                <w:sz w:val="20"/>
                <w:szCs w:val="20"/>
                <w:color w:val="auto"/>
              </w:rPr>
            </w:pPr>
            <w:r>
              <w:rPr>
                <w:rFonts w:ascii="Arial" w:cs="Arial" w:eastAsia="Arial" w:hAnsi="Arial"/>
                <w:sz w:val="13"/>
                <w:szCs w:val="13"/>
                <w:b w:val="1"/>
                <w:bCs w:val="1"/>
                <w:color w:val="auto"/>
                <w:w w:val="84"/>
              </w:rPr>
              <w:t>close of period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20" w:type="dxa"/>
            <w:vAlign w:val="bottom"/>
            <w:gridSpan w:val="2"/>
            <w:vMerge w:val="restart"/>
          </w:tcPr>
          <w:p>
            <w:pPr>
              <w:jc w:val="center"/>
              <w:ind w:right="120"/>
              <w:spacing w:after="0" w:line="108" w:lineRule="exact"/>
              <w:rPr>
                <w:sz w:val="20"/>
                <w:szCs w:val="20"/>
                <w:color w:val="auto"/>
              </w:rPr>
            </w:pPr>
            <w:r>
              <w:rPr>
                <w:rFonts w:ascii="Arial" w:cs="Arial" w:eastAsia="Arial" w:hAnsi="Arial"/>
                <w:sz w:val="12"/>
                <w:szCs w:val="12"/>
                <w:b w:val="1"/>
                <w:bCs w:val="1"/>
                <w:color w:val="auto"/>
                <w:w w:val="97"/>
              </w:rPr>
              <w:t>Capitalized</w:t>
            </w: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34"/>
        </w:trPr>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3"/>
                <w:szCs w:val="13"/>
                <w:b w:val="1"/>
                <w:bCs w:val="1"/>
                <w:color w:val="auto"/>
                <w:w w:val="93"/>
              </w:rPr>
              <w:t>Building and</w:t>
            </w:r>
          </w:p>
        </w:tc>
        <w:tc>
          <w:tcPr>
            <w:tcW w:w="8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Building and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rPr>
              <w:t>Depreciation</w:t>
            </w:r>
          </w:p>
        </w:tc>
        <w:tc>
          <w:tcPr>
            <w:tcW w:w="820" w:type="dxa"/>
            <w:vAlign w:val="bottom"/>
            <w:gridSpan w:val="2"/>
            <w:vMerge w:val="continue"/>
          </w:tcPr>
          <w:p>
            <w:pPr>
              <w:spacing w:after="0"/>
              <w:rPr>
                <w:sz w:val="10"/>
                <w:szCs w:val="10"/>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2"/>
        </w:trPr>
        <w:tc>
          <w:tcPr>
            <w:tcW w:w="1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0" w:type="dxa"/>
            <w:vAlign w:val="bottom"/>
            <w:vMerge w:val="restart"/>
          </w:tcPr>
          <w:p>
            <w:pPr>
              <w:spacing w:after="0"/>
              <w:rPr>
                <w:sz w:val="10"/>
                <w:szCs w:val="10"/>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8"/>
              </w:rPr>
              <w:t>Encumbrance</w:t>
            </w:r>
          </w:p>
        </w:tc>
        <w:tc>
          <w:tcPr>
            <w:tcW w:w="80" w:type="dxa"/>
            <w:vAlign w:val="bottom"/>
            <w:vMerge w:val="restart"/>
          </w:tcPr>
          <w:p>
            <w:pPr>
              <w:spacing w:after="0"/>
              <w:rPr>
                <w:sz w:val="10"/>
                <w:szCs w:val="10"/>
                <w:color w:val="auto"/>
              </w:rPr>
            </w:pPr>
          </w:p>
        </w:tc>
        <w:tc>
          <w:tcPr>
            <w:tcW w:w="76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1"/>
              </w:rPr>
              <w:t>to</w:t>
            </w:r>
          </w:p>
        </w:tc>
        <w:tc>
          <w:tcPr>
            <w:tcW w:w="7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00" w:type="dxa"/>
            <w:vAlign w:val="bottom"/>
            <w:vMerge w:val="restart"/>
          </w:tcPr>
          <w:p>
            <w:pPr>
              <w:jc w:val="right"/>
              <w:ind w:right="148"/>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c>
          <w:tcPr>
            <w:tcW w:w="860" w:type="dxa"/>
            <w:vAlign w:val="bottom"/>
            <w:gridSpan w:val="2"/>
          </w:tcPr>
          <w:p>
            <w:pPr>
              <w:ind w:left="280"/>
              <w:spacing w:after="0" w:line="122" w:lineRule="exact"/>
              <w:rPr>
                <w:sz w:val="20"/>
                <w:szCs w:val="20"/>
                <w:color w:val="auto"/>
              </w:rPr>
            </w:pPr>
            <w:r>
              <w:rPr>
                <w:rFonts w:ascii="Arial" w:cs="Arial" w:eastAsia="Arial" w:hAnsi="Arial"/>
                <w:sz w:val="13"/>
                <w:szCs w:val="13"/>
                <w:b w:val="1"/>
                <w:bCs w:val="1"/>
                <w:color w:val="auto"/>
              </w:rPr>
              <w:t>and</w:t>
            </w: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of</w:t>
            </w:r>
          </w:p>
        </w:tc>
        <w:tc>
          <w:tcPr>
            <w:tcW w:w="820" w:type="dxa"/>
            <w:vAlign w:val="bottom"/>
            <w:gridSpan w:val="2"/>
            <w:vMerge w:val="continue"/>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3"/>
              </w:rPr>
              <w:t>Amortization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Construction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34"/>
        </w:trPr>
        <w:tc>
          <w:tcPr>
            <w:tcW w:w="186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CONGRESSIONAL PLAZA</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2,793</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7,424</w:t>
            </w:r>
          </w:p>
        </w:tc>
        <w:tc>
          <w:tcPr>
            <w:tcW w:w="82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95,605</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2,793</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103,029</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105,822</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59,967</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4" w:lineRule="exact"/>
              <w:rPr>
                <w:sz w:val="20"/>
                <w:szCs w:val="20"/>
                <w:color w:val="auto"/>
              </w:rPr>
            </w:pPr>
            <w:r>
              <w:rPr>
                <w:rFonts w:ascii="Arial" w:cs="Arial" w:eastAsia="Arial" w:hAnsi="Arial"/>
                <w:sz w:val="14"/>
                <w:szCs w:val="14"/>
                <w:color w:val="auto"/>
                <w:w w:val="99"/>
              </w:rPr>
              <w:t>1965/2003/</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4/1/1965</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COURTHOUSE CENTER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1,750</w:t>
            </w:r>
          </w:p>
        </w:tc>
        <w:tc>
          <w:tcPr>
            <w:tcW w:w="8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1,869</w:t>
            </w:r>
          </w:p>
        </w:tc>
        <w:tc>
          <w:tcPr>
            <w:tcW w:w="82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3,445</w:t>
            </w:r>
          </w:p>
        </w:tc>
        <w:tc>
          <w:tcPr>
            <w:tcW w:w="8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1,750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5,314</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7,064</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2,768</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1975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12/17/1997</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CROSSROADS (Illinois)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4,635</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11,611</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4"/>
                <w:szCs w:val="14"/>
                <w:color w:val="auto"/>
              </w:rPr>
              <w:t>19,649</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31,260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35,895</w:t>
            </w: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4"/>
                <w:szCs w:val="14"/>
                <w:color w:val="auto"/>
              </w:rPr>
              <w:t>20,191</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7/19/1993</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5"/>
        </w:trPr>
        <w:tc>
          <w:tcPr>
            <w:tcW w:w="1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CROW CANYON</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27,245</w:t>
            </w:r>
          </w:p>
        </w:tc>
        <w:tc>
          <w:tcPr>
            <w:tcW w:w="8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54,575</w:t>
            </w:r>
          </w:p>
        </w:tc>
        <w:tc>
          <w:tcPr>
            <w:tcW w:w="82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8,911</w:t>
            </w:r>
          </w:p>
        </w:tc>
        <w:tc>
          <w:tcPr>
            <w:tcW w:w="8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27,245</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63,486</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90,731</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28,124</w:t>
            </w:r>
          </w:p>
        </w:tc>
        <w:tc>
          <w:tcPr>
            <w:tcW w:w="8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2"/>
              </w:rPr>
              <w:t>Late 1970's/</w:t>
            </w: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12/29/05 &amp;</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COMMONS (California)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1998/2006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2/28/07</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12/31/93,</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DEDHAM PLAZA</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12/14/16,</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gridSpan w:val="2"/>
            <w:vMerge w:val="continue"/>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16,658</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13,964</w:t>
            </w:r>
          </w:p>
        </w:tc>
        <w:tc>
          <w:tcPr>
            <w:tcW w:w="82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16,521</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16,658</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30,485</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47,143</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18,282</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1/29/19, &amp;</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3/12/19</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color w:val="auto"/>
              </w:rPr>
              <w:t>DEL MAR VILLAGE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1982/1994/</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5/30/08,</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15,624</w:t>
            </w:r>
          </w:p>
        </w:tc>
        <w:tc>
          <w:tcPr>
            <w:tcW w:w="8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41,712</w:t>
            </w:r>
          </w:p>
        </w:tc>
        <w:tc>
          <w:tcPr>
            <w:tcW w:w="82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16,427</w:t>
            </w:r>
          </w:p>
        </w:tc>
        <w:tc>
          <w:tcPr>
            <w:tcW w:w="8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15,587</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58,176</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73,763</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26,043</w:t>
            </w: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7/11/08, &amp;</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(Florida)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10/14/14</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EAST BAY BRIDGE</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29,069</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138,035</w:t>
            </w:r>
          </w:p>
        </w:tc>
        <w:tc>
          <w:tcPr>
            <w:tcW w:w="82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12,123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29,069</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150,158</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179,227</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41,377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8"/>
              </w:rPr>
              <w:t>1994-2001,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12/21/2012</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2011/2012</w:t>
            </w: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ELLISBURG (New Jersey)</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4,028</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11,309</w:t>
            </w:r>
          </w:p>
        </w:tc>
        <w:tc>
          <w:tcPr>
            <w:tcW w:w="820" w:type="dxa"/>
            <w:vAlign w:val="bottom"/>
            <w:gridSpan w:val="2"/>
          </w:tcPr>
          <w:p>
            <w:pPr>
              <w:jc w:val="right"/>
              <w:ind w:right="18"/>
              <w:spacing w:after="0"/>
              <w:rPr>
                <w:sz w:val="20"/>
                <w:szCs w:val="20"/>
                <w:color w:val="auto"/>
              </w:rPr>
            </w:pPr>
            <w:r>
              <w:rPr>
                <w:rFonts w:ascii="Arial" w:cs="Arial" w:eastAsia="Arial" w:hAnsi="Arial"/>
                <w:sz w:val="14"/>
                <w:szCs w:val="14"/>
                <w:color w:val="auto"/>
              </w:rPr>
              <w:t>18,872</w:t>
            </w:r>
          </w:p>
        </w:tc>
        <w:tc>
          <w:tcPr>
            <w:tcW w:w="8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4,013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30,196</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34,209</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21,740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10/16/1992</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9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ESCONDIDO PROMENADE</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19,117</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15,829</w:t>
            </w:r>
          </w:p>
        </w:tc>
        <w:tc>
          <w:tcPr>
            <w:tcW w:w="82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18,627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19,117</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34,456</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53,573</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20,066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12/31/96 &amp;</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11/10/10</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FAIRFAX JUNCTION</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16,768</w:t>
            </w:r>
          </w:p>
        </w:tc>
        <w:tc>
          <w:tcPr>
            <w:tcW w:w="8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23,825</w:t>
            </w:r>
          </w:p>
        </w:tc>
        <w:tc>
          <w:tcPr>
            <w:tcW w:w="82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575</w:t>
            </w:r>
          </w:p>
        </w:tc>
        <w:tc>
          <w:tcPr>
            <w:tcW w:w="8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16,768</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24,400</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41,168</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1,647</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9"/>
              </w:rPr>
              <w:t>1981/1986/</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2/8/19 &amp;</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(Virgina)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1/10/20</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FALLS PLAZA (Virginia)</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1,798</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1,270</w:t>
            </w:r>
          </w:p>
        </w:tc>
        <w:tc>
          <w:tcPr>
            <w:tcW w:w="82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13,044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1,819</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14,293</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16,112</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9,477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1960/1962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9/30/67 &amp;</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40" w:type="dxa"/>
            <w:vAlign w:val="bottom"/>
            <w:gridSpan w:val="2"/>
            <w:vMerge w:val="continue"/>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10/05/72</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FEDERAL PLAZA</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10,216</w:t>
            </w:r>
          </w:p>
        </w:tc>
        <w:tc>
          <w:tcPr>
            <w:tcW w:w="8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17,895</w:t>
            </w:r>
          </w:p>
        </w:tc>
        <w:tc>
          <w:tcPr>
            <w:tcW w:w="82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42,735</w:t>
            </w:r>
          </w:p>
        </w:tc>
        <w:tc>
          <w:tcPr>
            <w:tcW w:w="8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10,216</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60,630</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70,846</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48,440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1970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6/29/1989</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FINLEY SQUARE (Illinois)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9,252</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9,544</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4"/>
                <w:szCs w:val="14"/>
                <w:color w:val="auto"/>
              </w:rPr>
              <w:t>22,603</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9,252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32,147</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41,399</w:t>
            </w: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4"/>
                <w:szCs w:val="14"/>
                <w:color w:val="auto"/>
              </w:rPr>
              <w:t>23,198</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4/27/1995</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FLOURTOWN (Pennsylvania)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1,345</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3,943</w:t>
            </w:r>
          </w:p>
        </w:tc>
        <w:tc>
          <w:tcPr>
            <w:tcW w:w="820" w:type="dxa"/>
            <w:vAlign w:val="bottom"/>
            <w:gridSpan w:val="2"/>
          </w:tcPr>
          <w:p>
            <w:pPr>
              <w:jc w:val="right"/>
              <w:ind w:right="18"/>
              <w:spacing w:after="0"/>
              <w:rPr>
                <w:sz w:val="20"/>
                <w:szCs w:val="20"/>
                <w:color w:val="auto"/>
              </w:rPr>
            </w:pPr>
            <w:r>
              <w:rPr>
                <w:rFonts w:ascii="Arial" w:cs="Arial" w:eastAsia="Arial" w:hAnsi="Arial"/>
                <w:sz w:val="14"/>
                <w:szCs w:val="14"/>
                <w:color w:val="auto"/>
              </w:rPr>
              <w:t>11,645</w:t>
            </w:r>
          </w:p>
        </w:tc>
        <w:tc>
          <w:tcPr>
            <w:tcW w:w="8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1,507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15,426</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16,933</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7,369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1957</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4/25/1980</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9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FOURTH STREET</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13,978</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9,909</w:t>
            </w:r>
          </w:p>
        </w:tc>
        <w:tc>
          <w:tcPr>
            <w:tcW w:w="82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3,085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13,978</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12,994</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26,972</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1,752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1948,1975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5/19/2017</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FREEDOM PLAZA</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3,255</w:t>
            </w:r>
          </w:p>
        </w:tc>
        <w:tc>
          <w:tcPr>
            <w:tcW w:w="82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37,242</w:t>
            </w:r>
          </w:p>
        </w:tc>
        <w:tc>
          <w:tcPr>
            <w:tcW w:w="8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40,497</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40,497</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761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2018-2020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6/15/2018</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FRESH MEADOWS (New</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24,625</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25,255</w:t>
            </w:r>
          </w:p>
        </w:tc>
        <w:tc>
          <w:tcPr>
            <w:tcW w:w="82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43,873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24,633</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69,120</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93,753</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46,378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1946-1949</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12/5/1997</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York)</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FRIENDSHIP CENTER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12,696</w:t>
            </w:r>
          </w:p>
        </w:tc>
        <w:tc>
          <w:tcPr>
            <w:tcW w:w="8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20,803</w:t>
            </w:r>
          </w:p>
        </w:tc>
        <w:tc>
          <w:tcPr>
            <w:tcW w:w="82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4,719</w:t>
            </w:r>
          </w:p>
        </w:tc>
        <w:tc>
          <w:tcPr>
            <w:tcW w:w="8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12,696</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25,522</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38,218</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14,998</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1998</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9/21/2001</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(District of Columbia)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GAITHERSBURG SQUARE</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7,701</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5,271</w:t>
            </w:r>
          </w:p>
        </w:tc>
        <w:tc>
          <w:tcPr>
            <w:tcW w:w="82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16,697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5,973</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23,696</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29,669</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19,442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4/22/1993</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GARDEN MARKET (Illinois)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2,677</w:t>
            </w:r>
          </w:p>
        </w:tc>
        <w:tc>
          <w:tcPr>
            <w:tcW w:w="8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4,829</w:t>
            </w:r>
          </w:p>
        </w:tc>
        <w:tc>
          <w:tcPr>
            <w:tcW w:w="820" w:type="dxa"/>
            <w:vAlign w:val="bottom"/>
            <w:gridSpan w:val="2"/>
          </w:tcPr>
          <w:p>
            <w:pPr>
              <w:jc w:val="right"/>
              <w:ind w:right="18"/>
              <w:spacing w:after="0"/>
              <w:rPr>
                <w:sz w:val="20"/>
                <w:szCs w:val="20"/>
                <w:color w:val="auto"/>
              </w:rPr>
            </w:pPr>
            <w:r>
              <w:rPr>
                <w:rFonts w:ascii="Arial" w:cs="Arial" w:eastAsia="Arial" w:hAnsi="Arial"/>
                <w:sz w:val="14"/>
                <w:szCs w:val="14"/>
                <w:color w:val="auto"/>
              </w:rPr>
              <w:t>7,370</w:t>
            </w:r>
          </w:p>
        </w:tc>
        <w:tc>
          <w:tcPr>
            <w:tcW w:w="8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2,677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12,199</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14,876</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9,241</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1958</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7/28/1994</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2" w:name="page93"/>
    <w:bookmarkEnd w:id="92"/>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2020</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D</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COLUMN F</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8"/>
        </w:trPr>
        <w:tc>
          <w:tcPr>
            <w:tcW w:w="1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Cost</w:t>
            </w:r>
          </w:p>
        </w:tc>
        <w:tc>
          <w:tcPr>
            <w:tcW w:w="246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7"/>
              </w:rPr>
              <w:t>Gross amount at which carried at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close of period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depreciation</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20" w:type="dxa"/>
            <w:vAlign w:val="bottom"/>
            <w:gridSpan w:val="2"/>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7"/>
              </w:rPr>
              <w:t>Capitalized</w:t>
            </w: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Building and</w:t>
            </w: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8"/>
              </w:rPr>
              <w:t>Building and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Depreciation</w:t>
            </w:r>
          </w:p>
        </w:tc>
        <w:tc>
          <w:tcPr>
            <w:tcW w:w="820" w:type="dxa"/>
            <w:vAlign w:val="bottom"/>
            <w:gridSpan w:val="2"/>
            <w:vMerge w:val="continue"/>
          </w:tcPr>
          <w:p>
            <w:pPr>
              <w:spacing w:after="0"/>
              <w:rPr>
                <w:sz w:val="10"/>
                <w:szCs w:val="10"/>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22"/>
        </w:trPr>
        <w:tc>
          <w:tcPr>
            <w:tcW w:w="1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to</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Land</w:t>
            </w:r>
          </w:p>
        </w:tc>
        <w:tc>
          <w:tcPr>
            <w:tcW w:w="900" w:type="dxa"/>
            <w:vAlign w:val="bottom"/>
            <w:gridSpan w:val="2"/>
            <w:vMerge w:val="continue"/>
          </w:tcPr>
          <w:p>
            <w:pPr>
              <w:spacing w:after="0"/>
              <w:rPr>
                <w:sz w:val="10"/>
                <w:szCs w:val="10"/>
                <w:color w:val="auto"/>
              </w:rPr>
            </w:pPr>
          </w:p>
        </w:tc>
        <w:tc>
          <w:tcPr>
            <w:tcW w:w="720" w:type="dxa"/>
            <w:vAlign w:val="bottom"/>
            <w:vMerge w:val="restart"/>
          </w:tcPr>
          <w:p>
            <w:pPr>
              <w:jc w:val="right"/>
              <w:ind w:right="168"/>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c>
          <w:tcPr>
            <w:tcW w:w="840" w:type="dxa"/>
            <w:vAlign w:val="bottom"/>
            <w:gridSpan w:val="2"/>
          </w:tcPr>
          <w:p>
            <w:pPr>
              <w:ind w:left="260"/>
              <w:spacing w:after="0" w:line="122" w:lineRule="exact"/>
              <w:rPr>
                <w:sz w:val="20"/>
                <w:szCs w:val="20"/>
                <w:color w:val="auto"/>
              </w:rPr>
            </w:pPr>
            <w:r>
              <w:rPr>
                <w:rFonts w:ascii="Arial" w:cs="Arial" w:eastAsia="Arial" w:hAnsi="Arial"/>
                <w:sz w:val="13"/>
                <w:szCs w:val="13"/>
                <w:b w:val="1"/>
                <w:bCs w:val="1"/>
                <w:color w:val="auto"/>
              </w:rPr>
              <w:t>and</w:t>
            </w: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vMerge w:val="continue"/>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9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840" w:type="dxa"/>
            <w:vAlign w:val="bottom"/>
            <w:gridSpan w:val="2"/>
            <w:vMerge w:val="continue"/>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Improvements</w:t>
            </w: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Construction</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134"/>
        </w:trPr>
        <w:tc>
          <w:tcPr>
            <w:tcW w:w="1840" w:type="dxa"/>
            <w:vAlign w:val="bottom"/>
            <w:tcBorders>
              <w:top w:val="single" w:sz="8" w:color="auto"/>
            </w:tcBorders>
            <w:shd w:val="clear" w:color="auto" w:fill="CCEEFF"/>
          </w:tcPr>
          <w:p>
            <w:pPr>
              <w:ind w:left="20"/>
              <w:spacing w:after="0" w:line="134" w:lineRule="exact"/>
              <w:rPr>
                <w:sz w:val="20"/>
                <w:szCs w:val="20"/>
                <w:color w:val="auto"/>
              </w:rPr>
            </w:pPr>
            <w:r>
              <w:rPr>
                <w:rFonts w:ascii="Arial" w:cs="Arial" w:eastAsia="Arial" w:hAnsi="Arial"/>
                <w:sz w:val="14"/>
                <w:szCs w:val="14"/>
                <w:color w:val="auto"/>
              </w:rPr>
              <w:t>GEORGETOWNE</w:t>
            </w: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1969/2006/</w:t>
            </w: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SHOPPING CENTER (New</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32,202</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49,586</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1,469</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32,202</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51,055</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83,257</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2,047</w:t>
            </w:r>
          </w:p>
        </w:tc>
        <w:tc>
          <w:tcPr>
            <w:tcW w:w="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11/15/19</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York)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GOVERNOR PLAZA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2,068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4,905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19,272</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2,068</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24,177</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26,245</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21,399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1963</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10/1/1985</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GRAHAM PARK PLAZA</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1,237</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15,096</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20,319</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1,169</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35,483</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36,652</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28,815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7/21/1983</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GRATIOT PLAZA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525</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1,601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17,963</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525</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19,564</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20,089</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17,985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3/29/1973</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(Michigan)</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GREENLAWN PLAZA (New</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10,590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20,869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10,590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21,682</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32,272</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4,326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1975/2004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York)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GREENWICH AVENUE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7,484</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5,445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10,819</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7,484</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16,264</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23,748</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5,472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1968</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4/12/1995</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(Connecticut)</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HASTINGS RANCH PLAZA</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2,257</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22,393</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2,257</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23,009</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25,266</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3,013</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4"/>
              </w:rPr>
              <w:t>1958, 1984,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2/1/2017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2006, 2007</w:t>
            </w: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HAUPPAUGE (New York)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8,791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15,262</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5,829</w:t>
            </w:r>
          </w:p>
        </w:tc>
        <w:tc>
          <w:tcPr>
            <w:tcW w:w="8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8,419</w:t>
            </w:r>
          </w:p>
        </w:tc>
        <w:tc>
          <w:tcPr>
            <w:tcW w:w="8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21,463</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29,882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13,729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1963</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8/6/1998</w:t>
            </w: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9/18/19,</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11/26/19,</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HOBOKEN (New Jersey)</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105,939</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47,460</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167,835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47,460</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168,381</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215,841</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6,006</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1887-2006</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7"/>
              </w:rPr>
              <w:t>12/19/19, &amp;</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2/12/20</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HOLLYWOOD BLVD</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8,300</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16,920</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36,159</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8,370</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53,009</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61,379</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18,599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1929/1991</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3/22/99 &amp;</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6/18/99</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12/12/88,</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HUNTINGTON (New York)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12,194</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16,008</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19,604</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12,194</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35,612</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47,806</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18,564</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1962</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7"/>
              </w:rPr>
              <w:t>10/26/07, &amp;</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vMerge w:val="continue"/>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11/24/15</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HUNTINGTON SQUARE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10,075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3,537</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506</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13,106</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13,612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4,751</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8"/>
              </w:rPr>
              <w:t>1980/2004-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8/16/2010</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IDYLWOOD PLAZA</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4,308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10,026</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3,089</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4,308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13,115</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17,423</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10,100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4/15/1994</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KINGS COURT (California)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10,714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894</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11,608</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11,608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9,979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8/24/1998</w:t>
            </w: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2"/>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LANCASTER (Pennsylvania)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5,951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7,622</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6,009</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4/24/1980</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LANGHORNE SQUARE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720</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2,974</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18,968</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720</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21,942</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22,662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17,239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1/31/1985</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(Pennsylvania)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LAUREL (Maryland)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7,458</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30,662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7,503</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53,142</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60,645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42,119</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8/15/1986</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LAWRENCE PARK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6,150</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8,491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26,556</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6,161</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35,036</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41,197</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23,922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1972</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7/23/1980</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(Pennsylvania)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&amp; 4/3/17</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LEESBURG PLAZA</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8,184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10,722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18,416</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8,184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29,138</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37,322</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16,976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9/15/1998</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LINDEN SQUARE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79,382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19,247</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51,727</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79,346</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71,010</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150,356</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29,105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1960-2008</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8/24/2006</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(Massachusetts)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MELVILLE MALL (New</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35,622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32,882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35,161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35,622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68,043</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103,665</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19,630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10/16/2006</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York)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3" w:name="page94"/>
    <w:bookmarkEnd w:id="93"/>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2020</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D</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8"/>
              </w:rPr>
              <w:t>COLUMN E</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COLUMN F</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8"/>
        </w:trPr>
        <w:tc>
          <w:tcPr>
            <w:tcW w:w="1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vMerge w:val="restart"/>
          </w:tcPr>
          <w:p>
            <w:pPr>
              <w:jc w:val="right"/>
              <w:ind w:right="169"/>
              <w:spacing w:after="0"/>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Cost</w:t>
            </w:r>
          </w:p>
        </w:tc>
        <w:tc>
          <w:tcPr>
            <w:tcW w:w="244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8"/>
              </w:rPr>
              <w:t>Gross amount at which carried at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3"/>
          </w:tcPr>
          <w:p>
            <w:pPr>
              <w:jc w:val="center"/>
              <w:ind w:right="40"/>
              <w:spacing w:after="0" w:line="122" w:lineRule="exact"/>
              <w:rPr>
                <w:sz w:val="20"/>
                <w:szCs w:val="20"/>
                <w:color w:val="auto"/>
              </w:rPr>
            </w:pPr>
            <w:r>
              <w:rPr>
                <w:rFonts w:ascii="Arial" w:cs="Arial" w:eastAsia="Arial" w:hAnsi="Arial"/>
                <w:sz w:val="13"/>
                <w:szCs w:val="13"/>
                <w:b w:val="1"/>
                <w:bCs w:val="1"/>
                <w:color w:val="auto"/>
                <w:w w:val="84"/>
              </w:rPr>
              <w:t>close of period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depreciation</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20" w:type="dxa"/>
            <w:vAlign w:val="bottom"/>
            <w:gridSpan w:val="2"/>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7"/>
              </w:rPr>
              <w:t>Capitalized</w:t>
            </w: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3"/>
                <w:szCs w:val="13"/>
                <w:b w:val="1"/>
                <w:bCs w:val="1"/>
                <w:color w:val="auto"/>
                <w:w w:val="91"/>
              </w:rPr>
              <w:t>Building and</w:t>
            </w: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Building and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Depreciation</w:t>
            </w:r>
          </w:p>
        </w:tc>
        <w:tc>
          <w:tcPr>
            <w:tcW w:w="820" w:type="dxa"/>
            <w:vAlign w:val="bottom"/>
            <w:gridSpan w:val="2"/>
            <w:vMerge w:val="continue"/>
          </w:tcPr>
          <w:p>
            <w:pPr>
              <w:spacing w:after="0"/>
              <w:rPr>
                <w:sz w:val="10"/>
                <w:szCs w:val="10"/>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22"/>
        </w:trPr>
        <w:tc>
          <w:tcPr>
            <w:tcW w:w="1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0" w:type="dxa"/>
            <w:vAlign w:val="bottom"/>
            <w:vMerge w:val="restart"/>
          </w:tcPr>
          <w:p>
            <w:pPr>
              <w:spacing w:after="0"/>
              <w:rPr>
                <w:sz w:val="10"/>
                <w:szCs w:val="10"/>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8"/>
              </w:rPr>
              <w:t>Encumbrance</w:t>
            </w:r>
          </w:p>
        </w:tc>
        <w:tc>
          <w:tcPr>
            <w:tcW w:w="80" w:type="dxa"/>
            <w:vAlign w:val="bottom"/>
            <w:vMerge w:val="restart"/>
          </w:tcPr>
          <w:p>
            <w:pPr>
              <w:spacing w:after="0"/>
              <w:rPr>
                <w:sz w:val="10"/>
                <w:szCs w:val="10"/>
                <w:color w:val="auto"/>
              </w:rPr>
            </w:pPr>
          </w:p>
        </w:tc>
        <w:tc>
          <w:tcPr>
            <w:tcW w:w="78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to</w:t>
            </w:r>
          </w:p>
        </w:tc>
        <w:tc>
          <w:tcPr>
            <w:tcW w:w="7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20" w:type="dxa"/>
            <w:vAlign w:val="bottom"/>
            <w:vMerge w:val="restart"/>
          </w:tcPr>
          <w:p>
            <w:pPr>
              <w:jc w:val="right"/>
              <w:ind w:right="148"/>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c>
          <w:tcPr>
            <w:tcW w:w="840" w:type="dxa"/>
            <w:vAlign w:val="bottom"/>
            <w:gridSpan w:val="2"/>
          </w:tcPr>
          <w:p>
            <w:pPr>
              <w:ind w:left="260"/>
              <w:spacing w:after="0" w:line="122" w:lineRule="exact"/>
              <w:rPr>
                <w:sz w:val="20"/>
                <w:szCs w:val="20"/>
                <w:color w:val="auto"/>
              </w:rPr>
            </w:pPr>
            <w:r>
              <w:rPr>
                <w:rFonts w:ascii="Arial" w:cs="Arial" w:eastAsia="Arial" w:hAnsi="Arial"/>
                <w:sz w:val="13"/>
                <w:szCs w:val="13"/>
                <w:b w:val="1"/>
                <w:bCs w:val="1"/>
                <w:color w:val="auto"/>
              </w:rPr>
              <w:t>and</w:t>
            </w: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vMerge w:val="continue"/>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8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Improvements</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8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Construction</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134"/>
        </w:trPr>
        <w:tc>
          <w:tcPr>
            <w:tcW w:w="1840" w:type="dxa"/>
            <w:vAlign w:val="bottom"/>
          </w:tcPr>
          <w:p>
            <w:pPr>
              <w:ind w:left="20"/>
              <w:spacing w:after="0" w:line="134" w:lineRule="exact"/>
              <w:rPr>
                <w:sz w:val="20"/>
                <w:szCs w:val="20"/>
                <w:color w:val="auto"/>
              </w:rPr>
            </w:pPr>
            <w:r>
              <w:rPr>
                <w:rFonts w:ascii="Arial" w:cs="Arial" w:eastAsia="Arial" w:hAnsi="Arial"/>
                <w:sz w:val="14"/>
                <w:szCs w:val="14"/>
                <w:color w:val="auto"/>
              </w:rPr>
              <w:t>MERCER MALL (New</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5,917</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18,358</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47,690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5,869</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66,096</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71,965</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34,954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1975</w:t>
            </w:r>
          </w:p>
        </w:tc>
        <w:tc>
          <w:tcPr>
            <w:tcW w:w="8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4"/>
                <w:szCs w:val="14"/>
                <w:color w:val="auto"/>
              </w:rPr>
              <w:t>10/14/03 &amp;</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Jersey)</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1/31/17</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MONTROSE CROSSING</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1960s,</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12/27/11 &amp;</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continue"/>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65,596</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48,624</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91,819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24,539</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48,624</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116,358</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164,982</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35,861</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w w:val="90"/>
              </w:rPr>
              <w:t>1970s, 1996</w:t>
            </w:r>
          </w:p>
        </w:tc>
        <w:tc>
          <w:tcPr>
            <w:tcW w:w="7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&amp; 2011</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12/19/13</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MOUNT VERNON/SOUTH</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1966/1972/</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3/31/03,</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VALLEY/7770 RICHMOND</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10,068</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33,501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43,397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10,150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76,816</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86,966</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41,890</w:t>
            </w: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3/21/03, &amp;</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HWY. (Virginia)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1987/2001</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1/27/06</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NORTH DARTMOUTH</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9,366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9,366</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9,369</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8/24/2006</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NORTHEAST (Pennsylvania)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938</w:t>
            </w:r>
          </w:p>
        </w:tc>
        <w:tc>
          <w:tcPr>
            <w:tcW w:w="8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8,779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23,919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32,697</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33,636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19,880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8/30/1983</w:t>
            </w: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2"/>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OLD KEENE MILL (Virginia)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638</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998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11,425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12,423</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6,466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6/15/1976</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OLD TOWN CENTER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3,420</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2,765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31,684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3,420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34,449</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37,869</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23,745</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3"/>
              </w:rPr>
              <w:t>1962, 1997-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10/22/1997</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1998</w:t>
            </w: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OLIVO AT MISSION HILLS</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15,048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46,732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19,503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15,048</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66,235</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81,283</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4,706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2017-2018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8/2/2017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PAN AM (Virginia)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8,694</w:t>
            </w:r>
          </w:p>
        </w:tc>
        <w:tc>
          <w:tcPr>
            <w:tcW w:w="8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12,929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8,424</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8,695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21,352</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30,047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16,906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1979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2/5/1993</w:t>
            </w: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PENTAGON ROW (Virginia)</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2,955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104,222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107,177</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107,177</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54,974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1999 - 2002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1998 &amp;</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vMerge w:val="continue"/>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11/22/10</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PERRING PLAZA</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2,800</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6,461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22,637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2,800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29,098</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31,898</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24,646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1963</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10/1/1985</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1963, 2012-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5/18/82,</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PIKE &amp; ROSE (Maryland)</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31,471</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10,335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608,663</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27,929</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622,540</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650,469</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65,962</w:t>
            </w:r>
          </w:p>
        </w:tc>
        <w:tc>
          <w:tcPr>
            <w:tcW w:w="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7"/>
              </w:rPr>
              <w:t>10/26/07, &amp;</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vMerge w:val="continue"/>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7/31/12</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PIKE 7 PLAZA (Virginia)</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14,970</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22,799</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11,775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14,914</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34,630</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49,544</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19,814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1968</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3/31/97 &amp;</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7/8/15</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PLAZA DEL MERCADO</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10,305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21,553</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15,037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10,305</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36,590</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46,895</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7,234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PLAZA DEL SOL</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8,072</w:t>
            </w: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5,605</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12,331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5,605</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12,305</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17,910</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1,546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8/2/2017</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12/30/11,</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PLAZA EL SEGUNDO/THE</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2006/2007/</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6/14/13,</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continue"/>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124,429</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62,127</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153,556</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81,203</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64,788</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232,098</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296,886</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61,152</w:t>
            </w:r>
          </w:p>
        </w:tc>
        <w:tc>
          <w:tcPr>
            <w:tcW w:w="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7/26/13, &amp;</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POINT (California)</w:t>
            </w: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12/27/13</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QUEEN ANNE PLAZA</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3,319</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8,457</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6,654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3,319</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15,111</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18,430</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10,991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12/23/1994</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(Massachusetts)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QUINCE ORCHARD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3,197</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7,949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29,958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2,928</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38,176</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41,104</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24,574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4/22/1993</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RIVERPOINT CENTER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15,422</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104,572</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1,930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15,422</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106,502</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121,924</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12,907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1989, 2012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3/31/2017</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(Illinois)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4" w:name="page95"/>
    <w:bookmarkEnd w:id="94"/>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2020</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D</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COLUMN I</w:t>
            </w:r>
          </w:p>
        </w:tc>
        <w:tc>
          <w:tcPr>
            <w:tcW w:w="0" w:type="dxa"/>
            <w:vAlign w:val="bottom"/>
          </w:tcPr>
          <w:p>
            <w:pPr>
              <w:spacing w:after="0"/>
              <w:rPr>
                <w:sz w:val="1"/>
                <w:szCs w:val="1"/>
                <w:color w:val="auto"/>
              </w:rPr>
            </w:pPr>
          </w:p>
        </w:tc>
      </w:tr>
      <w:tr>
        <w:trPr>
          <w:trHeight w:val="148"/>
        </w:trPr>
        <w:tc>
          <w:tcPr>
            <w:tcW w:w="1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vMerge w:val="restart"/>
          </w:tcPr>
          <w:p>
            <w:pPr>
              <w:jc w:val="right"/>
              <w:ind w:right="149"/>
              <w:spacing w:after="0"/>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Cost</w:t>
            </w:r>
          </w:p>
        </w:tc>
        <w:tc>
          <w:tcPr>
            <w:tcW w:w="246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8"/>
              </w:rPr>
              <w:t>Gross amount at which carried at</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close of period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20" w:type="dxa"/>
            <w:vAlign w:val="bottom"/>
            <w:gridSpan w:val="2"/>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7"/>
              </w:rPr>
              <w:t>Capitalized</w:t>
            </w: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Building and</w:t>
            </w: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8"/>
              </w:rPr>
              <w:t>Building and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rPr>
              <w:t>Depreciation</w:t>
            </w:r>
          </w:p>
        </w:tc>
        <w:tc>
          <w:tcPr>
            <w:tcW w:w="820" w:type="dxa"/>
            <w:vAlign w:val="bottom"/>
            <w:gridSpan w:val="2"/>
            <w:vMerge w:val="continue"/>
          </w:tcPr>
          <w:p>
            <w:pPr>
              <w:spacing w:after="0"/>
              <w:rPr>
                <w:sz w:val="10"/>
                <w:szCs w:val="10"/>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1"/>
        </w:trPr>
        <w:tc>
          <w:tcPr>
            <w:tcW w:w="1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0" w:type="dxa"/>
            <w:vAlign w:val="bottom"/>
            <w:vMerge w:val="restart"/>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3"/>
                <w:szCs w:val="13"/>
                <w:b w:val="1"/>
                <w:bCs w:val="1"/>
                <w:color w:val="auto"/>
                <w:w w:val="88"/>
              </w:rPr>
              <w:t>Encumbrance</w:t>
            </w:r>
          </w:p>
        </w:tc>
        <w:tc>
          <w:tcPr>
            <w:tcW w:w="80" w:type="dxa"/>
            <w:vAlign w:val="bottom"/>
            <w:vMerge w:val="restart"/>
          </w:tcPr>
          <w:p>
            <w:pPr>
              <w:spacing w:after="0"/>
              <w:rPr>
                <w:sz w:val="10"/>
                <w:szCs w:val="10"/>
                <w:color w:val="auto"/>
              </w:rPr>
            </w:pPr>
          </w:p>
        </w:tc>
        <w:tc>
          <w:tcPr>
            <w:tcW w:w="78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to</w:t>
            </w:r>
          </w:p>
        </w:tc>
        <w:tc>
          <w:tcPr>
            <w:tcW w:w="76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2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c>
          <w:tcPr>
            <w:tcW w:w="860" w:type="dxa"/>
            <w:vAlign w:val="bottom"/>
            <w:gridSpan w:val="2"/>
          </w:tcPr>
          <w:p>
            <w:pPr>
              <w:ind w:left="280"/>
              <w:spacing w:after="0" w:line="122" w:lineRule="exact"/>
              <w:rPr>
                <w:sz w:val="20"/>
                <w:szCs w:val="20"/>
                <w:color w:val="auto"/>
              </w:rPr>
            </w:pPr>
            <w:r>
              <w:rPr>
                <w:rFonts w:ascii="Arial" w:cs="Arial" w:eastAsia="Arial" w:hAnsi="Arial"/>
                <w:sz w:val="13"/>
                <w:szCs w:val="13"/>
                <w:b w:val="1"/>
                <w:bCs w:val="1"/>
                <w:color w:val="auto"/>
              </w:rPr>
              <w:t>and</w:t>
            </w: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of</w:t>
            </w:r>
          </w:p>
        </w:tc>
        <w:tc>
          <w:tcPr>
            <w:tcW w:w="820" w:type="dxa"/>
            <w:vAlign w:val="bottom"/>
            <w:gridSpan w:val="2"/>
            <w:vMerge w:val="continue"/>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8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3"/>
              </w:rPr>
              <w:t>Amortization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Construction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34"/>
        </w:trPr>
        <w:tc>
          <w:tcPr>
            <w:tcW w:w="18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ROCKVILLE TOWN</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8,092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37,191</w:t>
            </w: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45,283</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45,283</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18,838</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2005 - 2007</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2006 - 2007</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SQUARE (Maryland)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ROLLINGWOOD APTS.</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552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2,246</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8,805</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774</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10,829</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11,603</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10,237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1/15/1971</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3"/>
              </w:rPr>
              <w:t>1958, 1964-</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SAN ANTONIO CENTER</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3"/>
              </w:rPr>
              <w:t>1965, 1974-</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1/9/2015,</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continue"/>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26,400</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18,462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1,714</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26,400</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20,176</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46,576</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4,584</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3"/>
              </w:rPr>
              <w:t>1975, 1995-</w:t>
            </w:r>
          </w:p>
        </w:tc>
        <w:tc>
          <w:tcPr>
            <w:tcW w:w="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9/13/19</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8"/>
              </w:rPr>
              <w:t>1999-2006,</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3/5/97,</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7/13/12,</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4"/>
              </w:rPr>
              <w:t>2009, 2011,</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9/6/12,</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SANTANA ROW (California)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66,682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7,502</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1,076,914</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57,592</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1,093,506</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1,151,098</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243,734</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3"/>
              </w:rPr>
              <w:t>2014, 2016-</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4/30/13 &amp;</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9/23/13</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SAUGUS PLAZA</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4,383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8,291</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4,580</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4,383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12,871</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17,254</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8,135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10/1/1996</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SYLMAR TOWNE CENTER</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16,238</w:t>
            </w: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18,522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24,637</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2,501</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18,522</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27,138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45,660</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3,062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1973</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8/2/2017</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THE AVENUE AT WHITE</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52,651</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20,682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72,432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29,339</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20,685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101,768</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122,453</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42,152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MARSH (Maryland)</w:t>
            </w: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THE COMMONS AT</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30,368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19,523</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26,037</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30,368</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45,560</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75,928</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5,051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1920-2009</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4/3/13 &amp;</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DARIEN (Connecticut)</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7/20/18</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THE GROVE AT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42,972</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18,016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103,115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6,002</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18,021</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109,112</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127,133</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24,453</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9"/>
              </w:rPr>
              <w:t>1988/1993/</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1/1/2014 &amp;</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SHREWSBURY (New Jersey)</w:t>
            </w: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10/6/14</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THE SHOPPES AT</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NOTTINGHAM SQUARE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4,441</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12,849</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1,054</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4,441</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13,903</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18,344</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6,416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3"/>
              </w:rPr>
              <w:t>2005 - 2006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3/8/2007</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THIRD STREET</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22,645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12,709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43,667</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25,125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53,896</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79,021</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34,458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1888-2000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1996-2000</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PROMENADE (California)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TOWER SHOPPNG</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7,170</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10,518</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5,038</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7,280</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15,446</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22,726</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10,514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1953-1960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8/24/1998</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CENTER (Virginia)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TOWER SHOPS (Florida)</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29,940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43,390</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24,934</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29,962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68,302</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98,264</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23,599</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1989, 2017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1/19/11 &amp;</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vMerge w:val="continue"/>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6/13/14</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TOWN CENTER OF NEW</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1,282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12,285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3,015</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1,693</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14,889</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16,582</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6,487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6/29/2006</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BRITAIN (Pennsylvania)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TOWSON RESIDENTIAL</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2,328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20,063</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2,328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20,063</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22,391</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2,075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2016-2017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(FLATS @703) (Maryland)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TROY HILLS (New Jersey)</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3,126</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5,193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32,700</w:t>
            </w:r>
          </w:p>
        </w:tc>
        <w:tc>
          <w:tcPr>
            <w:tcW w:w="8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5,865</w:t>
            </w:r>
          </w:p>
        </w:tc>
        <w:tc>
          <w:tcPr>
            <w:tcW w:w="8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35,154</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41,019</w:t>
            </w:r>
          </w:p>
        </w:tc>
        <w:tc>
          <w:tcPr>
            <w:tcW w:w="860" w:type="dxa"/>
            <w:vAlign w:val="bottom"/>
            <w:gridSpan w:val="2"/>
          </w:tcPr>
          <w:p>
            <w:pPr>
              <w:jc w:val="right"/>
              <w:ind w:right="18"/>
              <w:spacing w:after="0"/>
              <w:rPr>
                <w:sz w:val="20"/>
                <w:szCs w:val="20"/>
                <w:color w:val="auto"/>
              </w:rPr>
            </w:pPr>
            <w:r>
              <w:rPr>
                <w:rFonts w:ascii="Arial" w:cs="Arial" w:eastAsia="Arial" w:hAnsi="Arial"/>
                <w:sz w:val="14"/>
                <w:szCs w:val="14"/>
                <w:color w:val="auto"/>
              </w:rPr>
              <w:t>24,180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7/23/1980</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TYSON'S STATION</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388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4,891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493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5,239</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5,732</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4,046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1/17/1978</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VILLAGE AT</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9,761</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14,808</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39,325</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4,234</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59,660</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63,894</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32,191</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3"/>
              </w:rPr>
              <w:t>1940, 2006-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12/21/1995</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SHIRLINGTON (Virginia)</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5" w:name="page96"/>
    <w:bookmarkEnd w:id="95"/>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2020</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COLUMN B</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D</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3"/>
                <w:szCs w:val="13"/>
                <w:b w:val="1"/>
                <w:bCs w:val="1"/>
                <w:color w:val="auto"/>
              </w:rPr>
              <w:t>COLUMN F</w:t>
            </w: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COLUMN I</w:t>
            </w:r>
          </w:p>
        </w:tc>
        <w:tc>
          <w:tcPr>
            <w:tcW w:w="0" w:type="dxa"/>
            <w:vAlign w:val="bottom"/>
          </w:tcPr>
          <w:p>
            <w:pPr>
              <w:spacing w:after="0"/>
              <w:rPr>
                <w:sz w:val="1"/>
                <w:szCs w:val="1"/>
                <w:color w:val="auto"/>
              </w:rPr>
            </w:pPr>
          </w:p>
        </w:tc>
      </w:tr>
      <w:tr>
        <w:trPr>
          <w:trHeight w:val="148"/>
        </w:trPr>
        <w:tc>
          <w:tcPr>
            <w:tcW w:w="1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rPr>
              <w:t>Initial cost to company</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Cost</w:t>
            </w:r>
          </w:p>
        </w:tc>
        <w:tc>
          <w:tcPr>
            <w:tcW w:w="2580" w:type="dxa"/>
            <w:vAlign w:val="bottom"/>
            <w:gridSpan w:val="6"/>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Gross amount at which carried at</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4"/>
              </w:rPr>
              <w:t>close of period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w w:val="94"/>
              </w:rPr>
              <w:t>Capitalized</w:t>
            </w: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ind w:left="20"/>
              <w:spacing w:after="0" w:line="108" w:lineRule="exact"/>
              <w:rPr>
                <w:sz w:val="20"/>
                <w:szCs w:val="20"/>
                <w:color w:val="auto"/>
              </w:rPr>
            </w:pPr>
            <w:r>
              <w:rPr>
                <w:rFonts w:ascii="Arial" w:cs="Arial" w:eastAsia="Arial" w:hAnsi="Arial"/>
                <w:sz w:val="12"/>
                <w:szCs w:val="12"/>
                <w:b w:val="1"/>
                <w:bCs w:val="1"/>
                <w:color w:val="auto"/>
                <w:w w:val="98"/>
              </w:rPr>
              <w:t>Accumulated</w:t>
            </w:r>
          </w:p>
        </w:tc>
        <w:tc>
          <w:tcPr>
            <w:tcW w:w="80" w:type="dxa"/>
            <w:vAlign w:val="bottom"/>
          </w:tcPr>
          <w:p>
            <w:pPr>
              <w:spacing w:after="0"/>
              <w:rPr>
                <w:sz w:val="4"/>
                <w:szCs w:val="4"/>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34"/>
        </w:trPr>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Building and</w:t>
            </w: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Building and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ind w:left="40"/>
              <w:spacing w:after="0" w:line="122" w:lineRule="exact"/>
              <w:rPr>
                <w:sz w:val="20"/>
                <w:szCs w:val="20"/>
                <w:color w:val="auto"/>
              </w:rPr>
            </w:pPr>
            <w:r>
              <w:rPr>
                <w:rFonts w:ascii="Arial" w:cs="Arial" w:eastAsia="Arial" w:hAnsi="Arial"/>
                <w:sz w:val="13"/>
                <w:szCs w:val="13"/>
                <w:b w:val="1"/>
                <w:bCs w:val="1"/>
                <w:color w:val="auto"/>
                <w:w w:val="91"/>
              </w:rPr>
              <w:t>Depreciation</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1"/>
        </w:trPr>
        <w:tc>
          <w:tcPr>
            <w:tcW w:w="17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0" w:type="dxa"/>
            <w:vAlign w:val="bottom"/>
            <w:vMerge w:val="restart"/>
          </w:tcPr>
          <w:p>
            <w:pPr>
              <w:spacing w:after="0"/>
              <w:rPr>
                <w:sz w:val="10"/>
                <w:szCs w:val="10"/>
                <w:color w:val="auto"/>
              </w:rPr>
            </w:pPr>
          </w:p>
        </w:tc>
        <w:tc>
          <w:tcPr>
            <w:tcW w:w="800" w:type="dxa"/>
            <w:vAlign w:val="bottom"/>
            <w:vMerge w:val="restart"/>
          </w:tcPr>
          <w:p>
            <w:pPr>
              <w:spacing w:after="0"/>
              <w:rPr>
                <w:sz w:val="20"/>
                <w:szCs w:val="20"/>
                <w:color w:val="auto"/>
              </w:rPr>
            </w:pPr>
            <w:r>
              <w:rPr>
                <w:rFonts w:ascii="Arial" w:cs="Arial" w:eastAsia="Arial" w:hAnsi="Arial"/>
                <w:sz w:val="13"/>
                <w:szCs w:val="13"/>
                <w:b w:val="1"/>
                <w:bCs w:val="1"/>
                <w:color w:val="auto"/>
                <w:w w:val="90"/>
              </w:rPr>
              <w:t>Encumbrance</w:t>
            </w:r>
          </w:p>
        </w:tc>
        <w:tc>
          <w:tcPr>
            <w:tcW w:w="80" w:type="dxa"/>
            <w:vAlign w:val="bottom"/>
            <w:vMerge w:val="restart"/>
          </w:tcPr>
          <w:p>
            <w:pPr>
              <w:spacing w:after="0"/>
              <w:rPr>
                <w:sz w:val="10"/>
                <w:szCs w:val="10"/>
                <w:color w:val="auto"/>
              </w:rPr>
            </w:pPr>
          </w:p>
        </w:tc>
        <w:tc>
          <w:tcPr>
            <w:tcW w:w="76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to</w:t>
            </w:r>
          </w:p>
        </w:tc>
        <w:tc>
          <w:tcPr>
            <w:tcW w:w="76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6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80" w:type="dxa"/>
            <w:vAlign w:val="bottom"/>
            <w:vMerge w:val="restart"/>
          </w:tcPr>
          <w:p>
            <w:pPr>
              <w:spacing w:after="0"/>
              <w:rPr>
                <w:sz w:val="10"/>
                <w:szCs w:val="10"/>
                <w:color w:val="auto"/>
              </w:rPr>
            </w:pPr>
          </w:p>
        </w:tc>
        <w:tc>
          <w:tcPr>
            <w:tcW w:w="780" w:type="dxa"/>
            <w:vAlign w:val="bottom"/>
          </w:tcPr>
          <w:p>
            <w:pPr>
              <w:jc w:val="right"/>
              <w:ind w:right="232"/>
              <w:spacing w:after="0" w:line="122" w:lineRule="exact"/>
              <w:rPr>
                <w:sz w:val="20"/>
                <w:szCs w:val="20"/>
                <w:color w:val="auto"/>
              </w:rPr>
            </w:pPr>
            <w:r>
              <w:rPr>
                <w:rFonts w:ascii="Arial" w:cs="Arial" w:eastAsia="Arial" w:hAnsi="Arial"/>
                <w:sz w:val="13"/>
                <w:szCs w:val="13"/>
                <w:b w:val="1"/>
                <w:bCs w:val="1"/>
                <w:color w:val="auto"/>
              </w:rPr>
              <w:t>and</w:t>
            </w: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of</w:t>
            </w:r>
          </w:p>
        </w:tc>
        <w:tc>
          <w:tcPr>
            <w:tcW w:w="820" w:type="dxa"/>
            <w:vAlign w:val="bottom"/>
            <w:gridSpan w:val="2"/>
            <w:vMerge w:val="continue"/>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Acquisition</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3"/>
              </w:rPr>
              <w:t>Amortization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Construction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34"/>
        </w:trPr>
        <w:tc>
          <w:tcPr>
            <w:tcW w:w="178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WESTGATE CENTER</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6,319</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107,284</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43,851</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6,319</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151,135</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157,454</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66,806</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1960-1966</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3/31/2004</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WHITE MARSH PLAZA</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3,478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21,413</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1,497</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3,488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22,900</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26,388</w:t>
            </w:r>
          </w:p>
        </w:tc>
        <w:tc>
          <w:tcPr>
            <w:tcW w:w="80" w:type="dxa"/>
            <w:vAlign w:val="bottom"/>
          </w:tcPr>
          <w:p>
            <w:pPr>
              <w:spacing w:after="0"/>
              <w:rPr>
                <w:sz w:val="11"/>
                <w:szCs w:val="11"/>
                <w:color w:val="auto"/>
              </w:rPr>
            </w:pPr>
          </w:p>
        </w:tc>
        <w:tc>
          <w:tcPr>
            <w:tcW w:w="780" w:type="dxa"/>
            <w:vAlign w:val="bottom"/>
            <w:vMerge w:val="restart"/>
          </w:tcPr>
          <w:p>
            <w:pPr>
              <w:jc w:val="right"/>
              <w:ind w:right="12"/>
              <w:spacing w:after="0"/>
              <w:rPr>
                <w:sz w:val="20"/>
                <w:szCs w:val="20"/>
                <w:color w:val="auto"/>
              </w:rPr>
            </w:pPr>
            <w:r>
              <w:rPr>
                <w:rFonts w:ascii="Arial" w:cs="Arial" w:eastAsia="Arial" w:hAnsi="Arial"/>
                <w:sz w:val="14"/>
                <w:szCs w:val="14"/>
                <w:color w:val="auto"/>
              </w:rPr>
              <w:t>10,402</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1987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3/8/2007</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86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WHITE MARSH OTHER</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29,724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1,843</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29,754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31,715</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968</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60" w:type="dxa"/>
            <w:vAlign w:val="bottom"/>
            <w:gridSpan w:val="2"/>
          </w:tcPr>
          <w:p>
            <w:pPr>
              <w:ind w:left="20"/>
              <w:spacing w:after="0"/>
              <w:rPr>
                <w:sz w:val="20"/>
                <w:szCs w:val="20"/>
                <w:color w:val="auto"/>
              </w:rPr>
            </w:pPr>
            <w:r>
              <w:rPr>
                <w:rFonts w:ascii="Arial" w:cs="Arial" w:eastAsia="Arial" w:hAnsi="Arial"/>
                <w:sz w:val="14"/>
                <w:szCs w:val="14"/>
                <w:color w:val="auto"/>
              </w:rPr>
              <w:t>WILDWOOD (Maryland)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9,111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17,271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9,111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18,332</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27,443</w:t>
            </w:r>
          </w:p>
        </w:tc>
        <w:tc>
          <w:tcPr>
            <w:tcW w:w="80" w:type="dxa"/>
            <w:vAlign w:val="bottom"/>
          </w:tcPr>
          <w:p>
            <w:pPr>
              <w:spacing w:after="0"/>
              <w:rPr>
                <w:sz w:val="16"/>
                <w:szCs w:val="16"/>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9,723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1958</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5/5/1969</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8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WILLOW GROVE</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1,499</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6,643</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21,131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1,499</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27,774</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29,273</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26,734</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1953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11/20/1984</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60" w:type="dxa"/>
            <w:vAlign w:val="bottom"/>
            <w:gridSpan w:val="2"/>
          </w:tcPr>
          <w:p>
            <w:pPr>
              <w:ind w:left="20"/>
              <w:spacing w:after="0"/>
              <w:rPr>
                <w:sz w:val="20"/>
                <w:szCs w:val="20"/>
                <w:color w:val="auto"/>
              </w:rPr>
            </w:pPr>
            <w:r>
              <w:rPr>
                <w:rFonts w:ascii="Arial" w:cs="Arial" w:eastAsia="Arial" w:hAnsi="Arial"/>
                <w:sz w:val="14"/>
                <w:szCs w:val="14"/>
                <w:color w:val="auto"/>
              </w:rPr>
              <w:t>WILLOW LAWN (Virginia)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3,192</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7,723</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93,859</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7,790</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96,984</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104,774</w:t>
            </w:r>
          </w:p>
        </w:tc>
        <w:tc>
          <w:tcPr>
            <w:tcW w:w="80" w:type="dxa"/>
            <w:vAlign w:val="bottom"/>
          </w:tcPr>
          <w:p>
            <w:pPr>
              <w:spacing w:after="0"/>
              <w:rPr>
                <w:sz w:val="16"/>
                <w:szCs w:val="16"/>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65,247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1957</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12/5/1983</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8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WYNNEWOOD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8,055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13,759</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20,822</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8,055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34,581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42,636</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26,423</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1948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10/29/1996</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gridSpan w:val="2"/>
          </w:tcPr>
          <w:p>
            <w:pPr>
              <w:ind w:left="20"/>
              <w:spacing w:after="0"/>
              <w:rPr>
                <w:sz w:val="20"/>
                <w:szCs w:val="20"/>
                <w:color w:val="auto"/>
              </w:rPr>
            </w:pPr>
            <w:r>
              <w:rPr>
                <w:rFonts w:ascii="Arial" w:cs="Arial" w:eastAsia="Arial" w:hAnsi="Arial"/>
                <w:sz w:val="14"/>
                <w:szCs w:val="14"/>
                <w:color w:val="auto"/>
              </w:rPr>
              <w:t>TOTALS</w:t>
            </w: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484,111</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$ 1,387,748</w:t>
            </w: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  2,493,283</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$ 4,701,839</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$ 1,374,797</w:t>
            </w: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  7,208,073</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$ 8,582,870</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1"/>
              </w:rPr>
              <w:t>$ 2,357,692</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460" w:right="1660" w:hanging="5128"/>
        <w:spacing w:after="0" w:line="919" w:lineRule="auto"/>
        <w:tabs>
          <w:tab w:leader="none" w:pos="656"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Depreciation of building and improvements is calculated based on useful lives ranging from the life of the lease to 50 years. 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6" w:name="page97"/>
    <w:bookmarkEnd w:id="96"/>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Years Ended 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Total Cost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2017</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7,635,061</w:t>
            </w:r>
          </w:p>
        </w:tc>
      </w:tr>
      <w:tr>
        <w:trPr>
          <w:trHeight w:val="230"/>
        </w:trPr>
        <w:tc>
          <w:tcPr>
            <w:tcW w:w="9880" w:type="dxa"/>
            <w:vAlign w:val="bottom"/>
          </w:tcPr>
          <w:p>
            <w:pPr>
              <w:ind w:left="220"/>
              <w:spacing w:after="0"/>
              <w:rPr>
                <w:sz w:val="20"/>
                <w:szCs w:val="20"/>
                <w:color w:val="auto"/>
              </w:rPr>
            </w:pPr>
            <w:r>
              <w:rPr>
                <w:rFonts w:ascii="Arial" w:cs="Arial" w:eastAsia="Arial" w:hAnsi="Arial"/>
                <w:sz w:val="18"/>
                <w:szCs w:val="18"/>
                <w:color w:val="auto"/>
              </w:rPr>
              <w:t>Additions during period</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14,940</w:t>
            </w:r>
          </w:p>
        </w:tc>
      </w:tr>
      <w:tr>
        <w:trPr>
          <w:trHeight w:val="229"/>
        </w:trPr>
        <w:tc>
          <w:tcPr>
            <w:tcW w:w="9880" w:type="dxa"/>
            <w:vAlign w:val="bottom"/>
          </w:tcPr>
          <w:p>
            <w:pPr>
              <w:ind w:left="460"/>
              <w:spacing w:after="0"/>
              <w:rPr>
                <w:sz w:val="20"/>
                <w:szCs w:val="20"/>
                <w:color w:val="auto"/>
              </w:rPr>
            </w:pPr>
            <w:r>
              <w:rPr>
                <w:rFonts w:ascii="Arial" w:cs="Arial" w:eastAsia="Arial" w:hAnsi="Arial"/>
                <w:sz w:val="18"/>
                <w:szCs w:val="18"/>
                <w:color w:val="auto"/>
              </w:rPr>
              <w:t>Improvements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407,225</w:t>
            </w: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(237,754)</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2018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7,819,472</w:t>
            </w: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1, 2019 adoption of new accounting standard - See Note 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(71,859)</w:t>
            </w:r>
          </w:p>
        </w:tc>
      </w:tr>
      <w:tr>
        <w:trPr>
          <w:trHeight w:val="229"/>
        </w:trPr>
        <w:tc>
          <w:tcPr>
            <w:tcW w:w="9880" w:type="dxa"/>
            <w:vAlign w:val="bottom"/>
          </w:tcPr>
          <w:p>
            <w:pPr>
              <w:ind w:left="220"/>
              <w:spacing w:after="0"/>
              <w:rPr>
                <w:sz w:val="20"/>
                <w:szCs w:val="20"/>
                <w:color w:val="auto"/>
              </w:rPr>
            </w:pPr>
            <w:r>
              <w:rPr>
                <w:rFonts w:ascii="Arial" w:cs="Arial" w:eastAsia="Arial" w:hAnsi="Arial"/>
                <w:sz w:val="18"/>
                <w:szCs w:val="18"/>
                <w:color w:val="auto"/>
              </w:rPr>
              <w:t>Additions during period</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309,921</w:t>
            </w:r>
          </w:p>
        </w:tc>
      </w:tr>
      <w:tr>
        <w:trPr>
          <w:trHeight w:val="230"/>
        </w:trPr>
        <w:tc>
          <w:tcPr>
            <w:tcW w:w="9880" w:type="dxa"/>
            <w:vAlign w:val="bottom"/>
          </w:tcPr>
          <w:p>
            <w:pPr>
              <w:ind w:left="460"/>
              <w:spacing w:after="0"/>
              <w:rPr>
                <w:sz w:val="20"/>
                <w:szCs w:val="20"/>
                <w:color w:val="auto"/>
              </w:rPr>
            </w:pPr>
            <w:r>
              <w:rPr>
                <w:rFonts w:ascii="Arial" w:cs="Arial" w:eastAsia="Arial" w:hAnsi="Arial"/>
                <w:sz w:val="18"/>
                <w:szCs w:val="18"/>
                <w:color w:val="auto"/>
              </w:rPr>
              <w:t>Improvements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441,703</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(201,105)</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8,298,132</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during period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9880" w:type="dxa"/>
            <w:vAlign w:val="bottom"/>
          </w:tcPr>
          <w:p>
            <w:pPr>
              <w:ind w:left="46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39,440</w:t>
            </w:r>
          </w:p>
        </w:tc>
      </w:tr>
      <w:tr>
        <w:trPr>
          <w:trHeight w:val="229"/>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Improvements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473,679</w:t>
            </w:r>
          </w:p>
        </w:tc>
      </w:tr>
      <w:tr>
        <w:trPr>
          <w:trHeight w:val="229"/>
        </w:trPr>
        <w:tc>
          <w:tcPr>
            <w:tcW w:w="9880" w:type="dxa"/>
            <w:vAlign w:val="bottom"/>
          </w:tcPr>
          <w:p>
            <w:pPr>
              <w:ind w:left="220"/>
              <w:spacing w:after="0"/>
              <w:rPr>
                <w:sz w:val="20"/>
                <w:szCs w:val="20"/>
                <w:color w:val="auto"/>
              </w:rPr>
            </w:pPr>
            <w:r>
              <w:rPr>
                <w:rFonts w:ascii="Arial" w:cs="Arial" w:eastAsia="Arial" w:hAnsi="Arial"/>
                <w:sz w:val="18"/>
                <w:szCs w:val="18"/>
                <w:color w:val="auto"/>
              </w:rPr>
              <w:t>Deductions during period</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Impairment of property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(68,484)</w:t>
            </w:r>
          </w:p>
        </w:tc>
      </w:tr>
      <w:tr>
        <w:trPr>
          <w:trHeight w:val="229"/>
        </w:trPr>
        <w:tc>
          <w:tcPr>
            <w:tcW w:w="98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Dispositions and retirement of property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(159,897)</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 (1)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8,582,870</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 For Federal tax purposes, the aggregate cost basis is approximately $7.7 billion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7" w:name="page98"/>
    <w:bookmarkEnd w:id="97"/>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Years Ended 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Accumulated Depreciation and Amortization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2017</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1,876,544</w:t>
            </w:r>
          </w:p>
        </w:tc>
      </w:tr>
      <w:tr>
        <w:trPr>
          <w:trHeight w:val="230"/>
        </w:trPr>
        <w:tc>
          <w:tcPr>
            <w:tcW w:w="9880" w:type="dxa"/>
            <w:vAlign w:val="bottom"/>
          </w:tcPr>
          <w:p>
            <w:pPr>
              <w:ind w:left="22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215,969</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(33,370)</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2018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2,059,143</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1, 2019 adoption of new accounting standard - See Note 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(18,173)</w:t>
            </w:r>
          </w:p>
        </w:tc>
      </w:tr>
      <w:tr>
        <w:trPr>
          <w:trHeight w:val="229"/>
        </w:trPr>
        <w:tc>
          <w:tcPr>
            <w:tcW w:w="9880" w:type="dxa"/>
            <w:vAlign w:val="bottom"/>
          </w:tcPr>
          <w:p>
            <w:pPr>
              <w:ind w:left="22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215,382</w:t>
            </w: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(40,939)</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2,215,413</w:t>
            </w: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229,199</w:t>
            </w:r>
          </w:p>
        </w:tc>
      </w:tr>
      <w:tr>
        <w:trPr>
          <w:trHeight w:val="229"/>
        </w:trPr>
        <w:tc>
          <w:tcPr>
            <w:tcW w:w="9880" w:type="dxa"/>
            <w:vAlign w:val="bottom"/>
          </w:tcPr>
          <w:p>
            <w:pPr>
              <w:ind w:left="220"/>
              <w:spacing w:after="0"/>
              <w:rPr>
                <w:sz w:val="20"/>
                <w:szCs w:val="20"/>
                <w:color w:val="auto"/>
              </w:rPr>
            </w:pPr>
            <w:r>
              <w:rPr>
                <w:rFonts w:ascii="Arial" w:cs="Arial" w:eastAsia="Arial" w:hAnsi="Arial"/>
                <w:sz w:val="18"/>
                <w:szCs w:val="18"/>
                <w:color w:val="auto"/>
              </w:rPr>
              <w:t>Deductions during period</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Impairment of property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(11,631)</w:t>
            </w:r>
          </w:p>
        </w:tc>
      </w:tr>
      <w:tr>
        <w:trPr>
          <w:trHeight w:val="230"/>
        </w:trPr>
        <w:tc>
          <w:tcPr>
            <w:tcW w:w="98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Dispositions and retirements of property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(75,289)</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2,357,692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8" w:name="page99"/>
    <w:bookmarkEnd w:id="98"/>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 Ended December 31, 2020</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gridSpan w:val="2"/>
          </w:tcPr>
          <w:p>
            <w:pPr>
              <w:ind w:left="440"/>
              <w:spacing w:after="0"/>
              <w:rPr>
                <w:sz w:val="20"/>
                <w:szCs w:val="20"/>
                <w:color w:val="auto"/>
              </w:rPr>
            </w:pPr>
            <w:r>
              <w:rPr>
                <w:rFonts w:ascii="Arial" w:cs="Arial" w:eastAsia="Arial" w:hAnsi="Arial"/>
                <w:sz w:val="14"/>
                <w:szCs w:val="14"/>
                <w:b w:val="1"/>
                <w:bCs w:val="1"/>
                <w:color w:val="auto"/>
              </w:rPr>
              <w:t>Column A</w:t>
            </w: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Column B</w:t>
            </w: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Column C</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Column D</w:t>
            </w:r>
          </w:p>
        </w:tc>
        <w:tc>
          <w:tcPr>
            <w:tcW w:w="140" w:type="dxa"/>
            <w:vAlign w:val="bottom"/>
          </w:tcPr>
          <w:p>
            <w:pPr>
              <w:spacing w:after="0"/>
              <w:rPr>
                <w:sz w:val="16"/>
                <w:szCs w:val="16"/>
                <w:color w:val="auto"/>
              </w:rPr>
            </w:pPr>
          </w:p>
        </w:tc>
        <w:tc>
          <w:tcPr>
            <w:tcW w:w="11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Column E</w:t>
            </w:r>
          </w:p>
        </w:tc>
        <w:tc>
          <w:tcPr>
            <w:tcW w:w="14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Column F</w:t>
            </w:r>
          </w:p>
        </w:tc>
        <w:tc>
          <w:tcPr>
            <w:tcW w:w="140" w:type="dxa"/>
            <w:vAlign w:val="bottom"/>
          </w:tcPr>
          <w:p>
            <w:pPr>
              <w:spacing w:after="0"/>
              <w:rPr>
                <w:sz w:val="16"/>
                <w:szCs w:val="16"/>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Column G</w:t>
            </w:r>
          </w:p>
        </w:tc>
        <w:tc>
          <w:tcPr>
            <w:tcW w:w="140" w:type="dxa"/>
            <w:vAlign w:val="bottom"/>
          </w:tcPr>
          <w:p>
            <w:pPr>
              <w:spacing w:after="0"/>
              <w:rPr>
                <w:sz w:val="16"/>
                <w:szCs w:val="16"/>
                <w:color w:val="auto"/>
              </w:rPr>
            </w:pPr>
          </w:p>
        </w:tc>
        <w:tc>
          <w:tcPr>
            <w:tcW w:w="84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Column H</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43"/>
              <w:spacing w:after="0" w:line="135" w:lineRule="exact"/>
              <w:rPr>
                <w:sz w:val="20"/>
                <w:szCs w:val="20"/>
                <w:color w:val="auto"/>
              </w:rPr>
            </w:pPr>
            <w:r>
              <w:rPr>
                <w:rFonts w:ascii="Arial" w:cs="Arial" w:eastAsia="Arial" w:hAnsi="Arial"/>
                <w:sz w:val="14"/>
                <w:szCs w:val="14"/>
                <w:b w:val="1"/>
                <w:bCs w:val="1"/>
                <w:color w:val="auto"/>
                <w:w w:val="94"/>
              </w:rPr>
              <w:t>Principal</w:t>
            </w:r>
          </w:p>
        </w:tc>
        <w:tc>
          <w:tcPr>
            <w:tcW w:w="3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63"/>
              <w:spacing w:after="0" w:line="135" w:lineRule="exact"/>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63"/>
              <w:spacing w:after="0" w:line="135" w:lineRule="exact"/>
              <w:rPr>
                <w:sz w:val="20"/>
                <w:szCs w:val="20"/>
                <w:color w:val="auto"/>
              </w:rPr>
            </w:pPr>
            <w:r>
              <w:rPr>
                <w:rFonts w:ascii="Arial" w:cs="Arial" w:eastAsia="Arial" w:hAnsi="Arial"/>
                <w:sz w:val="14"/>
                <w:szCs w:val="14"/>
                <w:b w:val="1"/>
                <w:bCs w:val="1"/>
                <w:color w:val="auto"/>
                <w:w w:val="92"/>
              </w:rPr>
              <w:t>of Loans</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840" w:type="dxa"/>
            <w:vAlign w:val="bottom"/>
          </w:tcPr>
          <w:p>
            <w:pPr>
              <w:jc w:val="center"/>
              <w:ind w:right="63"/>
              <w:spacing w:after="0" w:line="135" w:lineRule="exact"/>
              <w:rPr>
                <w:sz w:val="20"/>
                <w:szCs w:val="20"/>
                <w:color w:val="auto"/>
              </w:rPr>
            </w:pPr>
            <w:r>
              <w:rPr>
                <w:rFonts w:ascii="Arial" w:cs="Arial" w:eastAsia="Arial" w:hAnsi="Arial"/>
                <w:sz w:val="14"/>
                <w:szCs w:val="14"/>
                <w:b w:val="1"/>
                <w:bCs w:val="1"/>
                <w:color w:val="auto"/>
                <w:w w:val="91"/>
              </w:rPr>
              <w:t>Subject to</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Periodic Payment</w:t>
            </w:r>
          </w:p>
        </w:tc>
        <w:tc>
          <w:tcPr>
            <w:tcW w:w="140" w:type="dxa"/>
            <w:vAlign w:val="bottom"/>
          </w:tcPr>
          <w:p>
            <w:pPr>
              <w:spacing w:after="0"/>
              <w:rPr>
                <w:sz w:val="11"/>
                <w:szCs w:val="11"/>
                <w:color w:val="auto"/>
              </w:rPr>
            </w:pPr>
          </w:p>
        </w:tc>
        <w:tc>
          <w:tcPr>
            <w:tcW w:w="700" w:type="dxa"/>
            <w:vAlign w:val="bottom"/>
            <w:gridSpan w:val="2"/>
            <w:vMerge w:val="restart"/>
          </w:tcPr>
          <w:p>
            <w:pPr>
              <w:jc w:val="center"/>
              <w:ind w:left="141"/>
              <w:spacing w:after="0"/>
              <w:rPr>
                <w:sz w:val="20"/>
                <w:szCs w:val="20"/>
                <w:color w:val="auto"/>
              </w:rPr>
            </w:pPr>
            <w:r>
              <w:rPr>
                <w:rFonts w:ascii="Arial" w:cs="Arial" w:eastAsia="Arial" w:hAnsi="Arial"/>
                <w:sz w:val="14"/>
                <w:szCs w:val="14"/>
                <w:b w:val="1"/>
                <w:bCs w:val="1"/>
                <w:color w:val="auto"/>
                <w:w w:val="97"/>
              </w:rPr>
              <w:t>Prior</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Face Amount</w:t>
            </w:r>
          </w:p>
        </w:tc>
        <w:tc>
          <w:tcPr>
            <w:tcW w:w="14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63"/>
              <w:spacing w:after="0" w:line="135" w:lineRule="exact"/>
              <w:rPr>
                <w:sz w:val="20"/>
                <w:szCs w:val="20"/>
                <w:color w:val="auto"/>
              </w:rPr>
            </w:pPr>
            <w:r>
              <w:rPr>
                <w:rFonts w:ascii="Arial" w:cs="Arial" w:eastAsia="Arial" w:hAnsi="Arial"/>
                <w:sz w:val="14"/>
                <w:szCs w:val="14"/>
                <w:b w:val="1"/>
                <w:bCs w:val="1"/>
                <w:color w:val="auto"/>
                <w:w w:val="93"/>
              </w:rPr>
              <w:t>delinquent</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Lien</w:t>
            </w:r>
          </w:p>
        </w:tc>
        <w:tc>
          <w:tcPr>
            <w:tcW w:w="120" w:type="dxa"/>
            <w:vAlign w:val="bottom"/>
            <w:vMerge w:val="restart"/>
          </w:tcPr>
          <w:p>
            <w:pPr>
              <w:spacing w:after="0"/>
              <w:rPr>
                <w:sz w:val="11"/>
                <w:szCs w:val="11"/>
                <w:color w:val="auto"/>
              </w:rPr>
            </w:pPr>
          </w:p>
        </w:tc>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vMerge w:val="restart"/>
          </w:tcPr>
          <w:p>
            <w:pPr>
              <w:spacing w:after="0"/>
              <w:rPr>
                <w:sz w:val="11"/>
                <w:szCs w:val="11"/>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vMerge w:val="restart"/>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1"/>
                <w:szCs w:val="11"/>
                <w:color w:val="auto"/>
              </w:rPr>
            </w:pPr>
          </w:p>
        </w:tc>
        <w:tc>
          <w:tcPr>
            <w:tcW w:w="840" w:type="dxa"/>
            <w:vAlign w:val="bottom"/>
          </w:tcPr>
          <w:p>
            <w:pPr>
              <w:jc w:val="center"/>
              <w:ind w:right="43"/>
              <w:spacing w:after="0" w:line="135" w:lineRule="exact"/>
              <w:rPr>
                <w:sz w:val="20"/>
                <w:szCs w:val="20"/>
                <w:color w:val="auto"/>
              </w:rPr>
            </w:pPr>
            <w:r>
              <w:rPr>
                <w:rFonts w:ascii="Arial" w:cs="Arial" w:eastAsia="Arial" w:hAnsi="Arial"/>
                <w:sz w:val="14"/>
                <w:szCs w:val="14"/>
                <w:b w:val="1"/>
                <w:bCs w:val="1"/>
                <w:color w:val="auto"/>
                <w:w w:val="94"/>
              </w:rPr>
              <w:t>Principal</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center"/>
              <w:ind w:left="161"/>
              <w:spacing w:after="0"/>
              <w:rPr>
                <w:sz w:val="20"/>
                <w:szCs w:val="20"/>
                <w:color w:val="auto"/>
              </w:rPr>
            </w:pPr>
            <w:r>
              <w:rPr>
                <w:rFonts w:ascii="Arial" w:cs="Arial" w:eastAsia="Arial" w:hAnsi="Arial"/>
                <w:sz w:val="14"/>
                <w:szCs w:val="14"/>
                <w:b w:val="1"/>
                <w:bCs w:val="1"/>
                <w:color w:val="auto"/>
                <w:w w:val="92"/>
              </w:rPr>
              <w:t>Liens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3"/>
              </w:rPr>
              <w:t>of Mortgages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of Mortgages(1)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or Interest</w:t>
            </w:r>
          </w:p>
        </w:tc>
        <w:tc>
          <w:tcPr>
            <w:tcW w:w="3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62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rPr>
              <w:t>Mortgage on</w:t>
            </w:r>
          </w:p>
        </w:tc>
        <w:tc>
          <w:tcPr>
            <w:tcW w:w="122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rPr>
              <w:t>8% or 10%</w:t>
            </w:r>
          </w:p>
        </w:tc>
        <w:tc>
          <w:tcPr>
            <w:tcW w:w="130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rPr>
              <w:t>May 2021</w:t>
            </w:r>
          </w:p>
        </w:tc>
        <w:tc>
          <w:tcPr>
            <w:tcW w:w="158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rPr>
              <w:t>Interest only</w:t>
            </w:r>
          </w:p>
        </w:tc>
        <w:tc>
          <w:tcPr>
            <w:tcW w:w="1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40"/>
              <w:spacing w:after="0" w:line="161"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21,872</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220"/>
              <w:spacing w:after="0" w:line="161" w:lineRule="exact"/>
              <w:rPr>
                <w:sz w:val="20"/>
                <w:szCs w:val="20"/>
                <w:color w:val="auto"/>
              </w:rPr>
            </w:pPr>
            <w:r>
              <w:rPr>
                <w:rFonts w:ascii="Arial" w:cs="Arial" w:eastAsia="Arial" w:hAnsi="Arial"/>
                <w:sz w:val="16"/>
                <w:szCs w:val="16"/>
                <w:color w:val="auto"/>
              </w:rPr>
              <w:t>21,082   (2)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21,082</w:t>
            </w:r>
          </w:p>
        </w:tc>
        <w:tc>
          <w:tcPr>
            <w:tcW w:w="380" w:type="dxa"/>
            <w:vAlign w:val="bottom"/>
            <w:shd w:val="clear" w:color="auto" w:fill="CCEEFF"/>
          </w:tcPr>
          <w:p>
            <w:pPr>
              <w:jc w:val="right"/>
              <w:ind w:right="79"/>
              <w:spacing w:after="0" w:line="16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2"/>
        </w:trPr>
        <w:tc>
          <w:tcPr>
            <w:tcW w:w="16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retail buildings in</w:t>
            </w:r>
          </w:p>
        </w:tc>
        <w:tc>
          <w:tcPr>
            <w:tcW w:w="12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based on</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monthly; balloon</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Philadelphia, PA</w:t>
            </w:r>
          </w:p>
        </w:tc>
        <w:tc>
          <w:tcPr>
            <w:tcW w:w="12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timing of</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payment due</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draws, plus</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at maturity</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participation</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6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Mortgage on retail</w:t>
            </w:r>
          </w:p>
        </w:tc>
        <w:tc>
          <w:tcPr>
            <w:tcW w:w="12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10% plus</w:t>
            </w:r>
          </w:p>
        </w:tc>
        <w:tc>
          <w:tcPr>
            <w:tcW w:w="13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May 2021</w:t>
            </w:r>
          </w:p>
        </w:tc>
        <w:tc>
          <w:tcPr>
            <w:tcW w:w="15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Interest only</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line="166"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6"/>
                <w:szCs w:val="16"/>
                <w:color w:val="auto"/>
              </w:rPr>
              <w:t>9,250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6"/>
                <w:szCs w:val="16"/>
                <w:color w:val="auto"/>
              </w:rPr>
              <w:t>9,250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6"/>
                <w:szCs w:val="16"/>
                <w:color w:val="auto"/>
              </w:rPr>
              <w:t>9,250</w:t>
            </w:r>
          </w:p>
        </w:tc>
        <w:tc>
          <w:tcPr>
            <w:tcW w:w="380" w:type="dxa"/>
            <w:vAlign w:val="bottom"/>
          </w:tcPr>
          <w:p>
            <w:pPr>
              <w:jc w:val="right"/>
              <w:ind w:right="79"/>
              <w:spacing w:after="0" w:line="16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2"/>
        </w:trPr>
        <w:tc>
          <w:tcPr>
            <w:tcW w:w="16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buildings in</w:t>
            </w:r>
          </w:p>
        </w:tc>
        <w:tc>
          <w:tcPr>
            <w:tcW w:w="12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participation</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monthly;</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Philadelphia, PA</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balloon payment due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color w:val="auto"/>
              </w:rPr>
              <w:t>at maturity</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62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w w:val="97"/>
              </w:rPr>
              <w:t>Second mortgage on a</w:t>
            </w:r>
          </w:p>
        </w:tc>
        <w:tc>
          <w:tcPr>
            <w:tcW w:w="11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February 2026</w:t>
            </w:r>
          </w:p>
        </w:tc>
        <w:tc>
          <w:tcPr>
            <w:tcW w:w="158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Interest only</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58,750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59"/>
              <w:spacing w:after="0" w:line="178" w:lineRule="exact"/>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5,075</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5,075</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62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6"/>
                <w:szCs w:val="16"/>
                <w:color w:val="auto"/>
              </w:rPr>
              <w:t>retail shopping center</w:t>
            </w: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6"/>
                <w:szCs w:val="16"/>
                <w:color w:val="auto"/>
              </w:rPr>
              <w:t>monthly;</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in Rockville, MD</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balloon payment due</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at maturity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line="175" w:lineRule="exact"/>
              <w:rPr>
                <w:sz w:val="20"/>
                <w:szCs w:val="20"/>
                <w:color w:val="auto"/>
              </w:rPr>
            </w:pPr>
            <w:r>
              <w:rPr>
                <w:rFonts w:ascii="Arial" w:cs="Arial" w:eastAsia="Arial" w:hAnsi="Arial"/>
                <w:sz w:val="16"/>
                <w:szCs w:val="16"/>
                <w:color w:val="auto"/>
                <w:w w:val="97"/>
              </w:rPr>
              <w:t>Second mortgage on a</w:t>
            </w:r>
          </w:p>
        </w:tc>
        <w:tc>
          <w:tcPr>
            <w:tcW w:w="1120" w:type="dxa"/>
            <w:vAlign w:val="bottom"/>
          </w:tcPr>
          <w:p>
            <w:pPr>
              <w:ind w:left="20"/>
              <w:spacing w:after="0" w:line="175" w:lineRule="exact"/>
              <w:rPr>
                <w:sz w:val="20"/>
                <w:szCs w:val="20"/>
                <w:color w:val="auto"/>
              </w:rPr>
            </w:pPr>
            <w:r>
              <w:rPr>
                <w:rFonts w:ascii="Arial" w:cs="Arial" w:eastAsia="Arial" w:hAnsi="Arial"/>
                <w:sz w:val="16"/>
                <w:szCs w:val="16"/>
                <w:color w:val="auto"/>
              </w:rPr>
              <w:t>10.75%</w:t>
            </w:r>
          </w:p>
        </w:tc>
        <w:tc>
          <w:tcPr>
            <w:tcW w:w="100" w:type="dxa"/>
            <w:vAlign w:val="bottom"/>
          </w:tcPr>
          <w:p>
            <w:pPr>
              <w:spacing w:after="0"/>
              <w:rPr>
                <w:sz w:val="15"/>
                <w:szCs w:val="15"/>
                <w:color w:val="auto"/>
              </w:rPr>
            </w:pPr>
          </w:p>
        </w:tc>
        <w:tc>
          <w:tcPr>
            <w:tcW w:w="130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February 2026</w:t>
            </w:r>
          </w:p>
        </w:tc>
        <w:tc>
          <w:tcPr>
            <w:tcW w:w="158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Interest only</w:t>
            </w:r>
          </w:p>
        </w:tc>
        <w:tc>
          <w:tcPr>
            <w:tcW w:w="14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w w:val="98"/>
              </w:rPr>
              <w:t>58,750</w:t>
            </w:r>
          </w:p>
        </w:tc>
        <w:tc>
          <w:tcPr>
            <w:tcW w:w="80" w:type="dxa"/>
            <w:vAlign w:val="bottom"/>
          </w:tcPr>
          <w:p>
            <w:pPr>
              <w:spacing w:after="0"/>
              <w:rPr>
                <w:sz w:val="15"/>
                <w:szCs w:val="15"/>
                <w:color w:val="auto"/>
              </w:rPr>
            </w:pPr>
          </w:p>
        </w:tc>
        <w:tc>
          <w:tcPr>
            <w:tcW w:w="380" w:type="dxa"/>
            <w:vAlign w:val="bottom"/>
          </w:tcPr>
          <w:p>
            <w:pPr>
              <w:jc w:val="right"/>
              <w:ind w:right="59"/>
              <w:spacing w:after="0" w:line="175" w:lineRule="exact"/>
              <w:rPr>
                <w:sz w:val="20"/>
                <w:szCs w:val="20"/>
                <w:color w:val="auto"/>
              </w:rPr>
            </w:pPr>
            <w:r>
              <w:rPr>
                <w:rFonts w:ascii="Arial" w:cs="Arial" w:eastAsia="Arial" w:hAnsi="Arial"/>
                <w:sz w:val="16"/>
                <w:szCs w:val="16"/>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4,500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Arial" w:cs="Arial" w:eastAsia="Arial" w:hAnsi="Arial"/>
                <w:sz w:val="16"/>
                <w:szCs w:val="16"/>
                <w:color w:val="auto"/>
              </w:rPr>
              <w:t>4,485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62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retail shopping center</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monthly;</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in Rockville, MD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balloon payment due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at maturity</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58,750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40,697</w:t>
            </w: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39,892</w:t>
            </w: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30,332</w:t>
            </w:r>
          </w:p>
        </w:tc>
        <w:tc>
          <w:tcPr>
            <w:tcW w:w="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340" w:right="80" w:hanging="332"/>
        <w:spacing w:after="0" w:line="249"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Federal tax purposes, the aggregate tax basis is approximately $40.7 million as of December 31, 2020. Upon the adoption of ASU 2016-13, we recorded expected losses related to these loans, and are required to do so going forward. See note 2 to the consolidated financial statements.</w:t>
      </w:r>
    </w:p>
    <w:p>
      <w:pPr>
        <w:ind w:left="340" w:hanging="332"/>
        <w:spacing w:after="0"/>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This mortgage is available for up to $25.0 million.</w:t>
      </w:r>
    </w:p>
    <w:p>
      <w:pPr>
        <w:spacing w:after="0" w:line="5" w:lineRule="exact"/>
        <w:rPr>
          <w:rFonts w:ascii="Arial" w:cs="Arial" w:eastAsia="Arial" w:hAnsi="Arial"/>
          <w:sz w:val="16"/>
          <w:szCs w:val="16"/>
          <w:color w:val="auto"/>
        </w:rPr>
      </w:pPr>
    </w:p>
    <w:p>
      <w:pPr>
        <w:ind w:left="340" w:right="80" w:hanging="332"/>
        <w:spacing w:after="0" w:line="246"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borrower was notified in October 2020 that these mortgages were in default. No interest payments were made from April through July, and partial payments from August through December 31, 2020.</w:t>
      </w:r>
    </w:p>
    <w:p>
      <w:pPr>
        <w:ind w:left="340" w:right="60" w:hanging="332"/>
        <w:spacing w:after="0" w:line="257"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These mortgages are both subordinate to a first mortgage of $58.8 million in total. We do not hold the first mortgage loan on this property. Accordingly, the amount of the prior lien at December 31, 2020 is estimated.</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FF"/>
        </w:rPr>
      </w:pPr>
      <w:hyperlink w:anchor="page59">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MORTGAGE LOANS ON REAL ESTATE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Years Ended 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Carrying Amount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2017, 2018, and 2019</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30,429</w:t>
            </w:r>
          </w:p>
        </w:tc>
      </w:tr>
      <w:tr>
        <w:trPr>
          <w:trHeight w:val="230"/>
        </w:trPr>
        <w:tc>
          <w:tcPr>
            <w:tcW w:w="9880" w:type="dxa"/>
            <w:vAlign w:val="bottom"/>
          </w:tcPr>
          <w:p>
            <w:pPr>
              <w:ind w:left="220"/>
              <w:spacing w:after="0"/>
              <w:rPr>
                <w:sz w:val="20"/>
                <w:szCs w:val="20"/>
                <w:color w:val="auto"/>
              </w:rPr>
            </w:pPr>
            <w:r>
              <w:rPr>
                <w:rFonts w:ascii="Arial" w:cs="Arial" w:eastAsia="Arial" w:hAnsi="Arial"/>
                <w:sz w:val="18"/>
                <w:szCs w:val="18"/>
                <w:color w:val="auto"/>
              </w:rPr>
              <w:t>January 1, 2020 adoption of new accounting standard - See Note 2</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during period:</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9880" w:type="dxa"/>
            <w:vAlign w:val="bottom"/>
          </w:tcPr>
          <w:p>
            <w:pPr>
              <w:ind w:left="460"/>
              <w:spacing w:after="0"/>
              <w:rPr>
                <w:sz w:val="20"/>
                <w:szCs w:val="20"/>
                <w:color w:val="auto"/>
              </w:rPr>
            </w:pPr>
            <w:r>
              <w:rPr>
                <w:rFonts w:ascii="Arial" w:cs="Arial" w:eastAsia="Arial" w:hAnsi="Arial"/>
                <w:sz w:val="18"/>
                <w:szCs w:val="18"/>
                <w:color w:val="auto"/>
              </w:rPr>
              <w:t>Acquisition of loans, net of valuation adjustments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9,560</w:t>
            </w:r>
          </w:p>
        </w:tc>
      </w:tr>
      <w:tr>
        <w:trPr>
          <w:trHeight w:val="230"/>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Issuance of loans</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39,892</w:t>
            </w:r>
          </w:p>
        </w:tc>
      </w:tr>
      <w:tr>
        <w:trPr>
          <w:trHeight w:val="21"/>
        </w:trPr>
        <w:tc>
          <w:tcPr>
            <w:tcW w:w="9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20"/>
          </w:cols>
          <w:pgMar w:left="320" w:top="126" w:right="359" w:bottom="1440" w:gutter="0" w:footer="0" w:header="0"/>
        </w:sectPr>
      </w:pPr>
    </w:p>
    <w:bookmarkStart w:id="100" w:name="page101"/>
    <w:bookmarkEnd w:id="100"/>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FEDERAL REALTY INVESTMENT TRUST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SHARE AWARD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DATE</w:t>
      </w:r>
    </w:p>
    <w:p>
      <w:pPr>
        <w:spacing w:after="0" w:line="22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This Restricted Share Award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by </w:t>
      </w:r>
      <w:r>
        <w:rPr>
          <w:rFonts w:ascii="Arial" w:cs="Arial" w:eastAsia="Arial" w:hAnsi="Arial"/>
          <w:sz w:val="20"/>
          <w:szCs w:val="20"/>
          <w:b w:val="1"/>
          <w:bCs w:val="1"/>
          <w:color w:val="auto"/>
        </w:rPr>
        <w:t>Federal Realty Investment Trust</w:t>
      </w:r>
      <w:r>
        <w:rPr>
          <w:rFonts w:ascii="Arial" w:cs="Arial" w:eastAsia="Arial" w:hAnsi="Arial"/>
          <w:sz w:val="20"/>
          <w:szCs w:val="20"/>
          <w:color w:val="auto"/>
        </w:rPr>
        <w:t xml:space="preserve">, a Maryland real estate investment trust (the </w:t>
      </w:r>
      <w:r>
        <w:rPr>
          <w:rFonts w:ascii="Arial" w:cs="Arial" w:eastAsia="Arial" w:hAnsi="Arial"/>
          <w:sz w:val="20"/>
          <w:szCs w:val="20"/>
          <w:b w:val="1"/>
          <w:bCs w:val="1"/>
          <w:color w:val="auto"/>
        </w:rPr>
        <w:t>“Trust”</w:t>
      </w:r>
      <w:r>
        <w:rPr>
          <w:rFonts w:ascii="Arial" w:cs="Arial" w:eastAsia="Arial" w:hAnsi="Arial"/>
          <w:sz w:val="20"/>
          <w:szCs w:val="20"/>
          <w:color w:val="auto"/>
        </w:rPr>
        <w:t xml:space="preserve">), provides notice to ___________________, an individual employee of the Trust (the </w:t>
      </w:r>
      <w:r>
        <w:rPr>
          <w:rFonts w:ascii="Arial" w:cs="Arial" w:eastAsia="Arial" w:hAnsi="Arial"/>
          <w:sz w:val="20"/>
          <w:szCs w:val="20"/>
          <w:b w:val="1"/>
          <w:bCs w:val="1"/>
          <w:color w:val="auto"/>
        </w:rPr>
        <w:t>“Grantee”</w:t>
      </w:r>
      <w:r>
        <w:rPr>
          <w:rFonts w:ascii="Arial" w:cs="Arial" w:eastAsia="Arial" w:hAnsi="Arial"/>
          <w:sz w:val="20"/>
          <w:szCs w:val="20"/>
          <w:color w:val="auto"/>
        </w:rPr>
        <w:t>), of the terms of a Restricted Share Award.</w:t>
      </w:r>
    </w:p>
    <w:p>
      <w:pPr>
        <w:jc w:val="both"/>
        <w:ind w:firstLine="648"/>
        <w:spacing w:after="0" w:line="237" w:lineRule="auto"/>
        <w:rPr>
          <w:sz w:val="20"/>
          <w:szCs w:val="20"/>
          <w:color w:val="auto"/>
        </w:rPr>
      </w:pPr>
      <w:r>
        <w:rPr>
          <w:rFonts w:ascii="Arial" w:cs="Arial" w:eastAsia="Arial" w:hAnsi="Arial"/>
          <w:sz w:val="19"/>
          <w:szCs w:val="19"/>
          <w:color w:val="auto"/>
        </w:rPr>
        <w:t>The Board of Trustees of the Trust (the “</w:t>
      </w:r>
      <w:r>
        <w:rPr>
          <w:rFonts w:ascii="Arial" w:cs="Arial" w:eastAsia="Arial" w:hAnsi="Arial"/>
          <w:sz w:val="19"/>
          <w:szCs w:val="19"/>
          <w:b w:val="1"/>
          <w:bCs w:val="1"/>
          <w:color w:val="auto"/>
        </w:rPr>
        <w:t>Board of Trustees</w:t>
      </w:r>
      <w:r>
        <w:rPr>
          <w:rFonts w:ascii="Arial" w:cs="Arial" w:eastAsia="Arial" w:hAnsi="Arial"/>
          <w:sz w:val="19"/>
          <w:szCs w:val="19"/>
          <w:color w:val="auto"/>
        </w:rPr>
        <w:t xml:space="preserve">”) has authorized the award by the Trust to the Grantee, under the Trust’s 2020 Performance Incentive Plan (the </w:t>
      </w:r>
      <w:r>
        <w:rPr>
          <w:rFonts w:ascii="Arial" w:cs="Arial" w:eastAsia="Arial" w:hAnsi="Arial"/>
          <w:sz w:val="19"/>
          <w:szCs w:val="19"/>
          <w:b w:val="1"/>
          <w:bCs w:val="1"/>
          <w:color w:val="auto"/>
        </w:rPr>
        <w:t>“Plan”</w:t>
      </w:r>
      <w:r>
        <w:rPr>
          <w:rFonts w:ascii="Arial" w:cs="Arial" w:eastAsia="Arial" w:hAnsi="Arial"/>
          <w:sz w:val="19"/>
          <w:szCs w:val="19"/>
          <w:color w:val="auto"/>
        </w:rPr>
        <w:t xml:space="preserve">) of a Restricted Share Award for a certain number of shares of beneficial interest of the Trust (the </w:t>
      </w:r>
      <w:r>
        <w:rPr>
          <w:rFonts w:ascii="Arial" w:cs="Arial" w:eastAsia="Arial" w:hAnsi="Arial"/>
          <w:sz w:val="19"/>
          <w:szCs w:val="19"/>
          <w:b w:val="1"/>
          <w:bCs w:val="1"/>
          <w:color w:val="auto"/>
        </w:rPr>
        <w:t>“Shares”</w:t>
      </w:r>
      <w:r>
        <w:rPr>
          <w:rFonts w:ascii="Arial" w:cs="Arial" w:eastAsia="Arial" w:hAnsi="Arial"/>
          <w:sz w:val="19"/>
          <w:szCs w:val="19"/>
          <w:color w:val="auto"/>
        </w:rPr>
        <w:t>), subject to certain restrictions and covenants on the part of Grantee. This Agreement sets forth vesting and the respective rights and obligations of the Trust and the Grantee with respect to such Shares.</w:t>
      </w:r>
    </w:p>
    <w:p>
      <w:pPr>
        <w:spacing w:after="0" w:line="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color w:val="auto"/>
        </w:rPr>
        <w:t>In consideration of the covenants set forth in this Agreement, and intending to be legally bound hereby, the terms of the Restricted Share Award are as follows:</w:t>
      </w:r>
    </w:p>
    <w:p>
      <w:pPr>
        <w:ind w:left="860" w:hanging="204"/>
        <w:spacing w:after="0" w:line="226" w:lineRule="auto"/>
        <w:tabs>
          <w:tab w:leader="none" w:pos="86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Award of Restricted Shares</w:t>
      </w:r>
      <w:r>
        <w:rPr>
          <w:rFonts w:ascii="Arial" w:cs="Arial" w:eastAsia="Arial" w:hAnsi="Arial"/>
          <w:sz w:val="20"/>
          <w:szCs w:val="20"/>
          <w:b w:val="1"/>
          <w:bCs w:val="1"/>
          <w:color w:val="auto"/>
        </w:rPr>
        <w:t>.</w:t>
      </w:r>
    </w:p>
    <w:p>
      <w:pPr>
        <w:ind w:left="1340" w:hanging="360"/>
        <w:spacing w:after="0" w:line="237" w:lineRule="auto"/>
        <w:tabs>
          <w:tab w:leader="none" w:pos="1340"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The  Trust  hereby  confirms  the  grant  to  the  Grantee  as  of  the  date  set  forth  above  (the  </w:t>
      </w:r>
      <w:r>
        <w:rPr>
          <w:rFonts w:ascii="Arial" w:cs="Arial" w:eastAsia="Arial" w:hAnsi="Arial"/>
          <w:sz w:val="19"/>
          <w:szCs w:val="19"/>
          <w:b w:val="1"/>
          <w:bCs w:val="1"/>
          <w:color w:val="auto"/>
        </w:rPr>
        <w:t>“Grant  Date”</w:t>
      </w:r>
      <w:r>
        <w:rPr>
          <w:rFonts w:ascii="Arial" w:cs="Arial" w:eastAsia="Arial" w:hAnsi="Arial"/>
          <w:sz w:val="19"/>
          <w:szCs w:val="19"/>
          <w:color w:val="auto"/>
        </w:rPr>
        <w:t>)  of</w:t>
      </w:r>
    </w:p>
    <w:p>
      <w:pPr>
        <w:spacing w:after="0" w:line="225" w:lineRule="auto"/>
        <w:rPr>
          <w:rFonts w:ascii="Arial" w:cs="Arial" w:eastAsia="Arial" w:hAnsi="Arial"/>
          <w:sz w:val="19"/>
          <w:szCs w:val="19"/>
          <w:color w:val="auto"/>
        </w:rPr>
      </w:pPr>
      <w:r>
        <w:rPr>
          <w:rFonts w:ascii="Arial" w:cs="Arial" w:eastAsia="Arial" w:hAnsi="Arial"/>
          <w:sz w:val="20"/>
          <w:szCs w:val="20"/>
          <w:color w:val="auto"/>
        </w:rPr>
        <w:t xml:space="preserve">___________________ (_________) Shares (the </w:t>
      </w:r>
      <w:r>
        <w:rPr>
          <w:rFonts w:ascii="Arial" w:cs="Arial" w:eastAsia="Arial" w:hAnsi="Arial"/>
          <w:sz w:val="20"/>
          <w:szCs w:val="20"/>
          <w:b w:val="1"/>
          <w:bCs w:val="1"/>
          <w:color w:val="auto"/>
        </w:rPr>
        <w:t>“Restricted Shares”</w:t>
      </w:r>
      <w:r>
        <w:rPr>
          <w:rFonts w:ascii="Arial" w:cs="Arial" w:eastAsia="Arial" w:hAnsi="Arial"/>
          <w:sz w:val="20"/>
          <w:szCs w:val="20"/>
          <w:color w:val="auto"/>
        </w:rPr>
        <w:t>), subject to the restrictions and other terms and conditions set forth herein and in the Plan; and</w:t>
      </w:r>
    </w:p>
    <w:p>
      <w:pPr>
        <w:jc w:val="both"/>
        <w:ind w:firstLine="980"/>
        <w:spacing w:after="0" w:line="250" w:lineRule="auto"/>
        <w:tabs>
          <w:tab w:leader="none" w:pos="1252" w:val="left"/>
        </w:tabs>
        <w:numPr>
          <w:ilvl w:val="1"/>
          <w:numId w:val="69"/>
        </w:numPr>
        <w:rPr>
          <w:rFonts w:ascii="Arial" w:cs="Arial" w:eastAsia="Arial" w:hAnsi="Arial"/>
          <w:sz w:val="18"/>
          <w:szCs w:val="18"/>
          <w:color w:val="auto"/>
        </w:rPr>
      </w:pPr>
      <w:r>
        <w:rPr>
          <w:rFonts w:ascii="Arial" w:cs="Arial" w:eastAsia="Arial" w:hAnsi="Arial"/>
          <w:sz w:val="18"/>
          <w:szCs w:val="18"/>
          <w:color w:val="auto"/>
        </w:rPr>
        <w:t>On or as soon as practicable after the Grant Date, the Trust shall cause the Restricted Shares to be issued in certificated form or by a book-entry designation for the account for the Grantee. Such Restricted Shares shall be subject to such stop-transfer orders and other restrictions as the Board of Trustees or any committee thereof may deem advisable under the rules, regulations, and other requirements of the Securities and Exchange Commission and any stock exchange upon which the Shares are listed and any applicable federal or state securities law. If the Restricted Shares are issued in certificated form, the certificate(s) representing the Restricted Shares shall be held in custody by the Chief Financial Officer. Restricted Shares issued by a book-entry designation shall be held in a book-entry account designated by the Trust until the restrictions provided in this Agreement with respect thereto shall have been removed. At any time as may be requested by the Trust, if necessary to enforce the restrictions applicable to the Restricted Shares, the Grantee shall deliver to the Trust one or more undated stock powers endorsed in blank relating to the Restricted Shares.</w:t>
      </w:r>
    </w:p>
    <w:p>
      <w:pPr>
        <w:spacing w:after="0" w:line="3" w:lineRule="exact"/>
        <w:rPr>
          <w:rFonts w:ascii="Arial" w:cs="Arial" w:eastAsia="Arial" w:hAnsi="Arial"/>
          <w:sz w:val="18"/>
          <w:szCs w:val="18"/>
          <w:color w:val="auto"/>
        </w:rPr>
      </w:pPr>
    </w:p>
    <w:p>
      <w:pPr>
        <w:ind w:left="860" w:hanging="204"/>
        <w:spacing w:after="0" w:line="225" w:lineRule="auto"/>
        <w:tabs>
          <w:tab w:leader="none" w:pos="86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Restrictions Applicable to Restricted Shares</w:t>
      </w:r>
      <w:r>
        <w:rPr>
          <w:rFonts w:ascii="Arial" w:cs="Arial" w:eastAsia="Arial" w:hAnsi="Arial"/>
          <w:sz w:val="20"/>
          <w:szCs w:val="20"/>
          <w:b w:val="1"/>
          <w:bCs w:val="1"/>
          <w:color w:val="auto"/>
        </w:rPr>
        <w:t>.</w:t>
      </w:r>
    </w:p>
    <w:p>
      <w:pPr>
        <w:ind w:firstLine="980"/>
        <w:spacing w:after="0" w:line="225" w:lineRule="auto"/>
        <w:tabs>
          <w:tab w:leader="none" w:pos="1241" w:val="left"/>
        </w:tabs>
        <w:numPr>
          <w:ilvl w:val="1"/>
          <w:numId w:val="69"/>
        </w:numPr>
        <w:rPr>
          <w:rFonts w:ascii="Arial" w:cs="Arial" w:eastAsia="Arial" w:hAnsi="Arial"/>
          <w:sz w:val="20"/>
          <w:szCs w:val="20"/>
          <w:color w:val="auto"/>
        </w:rPr>
      </w:pPr>
      <w:r>
        <w:rPr>
          <w:rFonts w:ascii="Arial" w:cs="Arial" w:eastAsia="Arial" w:hAnsi="Arial"/>
          <w:sz w:val="20"/>
          <w:szCs w:val="20"/>
          <w:color w:val="auto"/>
        </w:rPr>
        <w:t>Beginning on the Grant Date, the Grantee shall have all rights and privileges of a stockholder with respect to the Restricted Shares, except that the following restrictions shall apply:</w:t>
      </w:r>
    </w:p>
    <w:p>
      <w:pPr>
        <w:jc w:val="both"/>
        <w:ind w:firstLine="1628"/>
        <w:spacing w:after="0" w:line="225" w:lineRule="auto"/>
        <w:tabs>
          <w:tab w:leader="none" w:pos="1897" w:val="left"/>
        </w:tabs>
        <w:numPr>
          <w:ilvl w:val="2"/>
          <w:numId w:val="69"/>
        </w:numPr>
        <w:rPr>
          <w:rFonts w:ascii="Arial" w:cs="Arial" w:eastAsia="Arial" w:hAnsi="Arial"/>
          <w:sz w:val="20"/>
          <w:szCs w:val="20"/>
          <w:color w:val="auto"/>
        </w:rPr>
      </w:pPr>
      <w:r>
        <w:rPr>
          <w:rFonts w:ascii="Arial" w:cs="Arial" w:eastAsia="Arial" w:hAnsi="Arial"/>
          <w:sz w:val="20"/>
          <w:szCs w:val="20"/>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while the restrictions of this Agreement apply to the Shares;</w:t>
      </w:r>
    </w:p>
    <w:p>
      <w:pPr>
        <w:spacing w:after="0" w:line="1" w:lineRule="exact"/>
        <w:rPr>
          <w:rFonts w:ascii="Arial" w:cs="Arial" w:eastAsia="Arial" w:hAnsi="Arial"/>
          <w:sz w:val="20"/>
          <w:szCs w:val="20"/>
          <w:color w:val="auto"/>
        </w:rPr>
      </w:pPr>
    </w:p>
    <w:p>
      <w:pPr>
        <w:ind w:left="1920" w:hanging="292"/>
        <w:spacing w:after="0" w:line="225" w:lineRule="auto"/>
        <w:tabs>
          <w:tab w:leader="none" w:pos="1920" w:val="left"/>
        </w:tabs>
        <w:numPr>
          <w:ilvl w:val="2"/>
          <w:numId w:val="69"/>
        </w:numPr>
        <w:rPr>
          <w:rFonts w:ascii="Arial" w:cs="Arial" w:eastAsia="Arial" w:hAnsi="Arial"/>
          <w:sz w:val="20"/>
          <w:szCs w:val="20"/>
          <w:color w:val="auto"/>
        </w:rPr>
      </w:pPr>
      <w:r>
        <w:rPr>
          <w:rFonts w:ascii="Arial" w:cs="Arial" w:eastAsia="Arial" w:hAnsi="Arial"/>
          <w:sz w:val="20"/>
          <w:szCs w:val="20"/>
          <w:color w:val="auto"/>
        </w:rPr>
        <w:t>all or a portion of the Restricted Shares may be forfeited in accordance with Paragraph 4; and</w:t>
      </w:r>
    </w:p>
    <w:p>
      <w:pPr>
        <w:jc w:val="both"/>
        <w:ind w:firstLine="1628"/>
        <w:spacing w:after="0" w:line="230" w:lineRule="auto"/>
        <w:tabs>
          <w:tab w:leader="none" w:pos="1966" w:val="left"/>
        </w:tabs>
        <w:numPr>
          <w:ilvl w:val="2"/>
          <w:numId w:val="69"/>
        </w:numPr>
        <w:rPr>
          <w:rFonts w:ascii="Arial" w:cs="Arial" w:eastAsia="Arial" w:hAnsi="Arial"/>
          <w:sz w:val="20"/>
          <w:szCs w:val="20"/>
          <w:color w:val="auto"/>
        </w:rPr>
      </w:pPr>
      <w:r>
        <w:rPr>
          <w:rFonts w:ascii="Arial" w:cs="Arial" w:eastAsia="Arial" w:hAnsi="Arial"/>
          <w:sz w:val="20"/>
          <w:szCs w:val="20"/>
          <w:color w:val="auto"/>
        </w:rPr>
        <w:t>any Shares distributed as a dividend or otherwise and any other property (other than ordinary dividends) distributed with respect to any Restricted Shares which have not vested and as to which the restrictions have not yet lapsed shall be subject to the same vesting and other restrictions as such Restricted Shares and shall be represented by book-entry and held in the same manner as the Restricted Shares with respect to which they were distributed.</w:t>
      </w:r>
    </w:p>
    <w:p>
      <w:pPr>
        <w:sectPr>
          <w:pgSz w:w="11900" w:h="16838" w:orient="portrait"/>
          <w:cols w:equalWidth="0" w:num="1">
            <w:col w:w="11240"/>
          </w:cols>
          <w:pgMar w:left="320" w:top="1440" w:right="339" w:bottom="1440" w:gutter="0" w:footer="0" w:header="0"/>
        </w:sectPr>
      </w:pPr>
    </w:p>
    <w:bookmarkStart w:id="101" w:name="page102"/>
    <w:bookmarkEnd w:id="101"/>
    <w:p>
      <w:pPr>
        <w:jc w:val="both"/>
        <w:ind w:firstLine="8"/>
        <w:spacing w:after="0" w:line="229" w:lineRule="auto"/>
        <w:tabs>
          <w:tab w:leader="none" w:pos="2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Upon vesting of all or a portion of the Restricted Shares as provided in Paragraph 3 and payment in accordance with Paragraph 3(c) of withholding taxes relating to those Restricted Shares which have vested, such shares shall no longer be considered Restricted Shares for purposes of this Agreement and the Trust shall cause the restrictions to be removed from the number of Shares which have become vested and for which withholding taxes have been paid.</w:t>
      </w:r>
    </w:p>
    <w:p>
      <w:pPr>
        <w:spacing w:after="0" w:line="2" w:lineRule="exact"/>
        <w:rPr>
          <w:rFonts w:ascii="Arial" w:cs="Arial" w:eastAsia="Arial" w:hAnsi="Arial"/>
          <w:sz w:val="20"/>
          <w:szCs w:val="20"/>
          <w:color w:val="auto"/>
        </w:rPr>
      </w:pPr>
    </w:p>
    <w:p>
      <w:pPr>
        <w:ind w:right="20" w:firstLine="8"/>
        <w:spacing w:after="0" w:line="225" w:lineRule="auto"/>
        <w:tabs>
          <w:tab w:leader="none" w:pos="282" w:val="left"/>
        </w:tabs>
        <w:numPr>
          <w:ilvl w:val="0"/>
          <w:numId w:val="70"/>
        </w:numPr>
        <w:rPr>
          <w:rFonts w:ascii="Arial" w:cs="Arial" w:eastAsia="Arial" w:hAnsi="Arial"/>
          <w:sz w:val="20"/>
          <w:szCs w:val="20"/>
          <w:color w:val="auto"/>
        </w:rPr>
      </w:pPr>
      <w:r>
        <w:rPr>
          <w:rFonts w:ascii="Arial" w:cs="Arial" w:eastAsia="Arial" w:hAnsi="Arial"/>
          <w:sz w:val="20"/>
          <w:szCs w:val="20"/>
          <w:color w:val="auto"/>
        </w:rPr>
        <w:t>Any attempt to dispose of Restricted Shares in a manner contrary to the restrictions set forth in this Agreement shall be null, void and ineffective.</w:t>
      </w:r>
    </w:p>
    <w:p>
      <w:pPr>
        <w:ind w:left="860" w:hanging="204"/>
        <w:spacing w:after="0" w:line="225" w:lineRule="auto"/>
        <w:tabs>
          <w:tab w:leader="none" w:pos="860" w:val="left"/>
        </w:tabs>
        <w:numPr>
          <w:ilvl w:val="1"/>
          <w:numId w:val="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w:t>
      </w:r>
      <w:r>
        <w:rPr>
          <w:rFonts w:ascii="Arial" w:cs="Arial" w:eastAsia="Arial" w:hAnsi="Arial"/>
          <w:sz w:val="20"/>
          <w:szCs w:val="20"/>
          <w:b w:val="1"/>
          <w:bCs w:val="1"/>
          <w:color w:val="auto"/>
        </w:rPr>
        <w:t>.</w:t>
      </w:r>
    </w:p>
    <w:p>
      <w:pPr>
        <w:ind w:left="1240" w:hanging="260"/>
        <w:spacing w:after="0"/>
        <w:tabs>
          <w:tab w:leader="none" w:pos="1240" w:val="left"/>
        </w:tabs>
        <w:numPr>
          <w:ilvl w:val="2"/>
          <w:numId w:val="70"/>
        </w:numPr>
        <w:rPr>
          <w:rFonts w:ascii="Arial" w:cs="Arial" w:eastAsia="Arial" w:hAnsi="Arial"/>
          <w:sz w:val="20"/>
          <w:szCs w:val="20"/>
          <w:color w:val="auto"/>
        </w:rPr>
      </w:pPr>
      <w:r>
        <w:rPr>
          <w:rFonts w:ascii="Arial" w:cs="Arial" w:eastAsia="Arial" w:hAnsi="Arial"/>
          <w:sz w:val="20"/>
          <w:szCs w:val="20"/>
          <w:color w:val="auto"/>
        </w:rPr>
        <w:t>The Restricted Shares shall vest as follows:</w:t>
      </w:r>
    </w:p>
    <w:p>
      <w:pPr>
        <w:spacing w:after="0" w:line="186" w:lineRule="exact"/>
        <w:rPr>
          <w:sz w:val="20"/>
          <w:szCs w:val="20"/>
          <w:color w:val="auto"/>
        </w:rPr>
      </w:pPr>
    </w:p>
    <w:p>
      <w:pPr>
        <w:ind w:left="1260" w:hanging="280"/>
        <w:spacing w:after="0"/>
        <w:tabs>
          <w:tab w:leader="none" w:pos="1260" w:val="left"/>
        </w:tabs>
        <w:numPr>
          <w:ilvl w:val="2"/>
          <w:numId w:val="71"/>
        </w:numPr>
        <w:rPr>
          <w:rFonts w:ascii="Arial" w:cs="Arial" w:eastAsia="Arial" w:hAnsi="Arial"/>
          <w:sz w:val="20"/>
          <w:szCs w:val="20"/>
          <w:color w:val="auto"/>
        </w:rPr>
      </w:pPr>
      <w:r>
        <w:rPr>
          <w:rFonts w:ascii="Arial" w:cs="Arial" w:eastAsia="Arial" w:hAnsi="Arial"/>
          <w:sz w:val="20"/>
          <w:szCs w:val="20"/>
          <w:color w:val="auto"/>
        </w:rPr>
        <w:t>Notwithstanding the foregoing, the Restricted Shares shall vest as follows:</w:t>
      </w:r>
    </w:p>
    <w:p>
      <w:pPr>
        <w:spacing w:after="0" w:line="2" w:lineRule="exact"/>
        <w:rPr>
          <w:rFonts w:ascii="Arial" w:cs="Arial" w:eastAsia="Arial" w:hAnsi="Arial"/>
          <w:sz w:val="20"/>
          <w:szCs w:val="20"/>
          <w:color w:val="auto"/>
        </w:rPr>
      </w:pPr>
    </w:p>
    <w:p>
      <w:pPr>
        <w:ind w:left="1860" w:hanging="232"/>
        <w:spacing w:after="0" w:line="225" w:lineRule="auto"/>
        <w:tabs>
          <w:tab w:leader="none" w:pos="1860" w:val="left"/>
        </w:tabs>
        <w:numPr>
          <w:ilvl w:val="3"/>
          <w:numId w:val="71"/>
        </w:numPr>
        <w:rPr>
          <w:rFonts w:ascii="Arial" w:cs="Arial" w:eastAsia="Arial" w:hAnsi="Arial"/>
          <w:sz w:val="20"/>
          <w:szCs w:val="20"/>
          <w:color w:val="auto"/>
        </w:rPr>
      </w:pPr>
      <w:r>
        <w:rPr>
          <w:rFonts w:ascii="Arial" w:cs="Arial" w:eastAsia="Arial" w:hAnsi="Arial"/>
          <w:sz w:val="20"/>
          <w:szCs w:val="20"/>
          <w:color w:val="auto"/>
        </w:rPr>
        <w:t>all Restricted Shares shall vest in the event of the death or Disability of the Grantee;</w:t>
      </w:r>
    </w:p>
    <w:p>
      <w:pPr>
        <w:ind w:left="1940" w:hanging="312"/>
        <w:spacing w:after="0"/>
        <w:tabs>
          <w:tab w:leader="none" w:pos="1940" w:val="left"/>
        </w:tabs>
        <w:numPr>
          <w:ilvl w:val="3"/>
          <w:numId w:val="71"/>
        </w:numPr>
        <w:rPr>
          <w:rFonts w:ascii="Arial" w:cs="Arial" w:eastAsia="Arial" w:hAnsi="Arial"/>
          <w:sz w:val="18"/>
          <w:szCs w:val="18"/>
          <w:color w:val="auto"/>
        </w:rPr>
      </w:pPr>
      <w:r>
        <w:rPr>
          <w:rFonts w:ascii="Arial" w:cs="Arial" w:eastAsia="Arial" w:hAnsi="Arial"/>
          <w:sz w:val="18"/>
          <w:szCs w:val="18"/>
          <w:color w:val="auto"/>
        </w:rPr>
        <w:t>all Restricted Shares shall vest in the event that the Grantee is discharged by the Trust without Cause as defined in</w:t>
      </w:r>
    </w:p>
    <w:p>
      <w:pPr>
        <w:spacing w:after="0" w:line="9" w:lineRule="exact"/>
        <w:rPr>
          <w:rFonts w:ascii="Arial" w:cs="Arial" w:eastAsia="Arial" w:hAnsi="Arial"/>
          <w:sz w:val="18"/>
          <w:szCs w:val="18"/>
          <w:color w:val="auto"/>
        </w:rPr>
      </w:pPr>
    </w:p>
    <w:p>
      <w:pPr>
        <w:spacing w:after="0" w:line="225" w:lineRule="auto"/>
        <w:rPr>
          <w:rFonts w:ascii="Arial" w:cs="Arial" w:eastAsia="Arial" w:hAnsi="Arial"/>
          <w:sz w:val="18"/>
          <w:szCs w:val="18"/>
          <w:color w:val="auto"/>
        </w:rPr>
      </w:pPr>
      <w:r>
        <w:rPr>
          <w:rFonts w:ascii="Arial" w:cs="Arial" w:eastAsia="Arial" w:hAnsi="Arial"/>
          <w:sz w:val="20"/>
          <w:szCs w:val="20"/>
          <w:color w:val="auto"/>
        </w:rPr>
        <w:t>the Plan; and</w:t>
      </w:r>
    </w:p>
    <w:p>
      <w:pPr>
        <w:ind w:right="20" w:firstLine="1628"/>
        <w:spacing w:after="0" w:line="225" w:lineRule="auto"/>
        <w:tabs>
          <w:tab w:leader="none" w:pos="1966" w:val="left"/>
        </w:tabs>
        <w:numPr>
          <w:ilvl w:val="3"/>
          <w:numId w:val="71"/>
        </w:numPr>
        <w:rPr>
          <w:rFonts w:ascii="Arial" w:cs="Arial" w:eastAsia="Arial" w:hAnsi="Arial"/>
          <w:sz w:val="20"/>
          <w:szCs w:val="20"/>
          <w:color w:val="auto"/>
        </w:rPr>
      </w:pPr>
      <w:r>
        <w:rPr>
          <w:rFonts w:ascii="Arial" w:cs="Arial" w:eastAsia="Arial" w:hAnsi="Arial"/>
          <w:sz w:val="20"/>
          <w:szCs w:val="20"/>
          <w:color w:val="auto"/>
        </w:rPr>
        <w:t>all Restricted Shares shall vest if the Grantee shall incur an Involuntary Termination (as defined in the Plan) during the one year period commencing with the occurrence of a Change in Control.</w:t>
      </w:r>
    </w:p>
    <w:p>
      <w:pPr>
        <w:jc w:val="both"/>
        <w:ind w:firstLine="980"/>
        <w:spacing w:after="0" w:line="250" w:lineRule="auto"/>
        <w:tabs>
          <w:tab w:leader="none" w:pos="1268" w:val="left"/>
        </w:tabs>
        <w:numPr>
          <w:ilvl w:val="2"/>
          <w:numId w:val="71"/>
        </w:numPr>
        <w:rPr>
          <w:rFonts w:ascii="Arial" w:cs="Arial" w:eastAsia="Arial" w:hAnsi="Arial"/>
          <w:sz w:val="18"/>
          <w:szCs w:val="18"/>
          <w:color w:val="auto"/>
        </w:rPr>
      </w:pPr>
      <w:r>
        <w:rPr>
          <w:rFonts w:ascii="Arial" w:cs="Arial" w:eastAsia="Arial" w:hAnsi="Arial"/>
          <w:sz w:val="18"/>
          <w:szCs w:val="18"/>
          <w:color w:val="auto"/>
        </w:rPr>
        <w:t>As soon as reasonably practicable after the vesting of all or any portion of the Restricted Shares, the Trust shall notify Grantee or the Grantee’s legal representative, as applicable, of the amount of required withholding taxes due on the vesting of all or a portion of Restricted Shares (“Tax Notice”). Grantee or Grantee’s legal representative, as applicable, shall tender to the Trust the amount specified in the Tax Notice within five (5) business days after the date of the Tax Notice, or such longer period of time as the Trust may designate. The Trust shall not be required to remove the restrictions on such Shares until such time as the Grantee or the Grantee’s legal representative, as applicable, shall have paid such tax withholding amount in full. The Trust, at its sole discretion and on such terms and conditions determined by the Trust from time to time, may permit the Grantee or the Grantee’s legal representative to satisfy the Trust’s minimum statutory tax withholding obligations as determined by the Trust’s accounting department through (i) the sale of all or a portion of such Shares resulting from this Agreement through the employer’s broker or (ii) by returning to the Trust a number of Shares having a fair market value equal to the minimum statutory tax withholding amount due. Shares cannot be returned to the Trust and withheld to satisfy more than the required minimum statutory tax withholding amounts. In the event Grantee or Grantee’s legal representative, as applicable, fails to make appropriate arrangements to satisfy tax and withholding obligations, the Trust may, in its sole discretion, satisfy such tax and withholding obligations by:</w:t>
      </w:r>
    </w:p>
    <w:p>
      <w:pPr>
        <w:spacing w:after="0" w:line="4" w:lineRule="exact"/>
        <w:rPr>
          <w:rFonts w:ascii="Arial" w:cs="Arial" w:eastAsia="Arial" w:hAnsi="Arial"/>
          <w:sz w:val="18"/>
          <w:szCs w:val="18"/>
          <w:color w:val="auto"/>
        </w:rPr>
      </w:pPr>
    </w:p>
    <w:p>
      <w:pPr>
        <w:jc w:val="both"/>
        <w:ind w:firstLine="8"/>
        <w:spacing w:after="0" w:line="250" w:lineRule="auto"/>
        <w:tabs>
          <w:tab w:leader="none" w:pos="2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returning to the Trust all or a portion of the Shares issued under this Agreement; or (ii) withholding the required amounts from other amounts due the Grantee or Grantee’s legal representative, as applicable. The Trust is authorized to pay over to the appropriate authority, all federal, state, county, city or other taxes as shall be required pursuant to any law or governmental regulation or ruling.</w:t>
      </w:r>
    </w:p>
    <w:p>
      <w:pPr>
        <w:spacing w:after="0" w:line="1" w:lineRule="exact"/>
        <w:rPr>
          <w:rFonts w:ascii="Arial" w:cs="Arial" w:eastAsia="Arial" w:hAnsi="Arial"/>
          <w:sz w:val="18"/>
          <w:szCs w:val="18"/>
          <w:color w:val="auto"/>
        </w:rPr>
      </w:pPr>
    </w:p>
    <w:p>
      <w:pPr>
        <w:jc w:val="both"/>
        <w:ind w:firstLine="656"/>
        <w:spacing w:after="0" w:line="225" w:lineRule="auto"/>
        <w:tabs>
          <w:tab w:leader="none" w:pos="846" w:val="left"/>
        </w:tabs>
        <w:numPr>
          <w:ilvl w:val="1"/>
          <w:numId w:val="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Forfeiture</w:t>
      </w:r>
      <w:r>
        <w:rPr>
          <w:rFonts w:ascii="Arial" w:cs="Arial" w:eastAsia="Arial" w:hAnsi="Arial"/>
          <w:sz w:val="20"/>
          <w:szCs w:val="20"/>
          <w:b w:val="1"/>
          <w:bCs w:val="1"/>
          <w:color w:val="auto"/>
        </w:rPr>
        <w:t xml:space="preserve">. </w:t>
      </w:r>
      <w:r>
        <w:rPr>
          <w:rFonts w:ascii="Arial" w:cs="Arial" w:eastAsia="Arial" w:hAnsi="Arial"/>
          <w:sz w:val="20"/>
          <w:szCs w:val="20"/>
          <w:color w:val="auto"/>
        </w:rPr>
        <w:t>If there is a termination of the Grantee’s Service with the Trust for any reason, then all rights of the Grantee to any and</w:t>
      </w:r>
      <w:r>
        <w:rPr>
          <w:rFonts w:ascii="Arial" w:cs="Arial" w:eastAsia="Arial" w:hAnsi="Arial"/>
          <w:sz w:val="20"/>
          <w:szCs w:val="20"/>
          <w:b w:val="1"/>
          <w:bCs w:val="1"/>
          <w:color w:val="auto"/>
        </w:rPr>
        <w:t xml:space="preserve"> </w:t>
      </w:r>
      <w:r>
        <w:rPr>
          <w:rFonts w:ascii="Arial" w:cs="Arial" w:eastAsia="Arial" w:hAnsi="Arial"/>
          <w:sz w:val="20"/>
          <w:szCs w:val="20"/>
          <w:color w:val="auto"/>
        </w:rPr>
        <w:t>all then-remaining Restricted Shares which have not vested, after giving application to Paragraphs 3(a) and 3(b), shall terminate and be forfeited. Upon forfeiture of all or any portion of Restricted Shares, the certificate(s) representing the forfeited Restricted Shares shall be cancelled or the forfeited Restricted Shares shall be removed from the Grantee’s book entry account, returned to the Trust and canceled, as applicable.</w:t>
      </w:r>
    </w:p>
    <w:p>
      <w:pPr>
        <w:spacing w:after="0" w:line="1" w:lineRule="exact"/>
        <w:rPr>
          <w:rFonts w:ascii="Arial" w:cs="Arial" w:eastAsia="Arial" w:hAnsi="Arial"/>
          <w:sz w:val="20"/>
          <w:szCs w:val="20"/>
          <w:b w:val="1"/>
          <w:bCs w:val="1"/>
          <w:color w:val="auto"/>
        </w:rPr>
      </w:pPr>
    </w:p>
    <w:p>
      <w:pPr>
        <w:jc w:val="both"/>
        <w:ind w:firstLine="656"/>
        <w:spacing w:after="0" w:line="225" w:lineRule="auto"/>
        <w:tabs>
          <w:tab w:leader="none" w:pos="846" w:val="left"/>
        </w:tabs>
        <w:numPr>
          <w:ilvl w:val="1"/>
          <w:numId w:val="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Assignment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binding upon and inure to the benefit of the heirs and representatives of the Grantee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assigns and successors of the Trust, but neither this Agreement nor any rights hereunder shall be assignable or otherwise subject to hypothecation by the Grantee.</w:t>
      </w:r>
    </w:p>
    <w:p>
      <w:pPr>
        <w:spacing w:after="0" w:line="1" w:lineRule="exact"/>
        <w:rPr>
          <w:rFonts w:ascii="Arial" w:cs="Arial" w:eastAsia="Arial" w:hAnsi="Arial"/>
          <w:sz w:val="20"/>
          <w:szCs w:val="20"/>
          <w:b w:val="1"/>
          <w:bCs w:val="1"/>
          <w:color w:val="auto"/>
        </w:rPr>
      </w:pPr>
    </w:p>
    <w:p>
      <w:pPr>
        <w:jc w:val="both"/>
        <w:ind w:firstLine="656"/>
        <w:spacing w:after="0" w:line="245" w:lineRule="auto"/>
        <w:tabs>
          <w:tab w:leader="none" w:pos="846" w:val="left"/>
        </w:tabs>
        <w:numPr>
          <w:ilvl w:val="1"/>
          <w:numId w:val="7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constitutes the entire agreement of the parties with respect to the subject matter</w:t>
      </w:r>
      <w:r>
        <w:rPr>
          <w:rFonts w:ascii="Arial" w:cs="Arial" w:eastAsia="Arial" w:hAnsi="Arial"/>
          <w:sz w:val="19"/>
          <w:szCs w:val="19"/>
          <w:b w:val="1"/>
          <w:bCs w:val="1"/>
          <w:color w:val="auto"/>
        </w:rPr>
        <w:t xml:space="preserve"> </w:t>
      </w:r>
      <w:r>
        <w:rPr>
          <w:rFonts w:ascii="Arial" w:cs="Arial" w:eastAsia="Arial" w:hAnsi="Arial"/>
          <w:sz w:val="19"/>
          <w:szCs w:val="19"/>
          <w:color w:val="auto"/>
        </w:rPr>
        <w:t>hereof and shall supersede all prior agreements and understandings, oral or written, between the parties with respect thereto. Subject to Paragraph 13, this Agreement may be amended at any time by written agreement of the parties hereto.</w:t>
      </w:r>
    </w:p>
    <w:p>
      <w:pPr>
        <w:sectPr>
          <w:pgSz w:w="11900" w:h="16838" w:orient="portrait"/>
          <w:cols w:equalWidth="0" w:num="1">
            <w:col w:w="11240"/>
          </w:cols>
          <w:pgMar w:left="320" w:top="1419" w:right="339" w:bottom="1440" w:gutter="0" w:footer="0" w:header="0"/>
        </w:sectPr>
      </w:pPr>
    </w:p>
    <w:bookmarkStart w:id="102" w:name="page103"/>
    <w:bookmarkEnd w:id="102"/>
    <w:p>
      <w:pPr>
        <w:ind w:left="-656" w:firstLine="656"/>
        <w:spacing w:after="0" w:line="249" w:lineRule="auto"/>
        <w:tabs>
          <w:tab w:leader="none" w:pos="190"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its validity, interpretation, performance and enforcement shall be governed by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State of Maryland other than the conflict of laws provisions of such laws, and shall be construed in accordance therewith.</w:t>
      </w:r>
    </w:p>
    <w:p>
      <w:pPr>
        <w:jc w:val="both"/>
        <w:ind w:left="-656" w:firstLine="656"/>
        <w:spacing w:after="0" w:line="225" w:lineRule="auto"/>
        <w:tabs>
          <w:tab w:leader="none" w:pos="19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for any reason, any provision of this Agreement is held invalid, such invalidity shall not affect any other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 w:lineRule="exact"/>
        <w:rPr>
          <w:rFonts w:ascii="Arial" w:cs="Arial" w:eastAsia="Arial" w:hAnsi="Arial"/>
          <w:sz w:val="20"/>
          <w:szCs w:val="20"/>
          <w:b w:val="1"/>
          <w:bCs w:val="1"/>
          <w:color w:val="auto"/>
        </w:rPr>
      </w:pPr>
    </w:p>
    <w:p>
      <w:pPr>
        <w:ind w:left="-656" w:firstLine="656"/>
        <w:spacing w:after="0" w:line="234" w:lineRule="auto"/>
        <w:tabs>
          <w:tab w:leader="none" w:pos="19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Continued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not confer upon the Grantee any right with respect to continuance of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by the Trust.</w:t>
      </w:r>
    </w:p>
    <w:p>
      <w:pPr>
        <w:spacing w:after="0" w:line="204" w:lineRule="exact"/>
        <w:rPr>
          <w:rFonts w:ascii="Arial" w:cs="Arial" w:eastAsia="Arial" w:hAnsi="Arial"/>
          <w:sz w:val="20"/>
          <w:szCs w:val="20"/>
          <w:b w:val="1"/>
          <w:bCs w:val="1"/>
          <w:color w:val="auto"/>
        </w:rPr>
      </w:pPr>
    </w:p>
    <w:p>
      <w:pPr>
        <w:jc w:val="both"/>
        <w:ind w:left="-656" w:right="20" w:firstLine="656"/>
        <w:spacing w:after="0" w:line="279" w:lineRule="auto"/>
        <w:tabs>
          <w:tab w:leader="none" w:pos="30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to the Grantee in any provision of this Agreement under circumstances where the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should logically be construed to apply to the Grantee’s executors or the administrators, or the person or persons to whom all or any portion of the Restricted Shares may be transferred by will or the laws of descent and distribution, shall be deemed to include such person or persons.</w:t>
      </w:r>
    </w:p>
    <w:p>
      <w:pPr>
        <w:spacing w:after="0" w:line="169" w:lineRule="exact"/>
        <w:rPr>
          <w:rFonts w:ascii="Arial" w:cs="Arial" w:eastAsia="Arial" w:hAnsi="Arial"/>
          <w:sz w:val="18"/>
          <w:szCs w:val="18"/>
          <w:b w:val="1"/>
          <w:bCs w:val="1"/>
          <w:color w:val="auto"/>
        </w:rPr>
      </w:pPr>
    </w:p>
    <w:p>
      <w:pPr>
        <w:jc w:val="both"/>
        <w:ind w:left="-656" w:firstLine="656"/>
        <w:spacing w:after="0" w:line="258" w:lineRule="auto"/>
        <w:tabs>
          <w:tab w:leader="none" w:pos="278"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83(b) Election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Grantee acknowledges that it is the Grantee’s sole responsibility, and not the Trust’s, to file a timely</w:t>
      </w:r>
      <w:r>
        <w:rPr>
          <w:rFonts w:ascii="Arial" w:cs="Arial" w:eastAsia="Arial" w:hAnsi="Arial"/>
          <w:sz w:val="19"/>
          <w:szCs w:val="19"/>
          <w:b w:val="1"/>
          <w:bCs w:val="1"/>
          <w:color w:val="auto"/>
        </w:rPr>
        <w:t xml:space="preserve"> </w:t>
      </w:r>
      <w:r>
        <w:rPr>
          <w:rFonts w:ascii="Arial" w:cs="Arial" w:eastAsia="Arial" w:hAnsi="Arial"/>
          <w:sz w:val="19"/>
          <w:szCs w:val="19"/>
          <w:color w:val="auto"/>
        </w:rPr>
        <w:t>election under section 83(b) of the Internal Revenue Code, of 1986, as amended. The Grantee acknowledges that he or she is relying on his or her own advisors with respect to the decision as to whether or not to file any section 83(b) election.</w:t>
      </w:r>
    </w:p>
    <w:p>
      <w:pPr>
        <w:spacing w:after="0" w:line="186" w:lineRule="exact"/>
        <w:rPr>
          <w:rFonts w:ascii="Arial" w:cs="Arial" w:eastAsia="Arial" w:hAnsi="Arial"/>
          <w:sz w:val="19"/>
          <w:szCs w:val="19"/>
          <w:b w:val="1"/>
          <w:bCs w:val="1"/>
          <w:color w:val="auto"/>
        </w:rPr>
      </w:pPr>
    </w:p>
    <w:p>
      <w:pPr>
        <w:ind w:left="-656" w:firstLine="656"/>
        <w:spacing w:after="0" w:line="263" w:lineRule="auto"/>
        <w:tabs>
          <w:tab w:leader="none" w:pos="289"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Notwithstanding anything herein to the contrary, the Grantee shall be solely responsible and liable for the satisfaction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all taxes and penalties that may arise in connection with this Agreement (including any taxes arising under Section 409A of the Code).</w:t>
      </w:r>
    </w:p>
    <w:p>
      <w:pPr>
        <w:jc w:val="both"/>
        <w:ind w:left="-656" w:firstLine="656"/>
        <w:spacing w:after="0" w:line="237" w:lineRule="auto"/>
        <w:tabs>
          <w:tab w:leader="none" w:pos="316"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color w:val="auto"/>
        </w:rPr>
        <w:t>. This Agreement is intended to be exempt from Code Section 409A, and the Trust shall have complete</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 to interpret and construe 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Grantee in order to accurately reflect its correct interpretation and operation to maintain an exemption from or compliance with Code Section 409A. Notwithstanding any provision of the Plan or this Agreement (including the foregoing), neither the Trust nor the Administrator shall have any liability to any person in the event Code Section 409A applies to this Award in a manner that results in adverse tax consequences for the Grantee or any of his or her beneficiaries or transferees.</w:t>
      </w:r>
    </w:p>
    <w:p>
      <w:pPr>
        <w:spacing w:after="0" w:line="2" w:lineRule="exact"/>
        <w:rPr>
          <w:rFonts w:ascii="Arial" w:cs="Arial" w:eastAsia="Arial" w:hAnsi="Arial"/>
          <w:sz w:val="19"/>
          <w:szCs w:val="19"/>
          <w:b w:val="1"/>
          <w:bCs w:val="1"/>
          <w:color w:val="auto"/>
        </w:rPr>
      </w:pPr>
    </w:p>
    <w:p>
      <w:pPr>
        <w:jc w:val="both"/>
        <w:ind w:left="-656" w:firstLine="656"/>
        <w:spacing w:after="0" w:line="239" w:lineRule="auto"/>
        <w:tabs>
          <w:tab w:leader="none" w:pos="289"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Plan Provisions Control Option Terms; Modifications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These Restricted Shares are granted pursuant and subject to the terms</w:t>
      </w:r>
      <w:r>
        <w:rPr>
          <w:rFonts w:ascii="Arial" w:cs="Arial" w:eastAsia="Arial" w:hAnsi="Arial"/>
          <w:sz w:val="19"/>
          <w:szCs w:val="19"/>
          <w:b w:val="1"/>
          <w:bCs w:val="1"/>
          <w:color w:val="auto"/>
        </w:rPr>
        <w:t xml:space="preserve"> </w:t>
      </w:r>
      <w:r>
        <w:rPr>
          <w:rFonts w:ascii="Arial" w:cs="Arial" w:eastAsia="Arial" w:hAnsi="Arial"/>
          <w:sz w:val="19"/>
          <w:szCs w:val="19"/>
          <w:color w:val="auto"/>
        </w:rPr>
        <w:t>and conditions of the Plan, the provisions of which are incorporated herein by reference. In the event any provision of this Agreement shall conflict with any of the terms in the Plan as constituted on the Grant Date, the terms of the Plan as constituted on the Grant Date shall control. The Trust may modify this Agreement after the Grant Date; provided, however, that no such modification may be made which alters or impairs any rights or obligations of the Grantee without the Grantee’s express written agreement. Any such modification shall not be inconsistent with the terms of the Plan. Notwithstanding the foregoing, the Board or Administrator may take such actions as it deems appropriate to ensure that the Plan and any Awards may comply with any tax, securities or other applicable law. Nothing herein shall restrict the Administrator’s ability to exercise its discretionary authority as provided in the Plan.</w:t>
      </w:r>
    </w:p>
    <w:p>
      <w:pPr>
        <w:sectPr>
          <w:pgSz w:w="11900" w:h="16838" w:orient="portrait"/>
          <w:cols w:equalWidth="0" w:num="1">
            <w:col w:w="10584"/>
          </w:cols>
          <w:pgMar w:left="976" w:top="1413" w:right="3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color w:val="auto"/>
        </w:rPr>
        <w:t>IN WITNESS WHEREOF, the Trust has caused this Agreement to be duly executed effective as of the day and year first above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FEDERAL REALTY INVESTMENT TRUST</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By:___________________________________</w:t>
      </w:r>
    </w:p>
    <w:p>
      <w:pPr>
        <w:spacing w:after="0" w:line="227" w:lineRule="auto"/>
        <w:rPr>
          <w:sz w:val="20"/>
          <w:szCs w:val="20"/>
          <w:color w:val="auto"/>
        </w:rPr>
      </w:pPr>
      <w:r>
        <w:rPr>
          <w:rFonts w:ascii="Arial" w:cs="Arial" w:eastAsia="Arial" w:hAnsi="Arial"/>
          <w:sz w:val="20"/>
          <w:szCs w:val="20"/>
          <w:color w:val="auto"/>
        </w:rPr>
        <w:t>Name: Dawn M. Becker</w:t>
      </w:r>
    </w:p>
    <w:p>
      <w:pPr>
        <w:spacing w:after="0" w:line="225" w:lineRule="auto"/>
        <w:rPr>
          <w:sz w:val="20"/>
          <w:szCs w:val="20"/>
          <w:color w:val="auto"/>
        </w:rPr>
      </w:pPr>
      <w:r>
        <w:rPr>
          <w:rFonts w:ascii="Arial" w:cs="Arial" w:eastAsia="Arial" w:hAnsi="Arial"/>
          <w:sz w:val="20"/>
          <w:szCs w:val="20"/>
          <w:color w:val="auto"/>
        </w:rPr>
        <w:t>Title: Executive Vice President –</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General Counsel and Secretary</w:t>
      </w:r>
    </w:p>
    <w:p>
      <w:pPr>
        <w:sectPr>
          <w:pgSz w:w="11900" w:h="16838" w:orient="portrait"/>
          <w:cols w:equalWidth="0" w:num="1">
            <w:col w:w="11220"/>
          </w:cols>
          <w:pgMar w:left="320" w:top="1419" w:right="359" w:bottom="1440" w:gutter="0" w:footer="0" w:header="0"/>
        </w:sectPr>
      </w:pPr>
    </w:p>
    <w:bookmarkStart w:id="104" w:name="page105"/>
    <w:bookmarkEnd w:id="104"/>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7"/>
          <w:szCs w:val="17"/>
          <w:b w:val="1"/>
          <w:bCs w:val="1"/>
          <w:color w:val="auto"/>
        </w:rPr>
        <w:t>EDERAL REALTY INVESTMENT TRUST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COMBINED INCENTIVE AND NON-QUALIFIED SHARE OPTION</w:t>
      </w:r>
    </w:p>
    <w:p>
      <w:pPr>
        <w:jc w:val="center"/>
        <w:spacing w:after="0"/>
        <w:rPr>
          <w:sz w:val="20"/>
          <w:szCs w:val="20"/>
          <w:color w:val="auto"/>
        </w:rPr>
      </w:pPr>
      <w:r>
        <w:rPr>
          <w:rFonts w:ascii="Arial" w:cs="Arial" w:eastAsia="Arial" w:hAnsi="Arial"/>
          <w:sz w:val="18"/>
          <w:szCs w:val="18"/>
          <w:b w:val="1"/>
          <w:bCs w:val="1"/>
          <w:u w:val="single" w:color="auto"/>
          <w:color w:val="auto"/>
        </w:rPr>
        <w:t>AGREEMENT FOR EMPLOYEES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AGREEMENT </w:t>
      </w:r>
      <w:r>
        <w:rPr>
          <w:rFonts w:ascii="Arial" w:cs="Arial" w:eastAsia="Arial" w:hAnsi="Arial"/>
          <w:sz w:val="17"/>
          <w:szCs w:val="17"/>
          <w:color w:val="auto"/>
        </w:rPr>
        <w:t>(“Agreement”) dated this ___ day of ____________, 20__ (the “Grant Date”), by</w:t>
      </w:r>
      <w:r>
        <w:rPr>
          <w:rFonts w:ascii="Arial" w:cs="Arial" w:eastAsia="Arial" w:hAnsi="Arial"/>
          <w:sz w:val="17"/>
          <w:szCs w:val="17"/>
          <w:b w:val="1"/>
          <w:bCs w:val="1"/>
          <w:color w:val="auto"/>
        </w:rPr>
        <w:t xml:space="preserve"> FEDERAL REALTY INVESTMENT TRUST</w:t>
      </w:r>
      <w:r>
        <w:rPr>
          <w:rFonts w:ascii="Arial" w:cs="Arial" w:eastAsia="Arial" w:hAnsi="Arial"/>
          <w:sz w:val="17"/>
          <w:szCs w:val="17"/>
          <w:color w:val="auto"/>
        </w:rPr>
        <w:t>, a</w:t>
      </w:r>
    </w:p>
    <w:p>
      <w:pPr>
        <w:spacing w:after="0" w:line="2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Maryland real estate investment trust (“Trust”) with an address of 1626 East Jefferson Street, Rockville, Maryland 20852, providing notice of a share option award to _________</w:t>
      </w:r>
      <w:r>
        <w:rPr>
          <w:rFonts w:ascii="Arial" w:cs="Arial" w:eastAsia="Arial" w:hAnsi="Arial"/>
          <w:sz w:val="18"/>
          <w:szCs w:val="18"/>
          <w:b w:val="1"/>
          <w:bCs w:val="1"/>
          <w:color w:val="auto"/>
        </w:rPr>
        <w:t>___________</w:t>
      </w:r>
      <w:r>
        <w:rPr>
          <w:rFonts w:ascii="Arial" w:cs="Arial" w:eastAsia="Arial" w:hAnsi="Arial"/>
          <w:sz w:val="18"/>
          <w:szCs w:val="18"/>
          <w:color w:val="auto"/>
        </w:rPr>
        <w:t>, an employee of the Trust (“Grantee”).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Trustees of the Trust has authorized the award by the Trust to the Grantee under the Federal Realty Investment Trust 2020</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Incentive Plan (“Plan”);</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Trust desires to grant, as set forth herein, to Grantee under the Plan (1) options for Shares that qualify as “Incentive Stock Options”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meaning of Section 422 or any successor provision of the Internal Revenue Code of 1986, as amended (“Code”), and/or (2) options not intended to qualify as Incentive Stock Options (“Non-Qualified Share Options”); and</w:t>
      </w:r>
    </w:p>
    <w:p>
      <w:pPr>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unless otherwise provided herein, capitalized terms used in this Agreement shall have the meaning given them in the Plan.</w:t>
      </w:r>
    </w:p>
    <w:p>
      <w:pPr>
        <w:jc w:val="both"/>
        <w:spacing w:after="0" w:line="234"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representations herein contained and intending to be legally bound,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ind w:left="180" w:hanging="172"/>
        <w:spacing w:after="0" w:line="236" w:lineRule="auto"/>
        <w:tabs>
          <w:tab w:leader="none" w:pos="1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Grant Facts:</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 hereby grants to Grantee the following option (“Option”) to purchase Shares:</w:t>
      </w:r>
    </w:p>
    <w:p>
      <w:pPr>
        <w:ind w:right="8000"/>
        <w:spacing w:after="0" w:line="23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Number of Shares Subject to this Option: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Stock Options:</w:t>
      </w:r>
    </w:p>
    <w:p>
      <w:pPr>
        <w:spacing w:after="0" w:line="1" w:lineRule="exact"/>
        <w:rPr>
          <w:rFonts w:ascii="Arial" w:cs="Arial" w:eastAsia="Arial" w:hAnsi="Arial"/>
          <w:sz w:val="18"/>
          <w:szCs w:val="18"/>
          <w:b w:val="1"/>
          <w:bCs w:val="1"/>
          <w:color w:val="auto"/>
        </w:rPr>
      </w:pPr>
    </w:p>
    <w:p>
      <w:pPr>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Non-Qualified Share Options:</w:t>
      </w:r>
    </w:p>
    <w:p>
      <w:pPr>
        <w:spacing w:after="0" w:line="23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Purchase Price of Shares subject to the Option: $</w:t>
      </w:r>
    </w:p>
    <w:p>
      <w:pPr>
        <w:spacing w:after="0" w:line="23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Grant Date of the Option:</w:t>
      </w:r>
    </w:p>
    <w:p>
      <w:pPr>
        <w:ind w:right="7380"/>
        <w:spacing w:after="0" w:line="23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Vesting Schedule of Shares Subject to the Option: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Incentive Non-Qualified Vesting Date</w:t>
      </w:r>
    </w:p>
    <w:p>
      <w:pPr>
        <w:spacing w:after="0" w:line="1" w:lineRule="exact"/>
        <w:rPr>
          <w:rFonts w:ascii="Arial" w:cs="Arial" w:eastAsia="Arial" w:hAnsi="Arial"/>
          <w:sz w:val="18"/>
          <w:szCs w:val="18"/>
          <w:b w:val="1"/>
          <w:bCs w:val="1"/>
          <w:color w:val="auto"/>
        </w:rPr>
      </w:pPr>
    </w:p>
    <w:p>
      <w:pPr>
        <w:jc w:val="both"/>
        <w:ind w:right="10960"/>
        <w:spacing w:after="0" w:line="352" w:lineRule="auto"/>
        <w:rPr>
          <w:rFonts w:ascii="Arial" w:cs="Arial" w:eastAsia="Arial" w:hAnsi="Arial"/>
          <w:sz w:val="18"/>
          <w:szCs w:val="18"/>
          <w:b w:val="1"/>
          <w:bCs w:val="1"/>
          <w:color w:val="auto"/>
        </w:rPr>
      </w:pPr>
      <w:r>
        <w:rPr>
          <w:rFonts w:ascii="Arial" w:cs="Arial" w:eastAsia="Arial" w:hAnsi="Arial"/>
          <w:sz w:val="12"/>
          <w:szCs w:val="12"/>
          <w:color w:val="auto"/>
        </w:rPr>
        <w:t>, 20 , 20 , 20 , 20 , 20</w:t>
      </w:r>
    </w:p>
    <w:p>
      <w:pPr>
        <w:jc w:val="both"/>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The Option may be exercised from time-to-time to the extent vested. To the extent any portion of the Option designated above as an Incentive Stock Option shall fail to qualify as an Incentive Stock Option for any reason, including an exercise by the Grantee after the time period required to receive Incentive Stock Option treatment, it shall be deemed a Non-Qualified Share Option.</w:t>
      </w:r>
    </w:p>
    <w:p>
      <w:pPr>
        <w:spacing w:after="0" w:line="2" w:lineRule="exact"/>
        <w:rPr>
          <w:rFonts w:ascii="Arial" w:cs="Arial" w:eastAsia="Arial" w:hAnsi="Arial"/>
          <w:sz w:val="18"/>
          <w:szCs w:val="18"/>
          <w:b w:val="1"/>
          <w:bCs w:val="1"/>
          <w:color w:val="auto"/>
        </w:rPr>
      </w:pPr>
    </w:p>
    <w:p>
      <w:pPr>
        <w:ind w:right="20" w:firstLine="8"/>
        <w:spacing w:after="0" w:line="243" w:lineRule="auto"/>
        <w:tabs>
          <w:tab w:leader="none" w:pos="1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shall expire ten (10) years from the Grant Date, subject to earlier termination as set forth in Section 4 of this Agreement and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w:t>
      </w:r>
    </w:p>
    <w:p>
      <w:pPr>
        <w:spacing w:after="0" w:line="200" w:lineRule="exact"/>
        <w:rPr>
          <w:rFonts w:ascii="Arial" w:cs="Arial" w:eastAsia="Arial" w:hAnsi="Arial"/>
          <w:sz w:val="18"/>
          <w:szCs w:val="18"/>
          <w:b w:val="1"/>
          <w:bCs w:val="1"/>
          <w:color w:val="auto"/>
        </w:rPr>
      </w:pPr>
    </w:p>
    <w:p>
      <w:pPr>
        <w:spacing w:after="0" w:line="251" w:lineRule="exact"/>
        <w:rPr>
          <w:rFonts w:ascii="Arial" w:cs="Arial" w:eastAsia="Arial" w:hAnsi="Arial"/>
          <w:sz w:val="18"/>
          <w:szCs w:val="18"/>
          <w:b w:val="1"/>
          <w:bCs w:val="1"/>
          <w:color w:val="auto"/>
        </w:rPr>
      </w:pPr>
    </w:p>
    <w:p>
      <w:pPr>
        <w:ind w:firstLine="8"/>
        <w:spacing w:after="0" w:line="246" w:lineRule="auto"/>
        <w:tabs>
          <w:tab w:leader="none" w:pos="1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Acceleration of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vesting of this Option shall accelerate and the Option shall fully vest and become immediately exercisable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full number of Shares subject to the Option for the applicable periods set forth in Section 4 below upon the following:</w:t>
      </w:r>
    </w:p>
    <w:p>
      <w:pPr>
        <w:spacing w:after="0" w:line="23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Grantee’s termination of Service upon Disability;</w:t>
      </w:r>
    </w:p>
    <w:p>
      <w:pPr>
        <w:spacing w:after="0" w:line="23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Grantee’s death while employed by the Trust;</w:t>
      </w:r>
    </w:p>
    <w:p>
      <w:pPr>
        <w:spacing w:after="0" w:line="23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Grantee’s termination of Service without Cause; and</w:t>
      </w:r>
    </w:p>
    <w:p>
      <w:pPr>
        <w:jc w:val="both"/>
        <w:spacing w:after="0" w:line="23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if the Grantee incurs an Involuntary Termination within the one year period commencing with a Change in Control; provided, however, such</w:t>
      </w:r>
      <w:r>
        <w:rPr>
          <w:rFonts w:ascii="Arial" w:cs="Arial" w:eastAsia="Arial" w:hAnsi="Arial"/>
          <w:sz w:val="18"/>
          <w:szCs w:val="18"/>
          <w:b w:val="1"/>
          <w:bCs w:val="1"/>
          <w:color w:val="auto"/>
        </w:rPr>
        <w:t xml:space="preserve"> </w:t>
      </w:r>
      <w:r>
        <w:rPr>
          <w:rFonts w:ascii="Arial" w:cs="Arial" w:eastAsia="Arial" w:hAnsi="Arial"/>
          <w:sz w:val="18"/>
          <w:szCs w:val="18"/>
          <w:color w:val="auto"/>
        </w:rPr>
        <w:t>accelerated vesting described in this Section 3(d) shall not be applicable to the Option if such Change in Control results from the Grantee’s beneficial ownership (within the meaning of Rule 13d-3 under the Exchange Act) of Shares or Trust Voting Securities.</w:t>
      </w:r>
    </w:p>
    <w:p>
      <w:pPr>
        <w:spacing w:after="0" w:line="2" w:lineRule="exact"/>
        <w:rPr>
          <w:rFonts w:ascii="Arial" w:cs="Arial" w:eastAsia="Arial" w:hAnsi="Arial"/>
          <w:sz w:val="18"/>
          <w:szCs w:val="18"/>
          <w:b w:val="1"/>
          <w:bCs w:val="1"/>
          <w:color w:val="auto"/>
        </w:rPr>
      </w:pPr>
    </w:p>
    <w:p>
      <w:pPr>
        <w:jc w:val="both"/>
        <w:ind w:firstLine="8"/>
        <w:spacing w:after="0" w:line="260" w:lineRule="auto"/>
        <w:tabs>
          <w:tab w:leader="none" w:pos="193"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Exercise of Option Upon Termination of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all or any part of the Option was not exercisable as of the date of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(after giving effect to Section 3, above), the unvested and unexercisable portion of the Option shall expire at the date of such termination of Service. Notwithstanding anything to the contrary, if the Grantee’s termination of Service is for Cause (as defined in the Plan and any employment or</w:t>
      </w:r>
    </w:p>
    <w:p>
      <w:pPr>
        <w:sectPr>
          <w:pgSz w:w="11900" w:h="16838" w:orient="portrait"/>
          <w:cols w:equalWidth="0" w:num="1">
            <w:col w:w="11240"/>
          </w:cols>
          <w:pgMar w:left="320" w:top="1440" w:right="339" w:bottom="1440" w:gutter="0" w:footer="0" w:header="0"/>
        </w:sectPr>
      </w:pPr>
    </w:p>
    <w:bookmarkStart w:id="105" w:name="page106"/>
    <w:bookmarkEnd w:id="105"/>
    <w:p>
      <w:pPr>
        <w:jc w:val="both"/>
        <w:spacing w:after="0" w:line="238" w:lineRule="auto"/>
        <w:rPr>
          <w:sz w:val="20"/>
          <w:szCs w:val="20"/>
          <w:color w:val="auto"/>
        </w:rPr>
      </w:pPr>
      <w:r>
        <w:rPr>
          <w:rFonts w:ascii="Arial" w:cs="Arial" w:eastAsia="Arial" w:hAnsi="Arial"/>
          <w:sz w:val="18"/>
          <w:szCs w:val="18"/>
          <w:color w:val="auto"/>
        </w:rPr>
        <w:t>other agreement with the Grantee as of the Grant Date) or the Grantee voluntarily terminates from Service at a time when grounds for the Grantee’s termination for Cause exists, the right of the Grantee to exercise the Option shall terminate at the date of termination of Service. Subject to the preceding, the Grantee or the Grantee’s beneficiary, as applicable, shall have the applicable period of time specified below in which to exercise the Option after the Grantee’s termination of Service; provided, however, in no event may the Option be exercised under any circumstances later than the expiration date described in Section 2.</w:t>
      </w:r>
    </w:p>
    <w:p>
      <w:pPr>
        <w:spacing w:after="0" w:line="2" w:lineRule="exact"/>
        <w:rPr>
          <w:sz w:val="20"/>
          <w:szCs w:val="20"/>
          <w:color w:val="auto"/>
        </w:rPr>
      </w:pPr>
    </w:p>
    <w:p>
      <w:pPr>
        <w:jc w:val="both"/>
        <w:ind w:firstLine="8"/>
        <w:spacing w:after="0" w:line="234" w:lineRule="auto"/>
        <w:tabs>
          <w:tab w:leader="none" w:pos="255"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Termination of Service. </w:t>
      </w:r>
      <w:r>
        <w:rPr>
          <w:rFonts w:ascii="Arial" w:cs="Arial" w:eastAsia="Arial" w:hAnsi="Arial"/>
          <w:sz w:val="18"/>
          <w:szCs w:val="18"/>
          <w:color w:val="auto"/>
        </w:rPr>
        <w:t>Upon the Grantee’s termination of Service for any reason other than by reason of death, Disability, Retirement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defined below) or Involuntary Termination within the one year period commencing with a Change in Control, the Grantee shall have a period of three (3) months </w:t>
      </w:r>
      <w:r>
        <w:rPr>
          <w:rFonts w:ascii="Arial" w:cs="Arial" w:eastAsia="Arial" w:hAnsi="Arial"/>
          <w:sz w:val="18"/>
          <w:szCs w:val="18"/>
          <w:b w:val="1"/>
          <w:bCs w:val="1"/>
          <w:i w:val="1"/>
          <w:iCs w:val="1"/>
          <w:color w:val="auto"/>
        </w:rPr>
        <w:t>[one year for Executive Officers]</w:t>
      </w:r>
      <w:r>
        <w:rPr>
          <w:rFonts w:ascii="Arial" w:cs="Arial" w:eastAsia="Arial" w:hAnsi="Arial"/>
          <w:sz w:val="18"/>
          <w:szCs w:val="18"/>
          <w:color w:val="auto"/>
        </w:rPr>
        <w:t xml:space="preserve"> after such termination of Service to exercise all or any part of the Option to the extent it was exercisable at the date of termination of Service. An exercise of all or any part of the Option more than three (3) months after termination of Service as an employee may cause any portion of the Option being exercised which was designated as an Incentive Stock Option to fail to qualify as such, in which event it shall be deemed a Non-Qualified Share Option.</w:t>
      </w:r>
    </w:p>
    <w:p>
      <w:pPr>
        <w:spacing w:after="0" w:line="4" w:lineRule="exact"/>
        <w:rPr>
          <w:rFonts w:ascii="Arial" w:cs="Arial" w:eastAsia="Arial" w:hAnsi="Arial"/>
          <w:sz w:val="18"/>
          <w:szCs w:val="18"/>
          <w:b w:val="1"/>
          <w:bCs w:val="1"/>
          <w:color w:val="auto"/>
        </w:rPr>
      </w:pPr>
    </w:p>
    <w:p>
      <w:pPr>
        <w:jc w:val="both"/>
        <w:ind w:firstLine="8"/>
        <w:spacing w:after="0" w:line="234" w:lineRule="auto"/>
        <w:tabs>
          <w:tab w:leader="none" w:pos="27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Service on Retirement</w:t>
      </w:r>
      <w:r>
        <w:rPr>
          <w:rFonts w:ascii="Arial" w:cs="Arial" w:eastAsia="Arial" w:hAnsi="Arial"/>
          <w:sz w:val="18"/>
          <w:szCs w:val="18"/>
          <w:color w:val="auto"/>
        </w:rPr>
        <w:t>. Upon the Grantee’s termination of Service by reason of retirement on or after the Grantee turns age 65</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the Grantee shall have a period of one (1) year after such termination of Service to exercise all or any part of the Option to the extent that it was exercisable upon such termination of Service. An exercise of all or any part of the Option more than three (3) months after termination of Service as an employee may cause any portion of the Option being exercised which was designated as an Incentive Stock Option to fail to qualify as such, in which event it shall be deemed a Non-Qualified Share Option.</w:t>
      </w:r>
    </w:p>
    <w:p>
      <w:pPr>
        <w:spacing w:after="0" w:line="3" w:lineRule="exact"/>
        <w:rPr>
          <w:rFonts w:ascii="Arial" w:cs="Arial" w:eastAsia="Arial" w:hAnsi="Arial"/>
          <w:sz w:val="18"/>
          <w:szCs w:val="18"/>
          <w:b w:val="1"/>
          <w:bCs w:val="1"/>
          <w:color w:val="auto"/>
        </w:rPr>
      </w:pPr>
    </w:p>
    <w:p>
      <w:pPr>
        <w:jc w:val="both"/>
        <w:ind w:firstLine="8"/>
        <w:spacing w:after="0" w:line="237" w:lineRule="auto"/>
        <w:tabs>
          <w:tab w:leader="none" w:pos="25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on Disability. </w:t>
      </w:r>
      <w:r>
        <w:rPr>
          <w:rFonts w:ascii="Arial" w:cs="Arial" w:eastAsia="Arial" w:hAnsi="Arial"/>
          <w:sz w:val="18"/>
          <w:szCs w:val="18"/>
          <w:color w:val="auto"/>
        </w:rPr>
        <w:t>Upon the Grantee’s termination of Service by reason of Disability, the Grantee shall have a period of one (1)</w:t>
      </w:r>
      <w:r>
        <w:rPr>
          <w:rFonts w:ascii="Arial" w:cs="Arial" w:eastAsia="Arial" w:hAnsi="Arial"/>
          <w:sz w:val="18"/>
          <w:szCs w:val="18"/>
          <w:b w:val="1"/>
          <w:bCs w:val="1"/>
          <w:color w:val="auto"/>
        </w:rPr>
        <w:t xml:space="preserve"> </w:t>
      </w:r>
      <w:r>
        <w:rPr>
          <w:rFonts w:ascii="Arial" w:cs="Arial" w:eastAsia="Arial" w:hAnsi="Arial"/>
          <w:sz w:val="18"/>
          <w:szCs w:val="18"/>
          <w:color w:val="auto"/>
        </w:rPr>
        <w:t>year after such termination of Service to exercise all or any part of the Option to the extent that it was exercisable upon such termination of Service including as a result of Section 3 above. Unless the Grantee’s Disability qualifies as a permanent and total disability within the meaning of Section 22(e)(3) of the Code, any exercise of all or any part of the Option more than three (3) months after termination of Service as an employee by reason of Disability may cause any portion of the Option being exercised which was designated as an Incentive Stock Option to fail to qualify as such, in which event it shall be deemed a Non-Qualified Share Option.</w:t>
      </w:r>
    </w:p>
    <w:p>
      <w:pPr>
        <w:spacing w:after="0" w:line="211" w:lineRule="exact"/>
        <w:rPr>
          <w:rFonts w:ascii="Arial" w:cs="Arial" w:eastAsia="Arial" w:hAnsi="Arial"/>
          <w:sz w:val="18"/>
          <w:szCs w:val="18"/>
          <w:b w:val="1"/>
          <w:bCs w:val="1"/>
          <w:color w:val="auto"/>
        </w:rPr>
      </w:pPr>
    </w:p>
    <w:p>
      <w:pPr>
        <w:ind w:firstLine="8"/>
        <w:spacing w:after="0" w:line="246" w:lineRule="auto"/>
        <w:tabs>
          <w:tab w:leader="none" w:pos="265"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on Death. </w:t>
      </w:r>
      <w:r>
        <w:rPr>
          <w:rFonts w:ascii="Arial" w:cs="Arial" w:eastAsia="Arial" w:hAnsi="Arial"/>
          <w:sz w:val="18"/>
          <w:szCs w:val="18"/>
          <w:color w:val="auto"/>
        </w:rPr>
        <w:t>In the event of the death of the Grantee, the right of the Grantee’s beneficiary to exercise the Option shall expire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jc w:val="both"/>
        <w:ind w:firstLine="8"/>
        <w:spacing w:after="0" w:line="234" w:lineRule="auto"/>
        <w:tabs>
          <w:tab w:leader="none" w:pos="215"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if the Grantee’s death occurs when the Grantee is employed by the Trust, the Grantee’s beneficiary shall have a period of two (2) years after the date of the Grantee’s death to exercise all or any part of the Option to the extent that it was exercisable upon such termination of Service including as a result of Section 3 above;</w:t>
      </w:r>
    </w:p>
    <w:p>
      <w:pPr>
        <w:spacing w:after="0" w:line="2" w:lineRule="exact"/>
        <w:rPr>
          <w:rFonts w:ascii="Arial" w:cs="Arial" w:eastAsia="Arial" w:hAnsi="Arial"/>
          <w:sz w:val="18"/>
          <w:szCs w:val="18"/>
          <w:b w:val="1"/>
          <w:bCs w:val="1"/>
          <w:color w:val="auto"/>
        </w:rPr>
      </w:pPr>
    </w:p>
    <w:p>
      <w:pPr>
        <w:jc w:val="both"/>
        <w:ind w:firstLine="8"/>
        <w:spacing w:after="0" w:line="234" w:lineRule="auto"/>
        <w:tabs>
          <w:tab w:leader="none" w:pos="265"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if the Grantee’s death occurs after the Grantee’s termination of Service by reason of Disability or Retirement but before the expiration of one (1) year after the Grantee’s termination of Service by reason of Disability or Retirement, the one (1) year period provided for in Section 4(b) and (c) shall be extended for an additional one (1) year period such that the Grantee’s beneficiary shall have a period of two (2) years from the date of the Grantee’s termination of Service by reason of Disability or Retirement to exercise all or any part of the Option to the extent that it was exercisable upon such termination of Service including as a result of Section 3 above;</w:t>
      </w:r>
    </w:p>
    <w:p>
      <w:pPr>
        <w:spacing w:after="0" w:line="3" w:lineRule="exact"/>
        <w:rPr>
          <w:rFonts w:ascii="Arial" w:cs="Arial" w:eastAsia="Arial" w:hAnsi="Arial"/>
          <w:sz w:val="18"/>
          <w:szCs w:val="18"/>
          <w:b w:val="1"/>
          <w:bCs w:val="1"/>
          <w:color w:val="auto"/>
        </w:rPr>
      </w:pPr>
    </w:p>
    <w:p>
      <w:pPr>
        <w:ind w:firstLine="8"/>
        <w:spacing w:after="0" w:line="234" w:lineRule="auto"/>
        <w:tabs>
          <w:tab w:leader="none" w:pos="315"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if the Grantee’s death occurs following any other termination of Service, the Grantee’s beneficiary shall have the remaining period of time specified in Section 4(a), if any, to exercise all or any part of the Option.</w:t>
      </w:r>
    </w:p>
    <w:p>
      <w:pPr>
        <w:spacing w:after="0" w:line="1" w:lineRule="exact"/>
        <w:rPr>
          <w:rFonts w:ascii="Arial" w:cs="Arial" w:eastAsia="Arial" w:hAnsi="Arial"/>
          <w:sz w:val="18"/>
          <w:szCs w:val="18"/>
          <w:b w:val="1"/>
          <w:bCs w:val="1"/>
          <w:color w:val="auto"/>
        </w:rPr>
      </w:pPr>
    </w:p>
    <w:p>
      <w:pPr>
        <w:jc w:val="both"/>
        <w:ind w:firstLine="8"/>
        <w:spacing w:after="0" w:line="234" w:lineRule="auto"/>
        <w:tabs>
          <w:tab w:leader="none" w:pos="258"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If the Grantee incurs an Involuntary Termination within the one (1) year period commencing with a Change in Control,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shall have a period of one (1) year from the date of such Involuntary Termination to exercise all or any part of the Option to the extent that it was exercisable upon such Involuntary Termination including as a result of Section 3 above. Any exercise of all or any part of the Option after an Involuntary Termination following a Change in Control more than three (3) months after termination of Service as an employee may cause any portion of the Option being exercised which was designated as an Incentive Stock Option to fail to qualify as such in which event it shall be deemed a Non-Qualified Share Option.</w:t>
      </w:r>
    </w:p>
    <w:p>
      <w:pPr>
        <w:spacing w:after="0" w:line="4" w:lineRule="exact"/>
        <w:rPr>
          <w:rFonts w:ascii="Arial" w:cs="Arial" w:eastAsia="Arial" w:hAnsi="Arial"/>
          <w:sz w:val="18"/>
          <w:szCs w:val="18"/>
          <w:b w:val="1"/>
          <w:bCs w:val="1"/>
          <w:color w:val="auto"/>
        </w:rPr>
      </w:pPr>
    </w:p>
    <w:p>
      <w:pPr>
        <w:spacing w:after="0" w:line="23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u w:val="single" w:color="auto"/>
          <w:color w:val="auto"/>
        </w:rPr>
        <w:t>Exercise Procedures</w:t>
      </w:r>
      <w:r>
        <w:rPr>
          <w:rFonts w:ascii="Arial" w:cs="Arial" w:eastAsia="Arial" w:hAnsi="Arial"/>
          <w:sz w:val="18"/>
          <w:szCs w:val="18"/>
          <w:b w:val="1"/>
          <w:bCs w:val="1"/>
          <w:color w:val="auto"/>
        </w:rPr>
        <w:t>.</w:t>
      </w:r>
    </w:p>
    <w:p>
      <w:pPr>
        <w:jc w:val="both"/>
        <w:ind w:firstLine="8"/>
        <w:spacing w:after="0" w:line="239" w:lineRule="auto"/>
        <w:tabs>
          <w:tab w:leader="none" w:pos="28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Exercise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vested, the Option shall be exercisable by providing written notice to the Trust and making all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to pay the exercise price and provide for any applicable tax withholding as provided in this Section 5. Such written notice shall set forth such information as the</w:t>
      </w:r>
    </w:p>
    <w:p>
      <w:pPr>
        <w:sectPr>
          <w:pgSz w:w="11900" w:h="16838" w:orient="portrait"/>
          <w:cols w:equalWidth="0" w:num="1">
            <w:col w:w="11240"/>
          </w:cols>
          <w:pgMar w:left="320" w:top="1421" w:right="339" w:bottom="1440" w:gutter="0" w:footer="0" w:header="0"/>
        </w:sectPr>
      </w:pPr>
    </w:p>
    <w:bookmarkStart w:id="106" w:name="page107"/>
    <w:bookmarkEnd w:id="106"/>
    <w:p>
      <w:pPr>
        <w:jc w:val="both"/>
        <w:spacing w:after="0" w:line="251" w:lineRule="auto"/>
        <w:rPr>
          <w:sz w:val="20"/>
          <w:szCs w:val="20"/>
          <w:color w:val="auto"/>
        </w:rPr>
      </w:pPr>
      <w:r>
        <w:rPr>
          <w:rFonts w:ascii="Arial" w:cs="Arial" w:eastAsia="Arial" w:hAnsi="Arial"/>
          <w:sz w:val="17"/>
          <w:szCs w:val="17"/>
          <w:color w:val="auto"/>
        </w:rPr>
        <w:t>Trust may reasonably require from time to time which may include, without limitation: (i) the number of Shares being purchased and whether those Shares are issuable as a result of the exercise of the Incentive Stock Option portion of the Option or the Non-Qualified Share Option portion of the Option; (ii) the total exercise price for the Shares being purchased; and (iii) the exact name(s) as it should appear to whom the Shares are to be issued and address to which the Shares should be sent. For the exercise of the Option to be valid, such written notice must be provided to the Secretary of the Trust and additional arrangements to pay the exercise price must be completed on or before 5:00 P.M. local time at the principal office of the Trust on the expiration date of the Option. If the written notice is not provided to the Secretary of the Trust or the arrangements to pay the exercise price have not be completed on or before such date and time, the Option will expire and be of no further force of effect.</w:t>
      </w:r>
    </w:p>
    <w:p>
      <w:pPr>
        <w:spacing w:after="0" w:line="2" w:lineRule="exact"/>
        <w:rPr>
          <w:sz w:val="20"/>
          <w:szCs w:val="20"/>
          <w:color w:val="auto"/>
        </w:rPr>
      </w:pPr>
    </w:p>
    <w:p>
      <w:pPr>
        <w:jc w:val="both"/>
        <w:ind w:firstLine="8"/>
        <w:spacing w:after="0" w:line="234" w:lineRule="auto"/>
        <w:tabs>
          <w:tab w:leader="none" w:pos="265"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of Exercise Price. </w:t>
      </w:r>
      <w:r>
        <w:rPr>
          <w:rFonts w:ascii="Arial" w:cs="Arial" w:eastAsia="Arial" w:hAnsi="Arial"/>
          <w:sz w:val="18"/>
          <w:szCs w:val="18"/>
          <w:color w:val="auto"/>
        </w:rPr>
        <w:t>The exercise price of Shares purchased upon exercise of the Option shall be paid in full (a) in cash, (b) by delivery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 of Shares which shall have been held by the Grantee for at least six months having, on the date of exercise, a fair market value equal to the aggregate exercise price, (c) in any combination of cash and Shares, or (d) cash equivalents acceptable to the Trust or by payment in accordance with a broker-assisted cashless exercise program under which, if so instructed by the Grantee, Shares may be issued directly to the Grantee’s broker or dealer against receipt of the exercise price in cash from the broker or dealer.</w:t>
      </w:r>
    </w:p>
    <w:p>
      <w:pPr>
        <w:spacing w:after="0" w:line="3" w:lineRule="exact"/>
        <w:rPr>
          <w:rFonts w:ascii="Arial" w:cs="Arial" w:eastAsia="Arial" w:hAnsi="Arial"/>
          <w:sz w:val="18"/>
          <w:szCs w:val="18"/>
          <w:b w:val="1"/>
          <w:bCs w:val="1"/>
          <w:color w:val="auto"/>
        </w:rPr>
      </w:pPr>
    </w:p>
    <w:p>
      <w:pPr>
        <w:jc w:val="both"/>
        <w:ind w:firstLine="8"/>
        <w:spacing w:after="0" w:line="264" w:lineRule="auto"/>
        <w:tabs>
          <w:tab w:leader="none" w:pos="244"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Delivery of Certificate; Registration of Shares</w:t>
      </w:r>
      <w:r>
        <w:rPr>
          <w:rFonts w:ascii="Arial" w:cs="Arial" w:eastAsia="Arial" w:hAnsi="Arial"/>
          <w:sz w:val="16"/>
          <w:szCs w:val="16"/>
          <w:color w:val="auto"/>
        </w:rPr>
        <w:t>. Subject to Section 9 hereof, either a book entry registration of the purchased Shares or certificates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purchased Shares will be issued and delivered to the Grantee as soon as practicable after the receipt of payment of the exercise price in accordance with Section 5(b) above; </w:t>
      </w:r>
      <w:r>
        <w:rPr>
          <w:rFonts w:ascii="Arial" w:cs="Arial" w:eastAsia="Arial" w:hAnsi="Arial"/>
          <w:sz w:val="16"/>
          <w:szCs w:val="16"/>
          <w:i w:val="1"/>
          <w:iCs w:val="1"/>
          <w:color w:val="auto"/>
        </w:rPr>
        <w:t>provided, however</w:t>
      </w:r>
      <w:r>
        <w:rPr>
          <w:rFonts w:ascii="Arial" w:cs="Arial" w:eastAsia="Arial" w:hAnsi="Arial"/>
          <w:sz w:val="16"/>
          <w:szCs w:val="16"/>
          <w:color w:val="auto"/>
        </w:rPr>
        <w:t>, that delivery of any such Shares shall be deemed effected for all purposes when a stock transfer agent of the Trust shall have placed such Shares into a book-entry account or deposited such certificates in the United States mail, addressed to Grantee, at the address for the Grantee included in the Grantee’s personnel file or to such other address as Grantee may from time to time designate in a written notice to the Trust. The Grantee shall not be deemed for any purpose to be a shareholder of the Trust in respect of any Shares as to which the Option shall not have been exercised, as herein provided, until such Shares have been issued to Grantee by the Trust hereunder.</w:t>
      </w:r>
    </w:p>
    <w:p>
      <w:pPr>
        <w:jc w:val="both"/>
        <w:spacing w:after="0" w:line="264"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6. </w:t>
      </w:r>
      <w:r>
        <w:rPr>
          <w:rFonts w:ascii="Arial" w:cs="Arial" w:eastAsia="Arial" w:hAnsi="Arial"/>
          <w:sz w:val="16"/>
          <w:szCs w:val="16"/>
          <w:b w:val="1"/>
          <w:bCs w:val="1"/>
          <w:u w:val="single" w:color="auto"/>
          <w:color w:val="auto"/>
        </w:rPr>
        <w:t>Plan Provisions Control Option Terms; Modifications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is granted pursuant and subject to the terms and conditions of the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which are incorporated herein by reference. In the event any provision of this Agreement shall conflict with any of the terms in the Plan as constituted on the Grant Date, the terms of the Plan as constituted on the Grant Date shall control. The Trust may modify the Option after the Grant Date; provided, however, that no such modification may be made which alters or impairs any rights or obligations of the Grantee without the Grantee’s express written agreement. Any such modification shall not be inconsistent with the terms of the Plan. For purposes of this Agreement, a modification which causes an Incentive Stock Option to be a Non-Qualified Share Option shall not be treated as a modification adverse to the Grantee. Notwithstanding the foregoing, the Board or Administrator may take such actions as it deems appropriate to ensure that the Plan and any Awards may comply with any tax, securities or other applicable law. Nothing herein shall restrict the Administrator’s ability to exercise its discretionary authority as provided in the Plan.</w:t>
      </w:r>
    </w:p>
    <w:p>
      <w:pPr>
        <w:jc w:val="both"/>
        <w:spacing w:after="0" w:line="234"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Limitations on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in this Section 7, the Option may not be assigned or transferred other than by will or the laws of descent</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distribution. The Grantee may transfer, in a not for value transfer, the part of this Option that is a Non-Qualified Share Option to any Family Member (as defined in the Plan). For the purpose of this Section 7, a "not for value" transfer is a transfer which is: (a) a gift; (b) a transfer under a domestic relations order in settlement of marital property rights; or (c) a transfer to an entity in which more than fifty percent of the voting interests are owned by Family Members (or the Grantee) in exchange for an interest in that entity. Following a transfer under this Section 7, the Option shall continue to be subject to the same terms and conditions as were applicable immediately prior to transfer. Subsequent transfers of transferred Options are prohibited except to Family Members of the original Grantee in accordance with this Section 7 or by will or the laws of descent and distribution. The Grantee’s beneficiary may exercise the Grantee’s rights hereunder only to the extent they were exercisable under this Agreement at the date of the death of the Grantee and are otherwise currently exercisable.</w:t>
      </w:r>
    </w:p>
    <w:p>
      <w:pPr>
        <w:spacing w:after="0" w:line="6" w:lineRule="exact"/>
        <w:rPr>
          <w:rFonts w:ascii="Arial" w:cs="Arial" w:eastAsia="Arial" w:hAnsi="Arial"/>
          <w:sz w:val="16"/>
          <w:szCs w:val="16"/>
          <w:b w:val="1"/>
          <w:bCs w:val="1"/>
          <w:color w:val="auto"/>
        </w:rPr>
      </w:pPr>
    </w:p>
    <w:p>
      <w:pPr>
        <w:jc w:val="both"/>
        <w:spacing w:after="0" w:line="237"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 shall be entitled to withhold (or secure payment from the Grantee in lieu of withholding) the amount of any withholding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tax required by law to be withheld or paid by the Trust with respect to any Shares issuable under this Agreement, and the Trust may defer issuance of Shares upon the exercise of the Option unless the Trust is indemnified to its satisfaction against any liability for any such tax. The amount of such withholding or tax payment shall be determined by the Trust or its delegate and shall be payable by the Grantee at such time as the Trust determines. The Grantee may satisfy his or her minimum required tax withholding obligation by the payment of cash to the Trust and/or, if so approved by the Trust, by the withholding from the</w:t>
      </w:r>
    </w:p>
    <w:p>
      <w:pPr>
        <w:sectPr>
          <w:pgSz w:w="11900" w:h="16838" w:orient="portrait"/>
          <w:cols w:equalWidth="0" w:num="1">
            <w:col w:w="11240"/>
          </w:cols>
          <w:pgMar w:left="320" w:top="1421" w:right="339" w:bottom="1440" w:gutter="0" w:footer="0" w:header="0"/>
        </w:sectPr>
      </w:pPr>
    </w:p>
    <w:bookmarkStart w:id="107" w:name="page108"/>
    <w:bookmarkEnd w:id="107"/>
    <w:p>
      <w:pPr>
        <w:jc w:val="both"/>
        <w:spacing w:after="0" w:line="239" w:lineRule="auto"/>
        <w:rPr>
          <w:sz w:val="20"/>
          <w:szCs w:val="20"/>
          <w:color w:val="auto"/>
        </w:rPr>
      </w:pPr>
      <w:r>
        <w:rPr>
          <w:rFonts w:ascii="Arial" w:cs="Arial" w:eastAsia="Arial" w:hAnsi="Arial"/>
          <w:sz w:val="18"/>
          <w:szCs w:val="18"/>
          <w:color w:val="auto"/>
        </w:rPr>
        <w:t>Option, at the appropriate time, of a number of Shares sufficient, based upon the Fair Market Value of such Shares, to satisfy such tax withholding requirements. The Trust shall be authorized, in its sole discretion, to establish such rules and procedures relating to any such withholding methods as it deems necessary or appropriate, including, without limitation, rules and procedures relating to elections to have Shares withheld upon exercise of the Option to meet such withholding obligations.</w:t>
      </w:r>
    </w:p>
    <w:p>
      <w:pPr>
        <w:spacing w:after="0" w:line="2" w:lineRule="exact"/>
        <w:rPr>
          <w:sz w:val="20"/>
          <w:szCs w:val="20"/>
          <w:color w:val="auto"/>
        </w:rPr>
      </w:pPr>
    </w:p>
    <w:p>
      <w:pPr>
        <w:jc w:val="both"/>
        <w:ind w:firstLine="8"/>
        <w:spacing w:after="0" w:line="234" w:lineRule="auto"/>
        <w:tabs>
          <w:tab w:leader="none" w:pos="1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Exercise in Violation of Law</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of the provisions of this Agreement, the Grantee hereby agrees that he or she will not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granted hereby, and that the Trust will not be obligated to issue any Shares to the Grantee hereunder, if the exercise thereof or the issuance of such Shares shall constitute a violation by the Grantee or the Trust of any provision of any law or regulation of any governmental authority. Any determination in this connection by the Committee shall be final, binding and conclusive.</w:t>
      </w:r>
    </w:p>
    <w:p>
      <w:pPr>
        <w:spacing w:after="0" w:line="2" w:lineRule="exact"/>
        <w:rPr>
          <w:rFonts w:ascii="Arial" w:cs="Arial" w:eastAsia="Arial" w:hAnsi="Arial"/>
          <w:sz w:val="18"/>
          <w:szCs w:val="18"/>
          <w:b w:val="1"/>
          <w:bCs w:val="1"/>
          <w:color w:val="auto"/>
        </w:rPr>
      </w:pPr>
    </w:p>
    <w:p>
      <w:pPr>
        <w:jc w:val="both"/>
        <w:ind w:firstLine="8"/>
        <w:spacing w:after="0" w:line="264" w:lineRule="auto"/>
        <w:tabs>
          <w:tab w:leader="none" w:pos="27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 and Code Section 409A</w:t>
      </w:r>
      <w:r>
        <w:rPr>
          <w:rFonts w:ascii="Arial" w:cs="Arial" w:eastAsia="Arial" w:hAnsi="Arial"/>
          <w:sz w:val="16"/>
          <w:szCs w:val="16"/>
          <w:color w:val="auto"/>
        </w:rPr>
        <w:t>. Notwithstanding anything herein to the contrary, the Grantee shall be solely responsible and liable for the satisfaction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all taxes and penalties that may arise in connection with this Agreement (including any taxes arising under Section 409A of the Code). This Agreement is intended to be exempt from Code Section 409A, and the Trust shall have complete discretion to interpret and construe 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Grantee in order to accurately reflect its correct interpretation and operation to maintain an exemption from or compliance with Code Section 409A. Notwithstanding any provision of the Plan or this Agreement (including the foregoing), neither the Trust nor the Administrator shall have any liability to any person in the event Code Section 409A applies to this Option in a manner that results in adverse tax consequences for the Grantee or any of his or her beneficiaries or transferees.</w:t>
      </w:r>
    </w:p>
    <w:p>
      <w:pPr>
        <w:spacing w:after="0" w:line="1"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Trust has executed this Agreement as of the day and year first above written.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Dawn M. Becker</w:t>
      </w:r>
    </w:p>
    <w:p>
      <w:pPr>
        <w:ind w:left="390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240"/>
          </w:cols>
          <w:pgMar w:left="320" w:top="1421" w:right="339" w:bottom="1440" w:gutter="0" w:footer="0" w:header="0"/>
        </w:sectPr>
      </w:pPr>
    </w:p>
    <w:bookmarkStart w:id="108" w:name="page109"/>
    <w:bookmarkEnd w:id="108"/>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FEDERAL REALTY INVESTMENT TRUST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SHARE AWARD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DATE</w:t>
      </w:r>
    </w:p>
    <w:p>
      <w:pPr>
        <w:spacing w:after="0" w:line="22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This Restricted Share Award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by </w:t>
      </w:r>
      <w:r>
        <w:rPr>
          <w:rFonts w:ascii="Arial" w:cs="Arial" w:eastAsia="Arial" w:hAnsi="Arial"/>
          <w:sz w:val="20"/>
          <w:szCs w:val="20"/>
          <w:b w:val="1"/>
          <w:bCs w:val="1"/>
          <w:color w:val="auto"/>
        </w:rPr>
        <w:t>Federal Realty Investment Trust</w:t>
      </w:r>
      <w:r>
        <w:rPr>
          <w:rFonts w:ascii="Arial" w:cs="Arial" w:eastAsia="Arial" w:hAnsi="Arial"/>
          <w:sz w:val="20"/>
          <w:szCs w:val="20"/>
          <w:color w:val="auto"/>
        </w:rPr>
        <w:t xml:space="preserve">, a Maryland real estate investment trust (the </w:t>
      </w:r>
      <w:r>
        <w:rPr>
          <w:rFonts w:ascii="Arial" w:cs="Arial" w:eastAsia="Arial" w:hAnsi="Arial"/>
          <w:sz w:val="20"/>
          <w:szCs w:val="20"/>
          <w:b w:val="1"/>
          <w:bCs w:val="1"/>
          <w:color w:val="auto"/>
        </w:rPr>
        <w:t>“Trust”</w:t>
      </w:r>
      <w:r>
        <w:rPr>
          <w:rFonts w:ascii="Arial" w:cs="Arial" w:eastAsia="Arial" w:hAnsi="Arial"/>
          <w:sz w:val="20"/>
          <w:szCs w:val="20"/>
          <w:color w:val="auto"/>
        </w:rPr>
        <w:t xml:space="preserve">), provides notice to ___________________, an individual employee of the Trust (the </w:t>
      </w:r>
      <w:r>
        <w:rPr>
          <w:rFonts w:ascii="Arial" w:cs="Arial" w:eastAsia="Arial" w:hAnsi="Arial"/>
          <w:sz w:val="20"/>
          <w:szCs w:val="20"/>
          <w:b w:val="1"/>
          <w:bCs w:val="1"/>
          <w:color w:val="auto"/>
        </w:rPr>
        <w:t>“Grantee”</w:t>
      </w:r>
      <w:r>
        <w:rPr>
          <w:rFonts w:ascii="Arial" w:cs="Arial" w:eastAsia="Arial" w:hAnsi="Arial"/>
          <w:sz w:val="20"/>
          <w:szCs w:val="20"/>
          <w:color w:val="auto"/>
        </w:rPr>
        <w:t>), of the terms of a Restricted Share Award.</w:t>
      </w:r>
    </w:p>
    <w:p>
      <w:pPr>
        <w:jc w:val="both"/>
        <w:ind w:firstLine="648"/>
        <w:spacing w:after="0" w:line="237" w:lineRule="auto"/>
        <w:rPr>
          <w:sz w:val="20"/>
          <w:szCs w:val="20"/>
          <w:color w:val="auto"/>
        </w:rPr>
      </w:pPr>
      <w:r>
        <w:rPr>
          <w:rFonts w:ascii="Arial" w:cs="Arial" w:eastAsia="Arial" w:hAnsi="Arial"/>
          <w:sz w:val="19"/>
          <w:szCs w:val="19"/>
          <w:color w:val="auto"/>
        </w:rPr>
        <w:t>The Board of Trustees of the Trust (the “</w:t>
      </w:r>
      <w:r>
        <w:rPr>
          <w:rFonts w:ascii="Arial" w:cs="Arial" w:eastAsia="Arial" w:hAnsi="Arial"/>
          <w:sz w:val="19"/>
          <w:szCs w:val="19"/>
          <w:b w:val="1"/>
          <w:bCs w:val="1"/>
          <w:color w:val="auto"/>
        </w:rPr>
        <w:t>Board of Trustees</w:t>
      </w:r>
      <w:r>
        <w:rPr>
          <w:rFonts w:ascii="Arial" w:cs="Arial" w:eastAsia="Arial" w:hAnsi="Arial"/>
          <w:sz w:val="19"/>
          <w:szCs w:val="19"/>
          <w:color w:val="auto"/>
        </w:rPr>
        <w:t xml:space="preserve">”) has authorized the award by the Trust to the Grantee, under the Trust’s 2020 Performance Incentive Plan (the </w:t>
      </w:r>
      <w:r>
        <w:rPr>
          <w:rFonts w:ascii="Arial" w:cs="Arial" w:eastAsia="Arial" w:hAnsi="Arial"/>
          <w:sz w:val="19"/>
          <w:szCs w:val="19"/>
          <w:b w:val="1"/>
          <w:bCs w:val="1"/>
          <w:color w:val="auto"/>
        </w:rPr>
        <w:t>“Plan”</w:t>
      </w:r>
      <w:r>
        <w:rPr>
          <w:rFonts w:ascii="Arial" w:cs="Arial" w:eastAsia="Arial" w:hAnsi="Arial"/>
          <w:sz w:val="19"/>
          <w:szCs w:val="19"/>
          <w:color w:val="auto"/>
        </w:rPr>
        <w:t xml:space="preserve">) of a Restricted Share Award for a certain number of shares of beneficial interest of the Trust (the </w:t>
      </w:r>
      <w:r>
        <w:rPr>
          <w:rFonts w:ascii="Arial" w:cs="Arial" w:eastAsia="Arial" w:hAnsi="Arial"/>
          <w:sz w:val="19"/>
          <w:szCs w:val="19"/>
          <w:b w:val="1"/>
          <w:bCs w:val="1"/>
          <w:color w:val="auto"/>
        </w:rPr>
        <w:t>“Shares”</w:t>
      </w:r>
      <w:r>
        <w:rPr>
          <w:rFonts w:ascii="Arial" w:cs="Arial" w:eastAsia="Arial" w:hAnsi="Arial"/>
          <w:sz w:val="19"/>
          <w:szCs w:val="19"/>
          <w:color w:val="auto"/>
        </w:rPr>
        <w:t>), subject to certain restrictions and covenants on the part of Grantee. This Agreement sets forth vesting and the respective rights and obligations of the Trust and the Grantee with respect to such Shares.</w:t>
      </w:r>
    </w:p>
    <w:p>
      <w:pPr>
        <w:spacing w:after="0" w:line="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color w:val="auto"/>
        </w:rPr>
        <w:t>In consideration of the covenants set forth in this Agreement, and intending to be legally bound hereby, the terms of the Restricted Share Award are as follows:</w:t>
      </w:r>
    </w:p>
    <w:p>
      <w:pPr>
        <w:ind w:left="860" w:hanging="204"/>
        <w:spacing w:after="0" w:line="226" w:lineRule="auto"/>
        <w:tabs>
          <w:tab w:leader="none" w:pos="86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Award of Restricted Shares</w:t>
      </w:r>
      <w:r>
        <w:rPr>
          <w:rFonts w:ascii="Arial" w:cs="Arial" w:eastAsia="Arial" w:hAnsi="Arial"/>
          <w:sz w:val="20"/>
          <w:szCs w:val="20"/>
          <w:b w:val="1"/>
          <w:bCs w:val="1"/>
          <w:color w:val="auto"/>
        </w:rPr>
        <w:t>.</w:t>
      </w:r>
    </w:p>
    <w:p>
      <w:pPr>
        <w:ind w:left="1340" w:hanging="360"/>
        <w:spacing w:after="0" w:line="237" w:lineRule="auto"/>
        <w:tabs>
          <w:tab w:leader="none" w:pos="1340"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The  Trust  hereby  confirms  the  grant  to  the  Grantee  as  of  the  date  set  forth  above  (the  </w:t>
      </w:r>
      <w:r>
        <w:rPr>
          <w:rFonts w:ascii="Arial" w:cs="Arial" w:eastAsia="Arial" w:hAnsi="Arial"/>
          <w:sz w:val="19"/>
          <w:szCs w:val="19"/>
          <w:b w:val="1"/>
          <w:bCs w:val="1"/>
          <w:color w:val="auto"/>
        </w:rPr>
        <w:t>“Grant  Date”</w:t>
      </w:r>
      <w:r>
        <w:rPr>
          <w:rFonts w:ascii="Arial" w:cs="Arial" w:eastAsia="Arial" w:hAnsi="Arial"/>
          <w:sz w:val="19"/>
          <w:szCs w:val="19"/>
          <w:color w:val="auto"/>
        </w:rPr>
        <w:t>)  of</w:t>
      </w:r>
    </w:p>
    <w:p>
      <w:pPr>
        <w:spacing w:after="0" w:line="225" w:lineRule="auto"/>
        <w:rPr>
          <w:rFonts w:ascii="Arial" w:cs="Arial" w:eastAsia="Arial" w:hAnsi="Arial"/>
          <w:sz w:val="19"/>
          <w:szCs w:val="19"/>
          <w:color w:val="auto"/>
        </w:rPr>
      </w:pPr>
      <w:r>
        <w:rPr>
          <w:rFonts w:ascii="Arial" w:cs="Arial" w:eastAsia="Arial" w:hAnsi="Arial"/>
          <w:sz w:val="20"/>
          <w:szCs w:val="20"/>
          <w:color w:val="auto"/>
        </w:rPr>
        <w:t xml:space="preserve">___________________ (_________) Shares (the </w:t>
      </w:r>
      <w:r>
        <w:rPr>
          <w:rFonts w:ascii="Arial" w:cs="Arial" w:eastAsia="Arial" w:hAnsi="Arial"/>
          <w:sz w:val="20"/>
          <w:szCs w:val="20"/>
          <w:b w:val="1"/>
          <w:bCs w:val="1"/>
          <w:color w:val="auto"/>
        </w:rPr>
        <w:t>“Restricted Shares”</w:t>
      </w:r>
      <w:r>
        <w:rPr>
          <w:rFonts w:ascii="Arial" w:cs="Arial" w:eastAsia="Arial" w:hAnsi="Arial"/>
          <w:sz w:val="20"/>
          <w:szCs w:val="20"/>
          <w:color w:val="auto"/>
        </w:rPr>
        <w:t>), subject to the restrictions and other terms and conditions set forth herein and in the Plan; and</w:t>
      </w:r>
    </w:p>
    <w:p>
      <w:pPr>
        <w:jc w:val="both"/>
        <w:ind w:firstLine="980"/>
        <w:spacing w:after="0" w:line="250" w:lineRule="auto"/>
        <w:tabs>
          <w:tab w:leader="none" w:pos="1252" w:val="left"/>
        </w:tabs>
        <w:numPr>
          <w:ilvl w:val="1"/>
          <w:numId w:val="83"/>
        </w:numPr>
        <w:rPr>
          <w:rFonts w:ascii="Arial" w:cs="Arial" w:eastAsia="Arial" w:hAnsi="Arial"/>
          <w:sz w:val="18"/>
          <w:szCs w:val="18"/>
          <w:color w:val="auto"/>
        </w:rPr>
      </w:pPr>
      <w:r>
        <w:rPr>
          <w:rFonts w:ascii="Arial" w:cs="Arial" w:eastAsia="Arial" w:hAnsi="Arial"/>
          <w:sz w:val="18"/>
          <w:szCs w:val="18"/>
          <w:color w:val="auto"/>
        </w:rPr>
        <w:t>On or as soon as practicable after the Grant Date, the Trust shall cause the Restricted Shares to be issued in certificated form or by a book-entry designation for the account for the Grantee. Such Restricted Shares shall be subject to such stop-transfer orders and other restrictions as the Board of Trustees or any committee thereof may deem advisable under the rules, regulations, and other requirements of the Securities and Exchange Commission and any stock exchange upon which the Shares are listed and any applicable federal or state securities law. If the Restricted Shares are issued in certificated form, the certificate(s) representing the Restricted Shares shall be held in custody by the Chief Financial Officer. Restricted Shares issued by a book-entry designation shall be held in a book-entry account designated by the Trust until the restrictions provided in this Agreement with respect thereto shall have been removed. At any time as may be requested by the Trust, if necessary to enforce the restrictions applicable to the Restricted Shares, the Grantee shall deliver to the Trust one or more undated stock powers endorsed in blank relating to the Restricted Shares.</w:t>
      </w:r>
    </w:p>
    <w:p>
      <w:pPr>
        <w:spacing w:after="0" w:line="3" w:lineRule="exact"/>
        <w:rPr>
          <w:rFonts w:ascii="Arial" w:cs="Arial" w:eastAsia="Arial" w:hAnsi="Arial"/>
          <w:sz w:val="18"/>
          <w:szCs w:val="18"/>
          <w:color w:val="auto"/>
        </w:rPr>
      </w:pPr>
    </w:p>
    <w:p>
      <w:pPr>
        <w:ind w:left="860" w:hanging="204"/>
        <w:spacing w:after="0" w:line="225" w:lineRule="auto"/>
        <w:tabs>
          <w:tab w:leader="none" w:pos="86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Restrictions Applicable to Restricted Shares</w:t>
      </w:r>
      <w:r>
        <w:rPr>
          <w:rFonts w:ascii="Arial" w:cs="Arial" w:eastAsia="Arial" w:hAnsi="Arial"/>
          <w:sz w:val="20"/>
          <w:szCs w:val="20"/>
          <w:b w:val="1"/>
          <w:bCs w:val="1"/>
          <w:color w:val="auto"/>
        </w:rPr>
        <w:t>.</w:t>
      </w:r>
    </w:p>
    <w:p>
      <w:pPr>
        <w:ind w:firstLine="980"/>
        <w:spacing w:after="0" w:line="225" w:lineRule="auto"/>
        <w:tabs>
          <w:tab w:leader="none" w:pos="1241" w:val="left"/>
        </w:tabs>
        <w:numPr>
          <w:ilvl w:val="1"/>
          <w:numId w:val="83"/>
        </w:numPr>
        <w:rPr>
          <w:rFonts w:ascii="Arial" w:cs="Arial" w:eastAsia="Arial" w:hAnsi="Arial"/>
          <w:sz w:val="20"/>
          <w:szCs w:val="20"/>
          <w:color w:val="auto"/>
        </w:rPr>
      </w:pPr>
      <w:r>
        <w:rPr>
          <w:rFonts w:ascii="Arial" w:cs="Arial" w:eastAsia="Arial" w:hAnsi="Arial"/>
          <w:sz w:val="20"/>
          <w:szCs w:val="20"/>
          <w:color w:val="auto"/>
        </w:rPr>
        <w:t>Beginning on the Grant Date, the Grantee shall have all rights and privileges of a stockholder with respect to the Restricted Shares, except that the following restrictions shall apply:</w:t>
      </w:r>
    </w:p>
    <w:p>
      <w:pPr>
        <w:jc w:val="both"/>
        <w:ind w:firstLine="1628"/>
        <w:spacing w:after="0" w:line="225" w:lineRule="auto"/>
        <w:tabs>
          <w:tab w:leader="none" w:pos="1897" w:val="left"/>
        </w:tabs>
        <w:numPr>
          <w:ilvl w:val="2"/>
          <w:numId w:val="83"/>
        </w:numPr>
        <w:rPr>
          <w:rFonts w:ascii="Arial" w:cs="Arial" w:eastAsia="Arial" w:hAnsi="Arial"/>
          <w:sz w:val="20"/>
          <w:szCs w:val="20"/>
          <w:color w:val="auto"/>
        </w:rPr>
      </w:pPr>
      <w:r>
        <w:rPr>
          <w:rFonts w:ascii="Arial" w:cs="Arial" w:eastAsia="Arial" w:hAnsi="Arial"/>
          <w:sz w:val="20"/>
          <w:szCs w:val="20"/>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while the restrictions of this Agreement apply to the Shares;</w:t>
      </w:r>
    </w:p>
    <w:p>
      <w:pPr>
        <w:spacing w:after="0" w:line="1" w:lineRule="exact"/>
        <w:rPr>
          <w:rFonts w:ascii="Arial" w:cs="Arial" w:eastAsia="Arial" w:hAnsi="Arial"/>
          <w:sz w:val="20"/>
          <w:szCs w:val="20"/>
          <w:color w:val="auto"/>
        </w:rPr>
      </w:pPr>
    </w:p>
    <w:p>
      <w:pPr>
        <w:ind w:left="1920" w:hanging="292"/>
        <w:spacing w:after="0" w:line="225" w:lineRule="auto"/>
        <w:tabs>
          <w:tab w:leader="none" w:pos="1920" w:val="left"/>
        </w:tabs>
        <w:numPr>
          <w:ilvl w:val="2"/>
          <w:numId w:val="83"/>
        </w:numPr>
        <w:rPr>
          <w:rFonts w:ascii="Arial" w:cs="Arial" w:eastAsia="Arial" w:hAnsi="Arial"/>
          <w:sz w:val="20"/>
          <w:szCs w:val="20"/>
          <w:color w:val="auto"/>
        </w:rPr>
      </w:pPr>
      <w:r>
        <w:rPr>
          <w:rFonts w:ascii="Arial" w:cs="Arial" w:eastAsia="Arial" w:hAnsi="Arial"/>
          <w:sz w:val="20"/>
          <w:szCs w:val="20"/>
          <w:color w:val="auto"/>
        </w:rPr>
        <w:t>all or a portion of the Restricted Shares may be forfeited in accordance with Paragraph 4; and</w:t>
      </w:r>
    </w:p>
    <w:p>
      <w:pPr>
        <w:jc w:val="both"/>
        <w:ind w:firstLine="1628"/>
        <w:spacing w:after="0" w:line="230" w:lineRule="auto"/>
        <w:tabs>
          <w:tab w:leader="none" w:pos="1966" w:val="left"/>
        </w:tabs>
        <w:numPr>
          <w:ilvl w:val="2"/>
          <w:numId w:val="83"/>
        </w:numPr>
        <w:rPr>
          <w:rFonts w:ascii="Arial" w:cs="Arial" w:eastAsia="Arial" w:hAnsi="Arial"/>
          <w:sz w:val="20"/>
          <w:szCs w:val="20"/>
          <w:color w:val="auto"/>
        </w:rPr>
      </w:pPr>
      <w:r>
        <w:rPr>
          <w:rFonts w:ascii="Arial" w:cs="Arial" w:eastAsia="Arial" w:hAnsi="Arial"/>
          <w:sz w:val="20"/>
          <w:szCs w:val="20"/>
          <w:color w:val="auto"/>
        </w:rPr>
        <w:t>any Shares distributed as a dividend or otherwise and any other property (other than ordinary dividends) distributed with respect to any Restricted Shares which have not vested and as to which the restrictions have not yet lapsed shall be subject to the same vesting and other restrictions as such Restricted Shares and shall be represented by book-entry and held in the same manner as the Restricted Shares with respect to which they were distributed.</w:t>
      </w:r>
    </w:p>
    <w:p>
      <w:pPr>
        <w:sectPr>
          <w:pgSz w:w="11900" w:h="16838" w:orient="portrait"/>
          <w:cols w:equalWidth="0" w:num="1">
            <w:col w:w="11240"/>
          </w:cols>
          <w:pgMar w:left="320" w:top="1440" w:right="339" w:bottom="1440" w:gutter="0" w:footer="0" w:header="0"/>
        </w:sectPr>
      </w:pPr>
    </w:p>
    <w:bookmarkStart w:id="109" w:name="page110"/>
    <w:bookmarkEnd w:id="109"/>
    <w:p>
      <w:pPr>
        <w:jc w:val="both"/>
        <w:ind w:firstLine="8"/>
        <w:spacing w:after="0" w:line="229" w:lineRule="auto"/>
        <w:tabs>
          <w:tab w:leader="none" w:pos="280" w:val="left"/>
        </w:tabs>
        <w:numPr>
          <w:ilvl w:val="0"/>
          <w:numId w:val="84"/>
        </w:numPr>
        <w:rPr>
          <w:rFonts w:ascii="Arial" w:cs="Arial" w:eastAsia="Arial" w:hAnsi="Arial"/>
          <w:sz w:val="20"/>
          <w:szCs w:val="20"/>
          <w:color w:val="auto"/>
        </w:rPr>
      </w:pPr>
      <w:r>
        <w:rPr>
          <w:rFonts w:ascii="Arial" w:cs="Arial" w:eastAsia="Arial" w:hAnsi="Arial"/>
          <w:sz w:val="20"/>
          <w:szCs w:val="20"/>
          <w:color w:val="auto"/>
        </w:rPr>
        <w:t>Upon vesting of all or a portion of the Restricted Shares as provided in Paragraph 3 and payment in accordance with Paragraph 3(c) of withholding taxes relating to those Restricted Shares which have vested, such shares shall no longer be considered Restricted Shares for purposes of this Agreement and the Trust shall cause the restrictions to be removed from the number of Shares which have become vested and for which withholding taxes have been paid.</w:t>
      </w:r>
    </w:p>
    <w:p>
      <w:pPr>
        <w:spacing w:after="0" w:line="2" w:lineRule="exact"/>
        <w:rPr>
          <w:rFonts w:ascii="Arial" w:cs="Arial" w:eastAsia="Arial" w:hAnsi="Arial"/>
          <w:sz w:val="20"/>
          <w:szCs w:val="20"/>
          <w:color w:val="auto"/>
        </w:rPr>
      </w:pPr>
    </w:p>
    <w:p>
      <w:pPr>
        <w:ind w:right="20" w:firstLine="8"/>
        <w:spacing w:after="0" w:line="225" w:lineRule="auto"/>
        <w:tabs>
          <w:tab w:leader="none" w:pos="282" w:val="left"/>
        </w:tabs>
        <w:numPr>
          <w:ilvl w:val="0"/>
          <w:numId w:val="84"/>
        </w:numPr>
        <w:rPr>
          <w:rFonts w:ascii="Arial" w:cs="Arial" w:eastAsia="Arial" w:hAnsi="Arial"/>
          <w:sz w:val="20"/>
          <w:szCs w:val="20"/>
          <w:color w:val="auto"/>
        </w:rPr>
      </w:pPr>
      <w:r>
        <w:rPr>
          <w:rFonts w:ascii="Arial" w:cs="Arial" w:eastAsia="Arial" w:hAnsi="Arial"/>
          <w:sz w:val="20"/>
          <w:szCs w:val="20"/>
          <w:color w:val="auto"/>
        </w:rPr>
        <w:t>Any attempt to dispose of Restricted Shares in a manner contrary to the restrictions set forth in this Agreement shall be null, void and ineffective.</w:t>
      </w:r>
    </w:p>
    <w:p>
      <w:pPr>
        <w:ind w:left="860" w:hanging="204"/>
        <w:spacing w:after="0" w:line="225" w:lineRule="auto"/>
        <w:tabs>
          <w:tab w:leader="none" w:pos="860" w:val="left"/>
        </w:tabs>
        <w:numPr>
          <w:ilvl w:val="1"/>
          <w:numId w:val="8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w:t>
      </w:r>
      <w:r>
        <w:rPr>
          <w:rFonts w:ascii="Arial" w:cs="Arial" w:eastAsia="Arial" w:hAnsi="Arial"/>
          <w:sz w:val="20"/>
          <w:szCs w:val="20"/>
          <w:b w:val="1"/>
          <w:bCs w:val="1"/>
          <w:color w:val="auto"/>
        </w:rPr>
        <w:t>.</w:t>
      </w:r>
    </w:p>
    <w:p>
      <w:pPr>
        <w:ind w:left="1240" w:hanging="260"/>
        <w:spacing w:after="0"/>
        <w:tabs>
          <w:tab w:leader="none" w:pos="1240" w:val="left"/>
        </w:tabs>
        <w:numPr>
          <w:ilvl w:val="2"/>
          <w:numId w:val="84"/>
        </w:numPr>
        <w:rPr>
          <w:rFonts w:ascii="Arial" w:cs="Arial" w:eastAsia="Arial" w:hAnsi="Arial"/>
          <w:sz w:val="20"/>
          <w:szCs w:val="20"/>
          <w:color w:val="auto"/>
        </w:rPr>
      </w:pPr>
      <w:r>
        <w:rPr>
          <w:rFonts w:ascii="Arial" w:cs="Arial" w:eastAsia="Arial" w:hAnsi="Arial"/>
          <w:sz w:val="20"/>
          <w:szCs w:val="20"/>
          <w:color w:val="auto"/>
        </w:rPr>
        <w:t>The Restricted Shares shall vest as follows:</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[Insert Vesting Schedule]</w:t>
      </w:r>
    </w:p>
    <w:p>
      <w:pPr>
        <w:spacing w:after="0" w:line="235" w:lineRule="exact"/>
        <w:rPr>
          <w:sz w:val="20"/>
          <w:szCs w:val="20"/>
          <w:color w:val="auto"/>
        </w:rPr>
      </w:pPr>
    </w:p>
    <w:p>
      <w:pPr>
        <w:ind w:left="1260" w:hanging="280"/>
        <w:spacing w:after="0"/>
        <w:tabs>
          <w:tab w:leader="none" w:pos="1260" w:val="left"/>
        </w:tabs>
        <w:numPr>
          <w:ilvl w:val="2"/>
          <w:numId w:val="85"/>
        </w:numPr>
        <w:rPr>
          <w:rFonts w:ascii="Arial" w:cs="Arial" w:eastAsia="Arial" w:hAnsi="Arial"/>
          <w:sz w:val="20"/>
          <w:szCs w:val="20"/>
          <w:color w:val="auto"/>
        </w:rPr>
      </w:pPr>
      <w:r>
        <w:rPr>
          <w:rFonts w:ascii="Arial" w:cs="Arial" w:eastAsia="Arial" w:hAnsi="Arial"/>
          <w:sz w:val="20"/>
          <w:szCs w:val="20"/>
          <w:color w:val="auto"/>
        </w:rPr>
        <w:t>Notwithstanding the foregoing, the Restricted Shares shall vest as follows:</w:t>
      </w:r>
    </w:p>
    <w:p>
      <w:pPr>
        <w:spacing w:after="0" w:line="229" w:lineRule="exact"/>
        <w:rPr>
          <w:rFonts w:ascii="Arial" w:cs="Arial" w:eastAsia="Arial" w:hAnsi="Arial"/>
          <w:sz w:val="20"/>
          <w:szCs w:val="20"/>
          <w:color w:val="auto"/>
        </w:rPr>
      </w:pPr>
    </w:p>
    <w:p>
      <w:pPr>
        <w:ind w:left="1860" w:hanging="232"/>
        <w:spacing w:after="0"/>
        <w:tabs>
          <w:tab w:leader="none" w:pos="1860" w:val="left"/>
        </w:tabs>
        <w:numPr>
          <w:ilvl w:val="3"/>
          <w:numId w:val="85"/>
        </w:numPr>
        <w:rPr>
          <w:rFonts w:ascii="Arial" w:cs="Arial" w:eastAsia="Arial" w:hAnsi="Arial"/>
          <w:sz w:val="20"/>
          <w:szCs w:val="20"/>
          <w:color w:val="auto"/>
        </w:rPr>
      </w:pPr>
      <w:r>
        <w:rPr>
          <w:rFonts w:ascii="Arial" w:cs="Arial" w:eastAsia="Arial" w:hAnsi="Arial"/>
          <w:sz w:val="20"/>
          <w:szCs w:val="20"/>
          <w:color w:val="auto"/>
        </w:rPr>
        <w:t>all Restricted Shares shall vest in the event of the death or Disability of the Grantee; and</w:t>
      </w:r>
    </w:p>
    <w:p>
      <w:pPr>
        <w:spacing w:after="0" w:line="2" w:lineRule="exact"/>
        <w:rPr>
          <w:rFonts w:ascii="Arial" w:cs="Arial" w:eastAsia="Arial" w:hAnsi="Arial"/>
          <w:sz w:val="20"/>
          <w:szCs w:val="20"/>
          <w:color w:val="auto"/>
        </w:rPr>
      </w:pPr>
    </w:p>
    <w:p>
      <w:pPr>
        <w:ind w:right="20" w:firstLine="1628"/>
        <w:spacing w:after="0" w:line="234" w:lineRule="auto"/>
        <w:tabs>
          <w:tab w:leader="none" w:pos="1911" w:val="left"/>
        </w:tabs>
        <w:numPr>
          <w:ilvl w:val="3"/>
          <w:numId w:val="85"/>
        </w:numPr>
        <w:rPr>
          <w:rFonts w:ascii="Arial" w:cs="Arial" w:eastAsia="Arial" w:hAnsi="Arial"/>
          <w:sz w:val="20"/>
          <w:szCs w:val="20"/>
          <w:color w:val="auto"/>
        </w:rPr>
      </w:pPr>
      <w:r>
        <w:rPr>
          <w:rFonts w:ascii="Arial" w:cs="Arial" w:eastAsia="Arial" w:hAnsi="Arial"/>
          <w:sz w:val="20"/>
          <w:szCs w:val="20"/>
          <w:color w:val="auto"/>
        </w:rPr>
        <w:t>all Restricted Shares shall vest if the Grantee shall incur an Involuntary Termination (as defined in the Plan) during the one year period commencing with the occurrence of a Change in Control.</w:t>
      </w:r>
    </w:p>
    <w:p>
      <w:pPr>
        <w:spacing w:after="0" w:line="210" w:lineRule="exact"/>
        <w:rPr>
          <w:rFonts w:ascii="Arial" w:cs="Arial" w:eastAsia="Arial" w:hAnsi="Arial"/>
          <w:sz w:val="20"/>
          <w:szCs w:val="20"/>
          <w:color w:val="auto"/>
        </w:rPr>
      </w:pPr>
    </w:p>
    <w:p>
      <w:pPr>
        <w:jc w:val="both"/>
        <w:ind w:firstLine="980"/>
        <w:spacing w:after="0" w:line="251" w:lineRule="auto"/>
        <w:tabs>
          <w:tab w:leader="none" w:pos="1268" w:val="left"/>
        </w:tabs>
        <w:numPr>
          <w:ilvl w:val="2"/>
          <w:numId w:val="85"/>
        </w:numPr>
        <w:rPr>
          <w:rFonts w:ascii="Arial" w:cs="Arial" w:eastAsia="Arial" w:hAnsi="Arial"/>
          <w:sz w:val="18"/>
          <w:szCs w:val="18"/>
          <w:color w:val="auto"/>
        </w:rPr>
      </w:pPr>
      <w:r>
        <w:rPr>
          <w:rFonts w:ascii="Arial" w:cs="Arial" w:eastAsia="Arial" w:hAnsi="Arial"/>
          <w:sz w:val="18"/>
          <w:szCs w:val="18"/>
          <w:color w:val="auto"/>
        </w:rPr>
        <w:t>As soon as reasonably practicable after the vesting of all or any portion of the Restricted Shares, the Trust shall notify Grantee or the Grantee’s legal representative, as applicable, of the amount of required withholding taxes due on the vesting of all or a portion of Restricted Shares (“Tax Notice”). Grantee or Grantee’s legal representative, as applicable, shall tender to the Trust the amount specified in the Tax Notice within five (5) business days after the date of the Tax Notice, or such longer period of time as the Trust may designate. The Trust shall not be required to remove the restrictions on such Shares until such time as the Grantee or the Grantee’s legal representative, as applicable, shall have paid such tax withholding amount in full. The Trust, at its sole discretion and on such terms and conditions determined by the Trust from time to time, may permit the Grantee or the Grantee’s legal representative to satisfy the Trust’s minimum statutory tax withholding obligations as determined by the Trust’s accounting department through (i) the sale of all or a portion of such Shares resulting from this Agreement through the employer’s broker or (ii) by returning to the Trust a number of Shares having a fair market value equal to the minimum statutory tax withholding amount due. Shares cannot be returned to the Trust and withheld to satisfy more than the required minimum statutory tax withholding amounts. In the event Grantee or Grantee’s legal representative, as applicable, fails to make appropriate arrangements to satisfy tax and withholding obligations, the Trust may, in its sole discretion, satisfy such tax and withholding obligations by:</w:t>
      </w:r>
    </w:p>
    <w:p>
      <w:pPr>
        <w:spacing w:after="0" w:line="10" w:lineRule="exact"/>
        <w:rPr>
          <w:rFonts w:ascii="Arial" w:cs="Arial" w:eastAsia="Arial" w:hAnsi="Arial"/>
          <w:sz w:val="18"/>
          <w:szCs w:val="18"/>
          <w:color w:val="auto"/>
        </w:rPr>
      </w:pPr>
    </w:p>
    <w:p>
      <w:pPr>
        <w:jc w:val="both"/>
        <w:ind w:firstLine="8"/>
        <w:spacing w:after="0" w:line="266" w:lineRule="auto"/>
        <w:tabs>
          <w:tab w:leader="none" w:pos="2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returning to the Trust all or a portion of the Shares issued under this Agreement; or (ii) withholding the required amounts from other amounts due the Grantee or Grantee’s legal representative, as applicable. The Trust is authorized to pay over to the appropriate authority, all federal, state, county, city or other taxes as shall be required pursuant to any law or governmental regulation or ruling.</w:t>
      </w:r>
    </w:p>
    <w:p>
      <w:pPr>
        <w:spacing w:after="0" w:line="180" w:lineRule="exact"/>
        <w:rPr>
          <w:rFonts w:ascii="Arial" w:cs="Arial" w:eastAsia="Arial" w:hAnsi="Arial"/>
          <w:sz w:val="18"/>
          <w:szCs w:val="18"/>
          <w:color w:val="auto"/>
        </w:rPr>
      </w:pPr>
    </w:p>
    <w:p>
      <w:pPr>
        <w:jc w:val="both"/>
        <w:ind w:firstLine="656"/>
        <w:spacing w:after="0" w:line="230" w:lineRule="auto"/>
        <w:tabs>
          <w:tab w:leader="none" w:pos="846" w:val="left"/>
        </w:tabs>
        <w:numPr>
          <w:ilvl w:val="1"/>
          <w:numId w:val="8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Forfeiture</w:t>
      </w:r>
      <w:r>
        <w:rPr>
          <w:rFonts w:ascii="Arial" w:cs="Arial" w:eastAsia="Arial" w:hAnsi="Arial"/>
          <w:sz w:val="20"/>
          <w:szCs w:val="20"/>
          <w:b w:val="1"/>
          <w:bCs w:val="1"/>
          <w:color w:val="auto"/>
        </w:rPr>
        <w:t xml:space="preserve">. </w:t>
      </w:r>
      <w:r>
        <w:rPr>
          <w:rFonts w:ascii="Arial" w:cs="Arial" w:eastAsia="Arial" w:hAnsi="Arial"/>
          <w:sz w:val="20"/>
          <w:szCs w:val="20"/>
          <w:color w:val="auto"/>
        </w:rPr>
        <w:t>If there is a termination of the Grantee’s Service with the Trust for any reason, then all rights of the Grantee to any and</w:t>
      </w:r>
      <w:r>
        <w:rPr>
          <w:rFonts w:ascii="Arial" w:cs="Arial" w:eastAsia="Arial" w:hAnsi="Arial"/>
          <w:sz w:val="20"/>
          <w:szCs w:val="20"/>
          <w:b w:val="1"/>
          <w:bCs w:val="1"/>
          <w:color w:val="auto"/>
        </w:rPr>
        <w:t xml:space="preserve"> </w:t>
      </w:r>
      <w:r>
        <w:rPr>
          <w:rFonts w:ascii="Arial" w:cs="Arial" w:eastAsia="Arial" w:hAnsi="Arial"/>
          <w:sz w:val="20"/>
          <w:szCs w:val="20"/>
          <w:color w:val="auto"/>
        </w:rPr>
        <w:t>all then-remaining Restricted Shares which have not vested, after giving application to Paragraphs 3(a) and 3(b), shall terminate and be forfeited. Upon forfeiture of all or any portion of Restricted Shares, the certificate(s) representing the forfeited Restricted Shares shall be cancelled or the forfeited Restricted Shares shall be removed from the Grantee’s book entry account, returned to the Trust and canceled, as applicable.</w:t>
      </w:r>
    </w:p>
    <w:p>
      <w:pPr>
        <w:jc w:val="both"/>
        <w:spacing w:after="0" w:line="231"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5. </w:t>
      </w:r>
      <w:r>
        <w:rPr>
          <w:rFonts w:ascii="Arial" w:cs="Arial" w:eastAsia="Arial" w:hAnsi="Arial"/>
          <w:sz w:val="20"/>
          <w:szCs w:val="20"/>
          <w:b w:val="1"/>
          <w:bCs w:val="1"/>
          <w:u w:val="single" w:color="auto"/>
          <w:color w:val="auto"/>
        </w:rPr>
        <w:t>Assignment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binding upon and inure to the benefit of the heirs and representatives of the Grantee and the assigns</w:t>
      </w:r>
      <w:r>
        <w:rPr>
          <w:rFonts w:ascii="Arial" w:cs="Arial" w:eastAsia="Arial" w:hAnsi="Arial"/>
          <w:sz w:val="20"/>
          <w:szCs w:val="20"/>
          <w:b w:val="1"/>
          <w:bCs w:val="1"/>
          <w:color w:val="auto"/>
        </w:rPr>
        <w:t xml:space="preserve"> </w:t>
      </w:r>
      <w:r>
        <w:rPr>
          <w:rFonts w:ascii="Arial" w:cs="Arial" w:eastAsia="Arial" w:hAnsi="Arial"/>
          <w:sz w:val="20"/>
          <w:szCs w:val="20"/>
          <w:color w:val="auto"/>
        </w:rPr>
        <w:t>and successors of the Trust, but neither this Agreement nor any rights hereunder shall be assignable or otherwise subject to hypothecation by the Grantee.</w:t>
      </w:r>
    </w:p>
    <w:p>
      <w:pPr>
        <w:sectPr>
          <w:pgSz w:w="11900" w:h="16838" w:orient="portrait"/>
          <w:cols w:equalWidth="0" w:num="1">
            <w:col w:w="11240"/>
          </w:cols>
          <w:pgMar w:left="320" w:top="1419" w:right="339" w:bottom="1440" w:gutter="0" w:footer="0" w:header="0"/>
        </w:sectPr>
      </w:pPr>
    </w:p>
    <w:bookmarkStart w:id="110" w:name="page111"/>
    <w:bookmarkEnd w:id="110"/>
    <w:p>
      <w:pPr>
        <w:jc w:val="both"/>
        <w:ind w:left="-8" w:firstLine="656"/>
        <w:spacing w:after="0" w:line="245" w:lineRule="auto"/>
        <w:tabs>
          <w:tab w:leader="none" w:pos="838" w:val="left"/>
        </w:tabs>
        <w:numPr>
          <w:ilvl w:val="1"/>
          <w:numId w:val="8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constitutes the entire agreement of the parties with respect to the subject matter</w:t>
      </w:r>
      <w:r>
        <w:rPr>
          <w:rFonts w:ascii="Arial" w:cs="Arial" w:eastAsia="Arial" w:hAnsi="Arial"/>
          <w:sz w:val="19"/>
          <w:szCs w:val="19"/>
          <w:b w:val="1"/>
          <w:bCs w:val="1"/>
          <w:color w:val="auto"/>
        </w:rPr>
        <w:t xml:space="preserve"> </w:t>
      </w:r>
      <w:r>
        <w:rPr>
          <w:rFonts w:ascii="Arial" w:cs="Arial" w:eastAsia="Arial" w:hAnsi="Arial"/>
          <w:sz w:val="19"/>
          <w:szCs w:val="19"/>
          <w:color w:val="auto"/>
        </w:rPr>
        <w:t>hereof and shall supersede all prior agreements and understandings, oral or written, between the parties with respect thereto. Subject to Paragraph 13, this Agreement may be amended at any time by written agreement of the parties hereto.</w:t>
      </w:r>
    </w:p>
    <w:p>
      <w:pPr>
        <w:ind w:left="-8" w:firstLine="656"/>
        <w:spacing w:after="0" w:line="237" w:lineRule="auto"/>
        <w:tabs>
          <w:tab w:leader="none" w:pos="838" w:val="left"/>
        </w:tabs>
        <w:numPr>
          <w:ilvl w:val="1"/>
          <w:numId w:val="8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its validity, interpretation, performance and enforcement shall be governed by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State of Maryland other than the conflict of laws provisions of such laws, and shall be construed in accordance therewith.</w:t>
      </w:r>
    </w:p>
    <w:p>
      <w:pPr>
        <w:jc w:val="both"/>
        <w:ind w:left="-8" w:firstLine="8"/>
        <w:spacing w:after="0" w:line="225" w:lineRule="auto"/>
        <w:tabs>
          <w:tab w:leader="none" w:pos="19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for any reason, any provision of this Agreement is held invalid, such invalidity shall not affect any other provision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 w:lineRule="exact"/>
        <w:rPr>
          <w:rFonts w:ascii="Arial" w:cs="Arial" w:eastAsia="Arial" w:hAnsi="Arial"/>
          <w:sz w:val="20"/>
          <w:szCs w:val="20"/>
          <w:b w:val="1"/>
          <w:bCs w:val="1"/>
          <w:color w:val="auto"/>
        </w:rPr>
      </w:pPr>
    </w:p>
    <w:p>
      <w:pPr>
        <w:ind w:left="-8" w:firstLine="8"/>
        <w:spacing w:after="0" w:line="225" w:lineRule="auto"/>
        <w:tabs>
          <w:tab w:leader="none" w:pos="19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Continued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not confer upon the Grantee any right with respect to continuance of employment by the</w:t>
      </w:r>
      <w:r>
        <w:rPr>
          <w:rFonts w:ascii="Arial" w:cs="Arial" w:eastAsia="Arial" w:hAnsi="Arial"/>
          <w:sz w:val="20"/>
          <w:szCs w:val="20"/>
          <w:b w:val="1"/>
          <w:bCs w:val="1"/>
          <w:color w:val="auto"/>
        </w:rPr>
        <w:t xml:space="preserve"> </w:t>
      </w:r>
      <w:r>
        <w:rPr>
          <w:rFonts w:ascii="Arial" w:cs="Arial" w:eastAsia="Arial" w:hAnsi="Arial"/>
          <w:sz w:val="20"/>
          <w:szCs w:val="20"/>
          <w:color w:val="auto"/>
        </w:rPr>
        <w:t>Trust.</w:t>
      </w:r>
    </w:p>
    <w:p>
      <w:pPr>
        <w:jc w:val="both"/>
        <w:ind w:left="-8" w:firstLine="8"/>
        <w:spacing w:after="0" w:line="266" w:lineRule="auto"/>
        <w:tabs>
          <w:tab w:leader="none" w:pos="31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to the Grantee in any provision of this Agreement under circumstances where the provision should</w:t>
      </w:r>
      <w:r>
        <w:rPr>
          <w:rFonts w:ascii="Arial" w:cs="Arial" w:eastAsia="Arial" w:hAnsi="Arial"/>
          <w:sz w:val="18"/>
          <w:szCs w:val="18"/>
          <w:b w:val="1"/>
          <w:bCs w:val="1"/>
          <w:color w:val="auto"/>
        </w:rPr>
        <w:t xml:space="preserve"> </w:t>
      </w:r>
      <w:r>
        <w:rPr>
          <w:rFonts w:ascii="Arial" w:cs="Arial" w:eastAsia="Arial" w:hAnsi="Arial"/>
          <w:sz w:val="18"/>
          <w:szCs w:val="18"/>
          <w:color w:val="auto"/>
        </w:rPr>
        <w:t>logically be construed to apply to the Grantee’s executors or the administrators, or the person or persons to whom all or any portion of the Restricted Shares may be transferred by will or the laws of descent and distribution, shall be deemed to include such person or persons.</w:t>
      </w:r>
    </w:p>
    <w:p>
      <w:pPr>
        <w:spacing w:after="0" w:line="180" w:lineRule="exact"/>
        <w:rPr>
          <w:rFonts w:ascii="Arial" w:cs="Arial" w:eastAsia="Arial" w:hAnsi="Arial"/>
          <w:sz w:val="18"/>
          <w:szCs w:val="18"/>
          <w:b w:val="1"/>
          <w:bCs w:val="1"/>
          <w:color w:val="auto"/>
        </w:rPr>
      </w:pPr>
    </w:p>
    <w:p>
      <w:pPr>
        <w:jc w:val="both"/>
        <w:ind w:left="-8" w:firstLine="656"/>
        <w:spacing w:after="0" w:line="258" w:lineRule="auto"/>
        <w:tabs>
          <w:tab w:leader="none" w:pos="926" w:val="left"/>
        </w:tabs>
        <w:numPr>
          <w:ilvl w:val="1"/>
          <w:numId w:val="8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83(b) Election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Grantee acknowledges that it is the Grantee’s sole responsibility, and not the Trust’s, to file a timely</w:t>
      </w:r>
      <w:r>
        <w:rPr>
          <w:rFonts w:ascii="Arial" w:cs="Arial" w:eastAsia="Arial" w:hAnsi="Arial"/>
          <w:sz w:val="19"/>
          <w:szCs w:val="19"/>
          <w:b w:val="1"/>
          <w:bCs w:val="1"/>
          <w:color w:val="auto"/>
        </w:rPr>
        <w:t xml:space="preserve"> </w:t>
      </w:r>
      <w:r>
        <w:rPr>
          <w:rFonts w:ascii="Arial" w:cs="Arial" w:eastAsia="Arial" w:hAnsi="Arial"/>
          <w:sz w:val="19"/>
          <w:szCs w:val="19"/>
          <w:color w:val="auto"/>
        </w:rPr>
        <w:t>election under section 83(b) of the Internal Revenue Code, of 1986, as amended. The Grantee acknowledges that he or she is relying on his or her own advisors with respect to the decision as to whether or not to file any section 83(b) election.</w:t>
      </w:r>
    </w:p>
    <w:p>
      <w:pPr>
        <w:spacing w:after="0" w:line="186" w:lineRule="exact"/>
        <w:rPr>
          <w:rFonts w:ascii="Arial" w:cs="Arial" w:eastAsia="Arial" w:hAnsi="Arial"/>
          <w:sz w:val="19"/>
          <w:szCs w:val="19"/>
          <w:b w:val="1"/>
          <w:bCs w:val="1"/>
          <w:color w:val="auto"/>
        </w:rPr>
      </w:pPr>
    </w:p>
    <w:p>
      <w:pPr>
        <w:ind w:left="-8" w:firstLine="656"/>
        <w:spacing w:after="0" w:line="263" w:lineRule="auto"/>
        <w:tabs>
          <w:tab w:leader="none" w:pos="937"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Notwithstanding anything herein to the contrary, the Grantee shall be solely responsible and liable for the satisfaction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all taxes and penalties that may arise in connection with this Agreement (including any taxes arising under Section 409A of the Code).</w:t>
      </w:r>
    </w:p>
    <w:p>
      <w:pPr>
        <w:jc w:val="both"/>
        <w:ind w:left="-8" w:firstLine="656"/>
        <w:spacing w:after="0" w:line="237" w:lineRule="auto"/>
        <w:tabs>
          <w:tab w:leader="none" w:pos="964" w:val="left"/>
        </w:tabs>
        <w:numPr>
          <w:ilvl w:val="1"/>
          <w:numId w:val="8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color w:val="auto"/>
        </w:rPr>
        <w:t>. This Agreement is intended to be exempt from Code Section 409A, and the Trust shall have complete</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 to interpret and construe 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Grantee in order to accurately reflect its correct interpretation and operation to maintain an exemption from or compliance with Code Section 409A. Notwithstanding any provision of the Plan or this Agreement (including the foregoing), neither the Trust nor the Administrator shall have any liability to any person in the event Code Section 409A applies to this Award in a manner that results in adverse tax consequences for the Grantee or any of his or her beneficiaries or transferees.</w:t>
      </w:r>
    </w:p>
    <w:p>
      <w:pPr>
        <w:spacing w:after="0" w:line="2" w:lineRule="exact"/>
        <w:rPr>
          <w:rFonts w:ascii="Arial" w:cs="Arial" w:eastAsia="Arial" w:hAnsi="Arial"/>
          <w:sz w:val="19"/>
          <w:szCs w:val="19"/>
          <w:b w:val="1"/>
          <w:bCs w:val="1"/>
          <w:color w:val="auto"/>
        </w:rPr>
      </w:pPr>
    </w:p>
    <w:p>
      <w:pPr>
        <w:jc w:val="both"/>
        <w:ind w:left="-8" w:firstLine="656"/>
        <w:spacing w:after="0" w:line="256" w:lineRule="auto"/>
        <w:tabs>
          <w:tab w:leader="none" w:pos="937"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Provisions Control Option Terms; Modifications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These Restricted Shares are granted pursuant and subject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the Plan, the provisions of which are incorporated herein by reference. In the event any provision of this Agreement shall conflict with any of the terms in the Plan as constituted on the Grant Date, the terms of the Plan as constituted on the Grant Date shall control. The Trust may modify this Agreement after the Grant Date; provided, however, that no such modification may be made which alters or impairs any rights or obligations of the Grantee without the Grantee’s express written agreement. Any such modification shall not be inconsistent with the terms of the Plan. Notwithstanding the foregoing, the Board or Administrator may take such actions</w:t>
      </w:r>
    </w:p>
    <w:p>
      <w:pPr>
        <w:sectPr>
          <w:pgSz w:w="11900" w:h="16838" w:orient="portrait"/>
          <w:cols w:equalWidth="0" w:num="1">
            <w:col w:w="11232"/>
          </w:cols>
          <w:pgMar w:left="328" w:top="1413" w:right="339" w:bottom="1440" w:gutter="0" w:footer="0" w:header="0"/>
        </w:sectPr>
      </w:pPr>
    </w:p>
    <w:bookmarkStart w:id="111" w:name="page112"/>
    <w:bookmarkEnd w:id="111"/>
    <w:p>
      <w:pPr>
        <w:spacing w:after="0" w:line="233" w:lineRule="auto"/>
        <w:rPr>
          <w:sz w:val="20"/>
          <w:szCs w:val="20"/>
          <w:color w:val="auto"/>
        </w:rPr>
      </w:pPr>
      <w:r>
        <w:rPr>
          <w:rFonts w:ascii="Arial" w:cs="Arial" w:eastAsia="Arial" w:hAnsi="Arial"/>
          <w:sz w:val="20"/>
          <w:szCs w:val="20"/>
          <w:color w:val="auto"/>
        </w:rPr>
        <w:t>as it deems appropriate to ensure that the Plan and any Awards may comply with any tax, securities or other applicable law. Nothing herein shall restrict the Administrator’s ability to exercise its discretionary authority as provided in the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Trust has caused this Agreement to be duly executed effective as of the day and year first above written.</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FEDERAL REALTY INVESTMENT TRUST</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By:___________________________________</w:t>
      </w:r>
    </w:p>
    <w:p>
      <w:pPr>
        <w:spacing w:after="0" w:line="227" w:lineRule="auto"/>
        <w:rPr>
          <w:sz w:val="20"/>
          <w:szCs w:val="20"/>
          <w:color w:val="auto"/>
        </w:rPr>
      </w:pPr>
      <w:r>
        <w:rPr>
          <w:rFonts w:ascii="Arial" w:cs="Arial" w:eastAsia="Arial" w:hAnsi="Arial"/>
          <w:sz w:val="20"/>
          <w:szCs w:val="20"/>
          <w:color w:val="auto"/>
        </w:rPr>
        <w:t>Name: Dawn M. Becker</w:t>
      </w:r>
    </w:p>
    <w:p>
      <w:pPr>
        <w:spacing w:after="0" w:line="225" w:lineRule="auto"/>
        <w:rPr>
          <w:sz w:val="20"/>
          <w:szCs w:val="20"/>
          <w:color w:val="auto"/>
        </w:rPr>
      </w:pPr>
      <w:r>
        <w:rPr>
          <w:rFonts w:ascii="Arial" w:cs="Arial" w:eastAsia="Arial" w:hAnsi="Arial"/>
          <w:sz w:val="20"/>
          <w:szCs w:val="20"/>
          <w:color w:val="auto"/>
        </w:rPr>
        <w:t>Title: Executive Vice President –</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General Counsel and Secretary</w:t>
      </w:r>
    </w:p>
    <w:p>
      <w:pPr>
        <w:sectPr>
          <w:pgSz w:w="11900" w:h="16838" w:orient="portrait"/>
          <w:cols w:equalWidth="0" w:num="1">
            <w:col w:w="11240"/>
          </w:cols>
          <w:pgMar w:left="320" w:top="1419"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FEDERAL REALTY INVESTMENT TRUST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SHARE AWARD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DATE</w:t>
      </w:r>
    </w:p>
    <w:p>
      <w:pPr>
        <w:spacing w:after="0" w:line="22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This Performance Share Award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by </w:t>
      </w:r>
      <w:r>
        <w:rPr>
          <w:rFonts w:ascii="Arial" w:cs="Arial" w:eastAsia="Arial" w:hAnsi="Arial"/>
          <w:sz w:val="20"/>
          <w:szCs w:val="20"/>
          <w:b w:val="1"/>
          <w:bCs w:val="1"/>
          <w:color w:val="auto"/>
        </w:rPr>
        <w:t>Federal Realty Investment Trust</w:t>
      </w:r>
      <w:r>
        <w:rPr>
          <w:rFonts w:ascii="Arial" w:cs="Arial" w:eastAsia="Arial" w:hAnsi="Arial"/>
          <w:sz w:val="20"/>
          <w:szCs w:val="20"/>
          <w:color w:val="auto"/>
        </w:rPr>
        <w:t xml:space="preserve">, a Maryland real estate investment trust (the </w:t>
      </w:r>
      <w:r>
        <w:rPr>
          <w:rFonts w:ascii="Arial" w:cs="Arial" w:eastAsia="Arial" w:hAnsi="Arial"/>
          <w:sz w:val="20"/>
          <w:szCs w:val="20"/>
          <w:b w:val="1"/>
          <w:bCs w:val="1"/>
          <w:color w:val="auto"/>
        </w:rPr>
        <w:t>“Trust”</w:t>
      </w:r>
      <w:r>
        <w:rPr>
          <w:rFonts w:ascii="Arial" w:cs="Arial" w:eastAsia="Arial" w:hAnsi="Arial"/>
          <w:sz w:val="20"/>
          <w:szCs w:val="20"/>
          <w:color w:val="auto"/>
        </w:rPr>
        <w:t xml:space="preserve">), provides notice to ___________________, an individual employee of the Trust (the </w:t>
      </w:r>
      <w:r>
        <w:rPr>
          <w:rFonts w:ascii="Arial" w:cs="Arial" w:eastAsia="Arial" w:hAnsi="Arial"/>
          <w:sz w:val="20"/>
          <w:szCs w:val="20"/>
          <w:b w:val="1"/>
          <w:bCs w:val="1"/>
          <w:color w:val="auto"/>
        </w:rPr>
        <w:t>“Grantee”</w:t>
      </w:r>
      <w:r>
        <w:rPr>
          <w:rFonts w:ascii="Arial" w:cs="Arial" w:eastAsia="Arial" w:hAnsi="Arial"/>
          <w:sz w:val="20"/>
          <w:szCs w:val="20"/>
          <w:color w:val="auto"/>
        </w:rPr>
        <w:t>), of the terms of a Performance Share Award.</w:t>
      </w:r>
    </w:p>
    <w:p>
      <w:pPr>
        <w:spacing w:after="0" w:line="2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9"/>
          <w:szCs w:val="19"/>
          <w:color w:val="auto"/>
        </w:rPr>
        <w:t>The Board of Trustees of the Trust (the “</w:t>
      </w:r>
      <w:r>
        <w:rPr>
          <w:rFonts w:ascii="Arial" w:cs="Arial" w:eastAsia="Arial" w:hAnsi="Arial"/>
          <w:sz w:val="19"/>
          <w:szCs w:val="19"/>
          <w:b w:val="1"/>
          <w:bCs w:val="1"/>
          <w:color w:val="auto"/>
        </w:rPr>
        <w:t>Board of Trustees</w:t>
      </w:r>
      <w:r>
        <w:rPr>
          <w:rFonts w:ascii="Arial" w:cs="Arial" w:eastAsia="Arial" w:hAnsi="Arial"/>
          <w:sz w:val="19"/>
          <w:szCs w:val="19"/>
          <w:color w:val="auto"/>
        </w:rPr>
        <w:t xml:space="preserve">”) has authorized the award by the Trust to the Grantee, under the Trust’s 2020 Performance Incentive Plan (the </w:t>
      </w:r>
      <w:r>
        <w:rPr>
          <w:rFonts w:ascii="Arial" w:cs="Arial" w:eastAsia="Arial" w:hAnsi="Arial"/>
          <w:sz w:val="19"/>
          <w:szCs w:val="19"/>
          <w:b w:val="1"/>
          <w:bCs w:val="1"/>
          <w:color w:val="auto"/>
        </w:rPr>
        <w:t>“Plan”</w:t>
      </w:r>
      <w:r>
        <w:rPr>
          <w:rFonts w:ascii="Arial" w:cs="Arial" w:eastAsia="Arial" w:hAnsi="Arial"/>
          <w:sz w:val="19"/>
          <w:szCs w:val="19"/>
          <w:color w:val="auto"/>
        </w:rPr>
        <w:t xml:space="preserve">) of a Performance Share Award for a certain number of shares of beneficial interest of the Trust (the </w:t>
      </w:r>
      <w:r>
        <w:rPr>
          <w:rFonts w:ascii="Arial" w:cs="Arial" w:eastAsia="Arial" w:hAnsi="Arial"/>
          <w:sz w:val="19"/>
          <w:szCs w:val="19"/>
          <w:b w:val="1"/>
          <w:bCs w:val="1"/>
          <w:color w:val="auto"/>
        </w:rPr>
        <w:t>“Shares”</w:t>
      </w:r>
      <w:r>
        <w:rPr>
          <w:rFonts w:ascii="Arial" w:cs="Arial" w:eastAsia="Arial" w:hAnsi="Arial"/>
          <w:sz w:val="19"/>
          <w:szCs w:val="19"/>
          <w:color w:val="auto"/>
        </w:rPr>
        <w:t>), subject to certain restrictions and covenants on the part of Grantee. This Agreement sets forth vesting and the respective rights and obligations of the Trust and the Grantee with respect to such Shares.</w:t>
      </w:r>
    </w:p>
    <w:p>
      <w:pPr>
        <w:spacing w:after="0" w:line="1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Capitalized terms used in this Agreement, unless otherwise defined herein, have the respective meanings given to such terms in the Plan. The terms of the Plan are incorporated by reference as if set forth herein in their entirety. To the extent this Performance Share Award Agreement is in any way inconsistent with the Plan, the terms and provisions of the Plan shall prevail.</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consideration of the covenants set forth in this Agreement, and intending to be legally bound hereby, the terms of the Performance Share Award are as follows:</w:t>
      </w:r>
    </w:p>
    <w:p>
      <w:pPr>
        <w:spacing w:after="0" w:line="198" w:lineRule="exact"/>
        <w:rPr>
          <w:sz w:val="20"/>
          <w:szCs w:val="20"/>
          <w:color w:val="auto"/>
        </w:rPr>
      </w:pPr>
    </w:p>
    <w:p>
      <w:pPr>
        <w:ind w:left="860" w:hanging="204"/>
        <w:spacing w:after="0"/>
        <w:tabs>
          <w:tab w:leader="none" w:pos="86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Award of Performance Shares</w:t>
      </w:r>
      <w:r>
        <w:rPr>
          <w:rFonts w:ascii="Arial" w:cs="Arial" w:eastAsia="Arial" w:hAnsi="Arial"/>
          <w:sz w:val="20"/>
          <w:szCs w:val="20"/>
          <w:b w:val="1"/>
          <w:bCs w:val="1"/>
          <w:color w:val="auto"/>
        </w:rPr>
        <w:t>.</w:t>
      </w:r>
    </w:p>
    <w:p>
      <w:pPr>
        <w:spacing w:after="0" w:line="229" w:lineRule="exact"/>
        <w:rPr>
          <w:rFonts w:ascii="Arial" w:cs="Arial" w:eastAsia="Arial" w:hAnsi="Arial"/>
          <w:sz w:val="20"/>
          <w:szCs w:val="20"/>
          <w:b w:val="1"/>
          <w:bCs w:val="1"/>
          <w:color w:val="auto"/>
        </w:rPr>
      </w:pPr>
    </w:p>
    <w:p>
      <w:pPr>
        <w:ind w:left="1340" w:hanging="360"/>
        <w:spacing w:after="0"/>
        <w:tabs>
          <w:tab w:leader="none" w:pos="1340" w:val="left"/>
        </w:tabs>
        <w:numPr>
          <w:ilvl w:val="1"/>
          <w:numId w:val="89"/>
        </w:numPr>
        <w:rPr>
          <w:rFonts w:ascii="Arial" w:cs="Arial" w:eastAsia="Arial" w:hAnsi="Arial"/>
          <w:sz w:val="19"/>
          <w:szCs w:val="19"/>
          <w:color w:val="auto"/>
        </w:rPr>
      </w:pPr>
      <w:r>
        <w:rPr>
          <w:rFonts w:ascii="Arial" w:cs="Arial" w:eastAsia="Arial" w:hAnsi="Arial"/>
          <w:sz w:val="19"/>
          <w:szCs w:val="19"/>
          <w:color w:val="auto"/>
        </w:rPr>
        <w:t xml:space="preserve">The  Trust  hereby  confirms  the  grant  to  the  Grantee  as  of  the  date  set  forth  above  (the  </w:t>
      </w:r>
      <w:r>
        <w:rPr>
          <w:rFonts w:ascii="Arial" w:cs="Arial" w:eastAsia="Arial" w:hAnsi="Arial"/>
          <w:sz w:val="19"/>
          <w:szCs w:val="19"/>
          <w:b w:val="1"/>
          <w:bCs w:val="1"/>
          <w:color w:val="auto"/>
        </w:rPr>
        <w:t>“Grant  Date”</w:t>
      </w:r>
      <w:r>
        <w:rPr>
          <w:rFonts w:ascii="Arial" w:cs="Arial" w:eastAsia="Arial" w:hAnsi="Arial"/>
          <w:sz w:val="19"/>
          <w:szCs w:val="19"/>
          <w:color w:val="auto"/>
        </w:rPr>
        <w:t>)  of</w:t>
      </w:r>
    </w:p>
    <w:p>
      <w:pPr>
        <w:spacing w:after="0" w:line="19" w:lineRule="exact"/>
        <w:rPr>
          <w:rFonts w:ascii="Arial" w:cs="Arial" w:eastAsia="Arial" w:hAnsi="Arial"/>
          <w:sz w:val="19"/>
          <w:szCs w:val="19"/>
          <w:color w:val="auto"/>
        </w:rPr>
      </w:pPr>
    </w:p>
    <w:p>
      <w:pPr>
        <w:spacing w:after="0" w:line="234" w:lineRule="auto"/>
        <w:rPr>
          <w:rFonts w:ascii="Arial" w:cs="Arial" w:eastAsia="Arial" w:hAnsi="Arial"/>
          <w:sz w:val="19"/>
          <w:szCs w:val="19"/>
          <w:color w:val="auto"/>
        </w:rPr>
      </w:pPr>
      <w:r>
        <w:rPr>
          <w:rFonts w:ascii="Arial" w:cs="Arial" w:eastAsia="Arial" w:hAnsi="Arial"/>
          <w:sz w:val="20"/>
          <w:szCs w:val="20"/>
          <w:color w:val="auto"/>
        </w:rPr>
        <w:t xml:space="preserve">___________________ (_________) Shares (the </w:t>
      </w:r>
      <w:r>
        <w:rPr>
          <w:rFonts w:ascii="Arial" w:cs="Arial" w:eastAsia="Arial" w:hAnsi="Arial"/>
          <w:sz w:val="20"/>
          <w:szCs w:val="20"/>
          <w:b w:val="1"/>
          <w:bCs w:val="1"/>
          <w:color w:val="auto"/>
        </w:rPr>
        <w:t>“Performance Shares”</w:t>
      </w:r>
      <w:r>
        <w:rPr>
          <w:rFonts w:ascii="Arial" w:cs="Arial" w:eastAsia="Arial" w:hAnsi="Arial"/>
          <w:sz w:val="20"/>
          <w:szCs w:val="20"/>
          <w:color w:val="auto"/>
        </w:rPr>
        <w:t>), subject to the restrictions and other terms and conditions set forth herein and in the Plan; and</w:t>
      </w:r>
    </w:p>
    <w:p>
      <w:pPr>
        <w:spacing w:after="0" w:line="210" w:lineRule="exact"/>
        <w:rPr>
          <w:rFonts w:ascii="Arial" w:cs="Arial" w:eastAsia="Arial" w:hAnsi="Arial"/>
          <w:sz w:val="19"/>
          <w:szCs w:val="19"/>
          <w:color w:val="auto"/>
        </w:rPr>
      </w:pPr>
    </w:p>
    <w:p>
      <w:pPr>
        <w:jc w:val="both"/>
        <w:ind w:firstLine="980"/>
        <w:spacing w:after="0" w:line="256" w:lineRule="auto"/>
        <w:tabs>
          <w:tab w:leader="none" w:pos="1266" w:val="left"/>
        </w:tabs>
        <w:numPr>
          <w:ilvl w:val="1"/>
          <w:numId w:val="89"/>
        </w:numPr>
        <w:rPr>
          <w:rFonts w:ascii="Arial" w:cs="Arial" w:eastAsia="Arial" w:hAnsi="Arial"/>
          <w:sz w:val="18"/>
          <w:szCs w:val="18"/>
          <w:color w:val="auto"/>
        </w:rPr>
      </w:pPr>
      <w:r>
        <w:rPr>
          <w:rFonts w:ascii="Arial" w:cs="Arial" w:eastAsia="Arial" w:hAnsi="Arial"/>
          <w:sz w:val="18"/>
          <w:szCs w:val="18"/>
          <w:color w:val="auto"/>
        </w:rPr>
        <w:t>On or as soon as practicable after the Grant Date, the Trust shall cause the Performance Shares to be issued in certificated form or by a book-entry designation for the account for the Grantee. Such Performance Shares shall be subject to such stop-transfer orders and other restrictions as the Board of Trustees or any committee thereof may deem advisable under the rules, regulations, and other requirements of the Securities and Exchange Commission and any stock exchange upon which the Shares are listed and any applicable federal or state securities law. If the Performance Shares are issued in certificated form, the certificate(s) representing the Performance Shares shall be held in custody by the Chief Financial Officer. Performance Shares issued by a book-entry designation shall be held in a book-entry account designated by the Trust until the restrictions provided in this Agreement with respect thereto shall have been removed. At any time as may be requested by the Trust, if necessary to enforce the restrictions applicable to the Performance Shares, the Grantee shall deliver to the Trust one or more undated stock powers endorsed in blank relating to the Performance Shares.</w:t>
      </w:r>
    </w:p>
    <w:p>
      <w:pPr>
        <w:spacing w:after="0" w:line="193" w:lineRule="exact"/>
        <w:rPr>
          <w:rFonts w:ascii="Arial" w:cs="Arial" w:eastAsia="Arial" w:hAnsi="Arial"/>
          <w:sz w:val="18"/>
          <w:szCs w:val="18"/>
          <w:color w:val="auto"/>
        </w:rPr>
      </w:pPr>
    </w:p>
    <w:p>
      <w:pPr>
        <w:ind w:left="860" w:hanging="204"/>
        <w:spacing w:after="0"/>
        <w:tabs>
          <w:tab w:leader="none" w:pos="86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Restrictions Applicable to Performance Shares</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firstLine="980"/>
        <w:spacing w:after="0" w:line="246" w:lineRule="auto"/>
        <w:tabs>
          <w:tab w:leader="none" w:pos="1241" w:val="left"/>
        </w:tabs>
        <w:numPr>
          <w:ilvl w:val="1"/>
          <w:numId w:val="89"/>
        </w:numPr>
        <w:rPr>
          <w:rFonts w:ascii="Arial" w:cs="Arial" w:eastAsia="Arial" w:hAnsi="Arial"/>
          <w:sz w:val="20"/>
          <w:szCs w:val="20"/>
          <w:color w:val="auto"/>
        </w:rPr>
      </w:pPr>
      <w:r>
        <w:rPr>
          <w:rFonts w:ascii="Arial" w:cs="Arial" w:eastAsia="Arial" w:hAnsi="Arial"/>
          <w:sz w:val="20"/>
          <w:szCs w:val="20"/>
          <w:color w:val="auto"/>
        </w:rPr>
        <w:t>Beginning on the Grant Date, the Grantee shall have all rights and privileges of a stockholder with respect to the Performance Shares, except that the following restrictions shall apply:</w:t>
      </w:r>
    </w:p>
    <w:p>
      <w:pPr>
        <w:sectPr>
          <w:pgSz w:w="11900" w:h="16838" w:orient="portrait"/>
          <w:cols w:equalWidth="0" w:num="1">
            <w:col w:w="11240"/>
          </w:cols>
          <w:pgMar w:left="320" w:top="1417" w:right="339" w:bottom="1440" w:gutter="0" w:footer="0" w:header="0"/>
        </w:sectPr>
      </w:pPr>
    </w:p>
    <w:bookmarkStart w:id="113" w:name="page114"/>
    <w:bookmarkEnd w:id="113"/>
    <w:p>
      <w:pPr>
        <w:jc w:val="both"/>
        <w:ind w:firstLine="1628"/>
        <w:spacing w:after="0" w:line="237" w:lineRule="auto"/>
        <w:tabs>
          <w:tab w:leader="none" w:pos="1883" w:val="left"/>
        </w:tabs>
        <w:numPr>
          <w:ilvl w:val="2"/>
          <w:numId w:val="90"/>
        </w:numPr>
        <w:rPr>
          <w:rFonts w:ascii="Arial" w:cs="Arial" w:eastAsia="Arial" w:hAnsi="Arial"/>
          <w:sz w:val="20"/>
          <w:szCs w:val="20"/>
          <w:color w:val="auto"/>
        </w:rPr>
      </w:pPr>
      <w:r>
        <w:rPr>
          <w:rFonts w:ascii="Arial" w:cs="Arial" w:eastAsia="Arial" w:hAnsi="Arial"/>
          <w:sz w:val="20"/>
          <w:szCs w:val="20"/>
          <w:color w:val="auto"/>
        </w:rPr>
        <w:t>none of the Performance Shares may be assigned or transferred (other than by will or the laws of descent and distribution, or in the Committee’s discretion, pursuant to a domestic relations order within the meaning of Rule 16a-12 of the Securities Exchange Act of 1934, as amended) while the restrictions of this Agreement apply to the Shares;</w:t>
      </w:r>
    </w:p>
    <w:p>
      <w:pPr>
        <w:spacing w:after="0" w:line="209" w:lineRule="exact"/>
        <w:rPr>
          <w:rFonts w:ascii="Arial" w:cs="Arial" w:eastAsia="Arial" w:hAnsi="Arial"/>
          <w:sz w:val="20"/>
          <w:szCs w:val="20"/>
          <w:color w:val="auto"/>
        </w:rPr>
      </w:pPr>
    </w:p>
    <w:p>
      <w:pPr>
        <w:ind w:left="1920" w:hanging="292"/>
        <w:spacing w:after="0"/>
        <w:tabs>
          <w:tab w:leader="none" w:pos="1920" w:val="left"/>
        </w:tabs>
        <w:numPr>
          <w:ilvl w:val="2"/>
          <w:numId w:val="90"/>
        </w:numPr>
        <w:rPr>
          <w:rFonts w:ascii="Arial" w:cs="Arial" w:eastAsia="Arial" w:hAnsi="Arial"/>
          <w:sz w:val="20"/>
          <w:szCs w:val="20"/>
          <w:color w:val="auto"/>
        </w:rPr>
      </w:pPr>
      <w:r>
        <w:rPr>
          <w:rFonts w:ascii="Arial" w:cs="Arial" w:eastAsia="Arial" w:hAnsi="Arial"/>
          <w:sz w:val="20"/>
          <w:szCs w:val="20"/>
          <w:color w:val="auto"/>
        </w:rPr>
        <w:t>all or a portion of the Performance Shares may be forfeited in accordance with Paragraph 5; and</w:t>
      </w:r>
    </w:p>
    <w:p>
      <w:pPr>
        <w:spacing w:after="0" w:line="229" w:lineRule="exact"/>
        <w:rPr>
          <w:rFonts w:ascii="Arial" w:cs="Arial" w:eastAsia="Arial" w:hAnsi="Arial"/>
          <w:sz w:val="20"/>
          <w:szCs w:val="20"/>
          <w:color w:val="auto"/>
        </w:rPr>
      </w:pPr>
    </w:p>
    <w:p>
      <w:pPr>
        <w:jc w:val="both"/>
        <w:ind w:firstLine="1628"/>
        <w:spacing w:after="0" w:line="234" w:lineRule="auto"/>
        <w:tabs>
          <w:tab w:leader="none" w:pos="1966" w:val="left"/>
        </w:tabs>
        <w:numPr>
          <w:ilvl w:val="2"/>
          <w:numId w:val="90"/>
        </w:numPr>
        <w:rPr>
          <w:rFonts w:ascii="Arial" w:cs="Arial" w:eastAsia="Arial" w:hAnsi="Arial"/>
          <w:sz w:val="20"/>
          <w:szCs w:val="20"/>
          <w:color w:val="auto"/>
        </w:rPr>
      </w:pPr>
      <w:r>
        <w:rPr>
          <w:rFonts w:ascii="Arial" w:cs="Arial" w:eastAsia="Arial" w:hAnsi="Arial"/>
          <w:sz w:val="20"/>
          <w:szCs w:val="20"/>
          <w:color w:val="auto"/>
        </w:rPr>
        <w:t>any Shares distributed as a dividend or otherwise and any other property (other than ordinary dividends) distributed with respect to any Performance Shares which have not vested and as to which the restrictions have not yet lapsed shall be subject to the same vesting and other restrictions as such Performance Shares and shall be represented by book-entry and held in the same manner as the Performance Shares with respect to which they were distributed.</w:t>
      </w:r>
    </w:p>
    <w:p>
      <w:pPr>
        <w:spacing w:after="0" w:line="210" w:lineRule="exact"/>
        <w:rPr>
          <w:rFonts w:ascii="Arial" w:cs="Arial" w:eastAsia="Arial" w:hAnsi="Arial"/>
          <w:sz w:val="20"/>
          <w:szCs w:val="20"/>
          <w:color w:val="auto"/>
        </w:rPr>
      </w:pPr>
    </w:p>
    <w:p>
      <w:pPr>
        <w:jc w:val="both"/>
        <w:ind w:firstLine="8"/>
        <w:spacing w:after="0" w:line="234" w:lineRule="auto"/>
        <w:tabs>
          <w:tab w:leader="none" w:pos="280" w:val="left"/>
        </w:tabs>
        <w:numPr>
          <w:ilvl w:val="0"/>
          <w:numId w:val="91"/>
        </w:numPr>
        <w:rPr>
          <w:rFonts w:ascii="Arial" w:cs="Arial" w:eastAsia="Arial" w:hAnsi="Arial"/>
          <w:sz w:val="20"/>
          <w:szCs w:val="20"/>
          <w:color w:val="auto"/>
        </w:rPr>
      </w:pPr>
      <w:r>
        <w:rPr>
          <w:rFonts w:ascii="Arial" w:cs="Arial" w:eastAsia="Arial" w:hAnsi="Arial"/>
          <w:sz w:val="20"/>
          <w:szCs w:val="20"/>
          <w:color w:val="auto"/>
        </w:rPr>
        <w:t>Upon vesting of all or a portion of the Performance Shares as provided in Paragraph 4 and payment in accordance with Paragraph 4(d) of withholding taxes relating to those Performance Shares which have vested, such shares shall no longer be considered Performance Shares for purposes of this Agreement and the Trust shall cause the restrictions to be removed from the number of Shares which have become vested and for which withholding taxes have been paid.</w:t>
      </w:r>
    </w:p>
    <w:p>
      <w:pPr>
        <w:spacing w:after="0" w:line="210" w:lineRule="exact"/>
        <w:rPr>
          <w:rFonts w:ascii="Arial" w:cs="Arial" w:eastAsia="Arial" w:hAnsi="Arial"/>
          <w:sz w:val="20"/>
          <w:szCs w:val="20"/>
          <w:color w:val="auto"/>
        </w:rPr>
      </w:pPr>
    </w:p>
    <w:p>
      <w:pPr>
        <w:jc w:val="both"/>
        <w:ind w:firstLine="8"/>
        <w:spacing w:after="0" w:line="237" w:lineRule="auto"/>
        <w:tabs>
          <w:tab w:leader="none" w:pos="269" w:val="left"/>
        </w:tabs>
        <w:numPr>
          <w:ilvl w:val="0"/>
          <w:numId w:val="91"/>
        </w:numPr>
        <w:rPr>
          <w:rFonts w:ascii="Arial" w:cs="Arial" w:eastAsia="Arial" w:hAnsi="Arial"/>
          <w:sz w:val="20"/>
          <w:szCs w:val="20"/>
          <w:color w:val="auto"/>
        </w:rPr>
      </w:pPr>
      <w:r>
        <w:rPr>
          <w:rFonts w:ascii="Arial" w:cs="Arial" w:eastAsia="Arial" w:hAnsi="Arial"/>
          <w:sz w:val="20"/>
          <w:szCs w:val="20"/>
          <w:color w:val="auto"/>
        </w:rPr>
        <w:t>Any attempt to dispose of Performance Shares in a manner contrary to the restrictions set forth in this Agreement shall be null, void and ineffective. As all or a portion of the Performance Shares vest, such shares shall no longer be considered Performance Shares for purposes of this Agreement.</w:t>
      </w:r>
    </w:p>
    <w:p>
      <w:pPr>
        <w:spacing w:after="0" w:line="203" w:lineRule="exact"/>
        <w:rPr>
          <w:rFonts w:ascii="Arial" w:cs="Arial" w:eastAsia="Arial" w:hAnsi="Arial"/>
          <w:sz w:val="20"/>
          <w:szCs w:val="20"/>
          <w:color w:val="auto"/>
        </w:rPr>
      </w:pPr>
    </w:p>
    <w:p>
      <w:pPr>
        <w:ind w:left="860" w:hanging="204"/>
        <w:spacing w:after="0"/>
        <w:tabs>
          <w:tab w:leader="none" w:pos="860" w:val="left"/>
        </w:tabs>
        <w:numPr>
          <w:ilvl w:val="1"/>
          <w:numId w:val="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Performance Period</w:t>
      </w:r>
      <w:r>
        <w:rPr>
          <w:rFonts w:ascii="Arial" w:cs="Arial" w:eastAsia="Arial" w:hAnsi="Arial"/>
          <w:sz w:val="20"/>
          <w:szCs w:val="20"/>
          <w:b w:val="1"/>
          <w:bCs w:val="1"/>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Period shall be the period beginning on ________________________ and ending on _______________________. Within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Period there shall be _______ Award Periods with each such Award Period beginning on ___________ and ending on</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_____________ of the same calendar year.</w:t>
      </w:r>
    </w:p>
    <w:p>
      <w:pPr>
        <w:spacing w:after="0" w:line="207" w:lineRule="exact"/>
        <w:rPr>
          <w:sz w:val="20"/>
          <w:szCs w:val="20"/>
          <w:color w:val="auto"/>
        </w:rPr>
      </w:pPr>
    </w:p>
    <w:p>
      <w:pPr>
        <w:ind w:left="860" w:hanging="204"/>
        <w:spacing w:after="0"/>
        <w:tabs>
          <w:tab w:leader="none" w:pos="86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jc w:val="both"/>
        <w:ind w:firstLine="980"/>
        <w:spacing w:after="0" w:line="237" w:lineRule="auto"/>
        <w:tabs>
          <w:tab w:leader="none" w:pos="1254" w:val="left"/>
        </w:tabs>
        <w:numPr>
          <w:ilvl w:val="1"/>
          <w:numId w:val="92"/>
        </w:numPr>
        <w:rPr>
          <w:rFonts w:ascii="Arial" w:cs="Arial" w:eastAsia="Arial" w:hAnsi="Arial"/>
          <w:sz w:val="20"/>
          <w:szCs w:val="20"/>
          <w:color w:val="auto"/>
        </w:rPr>
      </w:pPr>
      <w:r>
        <w:rPr>
          <w:rFonts w:ascii="Arial" w:cs="Arial" w:eastAsia="Arial" w:hAnsi="Arial"/>
          <w:sz w:val="20"/>
          <w:szCs w:val="20"/>
          <w:color w:val="auto"/>
        </w:rPr>
        <w:t>For any Award Period, the following number of Performance Shares shall vest if and only if a Management Representative (defined below) or the Compensation Committee, as applicable, determines, in accordance with this Paragraph 4, that the Performance Target (as defined in Paragraph 4(e)(iii)) for that Award Period has been met by the Trust:</w:t>
      </w:r>
    </w:p>
    <w:p>
      <w:pPr>
        <w:spacing w:after="0" w:line="204" w:lineRule="exact"/>
        <w:rPr>
          <w:sz w:val="20"/>
          <w:szCs w:val="20"/>
          <w:color w:val="auto"/>
        </w:rPr>
      </w:pPr>
    </w:p>
    <w:p>
      <w:pPr>
        <w:ind w:left="1620"/>
        <w:spacing w:after="0"/>
        <w:rPr>
          <w:sz w:val="20"/>
          <w:szCs w:val="20"/>
          <w:color w:val="auto"/>
        </w:rPr>
      </w:pPr>
      <w:r>
        <w:rPr>
          <w:rFonts w:ascii="Arial" w:cs="Arial" w:eastAsia="Arial" w:hAnsi="Arial"/>
          <w:sz w:val="20"/>
          <w:szCs w:val="20"/>
          <w:b w:val="1"/>
          <w:bCs w:val="1"/>
          <w:color w:val="auto"/>
        </w:rPr>
        <w:t>[Insert Vesting Schedule]</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If there are any Performance Shares that have not vested after Management’s Representative or the Compensation Committee, as applicable, has determined the number of Performance Shares that will vest with respect to the final Award Period, then any and all then-remaining Performance Shares which have not vested shall terminate and be forfeited.</w:t>
      </w:r>
    </w:p>
    <w:p>
      <w:pPr>
        <w:spacing w:after="0" w:line="210" w:lineRule="exact"/>
        <w:rPr>
          <w:sz w:val="20"/>
          <w:szCs w:val="20"/>
          <w:color w:val="auto"/>
        </w:rPr>
      </w:pPr>
    </w:p>
    <w:p>
      <w:pPr>
        <w:jc w:val="both"/>
        <w:ind w:firstLine="980"/>
        <w:spacing w:after="0" w:line="248" w:lineRule="auto"/>
        <w:tabs>
          <w:tab w:leader="none" w:pos="1252" w:val="left"/>
        </w:tabs>
        <w:numPr>
          <w:ilvl w:val="0"/>
          <w:numId w:val="93"/>
        </w:numPr>
        <w:rPr>
          <w:rFonts w:ascii="Arial" w:cs="Arial" w:eastAsia="Arial" w:hAnsi="Arial"/>
          <w:sz w:val="19"/>
          <w:szCs w:val="19"/>
          <w:color w:val="auto"/>
        </w:rPr>
      </w:pPr>
      <w:r>
        <w:rPr>
          <w:rFonts w:ascii="Arial" w:cs="Arial" w:eastAsia="Arial" w:hAnsi="Arial"/>
          <w:sz w:val="19"/>
          <w:szCs w:val="19"/>
          <w:color w:val="auto"/>
        </w:rPr>
        <w:t>Within sixty (60) days after the end of each Award Period, Management’s Representative or the Compensation Committee, as applicable, shall determine whether the Performance Target has been met by the Trust for such Award Period and thereafter, shall promptly notify the Grantee (or the executors or administrators of the Grantee’s estate) of such determination. If Management’s Representative or the Compensation Committee, as applicable, determines that the Performance Target</w:t>
      </w:r>
    </w:p>
    <w:p>
      <w:pPr>
        <w:sectPr>
          <w:pgSz w:w="11900" w:h="16838" w:orient="portrait"/>
          <w:cols w:equalWidth="0" w:num="1">
            <w:col w:w="11240"/>
          </w:cols>
          <w:pgMar w:left="320" w:top="1419" w:right="339" w:bottom="1440" w:gutter="0" w:footer="0" w:header="0"/>
        </w:sectPr>
      </w:pPr>
    </w:p>
    <w:bookmarkStart w:id="114" w:name="page115"/>
    <w:bookmarkEnd w:id="114"/>
    <w:p>
      <w:pPr>
        <w:spacing w:after="0" w:line="246" w:lineRule="auto"/>
        <w:rPr>
          <w:sz w:val="20"/>
          <w:szCs w:val="20"/>
          <w:color w:val="auto"/>
        </w:rPr>
      </w:pPr>
      <w:r>
        <w:rPr>
          <w:rFonts w:ascii="Arial" w:cs="Arial" w:eastAsia="Arial" w:hAnsi="Arial"/>
          <w:sz w:val="20"/>
          <w:szCs w:val="20"/>
          <w:color w:val="auto"/>
        </w:rPr>
        <w:t>has been met for such Award Period, then the number of Performance Shares specified in Paragraph 4(a) above with respect to such Award Period shall vest.</w:t>
      </w:r>
    </w:p>
    <w:p>
      <w:pPr>
        <w:spacing w:after="0" w:line="204" w:lineRule="exact"/>
        <w:rPr>
          <w:sz w:val="20"/>
          <w:szCs w:val="20"/>
          <w:color w:val="auto"/>
        </w:rPr>
      </w:pPr>
    </w:p>
    <w:p>
      <w:pPr>
        <w:ind w:firstLine="980"/>
        <w:spacing w:after="0" w:line="272" w:lineRule="auto"/>
        <w:tabs>
          <w:tab w:leader="none" w:pos="1281" w:val="left"/>
        </w:tabs>
        <w:numPr>
          <w:ilvl w:val="1"/>
          <w:numId w:val="94"/>
        </w:numPr>
        <w:rPr>
          <w:rFonts w:ascii="Arial" w:cs="Arial" w:eastAsia="Arial" w:hAnsi="Arial"/>
          <w:sz w:val="19"/>
          <w:szCs w:val="19"/>
          <w:color w:val="auto"/>
        </w:rPr>
      </w:pPr>
      <w:r>
        <w:rPr>
          <w:rFonts w:ascii="Arial" w:cs="Arial" w:eastAsia="Arial" w:hAnsi="Arial"/>
          <w:sz w:val="19"/>
          <w:szCs w:val="19"/>
          <w:color w:val="auto"/>
        </w:rPr>
        <w:t>Notwithstanding the foregoing, all remaining Performance Shares shall vest if the Grantee shall incur an Involuntary Termination (as defined in the Plan) during the one year period commencing with the occurrence of a Change in Control.</w:t>
      </w:r>
    </w:p>
    <w:p>
      <w:pPr>
        <w:spacing w:after="0" w:line="179" w:lineRule="exact"/>
        <w:rPr>
          <w:rFonts w:ascii="Arial" w:cs="Arial" w:eastAsia="Arial" w:hAnsi="Arial"/>
          <w:sz w:val="19"/>
          <w:szCs w:val="19"/>
          <w:color w:val="auto"/>
        </w:rPr>
      </w:pPr>
    </w:p>
    <w:p>
      <w:pPr>
        <w:jc w:val="both"/>
        <w:ind w:firstLine="980"/>
        <w:spacing w:after="0" w:line="287" w:lineRule="auto"/>
        <w:tabs>
          <w:tab w:leader="none" w:pos="1266" w:val="left"/>
        </w:tabs>
        <w:numPr>
          <w:ilvl w:val="1"/>
          <w:numId w:val="94"/>
        </w:numPr>
        <w:rPr>
          <w:rFonts w:ascii="Arial" w:cs="Arial" w:eastAsia="Arial" w:hAnsi="Arial"/>
          <w:sz w:val="16"/>
          <w:szCs w:val="16"/>
          <w:color w:val="auto"/>
        </w:rPr>
      </w:pPr>
      <w:r>
        <w:rPr>
          <w:rFonts w:ascii="Arial" w:cs="Arial" w:eastAsia="Arial" w:hAnsi="Arial"/>
          <w:sz w:val="16"/>
          <w:szCs w:val="16"/>
          <w:color w:val="auto"/>
        </w:rPr>
        <w:t>As soon as reasonably practicable after the vesting of all or any portion of the Performance Shares, the Trust shall notify Grantee or the Grantee’s legal representative, as applicable, of the amount of required withholding taxes due on the vesting of all or a portion of Performance Shares (“Tax Notice”). Grantee or Grantee’s legal representative, as applicable, shall tender to the Trust the amount specified in the Tax Notice within five (5) business days after the date of the Tax Notice, or such longer period of time as the Trust may designate. The Trust shall not be required to remove the restrictions on such Shares until such time as the Grantee or the Grantee’s legal representative, as applicable, shall have paid such tax withholding amount in full. The Trust, at its sole discretion and on such terms and conditions determined by the Trust from time to time, may permit the Grantee or the Grantee’s legal representative to satisfy the Trust’s minimum statutory tax withholding obligations as determined by the Trust’s accounting department through (i) the sale of all or a portion of such Shares resulting from this Agreement through the employer’s broker or (ii) by returning to the Trust a number of Shares having a fair market value equal to the minimum statutory tax withholding amount due. Shares cannot be returned to the Trust and withheld to satisfy more than the required minimum statutory tax withholding amounts. In the event Grantee or Grantee’s legal representative, as applicable, fails to make appropriate arrangements to satisfy tax and withholding obligations, the Trust may, in its sole discretion, satisfy such tax and withholding obligations by:</w:t>
      </w:r>
    </w:p>
    <w:p>
      <w:pPr>
        <w:spacing w:after="0" w:line="187" w:lineRule="exact"/>
        <w:rPr>
          <w:rFonts w:ascii="Arial" w:cs="Arial" w:eastAsia="Arial" w:hAnsi="Arial"/>
          <w:sz w:val="16"/>
          <w:szCs w:val="16"/>
          <w:color w:val="auto"/>
        </w:rPr>
      </w:pPr>
    </w:p>
    <w:p>
      <w:pPr>
        <w:jc w:val="both"/>
        <w:ind w:firstLine="8"/>
        <w:spacing w:after="0" w:line="266" w:lineRule="auto"/>
        <w:tabs>
          <w:tab w:leader="none" w:pos="259"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returning to the Trust all or a portion of the Shares issued under this Agreement; or (ii) withholding the required amounts from other amounts due the Grantee or Grantee’s legal representative, as applicable. The Trust is authorized to pay over to the appropriate authority, all federal, state, county, city or other taxes as shall be required pursuant to any law or governmental regulation or ruling.</w:t>
      </w:r>
    </w:p>
    <w:p>
      <w:pPr>
        <w:spacing w:after="0" w:line="186" w:lineRule="exact"/>
        <w:rPr>
          <w:rFonts w:ascii="Arial" w:cs="Arial" w:eastAsia="Arial" w:hAnsi="Arial"/>
          <w:sz w:val="18"/>
          <w:szCs w:val="18"/>
          <w:color w:val="auto"/>
        </w:rPr>
      </w:pPr>
    </w:p>
    <w:p>
      <w:pPr>
        <w:ind w:left="1240" w:hanging="260"/>
        <w:spacing w:after="0"/>
        <w:tabs>
          <w:tab w:leader="none" w:pos="1240" w:val="left"/>
        </w:tabs>
        <w:numPr>
          <w:ilvl w:val="1"/>
          <w:numId w:val="95"/>
        </w:numPr>
        <w:rPr>
          <w:rFonts w:ascii="Arial" w:cs="Arial" w:eastAsia="Arial" w:hAnsi="Arial"/>
          <w:sz w:val="20"/>
          <w:szCs w:val="20"/>
          <w:color w:val="auto"/>
        </w:rPr>
      </w:pPr>
      <w:r>
        <w:rPr>
          <w:rFonts w:ascii="Arial" w:cs="Arial" w:eastAsia="Arial" w:hAnsi="Arial"/>
          <w:sz w:val="20"/>
          <w:szCs w:val="20"/>
          <w:color w:val="auto"/>
        </w:rPr>
        <w:t>For purposes of this Agreement:</w:t>
      </w:r>
    </w:p>
    <w:p>
      <w:pPr>
        <w:spacing w:after="0" w:line="229" w:lineRule="exact"/>
        <w:rPr>
          <w:rFonts w:ascii="Arial" w:cs="Arial" w:eastAsia="Arial" w:hAnsi="Arial"/>
          <w:sz w:val="20"/>
          <w:szCs w:val="20"/>
          <w:color w:val="auto"/>
        </w:rPr>
      </w:pPr>
    </w:p>
    <w:p>
      <w:pPr>
        <w:ind w:left="1860" w:hanging="232"/>
        <w:spacing w:after="0"/>
        <w:tabs>
          <w:tab w:leader="none" w:pos="1860" w:val="left"/>
        </w:tabs>
        <w:numPr>
          <w:ilvl w:val="2"/>
          <w:numId w:val="95"/>
        </w:numPr>
        <w:rPr>
          <w:rFonts w:ascii="Arial" w:cs="Arial" w:eastAsia="Arial" w:hAnsi="Arial"/>
          <w:sz w:val="20"/>
          <w:szCs w:val="20"/>
          <w:color w:val="auto"/>
        </w:rPr>
      </w:pPr>
      <w:r>
        <w:rPr>
          <w:rFonts w:ascii="Arial" w:cs="Arial" w:eastAsia="Arial" w:hAnsi="Arial"/>
          <w:sz w:val="20"/>
          <w:szCs w:val="20"/>
          <w:color w:val="auto"/>
        </w:rPr>
        <w:t>“Management’s Representative” shall mean and refer to [INSERT REPRESENTATIVE].</w:t>
      </w:r>
    </w:p>
    <w:p>
      <w:pPr>
        <w:spacing w:after="0" w:line="229" w:lineRule="exact"/>
        <w:rPr>
          <w:rFonts w:ascii="Arial" w:cs="Arial" w:eastAsia="Arial" w:hAnsi="Arial"/>
          <w:sz w:val="20"/>
          <w:szCs w:val="20"/>
          <w:color w:val="auto"/>
        </w:rPr>
      </w:pPr>
    </w:p>
    <w:p>
      <w:pPr>
        <w:ind w:left="1940" w:hanging="312"/>
        <w:spacing w:after="0"/>
        <w:tabs>
          <w:tab w:leader="none" w:pos="1940" w:val="left"/>
        </w:tabs>
        <w:numPr>
          <w:ilvl w:val="2"/>
          <w:numId w:val="95"/>
        </w:numPr>
        <w:rPr>
          <w:rFonts w:ascii="Arial" w:cs="Arial" w:eastAsia="Arial" w:hAnsi="Arial"/>
          <w:sz w:val="18"/>
          <w:szCs w:val="18"/>
          <w:color w:val="auto"/>
        </w:rPr>
      </w:pPr>
      <w:r>
        <w:rPr>
          <w:rFonts w:ascii="Arial" w:cs="Arial" w:eastAsia="Arial" w:hAnsi="Arial"/>
          <w:sz w:val="18"/>
          <w:szCs w:val="18"/>
          <w:color w:val="auto"/>
        </w:rPr>
        <w:t>“Compensation Committee” shall mean and refer to the Compensation Committee of the Board of Trustees of the</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Trust.</w:t>
      </w:r>
    </w:p>
    <w:p>
      <w:pPr>
        <w:spacing w:after="0" w:line="213" w:lineRule="exact"/>
        <w:rPr>
          <w:rFonts w:ascii="Arial" w:cs="Arial" w:eastAsia="Arial" w:hAnsi="Arial"/>
          <w:sz w:val="18"/>
          <w:szCs w:val="18"/>
          <w:color w:val="auto"/>
        </w:rPr>
      </w:pPr>
    </w:p>
    <w:p>
      <w:pPr>
        <w:ind w:left="1980" w:hanging="352"/>
        <w:spacing w:after="0"/>
        <w:tabs>
          <w:tab w:leader="none" w:pos="1980" w:val="left"/>
        </w:tabs>
        <w:numPr>
          <w:ilvl w:val="2"/>
          <w:numId w:val="95"/>
        </w:numPr>
        <w:rPr>
          <w:rFonts w:ascii="Arial" w:cs="Arial" w:eastAsia="Arial" w:hAnsi="Arial"/>
          <w:sz w:val="20"/>
          <w:szCs w:val="20"/>
          <w:color w:val="auto"/>
        </w:rPr>
      </w:pPr>
      <w:r>
        <w:rPr>
          <w:rFonts w:ascii="Arial" w:cs="Arial" w:eastAsia="Arial" w:hAnsi="Arial"/>
          <w:sz w:val="20"/>
          <w:szCs w:val="20"/>
          <w:color w:val="auto"/>
        </w:rPr>
        <w:t>The “Performance Target” for an Award Period shall mean</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[INSERT PERFORMANCE CRITERIA]</w:t>
      </w:r>
    </w:p>
    <w:p>
      <w:pPr>
        <w:spacing w:after="0" w:line="223" w:lineRule="exact"/>
        <w:rPr>
          <w:sz w:val="20"/>
          <w:szCs w:val="20"/>
          <w:color w:val="auto"/>
        </w:rPr>
      </w:pPr>
    </w:p>
    <w:p>
      <w:pPr>
        <w:jc w:val="both"/>
        <w:ind w:firstLine="656"/>
        <w:spacing w:after="0" w:line="233" w:lineRule="auto"/>
        <w:tabs>
          <w:tab w:leader="none" w:pos="846"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Forfeiture</w:t>
      </w:r>
      <w:r>
        <w:rPr>
          <w:rFonts w:ascii="Arial" w:cs="Arial" w:eastAsia="Arial" w:hAnsi="Arial"/>
          <w:sz w:val="20"/>
          <w:szCs w:val="20"/>
          <w:b w:val="1"/>
          <w:bCs w:val="1"/>
          <w:color w:val="auto"/>
        </w:rPr>
        <w:t xml:space="preserve">. </w:t>
      </w:r>
      <w:r>
        <w:rPr>
          <w:rFonts w:ascii="Arial" w:cs="Arial" w:eastAsia="Arial" w:hAnsi="Arial"/>
          <w:sz w:val="20"/>
          <w:szCs w:val="20"/>
          <w:color w:val="auto"/>
        </w:rPr>
        <w:t>If there is a termination of the Grantee’s Service with the Trust for any reason, then all rights of the Grantee to any and</w:t>
      </w:r>
      <w:r>
        <w:rPr>
          <w:rFonts w:ascii="Arial" w:cs="Arial" w:eastAsia="Arial" w:hAnsi="Arial"/>
          <w:sz w:val="20"/>
          <w:szCs w:val="20"/>
          <w:b w:val="1"/>
          <w:bCs w:val="1"/>
          <w:color w:val="auto"/>
        </w:rPr>
        <w:t xml:space="preserve"> </w:t>
      </w:r>
      <w:r>
        <w:rPr>
          <w:rFonts w:ascii="Arial" w:cs="Arial" w:eastAsia="Arial" w:hAnsi="Arial"/>
          <w:sz w:val="20"/>
          <w:szCs w:val="20"/>
          <w:color w:val="auto"/>
        </w:rPr>
        <w:t>all then-remaining Performance Shares which have not vested, after giving application to Paragraphs 4(a), 4(b) and 4(c), shall terminate and be forfeited. Upon forfeiture of all or any portion of Performance Shares, the certificate(s) representing the forfeited Performance Shares shall be cancelled or the forfeited Performance Shares shall be removed from the Grantee’s book entry account, returned to the Trust and canceled, as applicable.</w:t>
      </w:r>
    </w:p>
    <w:p>
      <w:pPr>
        <w:spacing w:after="0" w:line="206" w:lineRule="exact"/>
        <w:rPr>
          <w:rFonts w:ascii="Arial" w:cs="Arial" w:eastAsia="Arial" w:hAnsi="Arial"/>
          <w:sz w:val="20"/>
          <w:szCs w:val="20"/>
          <w:b w:val="1"/>
          <w:bCs w:val="1"/>
          <w:color w:val="auto"/>
        </w:rPr>
      </w:pPr>
    </w:p>
    <w:p>
      <w:pPr>
        <w:jc w:val="both"/>
        <w:ind w:firstLine="656"/>
        <w:spacing w:after="0" w:line="239" w:lineRule="auto"/>
        <w:tabs>
          <w:tab w:leader="none" w:pos="846"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Assignment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binding upon and inure to the benefit of the heirs and representatives of the Grantee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assigns and successors of the Trust, but neither this Agreement nor any rights hereunder shall be assignable or otherwise subject to hypothecation by the Grantee.</w:t>
      </w:r>
    </w:p>
    <w:p>
      <w:pPr>
        <w:sectPr>
          <w:pgSz w:w="11900" w:h="16838" w:orient="portrait"/>
          <w:cols w:equalWidth="0" w:num="1">
            <w:col w:w="11240"/>
          </w:cols>
          <w:pgMar w:left="320" w:top="1419" w:right="339" w:bottom="1440" w:gutter="0" w:footer="0" w:header="0"/>
        </w:sectPr>
      </w:pPr>
    </w:p>
    <w:bookmarkStart w:id="115" w:name="page116"/>
    <w:bookmarkEnd w:id="115"/>
    <w:p>
      <w:pPr>
        <w:spacing w:after="0" w:line="216" w:lineRule="exact"/>
        <w:rPr>
          <w:sz w:val="20"/>
          <w:szCs w:val="20"/>
          <w:color w:val="auto"/>
        </w:rPr>
      </w:pPr>
    </w:p>
    <w:p>
      <w:pPr>
        <w:jc w:val="both"/>
        <w:ind w:left="-656" w:firstLine="656"/>
        <w:spacing w:after="0" w:line="258" w:lineRule="auto"/>
        <w:tabs>
          <w:tab w:leader="none" w:pos="190"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constitutes the entire agreement of the parties with respect to the subject matter</w:t>
      </w:r>
      <w:r>
        <w:rPr>
          <w:rFonts w:ascii="Arial" w:cs="Arial" w:eastAsia="Arial" w:hAnsi="Arial"/>
          <w:sz w:val="19"/>
          <w:szCs w:val="19"/>
          <w:b w:val="1"/>
          <w:bCs w:val="1"/>
          <w:color w:val="auto"/>
        </w:rPr>
        <w:t xml:space="preserve"> </w:t>
      </w:r>
      <w:r>
        <w:rPr>
          <w:rFonts w:ascii="Arial" w:cs="Arial" w:eastAsia="Arial" w:hAnsi="Arial"/>
          <w:sz w:val="19"/>
          <w:szCs w:val="19"/>
          <w:color w:val="auto"/>
        </w:rPr>
        <w:t>hereof and shall supersede all prior agreements and understandings, oral or written, between the parties with respect thereto. Subject to Paragraph 13, this Agreement may be amended at any time by written agreement of the parties hereto.</w:t>
      </w:r>
    </w:p>
    <w:p>
      <w:pPr>
        <w:spacing w:after="0" w:line="186" w:lineRule="exact"/>
        <w:rPr>
          <w:rFonts w:ascii="Arial" w:cs="Arial" w:eastAsia="Arial" w:hAnsi="Arial"/>
          <w:sz w:val="19"/>
          <w:szCs w:val="19"/>
          <w:b w:val="1"/>
          <w:bCs w:val="1"/>
          <w:color w:val="auto"/>
        </w:rPr>
      </w:pPr>
    </w:p>
    <w:p>
      <w:pPr>
        <w:ind w:left="-656" w:firstLine="656"/>
        <w:spacing w:after="0" w:line="278" w:lineRule="auto"/>
        <w:tabs>
          <w:tab w:leader="none" w:pos="190"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its validity, interpretation, performance and enforcement shall be governed by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State of Maryland other than the conflict of laws provisions of such laws, and shall be construed in accordance therewith.</w:t>
      </w:r>
    </w:p>
    <w:p>
      <w:pPr>
        <w:spacing w:after="0" w:line="168" w:lineRule="exact"/>
        <w:rPr>
          <w:rFonts w:ascii="Arial" w:cs="Arial" w:eastAsia="Arial" w:hAnsi="Arial"/>
          <w:sz w:val="19"/>
          <w:szCs w:val="19"/>
          <w:b w:val="1"/>
          <w:bCs w:val="1"/>
          <w:color w:val="auto"/>
        </w:rPr>
      </w:pPr>
    </w:p>
    <w:p>
      <w:pPr>
        <w:jc w:val="both"/>
        <w:ind w:left="-656" w:firstLine="656"/>
        <w:spacing w:after="0" w:line="233" w:lineRule="auto"/>
        <w:tabs>
          <w:tab w:leader="none" w:pos="190"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for any reason, any provision of this Agreement is held invalid, such invalidity shall not affect any other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206" w:lineRule="exact"/>
        <w:rPr>
          <w:rFonts w:ascii="Arial" w:cs="Arial" w:eastAsia="Arial" w:hAnsi="Arial"/>
          <w:sz w:val="20"/>
          <w:szCs w:val="20"/>
          <w:b w:val="1"/>
          <w:bCs w:val="1"/>
          <w:color w:val="auto"/>
        </w:rPr>
      </w:pPr>
    </w:p>
    <w:p>
      <w:pPr>
        <w:ind w:left="-656" w:right="20" w:firstLine="656"/>
        <w:spacing w:after="0" w:line="252" w:lineRule="auto"/>
        <w:tabs>
          <w:tab w:leader="none" w:pos="343"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Continued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not confer upon the Grantee any right with respect to continuance of</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by the Trust.</w:t>
      </w:r>
    </w:p>
    <w:p>
      <w:pPr>
        <w:spacing w:after="0" w:line="192" w:lineRule="exact"/>
        <w:rPr>
          <w:rFonts w:ascii="Arial" w:cs="Arial" w:eastAsia="Arial" w:hAnsi="Arial"/>
          <w:sz w:val="20"/>
          <w:szCs w:val="20"/>
          <w:b w:val="1"/>
          <w:bCs w:val="1"/>
          <w:color w:val="auto"/>
        </w:rPr>
      </w:pPr>
    </w:p>
    <w:p>
      <w:pPr>
        <w:jc w:val="both"/>
        <w:ind w:left="-656" w:firstLine="656"/>
        <w:spacing w:after="0" w:line="328" w:lineRule="auto"/>
        <w:tabs>
          <w:tab w:leader="none" w:pos="291"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Certain 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References to the Grantee in any provision of this Agreement under circumstances where the provision</w:t>
      </w:r>
      <w:r>
        <w:rPr>
          <w:rFonts w:ascii="Arial" w:cs="Arial" w:eastAsia="Arial" w:hAnsi="Arial"/>
          <w:sz w:val="16"/>
          <w:szCs w:val="16"/>
          <w:b w:val="1"/>
          <w:bCs w:val="1"/>
          <w:color w:val="auto"/>
        </w:rPr>
        <w:t xml:space="preserve"> </w:t>
      </w:r>
      <w:r>
        <w:rPr>
          <w:rFonts w:ascii="Arial" w:cs="Arial" w:eastAsia="Arial" w:hAnsi="Arial"/>
          <w:sz w:val="16"/>
          <w:szCs w:val="16"/>
          <w:color w:val="auto"/>
        </w:rPr>
        <w:t>should logically be construed to apply to the Grantee’s executors or the administrators, or the person or persons to whom all or any portion of the Performance Shares may be transferred by will or the laws of descent and distribution, shall be deemed to include such person or persons.</w:t>
      </w:r>
    </w:p>
    <w:p>
      <w:pPr>
        <w:spacing w:after="0" w:line="136" w:lineRule="exact"/>
        <w:rPr>
          <w:rFonts w:ascii="Arial" w:cs="Arial" w:eastAsia="Arial" w:hAnsi="Arial"/>
          <w:sz w:val="16"/>
          <w:szCs w:val="16"/>
          <w:b w:val="1"/>
          <w:bCs w:val="1"/>
          <w:color w:val="auto"/>
        </w:rPr>
      </w:pPr>
    </w:p>
    <w:p>
      <w:pPr>
        <w:ind w:left="-656" w:firstLine="656"/>
        <w:spacing w:after="0" w:line="307" w:lineRule="auto"/>
        <w:tabs>
          <w:tab w:leader="none" w:pos="289"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Notwithstanding anything herein to the contrary, the Grantee shall be solely responsible and liable for the satisfaction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all taxes and penalties that may arise in connection with this Agreement (including any taxes arising under Section 409A of the Code).</w:t>
      </w:r>
    </w:p>
    <w:p>
      <w:pPr>
        <w:spacing w:after="0" w:line="145" w:lineRule="exact"/>
        <w:rPr>
          <w:rFonts w:ascii="Arial" w:cs="Arial" w:eastAsia="Arial" w:hAnsi="Arial"/>
          <w:sz w:val="18"/>
          <w:szCs w:val="18"/>
          <w:b w:val="1"/>
          <w:bCs w:val="1"/>
          <w:color w:val="auto"/>
        </w:rPr>
      </w:pPr>
    </w:p>
    <w:p>
      <w:pPr>
        <w:jc w:val="both"/>
        <w:ind w:left="-656" w:firstLine="656"/>
        <w:spacing w:after="0" w:line="241" w:lineRule="auto"/>
        <w:tabs>
          <w:tab w:leader="none" w:pos="316"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color w:val="auto"/>
        </w:rPr>
        <w:t>. This Agreement is intended to be exempt from Code Section 409A, and the Trust shall have complete</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 to interpret and construe 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Grantee in order to accurately reflect its correct interpretation and operation to maintain an exemption from or compliance with Code Section 409A. Notwithstanding any provision of the Plan or this Agreement (including the foregoing), neither the Trust nor the Administrator shall have any liability to any person in the event Code Section 409A applies to this Award in a manner that results in adverse tax consequences for the Grantee or any of his or her beneficiaries or transferees.</w:t>
      </w:r>
    </w:p>
    <w:p>
      <w:pPr>
        <w:spacing w:after="0" w:line="205" w:lineRule="exact"/>
        <w:rPr>
          <w:rFonts w:ascii="Arial" w:cs="Arial" w:eastAsia="Arial" w:hAnsi="Arial"/>
          <w:sz w:val="19"/>
          <w:szCs w:val="19"/>
          <w:b w:val="1"/>
          <w:bCs w:val="1"/>
          <w:color w:val="auto"/>
        </w:rPr>
      </w:pPr>
    </w:p>
    <w:p>
      <w:pPr>
        <w:jc w:val="both"/>
        <w:ind w:left="-656" w:firstLine="656"/>
        <w:spacing w:after="0" w:line="233" w:lineRule="auto"/>
        <w:tabs>
          <w:tab w:leader="none" w:pos="316"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Plan Provisions Control Option Terms; Modifications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These Performance Shares are granted pursuant and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and conditions of the Plan, the provisions of which are incorporated herein by reference. In the event any provision of this Agreement shall conflict with any of the terms in the Plan as constituted on the Grant Date, the terms of the Plan as constituted on the Grant Date shall control. The Trust may modify this Agreement after the Grant Date; provided, however, that no such modification may be made which alters or impairs any rights or obligations of the Grantee</w:t>
      </w:r>
    </w:p>
    <w:p>
      <w:pPr>
        <w:sectPr>
          <w:pgSz w:w="11900" w:h="16838" w:orient="portrait"/>
          <w:cols w:equalWidth="0" w:num="1">
            <w:col w:w="10584"/>
          </w:cols>
          <w:pgMar w:left="976" w:top="1440" w:right="339" w:bottom="1440" w:gutter="0" w:footer="0" w:header="0"/>
        </w:sectPr>
      </w:pPr>
    </w:p>
    <w:bookmarkStart w:id="116" w:name="page117"/>
    <w:bookmarkEnd w:id="116"/>
    <w:p>
      <w:pPr>
        <w:jc w:val="both"/>
        <w:spacing w:after="0" w:line="234" w:lineRule="auto"/>
        <w:rPr>
          <w:sz w:val="20"/>
          <w:szCs w:val="20"/>
          <w:color w:val="auto"/>
        </w:rPr>
      </w:pPr>
      <w:r>
        <w:rPr>
          <w:rFonts w:ascii="Arial" w:cs="Arial" w:eastAsia="Arial" w:hAnsi="Arial"/>
          <w:sz w:val="20"/>
          <w:szCs w:val="20"/>
          <w:color w:val="auto"/>
        </w:rPr>
        <w:t>without the Grantee’s express written agreement. Any such modification shall not be inconsistent with the terms of the Plan. Notwithstanding the foregoing, the Board or Administrator may take such actions as it deems appropriate to ensure that the Plan and any Awards may comply with any tax, securities or other applicable law. Nothing herein shall restrict the Administrator’s ability to exercise its discretionary authority as provided in the Plan.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Trust has caused this Agreement to be duly executed effective as of the day and year first above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FEDERAL REALTY INVESTMENT TRUST</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By:___________________________________</w:t>
      </w:r>
    </w:p>
    <w:p>
      <w:pPr>
        <w:spacing w:after="0" w:line="227" w:lineRule="auto"/>
        <w:rPr>
          <w:sz w:val="20"/>
          <w:szCs w:val="20"/>
          <w:color w:val="auto"/>
        </w:rPr>
      </w:pPr>
      <w:r>
        <w:rPr>
          <w:rFonts w:ascii="Arial" w:cs="Arial" w:eastAsia="Arial" w:hAnsi="Arial"/>
          <w:sz w:val="20"/>
          <w:szCs w:val="20"/>
          <w:color w:val="auto"/>
        </w:rPr>
        <w:t>Name: Dawn M. Becker</w:t>
      </w:r>
    </w:p>
    <w:p>
      <w:pPr>
        <w:spacing w:after="0" w:line="225" w:lineRule="auto"/>
        <w:rPr>
          <w:sz w:val="20"/>
          <w:szCs w:val="20"/>
          <w:color w:val="auto"/>
        </w:rPr>
      </w:pPr>
      <w:r>
        <w:rPr>
          <w:rFonts w:ascii="Arial" w:cs="Arial" w:eastAsia="Arial" w:hAnsi="Arial"/>
          <w:sz w:val="20"/>
          <w:szCs w:val="20"/>
          <w:color w:val="auto"/>
        </w:rPr>
        <w:t>Title: Executive Vice President –</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General Counsel and Secretary</w:t>
      </w:r>
    </w:p>
    <w:p>
      <w:pPr>
        <w:sectPr>
          <w:pgSz w:w="11900" w:h="16838" w:orient="portrait"/>
          <w:cols w:equalWidth="0" w:num="1">
            <w:col w:w="11240"/>
          </w:cols>
          <w:pgMar w:left="320" w:top="1419"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10.37</w:t>
      </w:r>
    </w:p>
    <w:p>
      <w:pPr>
        <w:spacing w:after="0" w:line="248" w:lineRule="exact"/>
        <w:rPr>
          <w:sz w:val="20"/>
          <w:szCs w:val="20"/>
          <w:color w:val="auto"/>
        </w:rPr>
      </w:pPr>
    </w:p>
    <w:p>
      <w:pPr>
        <w:jc w:val="center"/>
        <w:spacing w:after="0" w:line="239" w:lineRule="auto"/>
        <w:rPr>
          <w:sz w:val="20"/>
          <w:szCs w:val="20"/>
          <w:color w:val="auto"/>
        </w:rPr>
      </w:pPr>
      <w:r>
        <w:rPr>
          <w:rFonts w:ascii="Arial" w:cs="Arial" w:eastAsia="Arial" w:hAnsi="Arial"/>
          <w:sz w:val="20"/>
          <w:szCs w:val="20"/>
          <w:b w:val="1"/>
          <w:bCs w:val="1"/>
          <w:color w:val="auto"/>
        </w:rPr>
        <w:t xml:space="preserve">FEDERAL REALTY INVESTMENT TRUST </w:t>
      </w:r>
      <w:r>
        <w:rPr>
          <w:rFonts w:ascii="Arial" w:cs="Arial" w:eastAsia="Arial" w:hAnsi="Arial"/>
          <w:sz w:val="20"/>
          <w:szCs w:val="20"/>
          <w:b w:val="1"/>
          <w:bCs w:val="1"/>
          <w:u w:val="single" w:color="auto"/>
          <w:color w:val="auto"/>
        </w:rPr>
        <w:t>COMBINED INCENTIVE AND NON-QUALIFIED SHARE OPTION AGREEMENT FOR EMPLOYEES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AGREEMENT </w:t>
      </w:r>
      <w:r>
        <w:rPr>
          <w:rFonts w:ascii="Arial" w:cs="Arial" w:eastAsia="Arial" w:hAnsi="Arial"/>
          <w:sz w:val="19"/>
          <w:szCs w:val="19"/>
          <w:color w:val="auto"/>
        </w:rPr>
        <w:t>(“Agreement”) dated this ___ day of ____________, 20__ (the “Grant Date”), by</w:t>
      </w:r>
      <w:r>
        <w:rPr>
          <w:rFonts w:ascii="Arial" w:cs="Arial" w:eastAsia="Arial" w:hAnsi="Arial"/>
          <w:sz w:val="19"/>
          <w:szCs w:val="19"/>
          <w:b w:val="1"/>
          <w:bCs w:val="1"/>
          <w:color w:val="auto"/>
        </w:rPr>
        <w:t xml:space="preserve"> FEDERAL REALTY INVESTMENT</w:t>
      </w:r>
    </w:p>
    <w:p>
      <w:pPr>
        <w:spacing w:after="0" w:line="20"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color w:val="auto"/>
        </w:rPr>
        <w:t>TRUST</w:t>
      </w:r>
      <w:r>
        <w:rPr>
          <w:rFonts w:ascii="Arial" w:cs="Arial" w:eastAsia="Arial" w:hAnsi="Arial"/>
          <w:sz w:val="20"/>
          <w:szCs w:val="20"/>
          <w:color w:val="auto"/>
        </w:rPr>
        <w:t>, a Maryland real estate investment trust (“Trust”) with an address of 1626 East Jefferson Street, Rockville, Maryland 20852,</w:t>
      </w:r>
      <w:r>
        <w:rPr>
          <w:rFonts w:ascii="Arial" w:cs="Arial" w:eastAsia="Arial" w:hAnsi="Arial"/>
          <w:sz w:val="20"/>
          <w:szCs w:val="20"/>
          <w:b w:val="1"/>
          <w:bCs w:val="1"/>
          <w:color w:val="auto"/>
        </w:rPr>
        <w:t xml:space="preserve"> </w:t>
      </w:r>
      <w:r>
        <w:rPr>
          <w:rFonts w:ascii="Arial" w:cs="Arial" w:eastAsia="Arial" w:hAnsi="Arial"/>
          <w:sz w:val="20"/>
          <w:szCs w:val="20"/>
          <w:color w:val="auto"/>
        </w:rPr>
        <w:t>providing notice of a share option award to _________</w:t>
      </w:r>
      <w:r>
        <w:rPr>
          <w:rFonts w:ascii="Arial" w:cs="Arial" w:eastAsia="Arial" w:hAnsi="Arial"/>
          <w:sz w:val="20"/>
          <w:szCs w:val="20"/>
          <w:b w:val="1"/>
          <w:bCs w:val="1"/>
          <w:color w:val="auto"/>
        </w:rPr>
        <w:t>___________</w:t>
      </w:r>
      <w:r>
        <w:rPr>
          <w:rFonts w:ascii="Arial" w:cs="Arial" w:eastAsia="Arial" w:hAnsi="Arial"/>
          <w:sz w:val="20"/>
          <w:szCs w:val="20"/>
          <w:color w:val="auto"/>
        </w:rPr>
        <w:t>, an employee of the Trust (“Grantee”).</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Trust desires to have Grantee continue in its employ and to provide Grantee with an incentive by sharing in the success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Trust;</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 order to provide such an incentive to its key employees, the Trust has adopted the Federal Realty Investment Trust 2020</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Incentive Plan (“Plan”);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Trust desires to grant, as set forth herein, to Grantee under the Plan (1) options for Shares that qualify as “Incentive Stock</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within the meaning of Section 422 or any successor provision of the Internal Revenue Code of 1986, as amended (“Code”), and/or (2) options not intended to qualify as Incentive Stock Options (“Non-Qualified Share Options”); and</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unless otherwise provided herein, capitalized terms used in this Agreement shall have the meaning given them in the Plan.</w:t>
      </w:r>
      <w:r>
        <w:rPr>
          <w:rFonts w:ascii="Arial" w:cs="Arial" w:eastAsia="Arial" w:hAnsi="Arial"/>
          <w:sz w:val="20"/>
          <w:szCs w:val="20"/>
          <w:b w:val="1"/>
          <w:bCs w:val="1"/>
          <w:color w:val="auto"/>
        </w:rPr>
        <w:t xml:space="preserve"> NOW THEREFORE</w:t>
      </w:r>
      <w:r>
        <w:rPr>
          <w:rFonts w:ascii="Arial" w:cs="Arial" w:eastAsia="Arial" w:hAnsi="Arial"/>
          <w:sz w:val="20"/>
          <w:szCs w:val="20"/>
          <w:color w:val="auto"/>
        </w:rPr>
        <w:t>, in consideration of the mutual covenants and representations herein contained and intending to be legally bound,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agree as follows:</w:t>
      </w:r>
    </w:p>
    <w:p>
      <w:pPr>
        <w:ind w:left="200" w:hanging="192"/>
        <w:spacing w:after="0" w:line="226" w:lineRule="auto"/>
        <w:tabs>
          <w:tab w:leader="none" w:pos="200"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Option Grant Facts:</w:t>
      </w:r>
      <w:r>
        <w:rPr>
          <w:rFonts w:ascii="Arial" w:cs="Arial" w:eastAsia="Arial" w:hAnsi="Arial"/>
          <w:sz w:val="20"/>
          <w:szCs w:val="20"/>
          <w:b w:val="1"/>
          <w:bCs w:val="1"/>
          <w:color w:val="auto"/>
        </w:rPr>
        <w:t xml:space="preserve"> </w:t>
      </w:r>
      <w:r>
        <w:rPr>
          <w:rFonts w:ascii="Arial" w:cs="Arial" w:eastAsia="Arial" w:hAnsi="Arial"/>
          <w:sz w:val="20"/>
          <w:szCs w:val="20"/>
          <w:color w:val="auto"/>
        </w:rPr>
        <w:t>The Trust hereby grants to Grantee the following option (“Option”) to purchase Shares:</w:t>
      </w:r>
    </w:p>
    <w:p>
      <w:pPr>
        <w:ind w:right="7680"/>
        <w:spacing w:after="0" w:line="225"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 </w:t>
      </w:r>
      <w:r>
        <w:rPr>
          <w:rFonts w:ascii="Arial" w:cs="Arial" w:eastAsia="Arial" w:hAnsi="Arial"/>
          <w:sz w:val="20"/>
          <w:szCs w:val="20"/>
          <w:color w:val="auto"/>
        </w:rPr>
        <w:t>Number of Shares Subject to this Option:</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 Stock Options:</w:t>
      </w:r>
    </w:p>
    <w:p>
      <w:pPr>
        <w:spacing w:after="0" w:line="225" w:lineRule="auto"/>
        <w:rPr>
          <w:rFonts w:ascii="Arial" w:cs="Arial" w:eastAsia="Arial" w:hAnsi="Arial"/>
          <w:sz w:val="20"/>
          <w:szCs w:val="20"/>
          <w:b w:val="1"/>
          <w:bCs w:val="1"/>
          <w:color w:val="auto"/>
        </w:rPr>
      </w:pPr>
      <w:r>
        <w:rPr>
          <w:rFonts w:ascii="Arial" w:cs="Arial" w:eastAsia="Arial" w:hAnsi="Arial"/>
          <w:sz w:val="20"/>
          <w:szCs w:val="20"/>
          <w:color w:val="auto"/>
        </w:rPr>
        <w:t>Non-Qualified Share Options:</w:t>
      </w:r>
    </w:p>
    <w:p>
      <w:pPr>
        <w:spacing w:after="0" w:line="225"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 </w:t>
      </w:r>
      <w:r>
        <w:rPr>
          <w:rFonts w:ascii="Arial" w:cs="Arial" w:eastAsia="Arial" w:hAnsi="Arial"/>
          <w:sz w:val="20"/>
          <w:szCs w:val="20"/>
          <w:color w:val="auto"/>
        </w:rPr>
        <w:t>Purchase Price of Shares subject to the Option: $</w:t>
      </w:r>
    </w:p>
    <w:p>
      <w:pPr>
        <w:spacing w:after="0" w:line="225"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 </w:t>
      </w:r>
      <w:r>
        <w:rPr>
          <w:rFonts w:ascii="Arial" w:cs="Arial" w:eastAsia="Arial" w:hAnsi="Arial"/>
          <w:sz w:val="20"/>
          <w:szCs w:val="20"/>
          <w:color w:val="auto"/>
        </w:rPr>
        <w:t>Grant Date of the Option:</w:t>
      </w:r>
    </w:p>
    <w:p>
      <w:pPr>
        <w:ind w:right="6980"/>
        <w:spacing w:after="0" w:line="225"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 </w:t>
      </w:r>
      <w:r>
        <w:rPr>
          <w:rFonts w:ascii="Arial" w:cs="Arial" w:eastAsia="Arial" w:hAnsi="Arial"/>
          <w:sz w:val="20"/>
          <w:szCs w:val="20"/>
          <w:color w:val="auto"/>
        </w:rPr>
        <w:t>Vesting Schedule of Shares Subject to the Option: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Incentive Non-Qualified Vesting Date</w:t>
      </w:r>
    </w:p>
    <w:p>
      <w:pPr>
        <w:jc w:val="both"/>
        <w:ind w:right="10940"/>
        <w:spacing w:after="0" w:line="346" w:lineRule="auto"/>
        <w:rPr>
          <w:rFonts w:ascii="Arial" w:cs="Arial" w:eastAsia="Arial" w:hAnsi="Arial"/>
          <w:sz w:val="20"/>
          <w:szCs w:val="20"/>
          <w:b w:val="1"/>
          <w:bCs w:val="1"/>
          <w:color w:val="auto"/>
        </w:rPr>
      </w:pPr>
      <w:r>
        <w:rPr>
          <w:rFonts w:ascii="Arial" w:cs="Arial" w:eastAsia="Arial" w:hAnsi="Arial"/>
          <w:sz w:val="13"/>
          <w:szCs w:val="13"/>
          <w:color w:val="auto"/>
        </w:rPr>
        <w:t>, 20 , 20 , 20</w:t>
      </w:r>
    </w:p>
    <w:p>
      <w:pPr>
        <w:spacing w:after="0" w:line="1" w:lineRule="exact"/>
        <w:rPr>
          <w:rFonts w:ascii="Arial" w:cs="Arial" w:eastAsia="Arial" w:hAnsi="Arial"/>
          <w:sz w:val="20"/>
          <w:szCs w:val="20"/>
          <w:b w:val="1"/>
          <w:bCs w:val="1"/>
          <w:color w:val="auto"/>
        </w:rPr>
      </w:pPr>
    </w:p>
    <w:p>
      <w:pPr>
        <w:jc w:val="both"/>
        <w:spacing w:after="0" w:line="237" w:lineRule="auto"/>
        <w:rPr>
          <w:rFonts w:ascii="Arial" w:cs="Arial" w:eastAsia="Arial" w:hAnsi="Arial"/>
          <w:sz w:val="20"/>
          <w:szCs w:val="20"/>
          <w:b w:val="1"/>
          <w:bCs w:val="1"/>
          <w:color w:val="auto"/>
        </w:rPr>
      </w:pPr>
      <w:r>
        <w:rPr>
          <w:rFonts w:ascii="Arial" w:cs="Arial" w:eastAsia="Arial" w:hAnsi="Arial"/>
          <w:sz w:val="19"/>
          <w:szCs w:val="19"/>
          <w:color w:val="auto"/>
        </w:rPr>
        <w:t>The Option may be exercised from time-to-time to the extent vested. To the extent any portion of the Option designated above as an Incentive Stock Option shall fail to qualify as an Incentive Stock Option for any reason, including an exercise by the Grantee after the time period required to receive Incentive Stock Option treatment, it shall be deemed a Non-Qualified Share Option.</w:t>
      </w:r>
    </w:p>
    <w:p>
      <w:pPr>
        <w:ind w:firstLine="656"/>
        <w:spacing w:after="0" w:line="234" w:lineRule="auto"/>
        <w:tabs>
          <w:tab w:leader="none" w:pos="859" w:val="left"/>
        </w:tabs>
        <w:numPr>
          <w:ilvl w:val="1"/>
          <w:numId w:val="9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shall expire ten (10) years from the Grant Date, subject to earlier termination as set forth in Section 4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the terms of the Plan.</w:t>
      </w:r>
    </w:p>
    <w:p>
      <w:pPr>
        <w:spacing w:after="0" w:line="200" w:lineRule="exact"/>
        <w:rPr>
          <w:rFonts w:ascii="Arial" w:cs="Arial" w:eastAsia="Arial" w:hAnsi="Arial"/>
          <w:sz w:val="20"/>
          <w:szCs w:val="20"/>
          <w:b w:val="1"/>
          <w:bCs w:val="1"/>
          <w:color w:val="auto"/>
        </w:rPr>
      </w:pPr>
    </w:p>
    <w:p>
      <w:pPr>
        <w:spacing w:after="0" w:line="247" w:lineRule="exact"/>
        <w:rPr>
          <w:rFonts w:ascii="Arial" w:cs="Arial" w:eastAsia="Arial" w:hAnsi="Arial"/>
          <w:sz w:val="20"/>
          <w:szCs w:val="20"/>
          <w:b w:val="1"/>
          <w:bCs w:val="1"/>
          <w:color w:val="auto"/>
        </w:rPr>
      </w:pPr>
    </w:p>
    <w:p>
      <w:pPr>
        <w:jc w:val="both"/>
        <w:ind w:firstLine="656"/>
        <w:spacing w:after="0" w:line="233" w:lineRule="auto"/>
        <w:tabs>
          <w:tab w:leader="none" w:pos="873" w:val="left"/>
        </w:tabs>
        <w:numPr>
          <w:ilvl w:val="1"/>
          <w:numId w:val="9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Acceleration of Vesting.</w:t>
      </w:r>
      <w:r>
        <w:rPr>
          <w:rFonts w:ascii="Arial" w:cs="Arial" w:eastAsia="Arial" w:hAnsi="Arial"/>
          <w:sz w:val="20"/>
          <w:szCs w:val="20"/>
          <w:b w:val="1"/>
          <w:bCs w:val="1"/>
          <w:color w:val="auto"/>
        </w:rPr>
        <w:t xml:space="preserve"> </w:t>
      </w:r>
      <w:r>
        <w:rPr>
          <w:rFonts w:ascii="Arial" w:cs="Arial" w:eastAsia="Arial" w:hAnsi="Arial"/>
          <w:sz w:val="20"/>
          <w:szCs w:val="20"/>
          <w:color w:val="auto"/>
        </w:rPr>
        <w:t>The vesting of this Option shall accelerate and the Option shall fully vest and become immediately</w:t>
      </w:r>
      <w:r>
        <w:rPr>
          <w:rFonts w:ascii="Arial" w:cs="Arial" w:eastAsia="Arial" w:hAnsi="Arial"/>
          <w:sz w:val="20"/>
          <w:szCs w:val="20"/>
          <w:b w:val="1"/>
          <w:bCs w:val="1"/>
          <w:color w:val="auto"/>
        </w:rPr>
        <w:t xml:space="preserve"> </w:t>
      </w:r>
      <w:r>
        <w:rPr>
          <w:rFonts w:ascii="Arial" w:cs="Arial" w:eastAsia="Arial" w:hAnsi="Arial"/>
          <w:sz w:val="20"/>
          <w:szCs w:val="20"/>
          <w:color w:val="auto"/>
        </w:rPr>
        <w:t>exercisable with respect to the full number of Shares subject to the Option for the applicable periods set forth in Section 4 below upon the following:</w:t>
      </w:r>
    </w:p>
    <w:p>
      <w:pPr>
        <w:spacing w:after="0" w:line="225"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 </w:t>
      </w:r>
      <w:r>
        <w:rPr>
          <w:rFonts w:ascii="Arial" w:cs="Arial" w:eastAsia="Arial" w:hAnsi="Arial"/>
          <w:sz w:val="20"/>
          <w:szCs w:val="20"/>
          <w:color w:val="auto"/>
        </w:rPr>
        <w:t>the Grantee’s termination of Service upon Disability;</w:t>
      </w:r>
    </w:p>
    <w:p>
      <w:pPr>
        <w:spacing w:after="0" w:line="225"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 </w:t>
      </w:r>
      <w:r>
        <w:rPr>
          <w:rFonts w:ascii="Arial" w:cs="Arial" w:eastAsia="Arial" w:hAnsi="Arial"/>
          <w:sz w:val="20"/>
          <w:szCs w:val="20"/>
          <w:color w:val="auto"/>
        </w:rPr>
        <w:t>the Grantee’s death while employed by the Trust; and</w:t>
      </w:r>
    </w:p>
    <w:p>
      <w:pPr>
        <w:jc w:val="both"/>
        <w:spacing w:after="0" w:line="231"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 </w:t>
      </w:r>
      <w:r>
        <w:rPr>
          <w:rFonts w:ascii="Arial" w:cs="Arial" w:eastAsia="Arial" w:hAnsi="Arial"/>
          <w:sz w:val="20"/>
          <w:szCs w:val="20"/>
          <w:color w:val="auto"/>
        </w:rPr>
        <w:t>if the Grantee incurs an Involuntary Termination within the one year period commencing with a Change in Control; provided, however,</w:t>
      </w:r>
      <w:r>
        <w:rPr>
          <w:rFonts w:ascii="Arial" w:cs="Arial" w:eastAsia="Arial" w:hAnsi="Arial"/>
          <w:sz w:val="20"/>
          <w:szCs w:val="20"/>
          <w:b w:val="1"/>
          <w:bCs w:val="1"/>
          <w:color w:val="auto"/>
        </w:rPr>
        <w:t xml:space="preserve"> </w:t>
      </w:r>
      <w:r>
        <w:rPr>
          <w:rFonts w:ascii="Arial" w:cs="Arial" w:eastAsia="Arial" w:hAnsi="Arial"/>
          <w:sz w:val="20"/>
          <w:szCs w:val="20"/>
          <w:color w:val="auto"/>
        </w:rPr>
        <w:t>such accelerated vesting described in this Section 3(c) shall not be applicable to the Option if such Change in Control results from the Grantee’s</w:t>
      </w:r>
    </w:p>
    <w:p>
      <w:pPr>
        <w:sectPr>
          <w:pgSz w:w="11900" w:h="16838" w:orient="portrait"/>
          <w:cols w:equalWidth="0" w:num="1">
            <w:col w:w="11240"/>
          </w:cols>
          <w:pgMar w:left="320" w:top="1417" w:right="33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color w:val="auto"/>
        </w:rPr>
        <w:t>beneficial ownership (within the meaning of Rule 13d-3 under the Exchange Act) of Shares or Trust Voting Securities.</w:t>
      </w:r>
    </w:p>
    <w:p>
      <w:pPr>
        <w:spacing w:after="0" w:line="2" w:lineRule="exact"/>
        <w:rPr>
          <w:sz w:val="20"/>
          <w:szCs w:val="20"/>
          <w:color w:val="auto"/>
        </w:rPr>
      </w:pPr>
    </w:p>
    <w:p>
      <w:pPr>
        <w:jc w:val="both"/>
        <w:ind w:firstLine="656"/>
        <w:spacing w:after="0" w:line="250" w:lineRule="auto"/>
        <w:tabs>
          <w:tab w:leader="none" w:pos="846" w:val="left"/>
        </w:tabs>
        <w:numPr>
          <w:ilvl w:val="1"/>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Option Upon 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all or any part of the Option was not exercisable as of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Service (after giving effect to Section 3, above), the unvested and unexercisable portion of the Option shall expire at the date of such termination of Service. Notwithstanding anything to the contrary, if the Grantee’s termination of Service is for Cause (as defined in the Plan and any employment or other agreement with the Grantee as of the Grant Date) or the Grantee voluntarily terminates from Service at a time when grounds for the Grantee’s termination for Cause exists, the right of the Grantee to exercise the Option shall terminate at the date of termination of Service. Subject to the preceding, the Grantee or the Grantee’s beneficiary, as applicable, shall have the applicable period of time specified below in which to exercise the Option after the Grantee’s termination of Service; provided, however, in no event may the Option be exercised under any circumstances later than the expiration date described in Section 2.</w:t>
      </w:r>
    </w:p>
    <w:p>
      <w:pPr>
        <w:spacing w:after="0" w:line="3" w:lineRule="exact"/>
        <w:rPr>
          <w:rFonts w:ascii="Arial" w:cs="Arial" w:eastAsia="Arial" w:hAnsi="Arial"/>
          <w:sz w:val="18"/>
          <w:szCs w:val="18"/>
          <w:b w:val="1"/>
          <w:bCs w:val="1"/>
          <w:color w:val="auto"/>
        </w:rPr>
      </w:pPr>
    </w:p>
    <w:p>
      <w:pPr>
        <w:jc w:val="both"/>
        <w:ind w:firstLine="8"/>
        <w:spacing w:after="0" w:line="250" w:lineRule="auto"/>
        <w:tabs>
          <w:tab w:leader="none" w:pos="294"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Termination of Service. </w:t>
      </w:r>
      <w:r>
        <w:rPr>
          <w:rFonts w:ascii="Arial" w:cs="Arial" w:eastAsia="Arial" w:hAnsi="Arial"/>
          <w:sz w:val="18"/>
          <w:szCs w:val="18"/>
          <w:color w:val="auto"/>
        </w:rPr>
        <w:t>Upon the Grantee’s termination of Service for any reason other than by reason of death,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(as defined below) or Involuntary Termination within the one year period commencing with a Change in Control, the Grantee shall have a period of three (3) months [one year for Executive Officers] after such termination of Service to exercise all or any part of the Option to the extent it was exercisable at the date of termination of Service. An exercise of all or any part of the Option more than three (3) months after termination of Service as an employee may cause any portion of the Option being exercised which was designated as an Incentive Stock Option to fail to qualify as such, in which event it shall be deemed a Non-Qualified Share Option.</w:t>
      </w:r>
    </w:p>
    <w:p>
      <w:pPr>
        <w:spacing w:after="0" w:line="2" w:lineRule="exact"/>
        <w:rPr>
          <w:rFonts w:ascii="Arial" w:cs="Arial" w:eastAsia="Arial" w:hAnsi="Arial"/>
          <w:sz w:val="18"/>
          <w:szCs w:val="18"/>
          <w:b w:val="1"/>
          <w:bCs w:val="1"/>
          <w:color w:val="auto"/>
        </w:rPr>
      </w:pPr>
    </w:p>
    <w:p>
      <w:pPr>
        <w:jc w:val="both"/>
        <w:ind w:firstLine="8"/>
        <w:spacing w:after="0" w:line="250" w:lineRule="auto"/>
        <w:tabs>
          <w:tab w:leader="none" w:pos="291"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Service on Retirement</w:t>
      </w:r>
      <w:r>
        <w:rPr>
          <w:rFonts w:ascii="Arial" w:cs="Arial" w:eastAsia="Arial" w:hAnsi="Arial"/>
          <w:sz w:val="18"/>
          <w:szCs w:val="18"/>
          <w:color w:val="auto"/>
        </w:rPr>
        <w:t>. Upon the Grantee’s termination of Service by reason of retirement on or after the Grantee turns</w:t>
      </w:r>
      <w:r>
        <w:rPr>
          <w:rFonts w:ascii="Arial" w:cs="Arial" w:eastAsia="Arial" w:hAnsi="Arial"/>
          <w:sz w:val="18"/>
          <w:szCs w:val="18"/>
          <w:b w:val="1"/>
          <w:bCs w:val="1"/>
          <w:color w:val="auto"/>
        </w:rPr>
        <w:t xml:space="preserve"> </w:t>
      </w:r>
      <w:r>
        <w:rPr>
          <w:rFonts w:ascii="Arial" w:cs="Arial" w:eastAsia="Arial" w:hAnsi="Arial"/>
          <w:sz w:val="18"/>
          <w:szCs w:val="18"/>
          <w:color w:val="auto"/>
        </w:rPr>
        <w:t>age 65 (“Retirement”), the Grantee shall have a period of one (1) year after such termination of Service to exercise all or any part of the Option to the extent that it was exercisable upon such termination of Service. An exercise of all or any part of the Option more than three (3) months after termination of Service as an employee may cause any portion of the Option being exercised which was designated as an Incentive Stock Option to fail to qualify as such, in which event it shall be deemed a Non-Qualified Share Option.</w:t>
      </w:r>
    </w:p>
    <w:p>
      <w:pPr>
        <w:spacing w:after="0" w:line="1" w:lineRule="exact"/>
        <w:rPr>
          <w:rFonts w:ascii="Arial" w:cs="Arial" w:eastAsia="Arial" w:hAnsi="Arial"/>
          <w:sz w:val="18"/>
          <w:szCs w:val="18"/>
          <w:b w:val="1"/>
          <w:bCs w:val="1"/>
          <w:color w:val="auto"/>
        </w:rPr>
      </w:pPr>
    </w:p>
    <w:p>
      <w:pPr>
        <w:jc w:val="both"/>
        <w:ind w:firstLine="8"/>
        <w:spacing w:after="0" w:line="256" w:lineRule="auto"/>
        <w:tabs>
          <w:tab w:leader="none" w:pos="269"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on Disability. </w:t>
      </w:r>
      <w:r>
        <w:rPr>
          <w:rFonts w:ascii="Arial" w:cs="Arial" w:eastAsia="Arial" w:hAnsi="Arial"/>
          <w:sz w:val="18"/>
          <w:szCs w:val="18"/>
          <w:color w:val="auto"/>
        </w:rPr>
        <w:t>Upon the Grantee’s termination of Service by reason of Disability, the Grantee shall have a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one (1) year after such termination of Service to exercise all or any part of the Option to the extent that it was exercisable upon such termination of Service including as a result of Section 3 above. Unless the Grantee’s Disability qualifies as a permanent and total disability within the meaning of Section 22(e)(3) of the Code, any exercise of all or any part of the Option more than three (3) months after termination of Service as an employee by reason of Disability may cause any portion of the Option being exercised which was designated as an Incentive Stock Option to fail to qualify as such, in which event it shall be deemed a Non-Qualified Share Option.</w:t>
      </w:r>
    </w:p>
    <w:p>
      <w:pPr>
        <w:spacing w:after="0" w:line="192" w:lineRule="exact"/>
        <w:rPr>
          <w:rFonts w:ascii="Arial" w:cs="Arial" w:eastAsia="Arial" w:hAnsi="Arial"/>
          <w:sz w:val="18"/>
          <w:szCs w:val="18"/>
          <w:b w:val="1"/>
          <w:bCs w:val="1"/>
          <w:color w:val="auto"/>
        </w:rPr>
      </w:pPr>
    </w:p>
    <w:p>
      <w:pPr>
        <w:ind w:firstLine="8"/>
        <w:spacing w:after="0" w:line="236" w:lineRule="auto"/>
        <w:tabs>
          <w:tab w:leader="none" w:pos="291"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Termination of Service on Death. </w:t>
      </w:r>
      <w:r>
        <w:rPr>
          <w:rFonts w:ascii="Arial" w:cs="Arial" w:eastAsia="Arial" w:hAnsi="Arial"/>
          <w:sz w:val="20"/>
          <w:szCs w:val="20"/>
          <w:color w:val="auto"/>
        </w:rPr>
        <w:t>In the event of the death of the Grantee, the right of the Grantee’s beneficiary to exercise the Option</w:t>
      </w:r>
      <w:r>
        <w:rPr>
          <w:rFonts w:ascii="Arial" w:cs="Arial" w:eastAsia="Arial" w:hAnsi="Arial"/>
          <w:sz w:val="20"/>
          <w:szCs w:val="20"/>
          <w:b w:val="1"/>
          <w:bCs w:val="1"/>
          <w:color w:val="auto"/>
        </w:rPr>
        <w:t xml:space="preserve"> </w:t>
      </w:r>
      <w:r>
        <w:rPr>
          <w:rFonts w:ascii="Arial" w:cs="Arial" w:eastAsia="Arial" w:hAnsi="Arial"/>
          <w:sz w:val="20"/>
          <w:szCs w:val="20"/>
          <w:color w:val="auto"/>
        </w:rPr>
        <w:t>shall expire as follows:</w:t>
      </w:r>
    </w:p>
    <w:p>
      <w:pPr>
        <w:spacing w:after="0" w:line="1" w:lineRule="exact"/>
        <w:rPr>
          <w:rFonts w:ascii="Arial" w:cs="Arial" w:eastAsia="Arial" w:hAnsi="Arial"/>
          <w:sz w:val="20"/>
          <w:szCs w:val="20"/>
          <w:b w:val="1"/>
          <w:bCs w:val="1"/>
          <w:color w:val="auto"/>
        </w:rPr>
      </w:pPr>
    </w:p>
    <w:p>
      <w:pPr>
        <w:jc w:val="both"/>
        <w:ind w:firstLine="8"/>
        <w:spacing w:after="0" w:line="225" w:lineRule="auto"/>
        <w:tabs>
          <w:tab w:leader="none" w:pos="250" w:val="left"/>
        </w:tabs>
        <w:numPr>
          <w:ilvl w:val="0"/>
          <w:numId w:val="101"/>
        </w:numPr>
        <w:rPr>
          <w:rFonts w:ascii="Arial" w:cs="Arial" w:eastAsia="Arial" w:hAnsi="Arial"/>
          <w:sz w:val="20"/>
          <w:szCs w:val="20"/>
          <w:b w:val="1"/>
          <w:bCs w:val="1"/>
          <w:color w:val="auto"/>
        </w:rPr>
      </w:pPr>
      <w:r>
        <w:rPr>
          <w:rFonts w:ascii="Arial" w:cs="Arial" w:eastAsia="Arial" w:hAnsi="Arial"/>
          <w:sz w:val="20"/>
          <w:szCs w:val="20"/>
          <w:color w:val="auto"/>
        </w:rPr>
        <w:t>if the Grantee’s death occurs when the Grantee is employed by the Trust, the Grantee’s beneficiary shall have a period of two (2) years after the date of the Grantee’s death to exercise all or any part of the Option to the extent that it was exercisable upon such termination of Service including as a result of Section 3 above;</w:t>
      </w:r>
    </w:p>
    <w:p>
      <w:pPr>
        <w:spacing w:after="0" w:line="1" w:lineRule="exact"/>
        <w:rPr>
          <w:rFonts w:ascii="Arial" w:cs="Arial" w:eastAsia="Arial" w:hAnsi="Arial"/>
          <w:sz w:val="20"/>
          <w:szCs w:val="20"/>
          <w:b w:val="1"/>
          <w:bCs w:val="1"/>
          <w:color w:val="auto"/>
        </w:rPr>
      </w:pPr>
    </w:p>
    <w:p>
      <w:pPr>
        <w:jc w:val="both"/>
        <w:ind w:firstLine="8"/>
        <w:spacing w:after="0" w:line="258" w:lineRule="auto"/>
        <w:tabs>
          <w:tab w:leader="none" w:pos="291"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if the Grantee’s death occurs after the Grantee’s termination of Service by reason of Disability or Retirement but before the expiration of one (1) year after the Grantee’s termination of Service by reason of Disability or Retirement, the one (1) year period provided for in Section 4(b) and (c) shall be extended for an additional one (1) year period such that the Grantee’s beneficiary shall have a period of two (2) years from the date of the Grantee’s termination of Service by reason of Disability or Retirement to exercise all or any part of the Option to the extent that it was exercisable upon such termination of Service including as a result of Section 3 above;</w:t>
      </w:r>
    </w:p>
    <w:p>
      <w:pPr>
        <w:sectPr>
          <w:pgSz w:w="11900" w:h="16838" w:orient="portrait"/>
          <w:cols w:equalWidth="0" w:num="1">
            <w:col w:w="11240"/>
          </w:cols>
          <w:pgMar w:left="320" w:top="1419" w:right="339" w:bottom="1440" w:gutter="0" w:footer="0" w:header="0"/>
        </w:sectPr>
      </w:pPr>
    </w:p>
    <w:bookmarkStart w:id="119" w:name="page120"/>
    <w:bookmarkEnd w:id="119"/>
    <w:p>
      <w:pPr>
        <w:ind w:left="-8" w:right="20" w:firstLine="8"/>
        <w:spacing w:after="0" w:line="233" w:lineRule="auto"/>
        <w:tabs>
          <w:tab w:leader="none" w:pos="351" w:val="left"/>
        </w:tabs>
        <w:numPr>
          <w:ilvl w:val="0"/>
          <w:numId w:val="103"/>
        </w:numPr>
        <w:rPr>
          <w:rFonts w:ascii="Arial" w:cs="Arial" w:eastAsia="Arial" w:hAnsi="Arial"/>
          <w:sz w:val="20"/>
          <w:szCs w:val="20"/>
          <w:b w:val="1"/>
          <w:bCs w:val="1"/>
          <w:color w:val="auto"/>
        </w:rPr>
      </w:pPr>
      <w:r>
        <w:rPr>
          <w:rFonts w:ascii="Arial" w:cs="Arial" w:eastAsia="Arial" w:hAnsi="Arial"/>
          <w:sz w:val="20"/>
          <w:szCs w:val="20"/>
          <w:color w:val="auto"/>
        </w:rPr>
        <w:t>if the Grantee’s death occurs following any other termination of Service, the Grantee’s beneficiary shall have the remaining period of time specified in Section 4(a), if any, to exercise all or any part of the Option.</w:t>
      </w:r>
    </w:p>
    <w:p>
      <w:pPr>
        <w:spacing w:after="0" w:line="1" w:lineRule="exact"/>
        <w:rPr>
          <w:rFonts w:ascii="Arial" w:cs="Arial" w:eastAsia="Arial" w:hAnsi="Arial"/>
          <w:sz w:val="20"/>
          <w:szCs w:val="20"/>
          <w:b w:val="1"/>
          <w:bCs w:val="1"/>
          <w:color w:val="auto"/>
        </w:rPr>
      </w:pPr>
    </w:p>
    <w:p>
      <w:pPr>
        <w:jc w:val="both"/>
        <w:ind w:left="-8" w:firstLine="8"/>
        <w:spacing w:after="0" w:line="237" w:lineRule="auto"/>
        <w:tabs>
          <w:tab w:leader="none" w:pos="274"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Change In Control. </w:t>
      </w:r>
      <w:r>
        <w:rPr>
          <w:rFonts w:ascii="Arial" w:cs="Arial" w:eastAsia="Arial" w:hAnsi="Arial"/>
          <w:sz w:val="19"/>
          <w:szCs w:val="19"/>
          <w:color w:val="auto"/>
        </w:rPr>
        <w:t>If the Grantee incurs an Involuntary Termination within the one (1) year period commencing with a Change in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the Grantee shall have a period of one (1) year from the date of such Involuntary Termination to exercise all or any part of the Option to the extent that it was exercisable upon such Involuntary Termination including as a result of Section 3 above. Any exercise of all or any part of the Option after an Involuntary Termination following a Change in Control more than three (3) months after termination of Service as an employee may cause any portion of the Option being exercised which was designated as an Incentive Stock Option to fail to qualify as such in which event it shall be deemed a Non-Qualified Share Option.</w:t>
      </w:r>
    </w:p>
    <w:p>
      <w:pPr>
        <w:spacing w:after="0" w:line="1" w:lineRule="exact"/>
        <w:rPr>
          <w:rFonts w:ascii="Arial" w:cs="Arial" w:eastAsia="Arial" w:hAnsi="Arial"/>
          <w:sz w:val="19"/>
          <w:szCs w:val="19"/>
          <w:b w:val="1"/>
          <w:bCs w:val="1"/>
          <w:color w:val="auto"/>
        </w:rPr>
      </w:pPr>
    </w:p>
    <w:p>
      <w:pPr>
        <w:ind w:left="852" w:hanging="204"/>
        <w:spacing w:after="0" w:line="225" w:lineRule="auto"/>
        <w:tabs>
          <w:tab w:leader="none" w:pos="852" w:val="left"/>
        </w:tabs>
        <w:numPr>
          <w:ilvl w:val="1"/>
          <w:numId w:val="10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Exercise Procedures</w:t>
      </w:r>
      <w:r>
        <w:rPr>
          <w:rFonts w:ascii="Arial" w:cs="Arial" w:eastAsia="Arial" w:hAnsi="Arial"/>
          <w:sz w:val="20"/>
          <w:szCs w:val="20"/>
          <w:b w:val="1"/>
          <w:bCs w:val="1"/>
          <w:color w:val="auto"/>
        </w:rPr>
        <w:t>.</w:t>
      </w:r>
    </w:p>
    <w:p>
      <w:pPr>
        <w:jc w:val="both"/>
        <w:ind w:left="-8" w:firstLine="8"/>
        <w:spacing w:after="0" w:line="250" w:lineRule="auto"/>
        <w:tabs>
          <w:tab w:leader="none" w:pos="299"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Exercise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vested, the Option shall be exercisable by providing written notice to the Trust and making all</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arrangements to pay the exercise price and provide for any applicable tax withholding as provided in this Section 5. Such written notice shall set forth such information as the Trust may reasonably require from time to time which may include, without limitation: (i) the number of Shares being purchased and whether those Shares are issuable as a result of the exercise of the Incentive Stock Option portion of the Option or the Non-Qualified Share Option portion of the Option; (ii) the total exercise price for the Shares being purchased; and (iii) the exact name(s) as it should appear to whom the Shares are to be issued and address to which the Shares should be sent. For the exercise of the Option to be valid, such written notice must be provided to the Secretary of the Trust and additional arrangements to pay the exercise price must be completed on or before 5:00 P.M. local time at the principal office of the Trust on the expiration date of the Option. If the written notice is not provided to the Secretary of the Trust or the arrangements to pay the exercise price have not be completed on or before such date and time, the Option will expire and be of no further force of effect.</w:t>
      </w:r>
    </w:p>
    <w:p>
      <w:pPr>
        <w:spacing w:after="0" w:line="3" w:lineRule="exact"/>
        <w:rPr>
          <w:rFonts w:ascii="Arial" w:cs="Arial" w:eastAsia="Arial" w:hAnsi="Arial"/>
          <w:sz w:val="18"/>
          <w:szCs w:val="18"/>
          <w:b w:val="1"/>
          <w:bCs w:val="1"/>
          <w:color w:val="auto"/>
        </w:rPr>
      </w:pPr>
    </w:p>
    <w:p>
      <w:pPr>
        <w:jc w:val="both"/>
        <w:ind w:left="-8" w:firstLine="8"/>
        <w:spacing w:after="0" w:line="250" w:lineRule="auto"/>
        <w:tabs>
          <w:tab w:leader="none" w:pos="283"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of Exercise Price. </w:t>
      </w:r>
      <w:r>
        <w:rPr>
          <w:rFonts w:ascii="Arial" w:cs="Arial" w:eastAsia="Arial" w:hAnsi="Arial"/>
          <w:sz w:val="18"/>
          <w:szCs w:val="18"/>
          <w:color w:val="auto"/>
        </w:rPr>
        <w:t>The exercise price of Shares purchased upon exercise of the Option shall be paid in full (a) in cash, (b) by</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to the Trust of Shares which shall have been held by the Grantee for at least six months having, on the date of exercise, a fair market value equal to the aggregate exercise price, (c) in any combination of cash and Shares, or (d) cash equivalents acceptable to the Trust or by payment in accordance with a broker-assisted cashless exercise program under which, if so instructed by the Grantee, Shares may be issued directly to the Grantee’s broker or dealer against receipt of the exercise price in cash from the broker or dealer.</w:t>
      </w:r>
    </w:p>
    <w:p>
      <w:pPr>
        <w:spacing w:after="0" w:line="1" w:lineRule="exact"/>
        <w:rPr>
          <w:rFonts w:ascii="Arial" w:cs="Arial" w:eastAsia="Arial" w:hAnsi="Arial"/>
          <w:sz w:val="18"/>
          <w:szCs w:val="18"/>
          <w:b w:val="1"/>
          <w:bCs w:val="1"/>
          <w:color w:val="auto"/>
        </w:rPr>
      </w:pPr>
    </w:p>
    <w:p>
      <w:pPr>
        <w:jc w:val="both"/>
        <w:ind w:left="-8" w:firstLine="8"/>
        <w:spacing w:after="0" w:line="237" w:lineRule="auto"/>
        <w:tabs>
          <w:tab w:leader="none" w:pos="261"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Delivery of Certificate; Registration of Shares</w:t>
      </w:r>
      <w:r>
        <w:rPr>
          <w:rFonts w:ascii="Arial" w:cs="Arial" w:eastAsia="Arial" w:hAnsi="Arial"/>
          <w:sz w:val="19"/>
          <w:szCs w:val="19"/>
          <w:color w:val="auto"/>
        </w:rPr>
        <w:t>. Subject to Section 9 hereof, either a book entry registration of the purchased Shares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certificates for the purchased Shares will be issued and delivered to the Grantee as soon as practicable after the receipt of payment of the exercise price in accordance with Section 5(b) above; </w:t>
      </w:r>
      <w:r>
        <w:rPr>
          <w:rFonts w:ascii="Arial" w:cs="Arial" w:eastAsia="Arial" w:hAnsi="Arial"/>
          <w:sz w:val="19"/>
          <w:szCs w:val="19"/>
          <w:i w:val="1"/>
          <w:iCs w:val="1"/>
          <w:color w:val="auto"/>
        </w:rPr>
        <w:t>provided, however</w:t>
      </w:r>
      <w:r>
        <w:rPr>
          <w:rFonts w:ascii="Arial" w:cs="Arial" w:eastAsia="Arial" w:hAnsi="Arial"/>
          <w:sz w:val="19"/>
          <w:szCs w:val="19"/>
          <w:color w:val="auto"/>
        </w:rPr>
        <w:t>, that delivery of any such Shares shall be deemed effected for all purposes when a stock transfer agent of the Trust shall have placed such Shares into a book-entry account or deposited such certificates in the United States mail, addressed to Grantee, at the address for the Grantee included in the Grantee’s personnel file or to such other address as Grantee may from time to time designate in a written notice to the Trust. The Grantee shall not be deemed for any purpose to be a shareholder of the Trust in respect of any Shares as to which the Option shall not have been exercised, as herein provided, until such Shares have been issued to Grantee by the Trust hereunder.</w:t>
      </w:r>
    </w:p>
    <w:p>
      <w:pPr>
        <w:spacing w:after="0" w:line="1" w:lineRule="exact"/>
        <w:rPr>
          <w:rFonts w:ascii="Arial" w:cs="Arial" w:eastAsia="Arial" w:hAnsi="Arial"/>
          <w:sz w:val="19"/>
          <w:szCs w:val="19"/>
          <w:b w:val="1"/>
          <w:bCs w:val="1"/>
          <w:color w:val="auto"/>
        </w:rPr>
      </w:pPr>
    </w:p>
    <w:p>
      <w:pPr>
        <w:jc w:val="both"/>
        <w:ind w:left="-8" w:firstLine="656"/>
        <w:spacing w:after="0"/>
        <w:tabs>
          <w:tab w:leader="none" w:pos="838" w:val="left"/>
        </w:tabs>
        <w:numPr>
          <w:ilvl w:val="1"/>
          <w:numId w:val="10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Plan Provisions Control Option Terms; Modifications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is granted pursuant and subject to the terms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Plan, the provisions of which are incorporated herein by reference. In the event any provision of this Agreement shall conflict with any of the terms in the Plan as constituted on the Grant Date, the terms of the Plan as constituted on the Grant Date shall control. The Trust may modify the Option after the Grant Date; provided, however, that no such modification may be made which alters or impairs any rights or obligations of the Grantee without the Grantee’s express written agreement. Any such modification shall not be inconsistent with the terms of the Plan. For purposes of this Agreement, a modification which causes an Incentive Stock Option to be a Non-Qualified Share Option shall not be treated as a modification adverse to the Grantee. Notwithstanding the</w:t>
      </w:r>
    </w:p>
    <w:p>
      <w:pPr>
        <w:sectPr>
          <w:pgSz w:w="11900" w:h="16838" w:orient="portrait"/>
          <w:cols w:equalWidth="0" w:num="1">
            <w:col w:w="11232"/>
          </w:cols>
          <w:pgMar w:left="328" w:top="1419" w:right="339" w:bottom="1440" w:gutter="0" w:footer="0" w:header="0"/>
        </w:sectPr>
      </w:pPr>
    </w:p>
    <w:bookmarkStart w:id="120" w:name="page121"/>
    <w:bookmarkEnd w:id="120"/>
    <w:p>
      <w:pPr>
        <w:jc w:val="both"/>
        <w:spacing w:after="0" w:line="230" w:lineRule="auto"/>
        <w:rPr>
          <w:sz w:val="20"/>
          <w:szCs w:val="20"/>
          <w:color w:val="auto"/>
        </w:rPr>
      </w:pPr>
      <w:r>
        <w:rPr>
          <w:rFonts w:ascii="Arial" w:cs="Arial" w:eastAsia="Arial" w:hAnsi="Arial"/>
          <w:sz w:val="20"/>
          <w:szCs w:val="20"/>
          <w:color w:val="auto"/>
        </w:rPr>
        <w:t>foregoing, the Board or Administrator may take such actions as it deems appropriate to ensure that the Plan and any Awards may comply with any tax, securities or other applicable law. Nothing herein shall restrict the Administrator’s ability to exercise its discretionary authority as provided in the Plan.</w:t>
      </w:r>
    </w:p>
    <w:p>
      <w:pPr>
        <w:spacing w:after="0" w:line="3" w:lineRule="exact"/>
        <w:rPr>
          <w:sz w:val="20"/>
          <w:szCs w:val="20"/>
          <w:color w:val="auto"/>
        </w:rPr>
      </w:pPr>
    </w:p>
    <w:p>
      <w:pPr>
        <w:jc w:val="both"/>
        <w:ind w:firstLine="656"/>
        <w:spacing w:after="0" w:line="250" w:lineRule="auto"/>
        <w:tabs>
          <w:tab w:leader="none" w:pos="846"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in this Section 7, the Option may not be assigned or transferred other than by will or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descent and distribution. The Grantee may transfer, in a not for value transfer, the part of this Option that is a Non-Qualified Share Option to any Family Member (as defined in the Plan). For the purpose of this Section 7, a "not for value" transfer is a transfer which is: (a) a gift; (b) a transfer under a domestic relations order in settlement of marital property rights; or (c) a transfer to an entity in which more than fifty percent of the voting interests are owned by Family Members (or the Grantee) in exchange for an interest in that entity. Following a transfer under this Section 7, the Option shall continue to be subject to the same terms and conditions as were applicable immediately prior to transfer. Subsequent transfers of transferred Options are prohibited except to Family Members of the original Grantee in accordance with this Section 7 or by will or the laws of descent and distribution. The Grantee’s beneficiary may exercise the Grantee’s rights hereunder only to the extent they were exercisable under this Agreement at the date of the death of the Grantee and are otherwise currently exercisable.</w:t>
      </w:r>
    </w:p>
    <w:p>
      <w:pPr>
        <w:spacing w:after="0" w:line="3" w:lineRule="exact"/>
        <w:rPr>
          <w:rFonts w:ascii="Arial" w:cs="Arial" w:eastAsia="Arial" w:hAnsi="Arial"/>
          <w:sz w:val="18"/>
          <w:szCs w:val="18"/>
          <w:b w:val="1"/>
          <w:bCs w:val="1"/>
          <w:color w:val="auto"/>
        </w:rPr>
      </w:pPr>
    </w:p>
    <w:p>
      <w:pPr>
        <w:jc w:val="both"/>
        <w:ind w:firstLine="656"/>
        <w:spacing w:after="0" w:line="237" w:lineRule="auto"/>
        <w:tabs>
          <w:tab w:leader="none" w:pos="846" w:val="left"/>
        </w:tabs>
        <w:numPr>
          <w:ilvl w:val="0"/>
          <w:numId w:val="10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b w:val="1"/>
          <w:bCs w:val="1"/>
          <w:color w:val="auto"/>
        </w:rPr>
        <w:t xml:space="preserve">. </w:t>
      </w:r>
      <w:r>
        <w:rPr>
          <w:rFonts w:ascii="Arial" w:cs="Arial" w:eastAsia="Arial" w:hAnsi="Arial"/>
          <w:sz w:val="19"/>
          <w:szCs w:val="19"/>
          <w:color w:val="auto"/>
        </w:rPr>
        <w:t>The Trust shall be entitled to withhold (or secure payment from the Grantee in lieu of withholding) the amount of</w:t>
      </w:r>
      <w:r>
        <w:rPr>
          <w:rFonts w:ascii="Arial" w:cs="Arial" w:eastAsia="Arial" w:hAnsi="Arial"/>
          <w:sz w:val="19"/>
          <w:szCs w:val="19"/>
          <w:b w:val="1"/>
          <w:bCs w:val="1"/>
          <w:color w:val="auto"/>
        </w:rPr>
        <w:t xml:space="preserve"> </w:t>
      </w:r>
      <w:r>
        <w:rPr>
          <w:rFonts w:ascii="Arial" w:cs="Arial" w:eastAsia="Arial" w:hAnsi="Arial"/>
          <w:sz w:val="19"/>
          <w:szCs w:val="19"/>
          <w:color w:val="auto"/>
        </w:rPr>
        <w:t>any withholding or other tax required by law to be withheld or paid by the Trust with respect to any Shares issuable under this Agreement, and the Trust may defer issuance of Shares upon the exercise of the Option unless the Trust is indemnified to its satisfaction against any liability for any such tax. The amount of such withholding or tax payment shall be determined by the Trust or its delegate and shall be payable by the Grantee at such time as the Trust determines. The Grantee may satisfy his or her minimum required tax withholding obligation by the payment of cash to the Trust and/or, if so approved by the Trust, by the withholding from the Option, at the appropriate time, of a number of Shares sufficient, based upon the Fair Market Value of such Shares, to satisfy such tax withholding requirements. The Trust shall be authorized, in its sole discretion, to establish such rules and procedures relating to any such withholding methods as it deems necessary or appropriate, including, without limitation, rules and procedures relating to elections to have Shares withheld upon exercise of the Option to meet such withholding obligations.</w:t>
      </w:r>
    </w:p>
    <w:p>
      <w:pPr>
        <w:spacing w:after="0" w:line="2" w:lineRule="exact"/>
        <w:rPr>
          <w:rFonts w:ascii="Arial" w:cs="Arial" w:eastAsia="Arial" w:hAnsi="Arial"/>
          <w:sz w:val="19"/>
          <w:szCs w:val="19"/>
          <w:b w:val="1"/>
          <w:bCs w:val="1"/>
          <w:color w:val="auto"/>
        </w:rPr>
      </w:pPr>
    </w:p>
    <w:p>
      <w:pPr>
        <w:jc w:val="both"/>
        <w:ind w:firstLine="656"/>
        <w:spacing w:after="0" w:line="250" w:lineRule="auto"/>
        <w:tabs>
          <w:tab w:leader="none" w:pos="846"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Exercise in Violation of Law</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of the provisions of this Agreement, the Grantee hereby agrees that he or</w:t>
      </w:r>
      <w:r>
        <w:rPr>
          <w:rFonts w:ascii="Arial" w:cs="Arial" w:eastAsia="Arial" w:hAnsi="Arial"/>
          <w:sz w:val="18"/>
          <w:szCs w:val="18"/>
          <w:b w:val="1"/>
          <w:bCs w:val="1"/>
          <w:color w:val="auto"/>
        </w:rPr>
        <w:t xml:space="preserve"> </w:t>
      </w:r>
      <w:r>
        <w:rPr>
          <w:rFonts w:ascii="Arial" w:cs="Arial" w:eastAsia="Arial" w:hAnsi="Arial"/>
          <w:sz w:val="18"/>
          <w:szCs w:val="18"/>
          <w:color w:val="auto"/>
        </w:rPr>
        <w:t>she will not exercise the Option granted hereby, and that the Trust will not be obligated to issue any Shares to the Grantee hereunder, if the exercise thereof or the issuance of such Shares shall constitute a violation by the Grantee or the Trust of any provision of any law or regulation of any governmental authority. Any determination in this connection by the Committee shall be final, binding and conclusive.</w:t>
      </w:r>
    </w:p>
    <w:p>
      <w:pPr>
        <w:spacing w:after="0" w:line="1" w:lineRule="exact"/>
        <w:rPr>
          <w:rFonts w:ascii="Arial" w:cs="Arial" w:eastAsia="Arial" w:hAnsi="Arial"/>
          <w:sz w:val="18"/>
          <w:szCs w:val="18"/>
          <w:b w:val="1"/>
          <w:bCs w:val="1"/>
          <w:color w:val="auto"/>
        </w:rPr>
      </w:pPr>
    </w:p>
    <w:p>
      <w:pPr>
        <w:jc w:val="both"/>
        <w:ind w:firstLine="656"/>
        <w:spacing w:after="0" w:line="238" w:lineRule="auto"/>
        <w:tabs>
          <w:tab w:leader="none" w:pos="958" w:val="left"/>
        </w:tabs>
        <w:numPr>
          <w:ilvl w:val="0"/>
          <w:numId w:val="10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Taxes and Code Section 409A</w:t>
      </w:r>
      <w:r>
        <w:rPr>
          <w:rFonts w:ascii="Arial" w:cs="Arial" w:eastAsia="Arial" w:hAnsi="Arial"/>
          <w:sz w:val="19"/>
          <w:szCs w:val="19"/>
          <w:color w:val="auto"/>
        </w:rPr>
        <w:t>. Notwithstanding anything herein to the contrary, the Grantee shall be solely responsible and</w:t>
      </w:r>
      <w:r>
        <w:rPr>
          <w:rFonts w:ascii="Arial" w:cs="Arial" w:eastAsia="Arial" w:hAnsi="Arial"/>
          <w:sz w:val="19"/>
          <w:szCs w:val="19"/>
          <w:b w:val="1"/>
          <w:bCs w:val="1"/>
          <w:color w:val="auto"/>
        </w:rPr>
        <w:t xml:space="preserve"> </w:t>
      </w:r>
      <w:r>
        <w:rPr>
          <w:rFonts w:ascii="Arial" w:cs="Arial" w:eastAsia="Arial" w:hAnsi="Arial"/>
          <w:sz w:val="19"/>
          <w:szCs w:val="19"/>
          <w:color w:val="auto"/>
        </w:rPr>
        <w:t>liable for the satisfaction of all taxes and penalties that may arise in connection with this Agreement (including any taxes arising under Section 409A of the Code). This Agreement is intended to be exempt from Code Section 409A, and the Trust shall have complete discretion to interpret and construe 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Grantee in order to accurately reflect its correct interpretation and operation to maintain an exemption from or compliance with Code Section 409A. Notwithstanding any provision of the Plan or this Agreement (including the foregoing), neither the Trust nor the Administrator shall have any liability to any person in the event Code Section</w:t>
      </w:r>
    </w:p>
    <w:p>
      <w:pPr>
        <w:sectPr>
          <w:pgSz w:w="11900" w:h="16838" w:orient="portrait"/>
          <w:cols w:equalWidth="0" w:num="1">
            <w:col w:w="11240"/>
          </w:cols>
          <w:pgMar w:left="320" w:top="1419" w:right="339" w:bottom="1440" w:gutter="0" w:footer="0" w:header="0"/>
        </w:sectPr>
      </w:pPr>
    </w:p>
    <w:bookmarkStart w:id="121" w:name="page122"/>
    <w:bookmarkEnd w:id="121"/>
    <w:p>
      <w:pPr>
        <w:spacing w:after="0" w:line="246" w:lineRule="auto"/>
        <w:rPr>
          <w:sz w:val="20"/>
          <w:szCs w:val="20"/>
          <w:color w:val="auto"/>
        </w:rPr>
      </w:pPr>
      <w:r>
        <w:rPr>
          <w:rFonts w:ascii="Arial" w:cs="Arial" w:eastAsia="Arial" w:hAnsi="Arial"/>
          <w:sz w:val="20"/>
          <w:szCs w:val="20"/>
          <w:color w:val="auto"/>
        </w:rPr>
        <w:t>409A applies to this Option in a manner that results in adverse tax consequences for the Grantee or any of his or her beneficiaries or transferees.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Trust has executed this Agreement as of the day and year first above written.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REALTY INVESTMENT TRUST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___________________________________</w:t>
      </w:r>
    </w:p>
    <w:p>
      <w:pPr>
        <w:spacing w:after="0" w:line="227" w:lineRule="auto"/>
        <w:rPr>
          <w:sz w:val="20"/>
          <w:szCs w:val="20"/>
          <w:color w:val="auto"/>
        </w:rPr>
      </w:pPr>
      <w:r>
        <w:rPr>
          <w:rFonts w:ascii="Arial" w:cs="Arial" w:eastAsia="Arial" w:hAnsi="Arial"/>
          <w:sz w:val="20"/>
          <w:szCs w:val="20"/>
          <w:color w:val="auto"/>
        </w:rPr>
        <w:t>Dawn M. Becker</w:t>
      </w:r>
    </w:p>
    <w:p>
      <w:pPr>
        <w:ind w:left="3900"/>
        <w:spacing w:after="0" w:line="225" w:lineRule="auto"/>
        <w:rPr>
          <w:sz w:val="20"/>
          <w:szCs w:val="20"/>
          <w:color w:val="auto"/>
        </w:rPr>
      </w:pPr>
      <w:r>
        <w:rPr>
          <w:rFonts w:ascii="Arial" w:cs="Arial" w:eastAsia="Arial" w:hAnsi="Arial"/>
          <w:sz w:val="20"/>
          <w:szCs w:val="20"/>
          <w:color w:val="auto"/>
        </w:rPr>
        <w:t>Executive Vice President</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General Counsel and Secretary</w:t>
      </w:r>
    </w:p>
    <w:p>
      <w:pPr>
        <w:sectPr>
          <w:pgSz w:w="11900" w:h="16838" w:orient="portrait"/>
          <w:cols w:equalWidth="0" w:num="1">
            <w:col w:w="11220"/>
          </w:cols>
          <w:pgMar w:left="320" w:top="1419" w:right="35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8240" w:type="dxa"/>
            <w:vAlign w:val="bottom"/>
            <w:gridSpan w:val="3"/>
          </w:tcPr>
          <w:p>
            <w:pPr>
              <w:spacing w:after="0"/>
              <w:rPr>
                <w:sz w:val="20"/>
                <w:szCs w:val="20"/>
                <w:color w:val="auto"/>
              </w:rPr>
            </w:pPr>
            <w:r>
              <w:rPr>
                <w:rFonts w:ascii="Arial" w:cs="Arial" w:eastAsia="Arial" w:hAnsi="Arial"/>
                <w:sz w:val="18"/>
                <w:szCs w:val="18"/>
                <w:b w:val="1"/>
                <w:bCs w:val="1"/>
                <w:color w:val="auto"/>
              </w:rPr>
              <w:t>FEDERAL REALTY INVESTMENT TRUST AND SUBSIDIARIES</w:t>
            </w:r>
          </w:p>
        </w:tc>
        <w:tc>
          <w:tcPr>
            <w:tcW w:w="0" w:type="dxa"/>
            <w:vAlign w:val="bottom"/>
          </w:tcPr>
          <w:p>
            <w:pPr>
              <w:spacing w:after="0"/>
              <w:rPr>
                <w:sz w:val="1"/>
                <w:szCs w:val="1"/>
                <w:color w:val="auto"/>
              </w:rPr>
            </w:pPr>
          </w:p>
        </w:tc>
      </w:tr>
      <w:tr>
        <w:trPr>
          <w:trHeight w:val="507"/>
        </w:trPr>
        <w:tc>
          <w:tcPr>
            <w:tcW w:w="2940" w:type="dxa"/>
            <w:vAlign w:val="bottom"/>
            <w:vMerge w:val="restart"/>
          </w:tcPr>
          <w:p>
            <w:pPr>
              <w:spacing w:after="0"/>
              <w:rPr>
                <w:sz w:val="20"/>
                <w:szCs w:val="20"/>
                <w:color w:val="auto"/>
              </w:rPr>
            </w:pPr>
            <w:r>
              <w:rPr>
                <w:rFonts w:ascii="Arial" w:cs="Arial" w:eastAsia="Arial" w:hAnsi="Arial"/>
                <w:sz w:val="18"/>
                <w:szCs w:val="18"/>
                <w:color w:val="auto"/>
              </w:rPr>
              <w:t>NAME OF SUBSIDIARY</w:t>
            </w:r>
          </w:p>
        </w:tc>
        <w:tc>
          <w:tcPr>
            <w:tcW w:w="2880" w:type="dxa"/>
            <w:vAlign w:val="bottom"/>
            <w:tcBorders>
              <w:top w:val="single" w:sz="8" w:color="auto"/>
            </w:tcBorders>
            <w:vMerge w:val="restart"/>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2960" w:type="dxa"/>
            <w:vAlign w:val="bottom"/>
          </w:tcPr>
          <w:p>
            <w:pPr>
              <w:jc w:val="center"/>
              <w:ind w:right="170"/>
              <w:spacing w:after="0"/>
              <w:rPr>
                <w:sz w:val="20"/>
                <w:szCs w:val="20"/>
                <w:color w:val="auto"/>
              </w:rPr>
            </w:pPr>
            <w:r>
              <w:rPr>
                <w:rFonts w:ascii="Arial" w:cs="Arial" w:eastAsia="Arial" w:hAnsi="Arial"/>
                <w:sz w:val="18"/>
                <w:szCs w:val="18"/>
                <w:color w:val="auto"/>
                <w:w w:val="93"/>
              </w:rPr>
              <w:t>STATE OF INCORPORATION OR</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auto"/>
            </w:tcBorders>
            <w:vMerge w:val="continue"/>
          </w:tcPr>
          <w:p>
            <w:pPr>
              <w:spacing w:after="0"/>
              <w:rPr>
                <w:sz w:val="19"/>
                <w:szCs w:val="19"/>
                <w:color w:val="auto"/>
              </w:rPr>
            </w:pPr>
          </w:p>
        </w:tc>
        <w:tc>
          <w:tcPr>
            <w:tcW w:w="2880" w:type="dxa"/>
            <w:vAlign w:val="bottom"/>
            <w:tcBorders>
              <w:bottom w:val="single" w:sz="8" w:color="auto"/>
            </w:tcBorders>
            <w:vMerge w:val="continue"/>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7"/>
              </w:rPr>
              <w:t>ORGANIZATION</w:t>
            </w:r>
          </w:p>
        </w:tc>
        <w:tc>
          <w:tcPr>
            <w:tcW w:w="0" w:type="dxa"/>
            <w:vAlign w:val="bottom"/>
          </w:tcPr>
          <w:p>
            <w:pPr>
              <w:spacing w:after="0"/>
              <w:rPr>
                <w:sz w:val="1"/>
                <w:szCs w:val="1"/>
                <w:color w:val="auto"/>
              </w:rPr>
            </w:pPr>
          </w:p>
        </w:tc>
      </w:tr>
      <w:tr>
        <w:trPr>
          <w:trHeight w:val="436"/>
        </w:trPr>
        <w:tc>
          <w:tcPr>
            <w:tcW w:w="5820" w:type="dxa"/>
            <w:vAlign w:val="bottom"/>
            <w:gridSpan w:val="2"/>
          </w:tcPr>
          <w:p>
            <w:pPr>
              <w:spacing w:after="0"/>
              <w:rPr>
                <w:sz w:val="20"/>
                <w:szCs w:val="20"/>
                <w:color w:val="auto"/>
              </w:rPr>
            </w:pPr>
            <w:r>
              <w:rPr>
                <w:rFonts w:ascii="Arial" w:cs="Arial" w:eastAsia="Arial" w:hAnsi="Arial"/>
                <w:sz w:val="20"/>
                <w:szCs w:val="20"/>
                <w:color w:val="auto"/>
              </w:rPr>
              <w:t>FR Associates Limited Partnership</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Andorra Associates</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Pennsylvania</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Governor Plaza Associates</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Pennsylvania</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Shopping Center Associates</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Pennsylvania</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Berman Enterprises II Limited Partnership</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FRIT Escondido Promenade,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California</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FRIT Leasing &amp; Development Services, Inc.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Congressional Plaza Associates,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Pike 7 Limited Partnership</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Federal/LPF GP, Inc.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Federal Realty Partners L.P.</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FRLP, Inc.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Federal Realty Partners, Inc.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East Bay Bridge,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East Bay Bridge Retail,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Federal Realty Management Services, Inc.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FRIT Solar, Inc.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Santana Row ROF, Inc.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Mercer Mall,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Westgate Mall,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Assembly Square,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Crow Canyon,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Linden Square, Inc.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Chelsea Commons I, Inc.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Chelsea Commons I,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White Marsh, Inc.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Cordon Fairfield Business Trust</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Campbell-Philadelphia Business Trust</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Shoppes at Nottingham Square Business Trust</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Retail Properties Business Trust</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Nottingham Square Business Trust</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White Marsh Plaza,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White Marsh Plaza Limited Partnership</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White Marsh Plaza Business Trust</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Byron Station,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Byron Station Limited Partnership, LLLP</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The Avenue at White Marsh Business Trust</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NVI-Avenue,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Shoppers World, Inc.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Shoppers World,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Florida, Inc.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Rollingwood,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Rollingwood, Inc.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Montrose Crossing, Inc.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Montrose Crossing,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 Montrose Crossing Borrower,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20"/>
                <w:szCs w:val="20"/>
                <w:color w:val="auto"/>
              </w:rPr>
              <w:t>FRIT CA Operations, Inc.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California</w:t>
            </w:r>
          </w:p>
        </w:tc>
        <w:tc>
          <w:tcPr>
            <w:tcW w:w="0" w:type="dxa"/>
            <w:vAlign w:val="bottom"/>
          </w:tcPr>
          <w:p>
            <w:pPr>
              <w:spacing w:after="0"/>
              <w:rPr>
                <w:sz w:val="1"/>
                <w:szCs w:val="1"/>
                <w:color w:val="auto"/>
              </w:rPr>
            </w:pPr>
          </w:p>
        </w:tc>
      </w:tr>
      <w:tr>
        <w:trPr>
          <w:trHeight w:val="250"/>
        </w:trPr>
        <w:tc>
          <w:tcPr>
            <w:tcW w:w="5820" w:type="dxa"/>
            <w:vAlign w:val="bottom"/>
            <w:gridSpan w:val="2"/>
          </w:tcPr>
          <w:p>
            <w:pPr>
              <w:spacing w:after="0"/>
              <w:rPr>
                <w:sz w:val="20"/>
                <w:szCs w:val="20"/>
                <w:color w:val="auto"/>
              </w:rPr>
            </w:pPr>
            <w:r>
              <w:rPr>
                <w:rFonts w:ascii="Arial" w:cs="Arial" w:eastAsia="Arial" w:hAnsi="Arial"/>
                <w:sz w:val="20"/>
                <w:szCs w:val="20"/>
                <w:color w:val="auto"/>
              </w:rPr>
              <w:t>FR Huntington Square, LLC</w:t>
            </w:r>
          </w:p>
        </w:tc>
        <w:tc>
          <w:tcPr>
            <w:tcW w:w="5360" w:type="dxa"/>
            <w:vAlign w:val="bottom"/>
            <w:gridSpan w:val="2"/>
          </w:tcPr>
          <w:p>
            <w:pPr>
              <w:ind w:left="216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00"/>
          </w:cols>
          <w:pgMar w:left="360" w:top="1053" w:right="3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color w:val="auto"/>
        </w:rPr>
        <w:t>FR Darien, LLC</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FR Georgetowne,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 Hastings Ranch,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 Riverpoint,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SRI/CM 4th Street JV,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 Old Town,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I,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II,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3,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4,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6,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7,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10, 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FRIT San Jose Town and Country Village, LLC</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Assembly Row 5B,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B7,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B8,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B9,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Santana Row Services,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SRI/Continental JV,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CCA Sepulveda,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Rosecrans-Sepulveda Partners 3,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PES Partners,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The Grove Fee Owner,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Route 35 Shrewsbury Limited Partnership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Shrewsbury Commons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Sea Girt Limited Partnership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35 West,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Merritt Shrewsbury Commons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Cole Grove West,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 508 Broad,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 San Antonio Center,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San Antonio Center II,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Pike &amp; Rose Condominium,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JV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Owner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Operator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 Winchester,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Assembly Row Condominium,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Hotel,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Assembly Row Hotel Operator,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Assembly Row Hotel,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FRIT Shops at Sunset Place,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FRIT Shops at Sunset Place Owner, LLC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FRIT Shops at Sunset Place Fee Owner, LLC</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FRIT Cocowalk,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FRIT Cocowalk Owner,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3112 Commodore Plaza Investments,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3131 Commodore Plaza Investments,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3206 Grand Avenue,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3406 Main Highway,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3419 Main Highway Investments,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Federal/Lion Venture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Campus Plaza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Delaware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Maryland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New Jersey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ectPr>
          <w:pgSz w:w="11900" w:h="16838" w:orient="portrait"/>
          <w:cols w:equalWidth="0" w:num="2">
            <w:col w:w="7260" w:space="720"/>
            <w:col w:w="2119"/>
          </w:cols>
          <w:pgMar w:left="360" w:top="1027" w:right="1440"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FLV Campus Plaza Limited Partnership</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FLV Plaza del Mercado,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Plaza del Mercado,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Greenlawn Plaza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Greenlawn Plaza,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Barcroft Plaza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Barcroft Plaza,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Free State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Free State Limited Partnership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South Gate Joint Venture,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Primestor/FRIT JV,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Azalea Joint Venture,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Alameda,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Bell Gardens,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El Monte,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El Portal,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Los Jardines,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Mission Hills,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SCP,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Sylmar,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TRS JV,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Plaza Pacoima,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Olivo Land, LLC</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Primestor/FRIT Jordan Downs JV, LLC</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Primestor Jordan Downs, LLC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Primestor Development Investment, LLC</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RevUp,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 Fairfax Junction.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 UNLMTD JV,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Properties I,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Properties II,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214 Washington,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302 Washington,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600 Washington,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210 14</w:t>
      </w:r>
      <w:r>
        <w:rPr>
          <w:rFonts w:ascii="Arial" w:cs="Arial" w:eastAsia="Arial" w:hAnsi="Arial"/>
          <w:sz w:val="12"/>
          <w:szCs w:val="12"/>
          <w:color w:val="auto"/>
        </w:rPr>
        <w:t>th</w:t>
      </w:r>
      <w:r>
        <w:rPr>
          <w:rFonts w:ascii="Arial" w:cs="Arial" w:eastAsia="Arial" w:hAnsi="Arial"/>
          <w:sz w:val="20"/>
          <w:szCs w:val="20"/>
          <w:color w:val="auto"/>
        </w:rPr>
        <w:t>,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158 14</w:t>
      </w:r>
      <w:r>
        <w:rPr>
          <w:rFonts w:ascii="Arial" w:cs="Arial" w:eastAsia="Arial" w:hAnsi="Arial"/>
          <w:sz w:val="12"/>
          <w:szCs w:val="12"/>
          <w:color w:val="auto"/>
        </w:rPr>
        <w:t>th</w:t>
      </w:r>
      <w:r>
        <w:rPr>
          <w:rFonts w:ascii="Arial" w:cs="Arial" w:eastAsia="Arial" w:hAnsi="Arial"/>
          <w:sz w:val="20"/>
          <w:szCs w:val="20"/>
          <w:color w:val="auto"/>
        </w:rPr>
        <w:t>,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1426 Willow,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7260" w:space="720"/>
            <w:col w:w="2119"/>
          </w:cols>
          <w:pgMar w:left="360" w:top="1027"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issued our reports dated February 11, 2021, with respect to the consolidated financial statements, schedules, and internal control over financial reporting included in the Annual Report of Federal Realty Investment Trust on Form 10-K for the year ended December 31, 2020. We consent to the incorporation by reference of said reports in the Registration Statements of Federal Realty Investment Trust on Form S-3 (File No. 333-224701, File No. 333-224721, File No. 333-224807, File No. 333-124195, and File No. 033-63687) and on Form S-8 (File No. 333-239351, File No. 333-166531, and File No. 333-147081).</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p>
      <w:pPr>
        <w:sectPr>
          <w:pgSz w:w="11900" w:h="16838" w:orient="portrait"/>
          <w:cols w:equalWidth="0" w:num="1">
            <w:col w:w="11240"/>
          </w:cols>
          <w:pgMar w:left="320" w:top="89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90" w:lineRule="exact"/>
        <w:rPr>
          <w:sz w:val="20"/>
          <w:szCs w:val="20"/>
          <w:color w:val="auto"/>
        </w:rPr>
      </w:pPr>
    </w:p>
    <w:p>
      <w:pPr>
        <w:ind w:left="780" w:hanging="327"/>
        <w:spacing w:after="0"/>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7" w:lineRule="auto"/>
        <w:tabs>
          <w:tab w:leader="none" w:pos="134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0"/>
        <w:spacing w:after="0"/>
        <w:tabs>
          <w:tab w:leader="none" w:pos="7560" w:val="left"/>
        </w:tabs>
        <w:rPr>
          <w:sz w:val="20"/>
          <w:szCs w:val="20"/>
          <w:color w:val="auto"/>
        </w:rPr>
      </w:pPr>
      <w:r>
        <w:rPr>
          <w:rFonts w:ascii="Arial" w:cs="Arial" w:eastAsia="Arial" w:hAnsi="Arial"/>
          <w:sz w:val="18"/>
          <w:szCs w:val="18"/>
          <w:color w:val="auto"/>
        </w:rPr>
        <w:t>February 11, 2021</w:t>
      </w:r>
      <w:r>
        <w:rPr>
          <w:sz w:val="20"/>
          <w:szCs w:val="20"/>
          <w:color w:val="auto"/>
        </w:rPr>
        <w:tab/>
      </w:r>
      <w:r>
        <w:rPr>
          <w:rFonts w:ascii="Arial" w:cs="Arial" w:eastAsia="Arial" w:hAnsi="Arial"/>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780" w:hanging="327"/>
        <w:spacing w:after="0"/>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7" w:lineRule="auto"/>
        <w:tabs>
          <w:tab w:leader="none" w:pos="134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0"/>
        <w:spacing w:after="0"/>
        <w:tabs>
          <w:tab w:leader="none" w:pos="7340" w:val="left"/>
        </w:tabs>
        <w:rPr>
          <w:sz w:val="20"/>
          <w:szCs w:val="20"/>
          <w:color w:val="auto"/>
        </w:rPr>
      </w:pPr>
      <w:r>
        <w:rPr>
          <w:rFonts w:ascii="Arial" w:cs="Arial" w:eastAsia="Arial" w:hAnsi="Arial"/>
          <w:sz w:val="18"/>
          <w:szCs w:val="18"/>
          <w:color w:val="auto"/>
        </w:rPr>
        <w:t>February 11, 2021</w:t>
      </w:r>
      <w:r>
        <w:rPr>
          <w:sz w:val="20"/>
          <w:szCs w:val="20"/>
          <w:color w:val="auto"/>
        </w:rPr>
        <w:tab/>
      </w:r>
      <w:r>
        <w:rPr>
          <w:rFonts w:ascii="Arial" w:cs="Arial" w:eastAsia="Arial" w:hAnsi="Arial"/>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2020 (the “Report”). The undersigned hereby certifies, to the best of his knowledge, that:</w:t>
      </w:r>
    </w:p>
    <w:p>
      <w:pPr>
        <w:spacing w:after="0" w:line="76" w:lineRule="exact"/>
        <w:rPr>
          <w:sz w:val="20"/>
          <w:szCs w:val="20"/>
          <w:color w:val="auto"/>
        </w:rPr>
      </w:pPr>
    </w:p>
    <w:p>
      <w:pPr>
        <w:ind w:left="1300" w:hanging="887"/>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2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9" w:lineRule="exact"/>
        <w:rPr>
          <w:sz w:val="20"/>
          <w:szCs w:val="20"/>
          <w:color w:val="auto"/>
        </w:rPr>
      </w:pPr>
    </w:p>
    <w:p>
      <w:pPr>
        <w:ind w:left="20"/>
        <w:spacing w:after="0"/>
        <w:tabs>
          <w:tab w:leader="none" w:pos="7560" w:val="left"/>
        </w:tabs>
        <w:rPr>
          <w:sz w:val="20"/>
          <w:szCs w:val="20"/>
          <w:color w:val="auto"/>
        </w:rPr>
      </w:pPr>
      <w:r>
        <w:rPr>
          <w:rFonts w:ascii="Arial" w:cs="Arial" w:eastAsia="Arial" w:hAnsi="Arial"/>
          <w:sz w:val="18"/>
          <w:szCs w:val="18"/>
          <w:color w:val="auto"/>
        </w:rPr>
        <w:t>February 11, 2021</w:t>
      </w:r>
      <w:r>
        <w:rPr>
          <w:sz w:val="20"/>
          <w:szCs w:val="20"/>
          <w:color w:val="auto"/>
        </w:rPr>
        <w:tab/>
      </w:r>
      <w:r>
        <w:rPr>
          <w:rFonts w:ascii="Arial" w:cs="Arial" w:eastAsia="Arial" w:hAnsi="Arial"/>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60" w:firstLine="445"/>
        <w:spacing w:after="0" w:line="311"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Annual Report on Form 10-K for the period ended December 31, 2020 (the “Report”). The undersigned hereby certifies, to the best of his knowledge, that:</w:t>
      </w:r>
    </w:p>
    <w:p>
      <w:pPr>
        <w:spacing w:after="0" w:line="41" w:lineRule="exact"/>
        <w:rPr>
          <w:sz w:val="20"/>
          <w:szCs w:val="20"/>
          <w:color w:val="auto"/>
        </w:rPr>
      </w:pPr>
    </w:p>
    <w:p>
      <w:pPr>
        <w:ind w:left="1300" w:hanging="887"/>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29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9" w:lineRule="exact"/>
        <w:rPr>
          <w:sz w:val="20"/>
          <w:szCs w:val="20"/>
          <w:color w:val="auto"/>
        </w:rPr>
      </w:pPr>
    </w:p>
    <w:p>
      <w:pPr>
        <w:ind w:left="20"/>
        <w:spacing w:after="0"/>
        <w:tabs>
          <w:tab w:leader="none" w:pos="7340" w:val="left"/>
        </w:tabs>
        <w:rPr>
          <w:sz w:val="20"/>
          <w:szCs w:val="20"/>
          <w:color w:val="auto"/>
        </w:rPr>
      </w:pPr>
      <w:r>
        <w:rPr>
          <w:rFonts w:ascii="Arial" w:cs="Arial" w:eastAsia="Arial" w:hAnsi="Arial"/>
          <w:sz w:val="18"/>
          <w:szCs w:val="18"/>
          <w:color w:val="auto"/>
        </w:rPr>
        <w:t>February 11, 2021</w:t>
      </w:r>
      <w:r>
        <w:rPr>
          <w:sz w:val="20"/>
          <w:szCs w:val="20"/>
          <w:color w:val="auto"/>
        </w:rPr>
        <w:tab/>
      </w:r>
      <w:r>
        <w:rPr>
          <w:rFonts w:ascii="Arial" w:cs="Arial" w:eastAsia="Arial" w:hAnsi="Arial"/>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lvl w:ilvl="1">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1)"/>
      <w:numFmt w:val="decimal"/>
      <w:start w:val="1"/>
    </w:lvl>
  </w:abstractNum>
  <w:abstractNum w:abstractNumId="25">
    <w:nsid w:val="5DB70AE5"/>
    <w:multiLevelType w:val="hybridMultilevel"/>
    <w:lvl w:ilvl="0">
      <w:lvlJc w:val="left"/>
      <w:lvlText w:val="(%1)"/>
      <w:numFmt w:val="decimal"/>
      <w:start w:val="1"/>
    </w:lvl>
  </w:abstractNum>
  <w:abstractNum w:abstractNumId="26">
    <w:nsid w:val="100F8FCA"/>
    <w:multiLevelType w:val="hybridMultilevel"/>
    <w:lvl w:ilvl="0">
      <w:lvlJc w:val="left"/>
      <w:lvlText w:val="(%1)"/>
      <w:numFmt w:val="decimal"/>
      <w:start w:val="1"/>
    </w:lvl>
  </w:abstractNum>
  <w:abstractNum w:abstractNumId="27">
    <w:nsid w:val="6590700B"/>
    <w:multiLevelType w:val="hybridMultilevel"/>
    <w:lvl w:ilvl="0">
      <w:lvlJc w:val="left"/>
      <w:lvlText w:val="(%1)"/>
      <w:numFmt w:val="decimal"/>
      <w:start w:val="4"/>
    </w:lvl>
  </w:abstractNum>
  <w:abstractNum w:abstractNumId="28">
    <w:nsid w:val="15014ACB"/>
    <w:multiLevelType w:val="hybridMultilevel"/>
    <w:lvl w:ilvl="0">
      <w:lvlJc w:val="left"/>
      <w:lvlText w:val="(%1)"/>
      <w:numFmt w:val="decimal"/>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1)"/>
      <w:numFmt w:val="decimal"/>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1)"/>
      <w:numFmt w:val="decimal"/>
      <w:start w:val="1"/>
    </w:lvl>
  </w:abstractNum>
  <w:abstractNum w:abstractNumId="46">
    <w:nsid w:val="8F2B15E"/>
    <w:multiLevelType w:val="hybridMultilevel"/>
    <w:lvl w:ilvl="0">
      <w:lvlJc w:val="left"/>
      <w:lvlText w:val="(%1)"/>
      <w:numFmt w:val="lowerLetter"/>
      <w:start w:val="1"/>
    </w:lvl>
  </w:abstractNum>
  <w:abstractNum w:abstractNumId="47">
    <w:nsid w:val="1A32234B"/>
    <w:multiLevelType w:val="hybridMultilevel"/>
    <w:lvl w:ilvl="0">
      <w:lvlJc w:val="left"/>
      <w:lvlText w:val="%1"/>
      <w:numFmt w:val="lowerLetter"/>
      <w:start w:val="1"/>
    </w:lvl>
    <w:lvl w:ilvl="1">
      <w:lvlJc w:val="left"/>
      <w:lvlText w:val="(%2)"/>
      <w:numFmt w:val="lowerLetter"/>
      <w:start w:val="4"/>
    </w:lvl>
  </w:abstractNum>
  <w:abstractNum w:abstractNumId="48">
    <w:nsid w:val="3B0FD379"/>
    <w:multiLevelType w:val="hybridMultilevel"/>
    <w:lvl w:ilvl="0">
      <w:lvlJc w:val="left"/>
      <w:lvlText w:val="(%1)"/>
      <w:numFmt w:val="lowerLetter"/>
      <w:start w:val="5"/>
    </w:lvl>
    <w:lvl w:ilvl="1">
      <w:lvlJc w:val="left"/>
      <w:lvlText w:val="%2"/>
      <w:numFmt w:val="lowerLetter"/>
      <w:start w:val="1"/>
    </w:lvl>
  </w:abstractNum>
  <w:abstractNum w:abstractNumId="49">
    <w:nsid w:val="68EB2F63"/>
    <w:multiLevelType w:val="hybridMultilevel"/>
    <w:lvl w:ilvl="0">
      <w:lvlJc w:val="left"/>
      <w:lvlText w:val="%1)"/>
      <w:numFmt w:val="decimal"/>
      <w:start w:val="1"/>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1)"/>
      <w:numFmt w:val="decimal"/>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1)"/>
      <w:numFmt w:val="lowerLetter"/>
      <w:start w:val="2"/>
    </w:lvl>
  </w:abstractNum>
  <w:abstractNum w:abstractNumId="55">
    <w:nsid w:val="1A27709E"/>
    <w:multiLevelType w:val="hybridMultilevel"/>
    <w:lvl w:ilvl="0">
      <w:lvlJc w:val="left"/>
      <w:lvlText w:val="%1"/>
      <w:numFmt w:val="decimal"/>
      <w:start w:val="10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lvl w:ilvl="1">
      <w:lvlJc w:val="left"/>
      <w:lvlText w:val="◦"/>
      <w:numFmt w:val="bullet"/>
      <w:start w:val="1"/>
    </w:lvl>
  </w:abstractNum>
  <w:abstractNum w:abstractNumId="59">
    <w:nsid w:val="6EB5BD4"/>
    <w:multiLevelType w:val="hybridMultilevel"/>
    <w:lvl w:ilvl="0">
      <w:lvlJc w:val="left"/>
      <w:lvlText w:val="(%1)"/>
      <w:numFmt w:val="decimal"/>
      <w:start w:val="1"/>
    </w:lvl>
  </w:abstractNum>
  <w:abstractNum w:abstractNumId="60">
    <w:nsid w:val="6F6DD9AC"/>
    <w:multiLevelType w:val="hybridMultilevel"/>
    <w:lvl w:ilvl="0">
      <w:lvlJc w:val="left"/>
      <w:lvlText w:val="(%1)"/>
      <w:numFmt w:val="decimal"/>
      <w:start w:val="1"/>
    </w:lvl>
  </w:abstractNum>
  <w:abstractNum w:abstractNumId="61">
    <w:nsid w:val="94211F2"/>
    <w:multiLevelType w:val="hybridMultilevel"/>
    <w:lvl w:ilvl="0">
      <w:lvlJc w:val="left"/>
      <w:lvlText w:val="%1)"/>
      <w:numFmt w:val="decimal"/>
      <w:start w:val="1"/>
    </w:lvl>
  </w:abstractNum>
  <w:abstractNum w:abstractNumId="62">
    <w:nsid w:val="885E1B"/>
    <w:multiLevelType w:val="hybridMultilevel"/>
    <w:lvl w:ilvl="0">
      <w:lvlJc w:val="left"/>
      <w:lvlText w:val="(%1)"/>
      <w:numFmt w:val="decimal"/>
      <w:start w:val="1"/>
    </w:lvl>
  </w:abstractNum>
  <w:abstractNum w:abstractNumId="63">
    <w:nsid w:val="76272110"/>
    <w:multiLevelType w:val="hybridMultilevel"/>
    <w:lvl w:ilvl="0">
      <w:lvlJc w:val="left"/>
      <w:lvlText w:val="%1."/>
      <w:numFmt w:val="decimal"/>
      <w:start w:val="1"/>
    </w:lvl>
  </w:abstractNum>
  <w:abstractNum w:abstractNumId="64">
    <w:nsid w:val="4C04A8AF"/>
    <w:multiLevelType w:val="hybridMultilevel"/>
    <w:lvl w:ilvl="0">
      <w:lvlJc w:val="left"/>
      <w:lvlText w:val="(%1)"/>
      <w:numFmt w:val="decimal"/>
      <w:start w:val="1"/>
    </w:lvl>
  </w:abstractNum>
  <w:abstractNum w:abstractNumId="65">
    <w:nsid w:val="1716703B"/>
    <w:multiLevelType w:val="hybridMultilevel"/>
    <w:lvl w:ilvl="0">
      <w:lvlJc w:val="left"/>
      <w:lvlText w:val="(%1)"/>
      <w:numFmt w:val="decimal"/>
      <w:start w:val="1"/>
    </w:lvl>
  </w:abstractNum>
  <w:abstractNum w:abstractNumId="66">
    <w:nsid w:val="14E17E33"/>
    <w:multiLevelType w:val="hybridMultilevel"/>
    <w:lvl w:ilvl="0">
      <w:lvlJc w:val="left"/>
      <w:lvlText w:val="(%1)"/>
      <w:numFmt w:val="decimal"/>
      <w:start w:val="1"/>
    </w:lvl>
  </w:abstractNum>
  <w:abstractNum w:abstractNumId="67">
    <w:nsid w:val="3222E7CD"/>
    <w:multiLevelType w:val="hybridMultilevel"/>
    <w:lvl w:ilvl="0">
      <w:lvlJc w:val="left"/>
      <w:lvlText w:val="(%1)"/>
      <w:numFmt w:val="decimal"/>
      <w:start w:val="1"/>
    </w:lvl>
  </w:abstractNum>
  <w:abstractNum w:abstractNumId="68">
    <w:nsid w:val="74DE0E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9">
    <w:nsid w:val="68EBC550"/>
    <w:multiLevelType w:val="hybridMultilevel"/>
    <w:lvl w:ilvl="0">
      <w:lvlJc w:val="left"/>
      <w:lvlText w:val="(%1)"/>
      <w:numFmt w:val="lowerLetter"/>
      <w:start w:val="2"/>
    </w:lvl>
    <w:lvl w:ilvl="1">
      <w:lvlJc w:val="left"/>
      <w:lvlText w:val="%2."/>
      <w:numFmt w:val="decimal"/>
      <w:start w:val="3"/>
    </w:lvl>
    <w:lvl w:ilvl="2">
      <w:lvlJc w:val="left"/>
      <w:lvlText w:val="(%3)"/>
      <w:numFmt w:val="lowerLetter"/>
      <w:start w:val="1"/>
    </w:lvl>
  </w:abstractNum>
  <w:abstractNum w:abstractNumId="70">
    <w:nsid w:val="2DF6D64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71">
    <w:nsid w:val="46B7D447"/>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72">
    <w:nsid w:val="4A2AC315"/>
    <w:multiLevelType w:val="hybridMultilevel"/>
    <w:lvl w:ilvl="0">
      <w:lvlJc w:val="left"/>
      <w:lvlText w:val="%1."/>
      <w:numFmt w:val="decimal"/>
      <w:start w:val="7"/>
    </w:lvl>
  </w:abstractNum>
  <w:abstractNum w:abstractNumId="73">
    <w:nsid w:val="39EE015C"/>
    <w:multiLevelType w:val="hybridMultilevel"/>
    <w:lvl w:ilvl="0">
      <w:lvlJc w:val="left"/>
      <w:lvlText w:val="%1."/>
      <w:numFmt w:val="decimal"/>
      <w:start w:val="1"/>
    </w:lvl>
  </w:abstractNum>
  <w:abstractNum w:abstractNumId="74">
    <w:nsid w:val="57FC4FBB"/>
    <w:multiLevelType w:val="hybridMultilevel"/>
    <w:lvl w:ilvl="0">
      <w:lvlJc w:val="left"/>
      <w:lvlText w:val="(%1)"/>
      <w:numFmt w:val="lowerLetter"/>
      <w:start w:val="1"/>
    </w:lvl>
  </w:abstractNum>
  <w:abstractNum w:abstractNumId="75">
    <w:nsid w:val="CC1016F"/>
    <w:multiLevelType w:val="hybridMultilevel"/>
    <w:lvl w:ilvl="0">
      <w:lvlJc w:val="left"/>
      <w:lvlText w:val="(%1)"/>
      <w:numFmt w:val="lowerLetter"/>
      <w:start w:val="9"/>
    </w:lvl>
  </w:abstractNum>
  <w:abstractNum w:abstractNumId="76">
    <w:nsid w:val="43F18422"/>
    <w:multiLevelType w:val="hybridMultilevel"/>
    <w:lvl w:ilvl="0">
      <w:lvlJc w:val="left"/>
      <w:lvlText w:val="(%1)"/>
      <w:numFmt w:val="lowerLetter"/>
      <w:start w:val="35"/>
    </w:lvl>
  </w:abstractNum>
  <w:abstractNum w:abstractNumId="77">
    <w:nsid w:val="60EF0119"/>
    <w:multiLevelType w:val="hybridMultilevel"/>
    <w:lvl w:ilvl="0">
      <w:lvlJc w:val="left"/>
      <w:lvlText w:val="(%1)"/>
      <w:numFmt w:val="lowerLetter"/>
      <w:start w:val="61"/>
    </w:lvl>
  </w:abstractNum>
  <w:abstractNum w:abstractNumId="78">
    <w:nsid w:val="26F324BA"/>
    <w:multiLevelType w:val="hybridMultilevel"/>
    <w:lvl w:ilvl="0">
      <w:lvlJc w:val="left"/>
      <w:lvlText w:val="(%1)"/>
      <w:numFmt w:val="lowerLetter"/>
      <w:start w:val="5"/>
    </w:lvl>
  </w:abstractNum>
  <w:abstractNum w:abstractNumId="79">
    <w:nsid w:val="7F01579B"/>
    <w:multiLevelType w:val="hybridMultilevel"/>
    <w:lvl w:ilvl="0">
      <w:lvlJc w:val="left"/>
      <w:lvlText w:val="(%1)"/>
      <w:numFmt w:val="lowerLetter"/>
      <w:start w:val="1"/>
    </w:lvl>
  </w:abstractNum>
  <w:abstractNum w:abstractNumId="80">
    <w:nsid w:val="49DA307D"/>
    <w:multiLevelType w:val="hybridMultilevel"/>
    <w:lvl w:ilvl="0">
      <w:lvlJc w:val="left"/>
      <w:lvlText w:val="(%1)"/>
      <w:numFmt w:val="lowerLetter"/>
      <w:start w:val="2"/>
    </w:lvl>
  </w:abstractNum>
  <w:abstractNum w:abstractNumId="81">
    <w:nsid w:val="7055A5F5"/>
    <w:multiLevelType w:val="hybridMultilevel"/>
    <w:lvl w:ilvl="0">
      <w:lvlJc w:val="left"/>
      <w:lvlText w:val="%1."/>
      <w:numFmt w:val="decimal"/>
      <w:start w:val="9"/>
    </w:lvl>
  </w:abstractNum>
  <w:abstractNum w:abstractNumId="82">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
    <w:nsid w:val="50801EE1"/>
    <w:multiLevelType w:val="hybridMultilevel"/>
    <w:lvl w:ilvl="0">
      <w:lvlJc w:val="left"/>
      <w:lvlText w:val="(%1)"/>
      <w:numFmt w:val="lowerLetter"/>
      <w:start w:val="2"/>
    </w:lvl>
    <w:lvl w:ilvl="1">
      <w:lvlJc w:val="left"/>
      <w:lvlText w:val="%2."/>
      <w:numFmt w:val="decimal"/>
      <w:start w:val="3"/>
    </w:lvl>
    <w:lvl w:ilvl="2">
      <w:lvlJc w:val="left"/>
      <w:lvlText w:val="(%3)"/>
      <w:numFmt w:val="lowerLetter"/>
      <w:start w:val="1"/>
    </w:lvl>
  </w:abstractNum>
  <w:abstractNum w:abstractNumId="84">
    <w:nsid w:val="488AC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85">
    <w:nsid w:val="5FB8011C"/>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86">
    <w:nsid w:val="6AA78F7F"/>
    <w:multiLevelType w:val="hybridMultilevel"/>
    <w:lvl w:ilvl="0">
      <w:lvlJc w:val="left"/>
      <w:lvlText w:val="%1"/>
      <w:numFmt w:val="decimal"/>
      <w:start w:val="1"/>
    </w:lvl>
    <w:lvl w:ilvl="1">
      <w:lvlJc w:val="left"/>
      <w:lvlText w:val="%2."/>
      <w:numFmt w:val="decimal"/>
      <w:start w:val="6"/>
    </w:lvl>
  </w:abstractNum>
  <w:abstractNum w:abstractNumId="87">
    <w:nsid w:val="7672BD23"/>
    <w:multiLevelType w:val="hybridMultilevel"/>
    <w:lvl w:ilvl="0">
      <w:lvlJc w:val="left"/>
      <w:lvlText w:val="%1."/>
      <w:numFmt w:val="decimal"/>
      <w:start w:val="8"/>
    </w:lvl>
    <w:lvl w:ilvl="1">
      <w:lvlJc w:val="left"/>
      <w:lvlText w:val="%2."/>
      <w:numFmt w:val="decimal"/>
      <w:start w:val="11"/>
    </w:lvl>
  </w:abstractNum>
  <w:abstractNum w:abstractNumId="88">
    <w:nsid w:val="6FC75AF8"/>
    <w:multiLevelType w:val="hybridMultilevel"/>
    <w:lvl w:ilvl="0">
      <w:lvlJc w:val="left"/>
      <w:lvlText w:val="%1."/>
      <w:numFmt w:val="decimal"/>
      <w:start w:val="1"/>
    </w:lvl>
    <w:lvl w:ilvl="1">
      <w:lvlJc w:val="left"/>
      <w:lvlText w:val="(%2)"/>
      <w:numFmt w:val="lowerLetter"/>
      <w:start w:val="1"/>
    </w:lvl>
  </w:abstractNum>
  <w:abstractNum w:abstractNumId="89">
    <w:nsid w:val="6A5F70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0">
    <w:nsid w:val="7D5E18F8"/>
    <w:multiLevelType w:val="hybridMultilevel"/>
    <w:lvl w:ilvl="0">
      <w:lvlJc w:val="left"/>
      <w:lvlText w:val="(%1)"/>
      <w:numFmt w:val="lowerLetter"/>
      <w:start w:val="2"/>
    </w:lvl>
    <w:lvl w:ilvl="1">
      <w:lvlJc w:val="left"/>
      <w:lvlText w:val="%2."/>
      <w:numFmt w:val="decimal"/>
      <w:start w:val="3"/>
    </w:lvl>
    <w:lvl w:ilvl="2">
      <w:lvlJc w:val="left"/>
      <w:lvlText w:val="%3"/>
      <w:numFmt w:val="lowerRoman"/>
      <w:start w:val="1"/>
    </w:lvl>
  </w:abstractNum>
  <w:abstractNum w:abstractNumId="91">
    <w:nsid w:val="5F3534A4"/>
    <w:multiLevelType w:val="hybridMultilevel"/>
    <w:lvl w:ilvl="0">
      <w:lvlJc w:val="left"/>
      <w:lvlText w:val="%1."/>
      <w:numFmt w:val="decimal"/>
      <w:start w:val="4"/>
    </w:lvl>
    <w:lvl w:ilvl="1">
      <w:lvlJc w:val="left"/>
      <w:lvlText w:val="(%2)"/>
      <w:numFmt w:val="lowerLetter"/>
      <w:start w:val="1"/>
    </w:lvl>
  </w:abstractNum>
  <w:abstractNum w:abstractNumId="92">
    <w:nsid w:val="73A1821B"/>
    <w:multiLevelType w:val="hybridMultilevel"/>
    <w:lvl w:ilvl="0">
      <w:lvlJc w:val="left"/>
      <w:lvlText w:val="(%1)"/>
      <w:numFmt w:val="lowerLetter"/>
      <w:start w:val="2"/>
    </w:lvl>
  </w:abstractNum>
  <w:abstractNum w:abstractNumId="93">
    <w:nsid w:val="7DE6771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94">
    <w:nsid w:val="555C55B5"/>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95">
    <w:nsid w:val="3FA62ACA"/>
    <w:multiLevelType w:val="hybridMultilevel"/>
    <w:lvl w:ilvl="0">
      <w:lvlJc w:val="left"/>
      <w:lvlText w:val="%1."/>
      <w:numFmt w:val="decimal"/>
      <w:start w:val="5"/>
    </w:lvl>
  </w:abstractNum>
  <w:abstractNum w:abstractNumId="96">
    <w:nsid w:val="14FCE74E"/>
    <w:multiLevelType w:val="hybridMultilevel"/>
    <w:lvl w:ilvl="0">
      <w:lvlJc w:val="left"/>
      <w:lvlText w:val="%1."/>
      <w:numFmt w:val="decimal"/>
      <w:start w:val="7"/>
    </w:lvl>
  </w:abstractNum>
  <w:abstractNum w:abstractNumId="97">
    <w:nsid w:val="6A3DD3E8"/>
    <w:multiLevelType w:val="hybridMultilevel"/>
    <w:lvl w:ilvl="0">
      <w:lvlJc w:val="left"/>
      <w:lvlText w:val="%1."/>
      <w:numFmt w:val="decimal"/>
      <w:start w:val="1"/>
    </w:lvl>
    <w:lvl w:ilvl="1">
      <w:lvlJc w:val="left"/>
      <w:lvlText w:val="%2."/>
      <w:numFmt w:val="decimal"/>
      <w:start w:val="2"/>
    </w:lvl>
  </w:abstractNum>
  <w:abstractNum w:abstractNumId="98">
    <w:nsid w:val="71C91298"/>
    <w:multiLevelType w:val="hybridMultilevel"/>
    <w:lvl w:ilvl="0">
      <w:lvlJc w:val="left"/>
      <w:lvlText w:val="%1"/>
      <w:numFmt w:val="lowerLetter"/>
      <w:start w:val="1"/>
    </w:lvl>
    <w:lvl w:ilvl="1">
      <w:lvlJc w:val="left"/>
      <w:lvlText w:val="%2."/>
      <w:numFmt w:val="decimal"/>
      <w:start w:val="4"/>
    </w:lvl>
  </w:abstractNum>
  <w:abstractNum w:abstractNumId="99">
    <w:nsid w:val="9DAF632"/>
    <w:multiLevelType w:val="hybridMultilevel"/>
    <w:lvl w:ilvl="0">
      <w:lvlJc w:val="left"/>
      <w:lvlText w:val="(%1)"/>
      <w:numFmt w:val="lowerLetter"/>
      <w:start w:val="1"/>
    </w:lvl>
    <w:lvl w:ilvl="1">
      <w:lvlJc w:val="left"/>
      <w:lvlText w:val="%2"/>
      <w:numFmt w:val="decimal"/>
      <w:start w:val="1"/>
    </w:lvl>
  </w:abstractNum>
  <w:abstractNum w:abstractNumId="100">
    <w:nsid w:val="53299938"/>
    <w:multiLevelType w:val="hybridMultilevel"/>
    <w:lvl w:ilvl="0">
      <w:lvlJc w:val="left"/>
      <w:lvlText w:val="(%1)"/>
      <w:numFmt w:val="lowerLetter"/>
      <w:start w:val="9"/>
    </w:lvl>
    <w:lvl w:ilvl="1">
      <w:lvlJc w:val="left"/>
      <w:lvlText w:val="%2"/>
      <w:numFmt w:val="decimal"/>
      <w:start w:val="1"/>
    </w:lvl>
  </w:abstractNum>
  <w:abstractNum w:abstractNumId="101">
    <w:nsid w:val="1FBFE8E0"/>
    <w:multiLevelType w:val="hybridMultilevel"/>
    <w:lvl w:ilvl="0">
      <w:lvlJc w:val="left"/>
      <w:lvlText w:val="(%1)"/>
      <w:numFmt w:val="lowerLetter"/>
      <w:start w:val="35"/>
    </w:lvl>
    <w:lvl w:ilvl="1">
      <w:lvlJc w:val="left"/>
      <w:lvlText w:val="%2"/>
      <w:numFmt w:val="decimal"/>
      <w:start w:val="1"/>
    </w:lvl>
  </w:abstractNum>
  <w:abstractNum w:abstractNumId="102">
    <w:nsid w:val="5092CA79"/>
    <w:multiLevelType w:val="hybridMultilevel"/>
    <w:lvl w:ilvl="0">
      <w:lvlJc w:val="left"/>
      <w:lvlText w:val="(%1)"/>
      <w:numFmt w:val="lowerLetter"/>
      <w:start w:val="61"/>
    </w:lvl>
    <w:lvl w:ilvl="1">
      <w:lvlJc w:val="left"/>
      <w:lvlText w:val="%2"/>
      <w:numFmt w:val="decimal"/>
      <w:start w:val="1"/>
    </w:lvl>
  </w:abstractNum>
  <w:abstractNum w:abstractNumId="103">
    <w:nsid w:val="1D545C4D"/>
    <w:multiLevelType w:val="hybridMultilevel"/>
    <w:lvl w:ilvl="0">
      <w:lvlJc w:val="left"/>
      <w:lvlText w:val="(%1)"/>
      <w:numFmt w:val="lowerLetter"/>
      <w:start w:val="5"/>
    </w:lvl>
    <w:lvl w:ilvl="1">
      <w:lvlJc w:val="left"/>
      <w:lvlText w:val="%2."/>
      <w:numFmt w:val="decimal"/>
      <w:start w:val="5"/>
    </w:lvl>
  </w:abstractNum>
  <w:abstractNum w:abstractNumId="104">
    <w:nsid w:val="59ADEA3D"/>
    <w:multiLevelType w:val="hybridMultilevel"/>
    <w:lvl w:ilvl="0">
      <w:lvlJc w:val="left"/>
      <w:lvlText w:val="(%1)"/>
      <w:numFmt w:val="lowerLetter"/>
      <w:start w:val="1"/>
    </w:lvl>
    <w:lvl w:ilvl="1">
      <w:lvlJc w:val="left"/>
      <w:lvlText w:val="%2."/>
      <w:numFmt w:val="decimal"/>
      <w:start w:val="6"/>
    </w:lvl>
  </w:abstractNum>
  <w:abstractNum w:abstractNumId="105">
    <w:nsid w:val="288F1A34"/>
    <w:multiLevelType w:val="hybridMultilevel"/>
    <w:lvl w:ilvl="0">
      <w:lvlJc w:val="left"/>
      <w:lvlText w:val="%1."/>
      <w:numFmt w:val="decimal"/>
      <w:start w:val="7"/>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99" Type="http://schemas.openxmlformats.org/officeDocument/2006/relationships/image" Target="media/image63.png"/><Relationship Id="rId100" Type="http://schemas.openxmlformats.org/officeDocument/2006/relationships/image" Target="media/image64.png"/><Relationship Id="rId108" Type="http://schemas.openxmlformats.org/officeDocument/2006/relationships/image" Target="media/image65.png"/><Relationship Id="rId109" Type="http://schemas.openxmlformats.org/officeDocument/2006/relationships/image" Target="media/image66.png"/><Relationship Id="rId110" Type="http://schemas.openxmlformats.org/officeDocument/2006/relationships/image" Target="media/image67.png"/><Relationship Id="rId111" Type="http://schemas.openxmlformats.org/officeDocument/2006/relationships/image" Target="media/image68.png"/><Relationship Id="rId112" Type="http://schemas.openxmlformats.org/officeDocument/2006/relationships/image" Target="media/image69.png"/><Relationship Id="rId113" Type="http://schemas.openxmlformats.org/officeDocument/2006/relationships/image" Target="media/image70.png"/><Relationship Id="rId114" Type="http://schemas.openxmlformats.org/officeDocument/2006/relationships/image" Target="media/image71.png"/><Relationship Id="rId115" Type="http://schemas.openxmlformats.org/officeDocument/2006/relationships/image" Target="media/image72.png"/><Relationship Id="rId116" Type="http://schemas.openxmlformats.org/officeDocument/2006/relationships/image" Target="media/image73.png"/><Relationship Id="rId117" Type="http://schemas.openxmlformats.org/officeDocument/2006/relationships/image" Target="media/image74.png"/><Relationship Id="rId118" Type="http://schemas.openxmlformats.org/officeDocument/2006/relationships/image" Target="media/image75.png"/><Relationship Id="rId119" Type="http://schemas.openxmlformats.org/officeDocument/2006/relationships/image" Target="media/image76.png"/><Relationship Id="rId120" Type="http://schemas.openxmlformats.org/officeDocument/2006/relationships/image" Target="media/image77.png"/><Relationship Id="rId121" Type="http://schemas.openxmlformats.org/officeDocument/2006/relationships/image" Target="media/image78.png"/><Relationship Id="rId122" Type="http://schemas.openxmlformats.org/officeDocument/2006/relationships/image" Target="media/image79.png"/><Relationship Id="rId123" Type="http://schemas.openxmlformats.org/officeDocument/2006/relationships/image" Target="media/image80.png"/><Relationship Id="rId124" Type="http://schemas.openxmlformats.org/officeDocument/2006/relationships/image" Target="media/image81.png"/><Relationship Id="rId125" Type="http://schemas.openxmlformats.org/officeDocument/2006/relationships/image" Target="media/image82.png"/><Relationship Id="rId126" Type="http://schemas.openxmlformats.org/officeDocument/2006/relationships/image" Target="media/image83.png"/><Relationship Id="rId127" Type="http://schemas.openxmlformats.org/officeDocument/2006/relationships/image" Target="media/image84.png"/><Relationship Id="rId128" Type="http://schemas.openxmlformats.org/officeDocument/2006/relationships/image" Target="media/image85.png"/><Relationship Id="rId129" Type="http://schemas.openxmlformats.org/officeDocument/2006/relationships/image" Target="media/image86.png"/><Relationship Id="rId130" Type="http://schemas.openxmlformats.org/officeDocument/2006/relationships/image" Target="media/image87.png"/><Relationship Id="rId131" Type="http://schemas.openxmlformats.org/officeDocument/2006/relationships/image" Target="media/image88.png"/><Relationship Id="rId132" Type="http://schemas.openxmlformats.org/officeDocument/2006/relationships/image" Target="media/image89.png"/><Relationship Id="rId133" Type="http://schemas.openxmlformats.org/officeDocument/2006/relationships/image" Target="media/image90.png"/><Relationship Id="rId134" Type="http://schemas.openxmlformats.org/officeDocument/2006/relationships/image" Target="media/image91.png"/><Relationship Id="rId135" Type="http://schemas.openxmlformats.org/officeDocument/2006/relationships/image" Target="media/image92.png"/><Relationship Id="rId136" Type="http://schemas.openxmlformats.org/officeDocument/2006/relationships/image" Target="media/image93.png"/><Relationship Id="rId137" Type="http://schemas.openxmlformats.org/officeDocument/2006/relationships/image" Target="media/image94.png"/><Relationship Id="rId138" Type="http://schemas.openxmlformats.org/officeDocument/2006/relationships/image" Target="media/image95.png"/><Relationship Id="rId139" Type="http://schemas.openxmlformats.org/officeDocument/2006/relationships/image" Target="media/image96.png"/><Relationship Id="rId140" Type="http://schemas.openxmlformats.org/officeDocument/2006/relationships/image" Target="media/image97.png"/><Relationship Id="rId141" Type="http://schemas.openxmlformats.org/officeDocument/2006/relationships/image" Target="media/image98.png"/><Relationship Id="rId142"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68" Type="http://schemas.openxmlformats.org/officeDocument/2006/relationships/hyperlink" Target="http://www.sec.gov/Archives/edgar/data/34903/000119312509131764/dex31.htm" TargetMode="External"/><Relationship Id="rId69" Type="http://schemas.openxmlformats.org/officeDocument/2006/relationships/hyperlink" Target="https://www.sec.gov/Archives/edgar/data/34903/000003490320000021/frt-03312020xex32.htm" TargetMode="External"/><Relationship Id="rId70" Type="http://schemas.openxmlformats.org/officeDocument/2006/relationships/hyperlink" Target="http://www.sec.gov/Archives/edgar/data/34903/000095010900001048/0000950109-00-001048.txt" TargetMode="External"/><Relationship Id="rId71" Type="http://schemas.openxmlformats.org/officeDocument/2006/relationships/hyperlink" Target="http://www.sec.gov/Archives/edgar/data/34903/000119312507053506/dex41.htm" TargetMode="External"/><Relationship Id="rId72" Type="http://schemas.openxmlformats.org/officeDocument/2006/relationships/hyperlink" Target="http://www.sec.gov/Archives/edgar/data/34903/0000950109-98-004542.txt" TargetMode="External"/><Relationship Id="rId73" Type="http://schemas.openxmlformats.org/officeDocument/2006/relationships/hyperlink" Target="http://www.sec.gov/Archives/edgar/data/34903/000119312517299279/d453589dex32.htm" TargetMode="External"/><Relationship Id="rId74" Type="http://schemas.openxmlformats.org/officeDocument/2006/relationships/hyperlink" Target="http://www.sec.gov/Archives/edgar/data/34903/000119312517299279/d453589dex41.htm" TargetMode="External"/><Relationship Id="rId75" Type="http://schemas.openxmlformats.org/officeDocument/2006/relationships/hyperlink" Target="http://www.sec.gov/Archives/edgar/data/34903/000119312517299279/d453589dex43.htm" TargetMode="External"/><Relationship Id="rId76" Type="http://schemas.openxmlformats.org/officeDocument/2006/relationships/hyperlink" Target="https://www.sec.gov/Archives/edgar/data/34903/000003490320000008/frt-12312019xex48.htm" TargetMode="External"/><Relationship Id="rId77" Type="http://schemas.openxmlformats.org/officeDocument/2006/relationships/hyperlink" Target="http://www.sec.gov/Archives/edgar/data/34903/0000928385-99-001432.txt" TargetMode="External"/><Relationship Id="rId78" Type="http://schemas.openxmlformats.org/officeDocument/2006/relationships/hyperlink" Target="http://www.sec.gov/Archives/edgar/data/34903/000119312505043736/dex1012.htm" TargetMode="External"/><Relationship Id="rId79" Type="http://schemas.openxmlformats.org/officeDocument/2006/relationships/hyperlink" Target="http://www.sec.gov/Archives/edgar/data/34903/000092838501500706/dex991.txt" TargetMode="External"/><Relationship Id="rId80" Type="http://schemas.openxmlformats.org/officeDocument/2006/relationships/hyperlink" Target="http://www.sec.gov/Archives/edgar/data/34903/000119312505043736/dex1026.htm" TargetMode="External"/><Relationship Id="rId81" Type="http://schemas.openxmlformats.org/officeDocument/2006/relationships/hyperlink" Target="http://www.sec.gov/Archives/edgar/data/34903/000119312505151516/dex1026.htm" TargetMode="External"/><Relationship Id="rId82" Type="http://schemas.openxmlformats.org/officeDocument/2006/relationships/hyperlink" Target="http://www.sec.gov/Archives/edgar/data/34903/000119312505043736/dex1027.htm" TargetMode="External"/><Relationship Id="rId85" Type="http://schemas.openxmlformats.org/officeDocument/2006/relationships/hyperlink" Target="http://www.sec.gov/Archives/edgar/data/34903/000119312511036800/dex1035.htm" TargetMode="External"/><Relationship Id="rId86" Type="http://schemas.openxmlformats.org/officeDocument/2006/relationships/hyperlink" Target="http://www.sec.gov/Archives/edgar/data/34903/000119312509038641/dex1026.htm" TargetMode="External"/><Relationship Id="rId87" Type="http://schemas.openxmlformats.org/officeDocument/2006/relationships/hyperlink" Target="http://www.sec.gov/Archives/edgar/data/34903/000119312509038641/dex1027.htm" TargetMode="External"/><Relationship Id="rId88" Type="http://schemas.openxmlformats.org/officeDocument/2006/relationships/hyperlink" Target="http://www.sec.gov/Archives/edgar/data/34903/000119312509038641/dex1028.htm" TargetMode="External"/><Relationship Id="rId89" Type="http://schemas.openxmlformats.org/officeDocument/2006/relationships/hyperlink" Target="http://www.sec.gov/Archives/edgar/data/34903/000119312509038641/dex1030.htm" TargetMode="External"/><Relationship Id="rId90" Type="http://schemas.openxmlformats.org/officeDocument/2006/relationships/hyperlink" Target="http://www.sec.gov/Archives/edgar/data/34903/000119312510065274/ddef14a.htm#toc85041_80" TargetMode="External"/><Relationship Id="rId91" Type="http://schemas.openxmlformats.org/officeDocument/2006/relationships/hyperlink" Target="http://www.sec.gov/Archives/edgar/data/34903/000119312510246216/dex1036.htm" TargetMode="External"/><Relationship Id="rId92" Type="http://schemas.openxmlformats.org/officeDocument/2006/relationships/hyperlink" Target="http://www.sec.gov/Archives/edgar/data/34903/000119312511036800/dex1034.htm" TargetMode="External"/><Relationship Id="rId93" Type="http://schemas.openxmlformats.org/officeDocument/2006/relationships/hyperlink" Target="http://www.sec.gov/Archives/edgar/data/34903/000119312511036800/dex1038.htm" TargetMode="External"/><Relationship Id="rId94" Type="http://schemas.openxmlformats.org/officeDocument/2006/relationships/hyperlink" Target="http://www.sec.gov/Archives/edgar/data/34903/000119312511036800/dex1039.htm" TargetMode="External"/><Relationship Id="rId95" Type="http://schemas.openxmlformats.org/officeDocument/2006/relationships/hyperlink" Target="http://www.sec.gov/Archives/edgar/data/34903/000119312511036800/dex1040.htm" TargetMode="External"/><Relationship Id="rId96" Type="http://schemas.openxmlformats.org/officeDocument/2006/relationships/hyperlink" Target="http://www.sec.gov/Archives/edgar/data/34903/000119312511186005/dex101.htm" TargetMode="External"/><Relationship Id="rId97" Type="http://schemas.openxmlformats.org/officeDocument/2006/relationships/hyperlink" Target="http://www.sec.gov/Archives/edgar/data/34903/000003490313000006/frt-12312012xex1035.htm" TargetMode="External"/><Relationship Id="rId98" Type="http://schemas.openxmlformats.org/officeDocument/2006/relationships/hyperlink" Target="http://www.sec.gov/Archives/edgar/data/34903/000003490313000006/frt-12312012xex1038.htm" TargetMode="External"/><Relationship Id="rId101" Type="http://schemas.openxmlformats.org/officeDocument/2006/relationships/hyperlink" Target="http://www.sec.gov/Archives/edgar/data/34903/000003490313000012/frt-04262013ex101.htm" TargetMode="External"/><Relationship Id="rId102" Type="http://schemas.openxmlformats.org/officeDocument/2006/relationships/hyperlink" Target="http://www.sec.gov/Archives/edgar/data/34903/000003490316000053/frt-042016ex101.htm" TargetMode="External"/><Relationship Id="rId103" Type="http://schemas.openxmlformats.org/officeDocument/2006/relationships/hyperlink" Target="http://www.sec.gov/Archives/edgar/data/34903/000003490316000072/frt-09302016xex1036.htm" TargetMode="External"/><Relationship Id="rId104" Type="http://schemas.openxmlformats.org/officeDocument/2006/relationships/hyperlink" Target="http://www.sec.gov/Archives/edgar/data/34903/000003490314000032/frt-08282014ex101.htm" TargetMode="External"/><Relationship Id="rId105" Type="http://schemas.openxmlformats.org/officeDocument/2006/relationships/hyperlink" Target="https://www.sec.gov/Archives/edgar/data/34903/000119312520080068/d861275ddef14a.htm#tx861275_56" TargetMode="External"/><Relationship Id="rId106" Type="http://schemas.openxmlformats.org/officeDocument/2006/relationships/hyperlink" Target="https://www.sec.gov/Archives/edgar/data/34903/000119312520134999/d877466dex101.htm" TargetMode="External"/><Relationship Id="rId107" Type="http://schemas.openxmlformats.org/officeDocument/2006/relationships/hyperlink" Target="https://www.sec.gov/Archives/edgar/data/34903/000119312520134999/d87746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2021-02-11T15:27:08Z</dcterms:created>
  <dcterms:modified xsi:type="dcterms:W3CDTF">2021-02-11T15:27:08Z</dcterms:modified>
</cp:coreProperties>
</file>