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right="500"/>
        <w:spacing w:after="0" w:line="258" w:lineRule="auto"/>
        <w:rPr>
          <w:sz w:val="20"/>
          <w:szCs w:val="20"/>
          <w:color w:val="auto"/>
        </w:rPr>
      </w:pPr>
      <w:r>
        <w:rPr>
          <w:rFonts w:ascii="Arial" w:cs="Arial" w:eastAsia="Arial" w:hAnsi="Arial"/>
          <w:sz w:val="18"/>
          <w:szCs w:val="18"/>
          <w:b w:val="1"/>
          <w:bCs w:val="1"/>
          <w:color w:val="DE1A1E"/>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AUGUST 10,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333-160009</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16, 2009)</w:t>
      </w:r>
    </w:p>
    <w:p>
      <w:pPr>
        <w:spacing w:after="0" w:line="131" w:lineRule="exact"/>
        <w:rPr>
          <w:sz w:val="24"/>
          <w:szCs w:val="24"/>
          <w:color w:val="auto"/>
        </w:rPr>
      </w:pPr>
    </w:p>
    <w:p>
      <w:pPr>
        <w:ind w:left="5860"/>
        <w:spacing w:after="0"/>
        <w:rPr>
          <w:sz w:val="20"/>
          <w:szCs w:val="20"/>
          <w:color w:val="auto"/>
        </w:rPr>
      </w:pPr>
      <w:r>
        <w:rPr>
          <w:rFonts w:ascii="Arial" w:cs="Arial" w:eastAsia="Arial" w:hAnsi="Arial"/>
          <w:sz w:val="24"/>
          <w:szCs w:val="24"/>
          <w:b w:val="1"/>
          <w:bCs w:val="1"/>
          <w:color w:val="auto"/>
        </w:rPr>
        <w:t>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178435</wp:posOffset>
            </wp:positionV>
            <wp:extent cx="1380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100" w:firstLine="685"/>
        <w:spacing w:after="0" w:line="332" w:lineRule="auto"/>
        <w:rPr>
          <w:sz w:val="20"/>
          <w:szCs w:val="20"/>
          <w:color w:val="auto"/>
        </w:rPr>
      </w:pPr>
      <w:r>
        <w:rPr>
          <w:rFonts w:ascii="Arial" w:cs="Arial" w:eastAsia="Arial" w:hAnsi="Arial"/>
          <w:sz w:val="16"/>
          <w:szCs w:val="16"/>
          <w:color w:val="auto"/>
        </w:rPr>
        <w:t>We are offering of our common shares of beneficial interest. Our common shares are listed on the New York Stock Exchange under the symbol “FRT.” On August 7, 2009, the last reported sale price of our common shares on the New York Stock Exchange was $61.44 per share.</w:t>
      </w:r>
    </w:p>
    <w:p>
      <w:pPr>
        <w:spacing w:after="0" w:line="52" w:lineRule="exact"/>
        <w:rPr>
          <w:sz w:val="24"/>
          <w:szCs w:val="24"/>
          <w:color w:val="auto"/>
        </w:rPr>
      </w:pPr>
    </w:p>
    <w:p>
      <w:pPr>
        <w:ind w:right="400" w:firstLine="685"/>
        <w:spacing w:after="0" w:line="258" w:lineRule="auto"/>
        <w:rPr>
          <w:rFonts w:ascii="Arial" w:cs="Arial" w:eastAsia="Arial" w:hAnsi="Arial"/>
          <w:sz w:val="24"/>
          <w:szCs w:val="24"/>
          <w:b w:val="1"/>
          <w:bCs w:val="1"/>
          <w:color w:val="auto"/>
        </w:rPr>
      </w:pPr>
      <w:r>
        <w:rPr>
          <w:rFonts w:ascii="Arial" w:cs="Arial" w:eastAsia="Arial" w:hAnsi="Arial"/>
          <w:sz w:val="24"/>
          <w:szCs w:val="24"/>
          <w:b w:val="1"/>
          <w:bCs w:val="1"/>
          <w:color w:val="auto"/>
        </w:rPr>
        <w:t>Investing in our common shares involves risks. See “</w:t>
      </w:r>
      <w:hyperlink w:anchor="page17">
        <w:r>
          <w:rPr>
            <w:rFonts w:ascii="Arial" w:cs="Arial" w:eastAsia="Arial" w:hAnsi="Arial"/>
            <w:sz w:val="24"/>
            <w:szCs w:val="24"/>
            <w:b w:val="1"/>
            <w:bCs w:val="1"/>
            <w:u w:val="single" w:color="auto"/>
            <w:color w:val="0000EE"/>
          </w:rPr>
          <w:t>Risk Factors</w:t>
        </w:r>
      </w:hyperlink>
      <w:r>
        <w:rPr>
          <w:rFonts w:ascii="Arial" w:cs="Arial" w:eastAsia="Arial" w:hAnsi="Arial"/>
          <w:sz w:val="24"/>
          <w:szCs w:val="24"/>
          <w:b w:val="1"/>
          <w:bCs w:val="1"/>
          <w:color w:val="auto"/>
        </w:rPr>
        <w:t>” beginning on page 2 of the accompanying prospectus and in our Annual Report on Form 10-K for the year ended December 31, 2008, filed with the Securities and Exchange Commission, or the SEC, on February 26, 2009, as amended on June 25,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61"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8"/>
                <w:szCs w:val="18"/>
                <w:b w:val="1"/>
                <w:bCs w:val="1"/>
                <w:color w:val="auto"/>
              </w:rPr>
              <w:t>Per</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8"/>
        </w:trPr>
        <w:tc>
          <w:tcPr>
            <w:tcW w:w="7860" w:type="dxa"/>
            <w:vAlign w:val="bottom"/>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Share</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Total</w:t>
            </w: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Public offering price</w:t>
            </w:r>
          </w:p>
        </w:tc>
        <w:tc>
          <w:tcPr>
            <w:tcW w:w="660" w:type="dxa"/>
            <w:vAlign w:val="bottom"/>
          </w:tcPr>
          <w:p>
            <w:pPr>
              <w:jc w:val="right"/>
              <w:ind w:right="499"/>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7"/>
                <w:szCs w:val="17"/>
                <w:color w:val="auto"/>
              </w:rPr>
            </w:pPr>
          </w:p>
        </w:tc>
        <w:tc>
          <w:tcPr>
            <w:tcW w:w="680" w:type="dxa"/>
            <w:vAlign w:val="bottom"/>
          </w:tcPr>
          <w:p>
            <w:pPr>
              <w:jc w:val="right"/>
              <w:ind w:right="518"/>
              <w:spacing w:after="0"/>
              <w:rPr>
                <w:sz w:val="20"/>
                <w:szCs w:val="20"/>
                <w:color w:val="auto"/>
              </w:rPr>
            </w:pPr>
            <w:r>
              <w:rPr>
                <w:rFonts w:ascii="Arial" w:cs="Arial" w:eastAsia="Arial" w:hAnsi="Arial"/>
                <w:sz w:val="15"/>
                <w:szCs w:val="15"/>
                <w:color w:val="auto"/>
                <w:w w:val="71"/>
              </w:rPr>
              <w:t>$</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Underwriting discount</w:t>
            </w:r>
          </w:p>
        </w:tc>
        <w:tc>
          <w:tcPr>
            <w:tcW w:w="660" w:type="dxa"/>
            <w:vAlign w:val="bottom"/>
          </w:tcPr>
          <w:p>
            <w:pPr>
              <w:jc w:val="right"/>
              <w:ind w:right="499"/>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18"/>
              <w:spacing w:after="0"/>
              <w:rPr>
                <w:sz w:val="20"/>
                <w:szCs w:val="20"/>
                <w:color w:val="auto"/>
              </w:rPr>
            </w:pPr>
            <w:r>
              <w:rPr>
                <w:rFonts w:ascii="Arial" w:cs="Arial" w:eastAsia="Arial" w:hAnsi="Arial"/>
                <w:sz w:val="18"/>
                <w:szCs w:val="18"/>
                <w:color w:val="auto"/>
              </w:rPr>
              <w:t>$</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660" w:type="dxa"/>
            <w:vAlign w:val="bottom"/>
          </w:tcPr>
          <w:p>
            <w:pPr>
              <w:jc w:val="right"/>
              <w:ind w:right="499"/>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18"/>
              <w:spacing w:after="0"/>
              <w:rPr>
                <w:sz w:val="20"/>
                <w:szCs w:val="20"/>
                <w:color w:val="auto"/>
              </w:rPr>
            </w:pPr>
            <w:r>
              <w:rPr>
                <w:rFonts w:ascii="Arial" w:cs="Arial" w:eastAsia="Arial" w:hAnsi="Arial"/>
                <w:sz w:val="18"/>
                <w:szCs w:val="18"/>
                <w:color w:val="auto"/>
              </w:rPr>
              <w:t>$</w:t>
            </w:r>
          </w:p>
        </w:tc>
      </w:tr>
    </w:tbl>
    <w:p>
      <w:pPr>
        <w:spacing w:after="0" w:line="142" w:lineRule="exact"/>
        <w:rPr>
          <w:sz w:val="24"/>
          <w:szCs w:val="24"/>
          <w:color w:val="auto"/>
        </w:rPr>
      </w:pPr>
    </w:p>
    <w:p>
      <w:pPr>
        <w:ind w:left="700"/>
        <w:spacing w:after="0"/>
        <w:tabs>
          <w:tab w:leader="none" w:pos="5440" w:val="left"/>
        </w:tabs>
        <w:rPr>
          <w:sz w:val="20"/>
          <w:szCs w:val="20"/>
          <w:color w:val="auto"/>
        </w:rPr>
      </w:pPr>
      <w:r>
        <w:rPr>
          <w:rFonts w:ascii="Arial" w:cs="Arial" w:eastAsia="Arial" w:hAnsi="Arial"/>
          <w:sz w:val="18"/>
          <w:szCs w:val="18"/>
          <w:color w:val="auto"/>
        </w:rPr>
        <w:t>Delivery of the common shares will be made on or about August</w:t>
      </w:r>
      <w:r>
        <w:rPr>
          <w:sz w:val="20"/>
          <w:szCs w:val="20"/>
          <w:color w:val="auto"/>
        </w:rPr>
        <w:tab/>
      </w:r>
      <w:r>
        <w:rPr>
          <w:rFonts w:ascii="Arial" w:cs="Arial" w:eastAsia="Arial" w:hAnsi="Arial"/>
          <w:sz w:val="15"/>
          <w:szCs w:val="15"/>
          <w:color w:val="auto"/>
        </w:rPr>
        <w:t>, 2009.</w:t>
      </w:r>
    </w:p>
    <w:p>
      <w:pPr>
        <w:sectPr>
          <w:pgSz w:w="11900" w:h="16838" w:orient="portrait"/>
          <w:cols w:equalWidth="0" w:num="1">
            <w:col w:w="11420"/>
          </w:cols>
          <w:pgMar w:left="240" w:top="230" w:right="239" w:bottom="1440" w:gutter="0" w:footer="0" w:header="0"/>
        </w:sectPr>
      </w:pPr>
    </w:p>
    <w:p>
      <w:pPr>
        <w:spacing w:after="0" w:line="158" w:lineRule="exact"/>
        <w:rPr>
          <w:sz w:val="24"/>
          <w:szCs w:val="24"/>
          <w:color w:val="auto"/>
        </w:rPr>
      </w:pPr>
    </w:p>
    <w:p>
      <w:pPr>
        <w:ind w:left="700"/>
        <w:spacing w:after="0"/>
        <w:rPr>
          <w:sz w:val="20"/>
          <w:szCs w:val="20"/>
          <w:color w:val="auto"/>
        </w:rPr>
      </w:pPr>
      <w:r>
        <w:rPr>
          <w:rFonts w:ascii="Arial" w:cs="Arial" w:eastAsia="Arial" w:hAnsi="Arial"/>
          <w:sz w:val="16"/>
          <w:szCs w:val="16"/>
          <w:color w:val="auto"/>
        </w:rPr>
        <w:t>The underwriters may also purchase up to an additional</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date of this prospectus supplement to cover over-allotments, if any.</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color w:val="auto"/>
        </w:rPr>
        <w:t>shares at the public offering price, less the underwriting discount, within 30 days from</w:t>
      </w:r>
    </w:p>
    <w:p>
      <w:pPr>
        <w:spacing w:after="0" w:line="390" w:lineRule="exact"/>
        <w:rPr>
          <w:sz w:val="24"/>
          <w:szCs w:val="24"/>
          <w:color w:val="auto"/>
        </w:rPr>
      </w:pPr>
    </w:p>
    <w:p>
      <w:pPr>
        <w:sectPr>
          <w:pgSz w:w="11900" w:h="16838" w:orient="portrait"/>
          <w:cols w:equalWidth="0" w:num="2">
            <w:col w:w="4980" w:space="220"/>
            <w:col w:w="6220"/>
          </w:cols>
          <w:pgMar w:left="240" w:top="230" w:right="239" w:bottom="1440" w:gutter="0" w:footer="0" w:header="0"/>
          <w:type w:val="continuous"/>
        </w:sectPr>
      </w:pPr>
    </w:p>
    <w:p>
      <w:pPr>
        <w:ind w:right="800" w:firstLine="685"/>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99060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230" w:right="239" w:bottom="1440" w:gutter="0" w:footer="0" w:header="0"/>
          <w:type w:val="continuous"/>
        </w:sectPr>
      </w:pPr>
    </w:p>
    <w:p>
      <w:pPr>
        <w:spacing w:after="0" w:line="125"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Wells Fargo Securities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00" w:lineRule="exact"/>
        <w:rPr>
          <w:sz w:val="24"/>
          <w:szCs w:val="24"/>
          <w:color w:val="auto"/>
        </w:rPr>
      </w:pPr>
    </w:p>
    <w:p>
      <w:pPr>
        <w:sectPr>
          <w:pgSz w:w="11900" w:h="16838" w:orient="portrait"/>
          <w:cols w:equalWidth="0" w:num="2">
            <w:col w:w="9020" w:space="720"/>
            <w:col w:w="1680"/>
          </w:cols>
          <w:pgMar w:left="240" w:top="230" w:right="239" w:bottom="1440" w:gutter="0" w:footer="0" w:header="0"/>
          <w:type w:val="continuous"/>
        </w:sectPr>
      </w:pPr>
    </w:p>
    <w:p>
      <w:pPr>
        <w:spacing w:after="0" w:line="7" w:lineRule="exact"/>
        <w:rPr>
          <w:sz w:val="24"/>
          <w:szCs w:val="24"/>
          <w:color w:val="auto"/>
        </w:rPr>
      </w:pPr>
    </w:p>
    <w:p>
      <w:pPr>
        <w:ind w:left="3520"/>
        <w:spacing w:after="0"/>
        <w:rPr>
          <w:sz w:val="20"/>
          <w:szCs w:val="20"/>
          <w:color w:val="auto"/>
        </w:rPr>
      </w:pPr>
      <w:r>
        <w:rPr>
          <w:rFonts w:ascii="Arial" w:cs="Arial" w:eastAsia="Arial" w:hAnsi="Arial"/>
          <w:sz w:val="15"/>
          <w:szCs w:val="15"/>
          <w:b w:val="1"/>
          <w:bCs w:val="1"/>
          <w:color w:val="auto"/>
        </w:rPr>
        <w:t>The date of this prospectus supplement is August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 2009.</w:t>
      </w:r>
    </w:p>
    <w:p>
      <w:pPr>
        <w:sectPr>
          <w:pgSz w:w="11900" w:h="16838" w:orient="portrait"/>
          <w:cols w:equalWidth="0" w:num="2">
            <w:col w:w="7200" w:space="220"/>
            <w:col w:w="400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5"/>
              </w:rPr>
              <w:t>Prospectus Supplement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2440" w:type="dxa"/>
            <w:vAlign w:val="bottom"/>
            <w:tcBorders>
              <w:bottom w:val="single" w:sz="8" w:color="0000EE"/>
            </w:tcBorders>
            <w:gridSpan w:val="11"/>
          </w:tcPr>
          <w:p>
            <w:pPr>
              <w:spacing w:after="0" w:line="171"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8620" w:type="dxa"/>
            <w:vAlign w:val="bottom"/>
            <w:gridSpan w:val="6"/>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5"/>
          </w:tcPr>
          <w:p>
            <w:pPr>
              <w:spacing w:after="0"/>
              <w:rPr>
                <w:sz w:val="17"/>
                <w:szCs w:val="17"/>
                <w:color w:val="auto"/>
              </w:rPr>
            </w:pPr>
          </w:p>
        </w:tc>
        <w:tc>
          <w:tcPr>
            <w:tcW w:w="6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r>
      <w:tr>
        <w:trPr>
          <w:trHeight w:val="196"/>
        </w:trPr>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Underwriting</w:t>
              </w:r>
            </w:hyperlink>
          </w:p>
        </w:tc>
        <w:tc>
          <w:tcPr>
            <w:tcW w:w="180" w:type="dxa"/>
            <w:vAlign w:val="bottom"/>
            <w:tcBorders>
              <w:top w:val="single" w:sz="8" w:color="0000EE"/>
            </w:tcBorders>
            <w:gridSpan w:val="3"/>
          </w:tcPr>
          <w:p>
            <w:pPr>
              <w:spacing w:after="0"/>
              <w:rPr>
                <w:sz w:val="17"/>
                <w:szCs w:val="17"/>
                <w:color w:val="auto"/>
              </w:rPr>
            </w:pPr>
          </w:p>
        </w:tc>
        <w:tc>
          <w:tcPr>
            <w:tcW w:w="99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Legal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56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3"/>
              </w:rPr>
              <w:t>Prospectus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11060" w:type="dxa"/>
            <w:vAlign w:val="bottom"/>
            <w:gridSpan w:val="17"/>
          </w:tcPr>
          <w:p>
            <w:pPr>
              <w:spacing w:after="0" w:line="171" w:lineRule="exact"/>
              <w:rPr>
                <w:rFonts w:ascii="Arial" w:cs="Arial" w:eastAsia="Arial" w:hAnsi="Arial"/>
                <w:sz w:val="18"/>
                <w:szCs w:val="18"/>
                <w:color w:val="0000EE"/>
              </w:rPr>
            </w:pPr>
            <w:hyperlink w:anchor="page16">
              <w:r>
                <w:rPr>
                  <w:rFonts w:ascii="Arial" w:cs="Arial" w:eastAsia="Arial" w:hAnsi="Arial"/>
                  <w:sz w:val="18"/>
                  <w:szCs w:val="18"/>
                  <w:color w:val="0000EE"/>
                </w:rPr>
                <w:t>About this Prospectus</w:t>
              </w:r>
            </w:hyperlink>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640" w:type="dxa"/>
            <w:vAlign w:val="bottom"/>
            <w:tcBorders>
              <w:top w:val="single" w:sz="8" w:color="0000EE"/>
            </w:tcBorders>
            <w:gridSpan w:val="6"/>
          </w:tcPr>
          <w:p>
            <w:pPr>
              <w:spacing w:after="0"/>
              <w:rPr>
                <w:sz w:val="17"/>
                <w:szCs w:val="17"/>
                <w:color w:val="auto"/>
              </w:rPr>
            </w:pPr>
          </w:p>
        </w:tc>
        <w:tc>
          <w:tcPr>
            <w:tcW w:w="952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Forward-Looking Information</w:t>
              </w:r>
            </w:hyperlink>
          </w:p>
        </w:tc>
        <w:tc>
          <w:tcPr>
            <w:tcW w:w="892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The Company</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Debt Securities</w:t>
              </w:r>
            </w:hyperlink>
          </w:p>
        </w:tc>
        <w:tc>
          <w:tcPr>
            <w:tcW w:w="892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30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Shares of Beneficial Interest</w:t>
              </w:r>
            </w:hyperlink>
          </w:p>
        </w:tc>
        <w:tc>
          <w:tcPr>
            <w:tcW w:w="80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Material Federal Income Tax Considerations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3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792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966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1008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contained or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92"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9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12"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common shares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and the Private Securities Litigation Reform Act of 1995. In particular, the risk factors incorporated by reference in this prospectus supplement and the accompanying prospectus describe forward-looking information. The risk factors contained on page 2 of the accompanying prospectus and in our Annual Report on Form 10-K for the year ended December 31, 2008, filed with the SEC on February 26, 2009, as amended on June 25, 2009,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5" w:lineRule="exact"/>
        <w:rPr>
          <w:sz w:val="20"/>
          <w:szCs w:val="20"/>
          <w:color w:val="auto"/>
        </w:rPr>
      </w:pPr>
    </w:p>
    <w:p>
      <w:pPr>
        <w:ind w:left="900" w:right="4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37"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right="20" w:firstLine="571"/>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and redevelopment of high-quality retail and mixed-use properties located primarily in densely populated and affluent communities in strategically selected metropolitan markets in the Northeast, Mid-Atlantic and California. As of June 30, 2009, we owned or had a majority interest in community and neighborhood shopping centers and mixed-use properties which are operated as 84 predominantly retail real estate projects comprising approximately 18.2 million square feet. In total, the real estate properties were 94.0% leased and 93.2% occupied at June 30, 2009. A joint venture in which we own a 30% interest owned seven retail real estate projects totaling approximately 1.0 million square feet as of June 30, 2009. In total, the joint venture properties in which we own an interest were 96.2% leased and occupied at June 30, 2009.</w:t>
      </w:r>
    </w:p>
    <w:p>
      <w:pPr>
        <w:spacing w:after="0" w:line="134"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 xml:space="preserve">We operate in a manner intended to qualify as a REIT for tax purposes pursuant to provisions of the Internal Revenue Code of 1986, as amended. Our offices are located at 1626 East Jefferson Street, Rockville, Maryland 20852. Our telephone numbers are (301) 998-8100 and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On August 10, 2009, we priced an offering of $150 million of our 5.95% Notes due 2014. We expect to issue these notes on August 13, 2009.</w:t>
      </w:r>
    </w:p>
    <w:p>
      <w:pPr>
        <w:spacing w:after="0" w:line="181"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On August 4, 2009, we announced that our Board of Trustees increased the dividend rate on our common shares, declaring a regular quarterly cash dividend of $0.66 per share, resulting in an indicated annual rate of $2.64 per share, an increase of $0.04 annually or 1.5%. The regular common dividend will be payable on October 15, 2009, to common shareholders of record as of September 23, 2009. This increase represents the 42nd consecutive year that we have increased our common dividend, the longest record of consecutive annual dividend increases in the REIT sector.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i w:val="1"/>
          <w:iCs w:val="1"/>
          <w:color w:val="auto"/>
        </w:rPr>
        <w:t>For a more complete description of the terms of the common shares being offered by this prospectus supplement and the accompanying prospectus, see “Description of Shares of Beneficial Interest” in the accompanying prospectus.</w:t>
      </w:r>
    </w:p>
    <w:p>
      <w:pPr>
        <w:sectPr>
          <w:pgSz w:w="11900" w:h="16838" w:orient="portrait"/>
          <w:cols w:equalWidth="0" w:num="1">
            <w:col w:w="11400"/>
          </w:cols>
          <w:pgMar w:left="240" w:top="459" w:right="2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offered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common shares</w:t>
      </w:r>
    </w:p>
    <w:p>
      <w:pPr>
        <w:spacing w:after="0" w:line="111" w:lineRule="exact"/>
        <w:rPr>
          <w:sz w:val="20"/>
          <w:szCs w:val="20"/>
          <w:color w:val="auto"/>
        </w:rPr>
      </w:pPr>
    </w:p>
    <w:p>
      <w:pPr>
        <w:sectPr>
          <w:pgSz w:w="11900" w:h="16838" w:orient="portrait"/>
          <w:cols w:equalWidth="0" w:num="2">
            <w:col w:w="5900" w:space="720"/>
            <w:col w:w="47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Common shares to be outstanding after this offering</w:t>
      </w:r>
    </w:p>
    <w:p>
      <w:pPr>
        <w:spacing w:after="0" w:line="185"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common shares (1)</w:t>
      </w:r>
    </w:p>
    <w:p>
      <w:pPr>
        <w:sectPr>
          <w:pgSz w:w="11900" w:h="16838" w:orient="portrait"/>
          <w:cols w:equalWidth="0" w:num="1">
            <w:col w:w="11400"/>
          </w:cols>
          <w:pgMar w:left="240" w:top="459" w:right="25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per common share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2"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FRT</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5"/>
          <w:szCs w:val="15"/>
          <w:color w:val="auto"/>
        </w:rPr>
        <w:t>We intend to use the net proceeds from this offering to fund potential acquisition opportunities, fund our redevelopment pipeline, reduce amounts outstanding under our $372 million term loan, and/or for general corporate purposes. See “Use of Proceeds” on page S-3 for more information.</w:t>
      </w:r>
    </w:p>
    <w:p>
      <w:pPr>
        <w:spacing w:after="0" w:line="3"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Material federal income tax considerations</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Arial" w:cs="Arial" w:eastAsia="Arial" w:hAnsi="Arial"/>
          <w:sz w:val="18"/>
          <w:szCs w:val="18"/>
          <w:color w:val="auto"/>
        </w:rPr>
        <w:t>For a description of the material federal income tax considerations of an investment in our common shares, please review the disclosure in the accompanying prospectus under “Material Federal Income Tax Considerations.”</w:t>
      </w:r>
    </w:p>
    <w:p>
      <w:pPr>
        <w:spacing w:after="0" w:line="49"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1697990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86" w:lineRule="auto"/>
        <w:rPr>
          <w:sz w:val="20"/>
          <w:szCs w:val="20"/>
          <w:color w:val="auto"/>
        </w:rPr>
      </w:pPr>
      <w:r>
        <w:rPr>
          <w:rFonts w:ascii="Arial" w:cs="Arial" w:eastAsia="Arial" w:hAnsi="Arial"/>
          <w:sz w:val="16"/>
          <w:szCs w:val="16"/>
          <w:color w:val="auto"/>
        </w:rPr>
        <w:t>Investing in our common shares involves risks. Please review the risk factors discussed on page 2 of the accompanying prospectus and in our Annual Report on Form 10-K for the year ended December 31, 2008, filed with the SEC on February 26, 2009, as amended on June 25, 2009, and the other information contained or incorporated by reference in this prospectus supplement and the accompanying prospectus for a discussion of factors you should consider before deciding to invest in our common shares. You may obtain a copy of our Annual Report on Form 10-K and the other documents incorporated by reference in this prospectus supplement and the accompanying prospectus by following the procedures described under “Where You Can Find More Information” on page 55 of the accompanying prospectus.</w:t>
      </w:r>
    </w:p>
    <w:p>
      <w:pPr>
        <w:spacing w:after="0" w:line="2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59" w:lineRule="exact"/>
        <w:rPr>
          <w:sz w:val="20"/>
          <w:szCs w:val="20"/>
          <w:color w:val="auto"/>
        </w:rPr>
      </w:pPr>
    </w:p>
    <w:p>
      <w:pPr>
        <w:ind w:left="580" w:hanging="572"/>
        <w:spacing w:after="0" w:line="284"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upon 59,179,258 common shares outstanding as of August 7, 2009. Excludes common shares that we may issue upon (i) exercise of outstanding share options, (ii) conversion of our outstanding 5.417% Series 1 Cumulative Convertible Preferred Shares, conversion, exchange or redemption of “downREIT” partnership units, and (iii) exercise of contractual or put rights by current or former joint venture and other business partners. The number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common shares to be outstanding after this offering assumes that the underwriters’ over-allotment option is not exercised. If the over-allotment option is</w:t>
      </w:r>
    </w:p>
    <w:p>
      <w:pPr>
        <w:spacing w:after="0" w:line="394" w:lineRule="exact"/>
        <w:rPr>
          <w:sz w:val="20"/>
          <w:szCs w:val="20"/>
          <w:color w:val="auto"/>
        </w:rPr>
      </w:pPr>
    </w:p>
    <w:p>
      <w:pPr>
        <w:ind w:left="580"/>
        <w:spacing w:after="0"/>
        <w:tabs>
          <w:tab w:leader="none" w:pos="4840" w:val="left"/>
        </w:tabs>
        <w:rPr>
          <w:sz w:val="20"/>
          <w:szCs w:val="20"/>
          <w:color w:val="auto"/>
        </w:rPr>
      </w:pPr>
      <w:r>
        <w:rPr>
          <w:rFonts w:ascii="Arial" w:cs="Arial" w:eastAsia="Arial" w:hAnsi="Arial"/>
          <w:sz w:val="18"/>
          <w:szCs w:val="18"/>
          <w:color w:val="auto"/>
        </w:rPr>
        <w:t>exercised in full, we will issue and sell an additional</w:t>
      </w:r>
      <w:r>
        <w:rPr>
          <w:sz w:val="20"/>
          <w:szCs w:val="20"/>
          <w:color w:val="auto"/>
        </w:rPr>
        <w:tab/>
      </w:r>
      <w:r>
        <w:rPr>
          <w:rFonts w:ascii="Arial" w:cs="Arial" w:eastAsia="Arial" w:hAnsi="Arial"/>
          <w:sz w:val="15"/>
          <w:szCs w:val="15"/>
          <w:color w:val="auto"/>
        </w:rPr>
        <w:t>common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580"/>
        <w:spacing w:after="0"/>
        <w:tabs>
          <w:tab w:leader="none" w:pos="10520" w:val="left"/>
        </w:tabs>
        <w:rPr>
          <w:sz w:val="20"/>
          <w:szCs w:val="20"/>
          <w:color w:val="auto"/>
        </w:rPr>
      </w:pPr>
      <w:r>
        <w:rPr>
          <w:rFonts w:ascii="Arial" w:cs="Arial" w:eastAsia="Arial" w:hAnsi="Arial"/>
          <w:sz w:val="18"/>
          <w:szCs w:val="18"/>
          <w:color w:val="auto"/>
        </w:rPr>
        <w:t>The net proceeds to us from the sale of the common shares offered by this prospectus supplement are estimated to be approximately $</w:t>
      </w:r>
      <w:r>
        <w:rPr>
          <w:sz w:val="20"/>
          <w:szCs w:val="20"/>
          <w:color w:val="auto"/>
        </w:rPr>
        <w:tab/>
      </w:r>
      <w:r>
        <w:rPr>
          <w:rFonts w:ascii="Arial" w:cs="Arial" w:eastAsia="Arial" w:hAnsi="Arial"/>
          <w:sz w:val="16"/>
          <w:szCs w:val="16"/>
          <w:color w:val="auto"/>
        </w:rPr>
        <w:t>million after</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deducting the underwriting discount and other estimated expenses of this offering payable by us. We intend to use these net proceeds to fund potential acquisition opportunities, fund our redevelopment pipeline, reduce amounts outstanding under our $372 million term loan, and/or for general corporate purposes. Our $372 million term loan bears interest at LIBOR, subject to a 1.50% floor, plus 300 basis points and matures on July 27, 2011. Affiliates of certain of the underwriters are lenders under our term loan and will receive a pro rata portion of any proceeds used to reduce amounts outstanding under the term loan.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We intend to offer the common shares through the underwriters. Wells Fargo Securities, LLC and J.P. Morgan Securities Inc. are acting as joint book-running managers and representatives of the underwriters named below. Subject to the terms and conditions stated in an underwriting agreement and a related pricing agreement, each dated the date of this prospectus supplement, each underwriter named below has severally agreed to purchase, and we have agreed to sell to that underwriter, the number of common shares listed opposite its name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29"/>
        </w:trPr>
        <w:tc>
          <w:tcPr>
            <w:tcW w:w="10520" w:type="dxa"/>
            <w:vAlign w:val="bottom"/>
            <w:gridSpan w:val="3"/>
          </w:tcPr>
          <w:p>
            <w:pPr>
              <w:spacing w:after="0"/>
              <w:rPr>
                <w:sz w:val="20"/>
                <w:szCs w:val="20"/>
                <w:color w:val="auto"/>
              </w:rPr>
            </w:pPr>
            <w:r>
              <w:rPr>
                <w:rFonts w:ascii="Arial" w:cs="Arial" w:eastAsia="Arial" w:hAnsi="Arial"/>
                <w:sz w:val="18"/>
                <w:szCs w:val="18"/>
                <w:b w:val="1"/>
                <w:bCs w:val="1"/>
                <w:color w:val="auto"/>
              </w:rPr>
              <w:t>Underwriter</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2"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underwriters have agreed to purchase all of the common shares shown in the above table if any of those common shares are purchased.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jc w:val="both"/>
        <w:ind w:right="340" w:firstLine="571"/>
        <w:spacing w:after="0" w:line="259" w:lineRule="auto"/>
        <w:rPr>
          <w:sz w:val="20"/>
          <w:szCs w:val="20"/>
          <w:color w:val="auto"/>
        </w:rPr>
      </w:pPr>
      <w:r>
        <w:rPr>
          <w:rFonts w:ascii="Arial" w:cs="Arial" w:eastAsia="Arial" w:hAnsi="Arial"/>
          <w:sz w:val="18"/>
          <w:szCs w:val="18"/>
          <w:color w:val="auto"/>
        </w:rPr>
        <w:t>The common shares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underwriters have advised us that they propose to offer the common shares to the public at the initial public offering price on the cover page of this</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prospectus supplement and to dealers at that price less a concession not in excess of $ per share. The underwriters may allow, and the dealers may reallow, a discount not in excess of $ per share to other dealers. After the initial offering, the public offering price and concession to dealers may be changed.</w:t>
      </w:r>
    </w:p>
    <w:p>
      <w:pPr>
        <w:spacing w:after="0" w:line="79"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w w:val="92"/>
              </w:rPr>
              <w:t>Without</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With</w:t>
            </w:r>
          </w:p>
        </w:tc>
      </w:tr>
      <w:tr>
        <w:trPr>
          <w:trHeight w:val="229"/>
        </w:trPr>
        <w:tc>
          <w:tcPr>
            <w:tcW w:w="54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Per Share</w:t>
            </w:r>
          </w:p>
        </w:tc>
        <w:tc>
          <w:tcPr>
            <w:tcW w:w="340" w:type="dxa"/>
            <w:vAlign w:val="bottom"/>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Option</w:t>
            </w:r>
          </w:p>
        </w:tc>
        <w:tc>
          <w:tcPr>
            <w:tcW w:w="3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Option</w:t>
            </w: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9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Underwriting discount</w:t>
            </w:r>
          </w:p>
        </w:tc>
        <w:tc>
          <w:tcPr>
            <w:tcW w:w="396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ind w:left="5600" w:right="1640" w:hanging="5012"/>
        <w:spacing w:after="0" w:line="440" w:lineRule="auto"/>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$150,000. 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our chief executive officer and our chief financial officer have agreed that, for a period of 45 days from the date of this prospectus supplement, we and they will not, without the prior written consent of Wells Fargo Securities, LLC and J.P. Morgan Securities Inc., offer, sell, contract to sell, pledge or otherwise dispose of or hedge any of our common shares or any securities convertible into or exercisable, exchangeable or redeemable for our common shares. This lock-up agreement, however, will not prevent us from issuing or granting options to purchase:</w:t>
      </w:r>
    </w:p>
    <w:p>
      <w:pPr>
        <w:spacing w:after="0" w:line="18" w:lineRule="exact"/>
        <w:rPr>
          <w:sz w:val="20"/>
          <w:szCs w:val="20"/>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shares in this offering;</w:t>
      </w:r>
    </w:p>
    <w:p>
      <w:pPr>
        <w:spacing w:after="0" w:line="103"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 including as a result of exercises of options granted under these plans;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common shares pursuant to our employee or trustee benefit plans, including as a result of exercises of options granted under these plans;</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shares upon conversion of our outstanding 5.417% Series 1 Cumulative Convertible Preferred Shares;</w:t>
      </w:r>
    </w:p>
    <w:p>
      <w:pPr>
        <w:spacing w:after="0" w:line="103"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exist on the date of this prospectus supplement and that require or permit us to issue common shares to current or former holders of partnership or other interests in certain of our “downREIT” partnerships or other subsidiaries, including as a result of exercises of options granted pursuant to such rights; and</w:t>
      </w:r>
    </w:p>
    <w:p>
      <w:pPr>
        <w:spacing w:after="0" w:line="45"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certain conditions, common shares, preferred shares and any other of our securities, including securities convertible into or exercisable, exchangeable or redeemable for common shares, as consideration for the acquisition of real property.</w:t>
      </w:r>
    </w:p>
    <w:p>
      <w:pPr>
        <w:spacing w:after="0" w:line="11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lock-up agreements do not prohibit our chief executive officer or chief financial officer from exercising options (as long as they hold the common shares received from such exercises pursuant to the terms of the lock-up agreements) or purchasing common shares under employee or trustee benefit plans, from making gifts of common shares or securities convertible into or exercisable, exchangeable or redeemable for common shares for the benefit of their immediate families or for charitable purposes as long as the underwriters are provided three business days’ prior written notice and the donee enters into a similar lock-up agreement.</w:t>
      </w:r>
    </w:p>
    <w:p>
      <w:pPr>
        <w:spacing w:after="0" w:line="12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Wells Fargo Securities, LLC and J.P. Morgan Securities Inc. may, in their sole discretion and at any time or from time to time, without notice, release us, our chief executive officer or our chief financial officer from the lock-up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83" w:lineRule="exact"/>
        <w:rPr>
          <w:sz w:val="20"/>
          <w:szCs w:val="20"/>
          <w:color w:val="auto"/>
        </w:rPr>
      </w:pPr>
    </w:p>
    <w:p>
      <w:pPr>
        <w:ind w:left="580"/>
        <w:spacing w:after="0"/>
        <w:tabs>
          <w:tab w:leader="none" w:pos="6620" w:val="left"/>
        </w:tabs>
        <w:rPr>
          <w:sz w:val="20"/>
          <w:szCs w:val="20"/>
          <w:color w:val="auto"/>
        </w:rPr>
      </w:pPr>
      <w:r>
        <w:rPr>
          <w:rFonts w:ascii="Arial" w:cs="Arial" w:eastAsia="Arial" w:hAnsi="Arial"/>
          <w:sz w:val="18"/>
          <w:szCs w:val="18"/>
          <w:color w:val="auto"/>
        </w:rPr>
        <w:t>We have granted an option to the underwriters to purchase up to an additional</w:t>
      </w:r>
      <w:r>
        <w:rPr>
          <w:sz w:val="20"/>
          <w:szCs w:val="20"/>
          <w:color w:val="auto"/>
        </w:rPr>
        <w:tab/>
      </w:r>
      <w:r>
        <w:rPr>
          <w:rFonts w:ascii="Arial" w:cs="Arial" w:eastAsia="Arial" w:hAnsi="Arial"/>
          <w:sz w:val="16"/>
          <w:szCs w:val="16"/>
          <w:color w:val="auto"/>
        </w:rPr>
        <w:t>common shares at the public offering price less the underwriting</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discount. The underwriters may exercise this option for 30 days from the date of this prospectus supplement solely to cover any over-allotments. If the underwriters exercise this option, each will be obligated, subject to conditions contained in the underwriting agreement and related pricing agreement, to purchase a number of additional common shares proportionate to that underwriter’s initial amount reflected in the table on the preceding page.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8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common shares in the open market. These transactions may include short sales, syndicate covering transactions and stabilizing transactions. Short sales involve syndicate sales of common shares in excess of the number of common shares to be purchased by the underwriters in this offering, which creates a syndicate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short position. “Covered” short sales are sales of common shares made in an amount up to the number of common shares represented by the underwriters’ over-allotment option. In determining the source of common shares to close out the covered syndicate short position, the underwriters will consider, among other things, the price of common shares available for purchase in the open market as compared to the price at which they may purchase common shares through the over-allotment option. Transactions to close out the covered syndicate short position involve either purchases of common shares in the open market after the distribution has been completed or the exercise of the over-allotment option. The underwriters may also make “naked” short sales of common shares in excess of the over-allotment option. The underwriters must close out any naked short position by purchasing common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 Stabilizing transactions consist of bids for or purchases of common shares in the open market while this offering is in progress.</w:t>
      </w:r>
    </w:p>
    <w:p>
      <w:pPr>
        <w:spacing w:after="0" w:line="106"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common shares. They may also cause the price of the common shares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Outside the United States</w:t>
      </w:r>
    </w:p>
    <w:p>
      <w:pPr>
        <w:spacing w:after="0" w:line="83"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common shares, or the possession, circulation or distribution of this prospectus supplement, the accompanying prospectus or any other material relating to us or the common shares in any jurisdiction where action for that purpose is required. Accordingly, the common shares may not be offered or sold, directly or indirectly, and none of this prospectus supplement, the accompanying prospectus or any other offering material or advertisements in connection with the common shares may be distributed or published, in or from any country or jurisdiction, except in compliance with any applicable rules and regulations of any such country or jurisdiction.</w:t>
      </w:r>
    </w:p>
    <w:p>
      <w:pPr>
        <w:spacing w:after="0" w:line="102"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Each of the underwriters may arrange to sell common shares offered hereby in certain jurisdictions outside the United States, either directly or through affiliates, where they are permitted to do so. In that regard, Wells Fargo Securities, LLC may arrange to sell common shares in certain jurisdictions through an affiliate, Wells Fargo Securities International Limited, or WSIL. WSIL is a wholly-owned indirect subsidiary of Wells Fargo &amp; Company and an affiliate of Wells Fargo Securities, LLC. WSIL is a U.K. incorporated investment firm regulated by the Financial Services Authority. Wells Fargo Securities is the trade name for certain corporate and investment banking services of Wells Fargo &amp; Company and its affiliates, including Wells Fargo Securities, LLC and WSIL.</w:t>
      </w:r>
    </w:p>
    <w:p>
      <w:pPr>
        <w:spacing w:after="0" w:line="10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European Economic Area. </w:t>
      </w:r>
      <w:r>
        <w:rPr>
          <w:rFonts w:ascii="Arial" w:cs="Arial" w:eastAsia="Arial" w:hAnsi="Arial"/>
          <w:sz w:val="16"/>
          <w:szCs w:val="16"/>
          <w:color w:val="auto"/>
        </w:rPr>
        <w:t>In relation to each member state of the European Economic Area that has implemented the Prospectus Directive, or a relevant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state, with effect from and including the date on which the Prospectus Directive is implemented in that relevant member state, or the relevant implementation date, an offer of common shares described in this prospectus supplement and the accompanying prospectus may not be made to the public in that relevant member state prior to the publication of a prospectus in relation to the common shares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common shares may be offered to the public in that relevant member state at any time:</w:t>
      </w:r>
    </w:p>
    <w:p>
      <w:pPr>
        <w:spacing w:after="0" w:line="24" w:lineRule="exact"/>
        <w:rPr>
          <w:sz w:val="20"/>
          <w:szCs w:val="20"/>
          <w:color w:val="auto"/>
        </w:rPr>
      </w:pPr>
    </w:p>
    <w:p>
      <w:pPr>
        <w:ind w:left="800" w:right="180" w:hanging="225"/>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hanging="225"/>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any legal entity that has two or more of (a) an average of at least 250 employees during the last financial year; (b) a total balance sheet of more than €43,000,000; and (c) an annual net turnover of more than €50,000,000, as shown in its last annual or consolidated accounts;</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common shares shall require us or any underwriter to publish a prospectus pursuant to Article 3 of the Prospective Directive.</w:t>
      </w:r>
    </w:p>
    <w:p>
      <w:pPr>
        <w:spacing w:after="0" w:line="181"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Each purchaser of common shares described in this prospectus supplement and the accompanying prospectus located within a relevant member state will be deemed to have represented, acknowledged and agreed that it is a “qualified investor” within the meaning of Article 2(1)(e) of the Prospectus Directive.</w:t>
      </w:r>
    </w:p>
    <w:p>
      <w:pPr>
        <w:spacing w:after="0" w:line="72"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9"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b w:val="1"/>
          <w:bCs w:val="1"/>
          <w:i w:val="1"/>
          <w:iCs w:val="1"/>
          <w:color w:val="auto"/>
        </w:rPr>
        <w:t xml:space="preserve">United Kingdom. </w:t>
      </w:r>
      <w:r>
        <w:rPr>
          <w:rFonts w:ascii="Arial" w:cs="Arial" w:eastAsia="Arial" w:hAnsi="Arial"/>
          <w:sz w:val="18"/>
          <w:szCs w:val="18"/>
          <w:color w:val="auto"/>
        </w:rPr>
        <w:t>In addition, each underwriter: (a) has only communicated or caused to be communicated and will only communicate or cause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communicated any invitation or inducement to engage in investment activity (within the meaning of Section 21 of the Financial Services and Markets Act 2000, or the FSMA) received by it in connection with the issue or sale of common shares in circumstances in which Section 21(1) of the FSMA does not apply to us, and (b) has complied and will comply with all applicable provisions of the FSMA with respect to anything done by it in relation to the common shares in, from or otherwise involving the United Kingdom.</w:t>
      </w:r>
    </w:p>
    <w:p>
      <w:pPr>
        <w:spacing w:after="0" w:line="12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Without limitation to the other restrictions referred to herein, this prospectus supplement and the accompanying prospectus are directed only at (1) persons outside the United Kingdom; (2) persons having professional experience in matters relating to investments who fall within the definition of “investment professionals” in Article 19(5) of the Financial Services and Markets Act 2000 (Financial Promotion) Order 2005; or (3) high net worth bodies corporate, unincorporated associations and partnerships and trustees of high value trusts as described in Article 49(2) of the Financial Services and Markets Act 2000 (Financial Promotion) Order 2005. Without limitation to the other restrictions referred to herein, any investment or investment activity to which this prospectus supplement and the accompanying prospectus relates is available only to, and will be engaged in only with, such persons, and persons within the United Kingdom who receive this communication (other than persons who fall within (2) or (3) above) should not rely or act upon this communication.</w:t>
      </w:r>
    </w:p>
    <w:p>
      <w:pPr>
        <w:spacing w:after="0" w:line="105"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France. </w:t>
      </w:r>
      <w:r>
        <w:rPr>
          <w:rFonts w:ascii="Arial" w:cs="Arial" w:eastAsia="Arial" w:hAnsi="Arial"/>
          <w:sz w:val="16"/>
          <w:szCs w:val="16"/>
          <w:color w:val="auto"/>
        </w:rPr>
        <w:t>This prospectus supplement and the accompanying prospectus (including any amendment, supplement or replacement thereto) have not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in connection with the offering of our securities that has been approved by the Autorité des marchés financiers or by the competent authority of another State that is a contracting party to the Agreement on the European Economic Area and notified to the Autorité des marchés financiers; no security has been offered or sold or will be offered or sold, directly or indirectly, to the public in France except to permitted investors, or Permitted Investors, consisting of persons licensed to provide the investment service of portfolio management for the account of third parties, qualified investors (investisseurs qualifiés) acting for their own account and/or corporate investors meeting one of the four criteria provided in article D. 341-1 of the French Code Monétaire et Financier and belonging to a limited circle of investors (cercle restreint d’investisseurs) acting for their own account, with “qualified investors”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“limited circle of investors” having the meaning ascribed to them in Article L. 411-2, D. 411-1, D. 411-2, D. 734-1, D. 744-1, D. 754-1 and D. 764-1 of the French Code Monétaire et Financier; neither this prospectus supplement, the accompanying prospectus nor any other materials related to the offer or information contained herein or therein relating to our securities has been released, issued or distributed to the public in France except to Permitted Investors; and the direct or indirect resale to the public in France of any securities acquired by any Permitted Investors may be made only as provided by articles L. 411-1, L. 411-2, L. 412-1 and L. 621-8 to L. 621-8-3 of the French Code Monétaire et Financier and applicable regulations thereunder.</w:t>
      </w:r>
    </w:p>
    <w:p>
      <w:pPr>
        <w:spacing w:after="0" w:line="102" w:lineRule="exact"/>
        <w:rPr>
          <w:sz w:val="20"/>
          <w:szCs w:val="20"/>
          <w:color w:val="auto"/>
        </w:rPr>
      </w:pPr>
    </w:p>
    <w:p>
      <w:pPr>
        <w:ind w:right="100" w:firstLine="571"/>
        <w:spacing w:after="0" w:line="286"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Our securities may not and will not be publicly offered, distributed or re-distributed on a professional basis in or from Switzerland,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this prospectus supplement, the accompanying prospectus nor any other solicitation for investments in our securities may be communicated or distributed in Switzerland in any way that could constitute a public offering within the meaning of articles 652a or 1156 of the Swiss Federal Code of Obligations or of Article 2 of the Federal Act on Investment Funds of March 18, 1994. This prospectus supplement and the accompanying prospectus may not be copied, reproduced, distributed or passed on to others without the representatives’ prior written consent. This prospectus supplement and the accompanying prospectus are not a prospectus within the meaning of Articles 1156 and 652a of the Swiss Code of Obligations or a listing prospectus according to article 32 of the Listing Rules of the Swiss exchange and may not comply with the information standards required thereunder. We will not apply for a listing of our securities on any Swiss stock exchange or other Swiss regulated market and this prospectus supplement and the accompanying prospectus may not comply with the information required under the relevant listing rules. The securities have not been and will not be approved by any Swiss regulatory authority. The securities have not been and will not be registered with or supervised by the Swiss Federal Banking Commission, and have not been and will not be authorized under the Federal Act on Investment Funds of March 18, 1994. The investor protection afforded to acquirers of investment fund certificates by the Federal Act on Investment Funds of March 18, 1994 does not extend to acquirers of our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Affiliates of certain of the underwriters are lenders under our $372 million term loan maturing on July 27, 2011 and will receive a pro rata portion of any proceeds used to reduce amounts outstanding under the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8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 copy of this prospectus supplement and the accompanying prospectus may be made available in electronic format on the websites maintained by one or more of the underwriters. Other than this prospectus supplement in electronic format, the information on any underwriter’s website is not part of this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83"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incorporated by reference in this prospectus supplement and elsewhere in the registration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statement have been so incorporated by reference in reliance upon the reports of Grant Thornton LLP, independent registered public accountants, upon the authority of said firm as experts in accounting and auditing in giving said reports.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The legality of the common shares offered by this prospectus supplement will be passed upon for us by Pillsbury Winthrop Shaw Pittman LLP, Washington, DC. In addition, the descriptions of material U.S.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3"/>
          <w:szCs w:val="13"/>
          <w:color w:val="auto"/>
        </w:rPr>
        <w:t>LLP</w:t>
      </w:r>
      <w:r>
        <w:rPr>
          <w:rFonts w:ascii="Arial" w:cs="Arial" w:eastAsia="Arial" w:hAnsi="Arial"/>
          <w:sz w:val="16"/>
          <w:szCs w:val="16"/>
          <w:color w:val="auto"/>
        </w:rPr>
        <w:t>, New York, New York, will act as counsel to the underwriters.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8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4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6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24"/>
          <w:szCs w:val="24"/>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879"/>
        <w:spacing w:after="0"/>
        <w:rPr>
          <w:sz w:val="20"/>
          <w:szCs w:val="20"/>
          <w:color w:val="auto"/>
        </w:rPr>
      </w:pPr>
      <w:r>
        <w:rPr>
          <w:rFonts w:ascii="Arial" w:cs="Arial" w:eastAsia="Arial" w:hAnsi="Arial"/>
          <w:sz w:val="32"/>
          <w:szCs w:val="32"/>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212725</wp:posOffset>
            </wp:positionV>
            <wp:extent cx="22809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109220</wp:posOffset>
            </wp:positionV>
            <wp:extent cx="22809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3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136" w:lineRule="exact"/>
        <w:rPr>
          <w:sz w:val="20"/>
          <w:szCs w:val="20"/>
          <w:color w:val="auto"/>
        </w:rPr>
      </w:pPr>
    </w:p>
    <w:p>
      <w:pPr>
        <w:ind w:left="5120"/>
        <w:spacing w:after="0"/>
        <w:tabs>
          <w:tab w:leader="none" w:pos="5860" w:val="left"/>
        </w:tabs>
        <w:rPr>
          <w:sz w:val="20"/>
          <w:szCs w:val="20"/>
          <w:color w:val="auto"/>
        </w:rPr>
      </w:pPr>
      <w:r>
        <w:rPr>
          <w:rFonts w:ascii="Arial" w:cs="Arial" w:eastAsia="Arial" w:hAnsi="Arial"/>
          <w:sz w:val="18"/>
          <w:szCs w:val="18"/>
          <w:b w:val="1"/>
          <w:bCs w:val="1"/>
          <w:color w:val="auto"/>
        </w:rPr>
        <w:t>August</w:t>
        <w:tab/>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lvl w:ilvl="1">
      <w:lvlJc w:val="left"/>
      <w:lvlText w:val="•"/>
      <w:numFmt w:val="bullet"/>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30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lvl w:ilvl="1">
      <w:lvlJc w:val="left"/>
      <w:lvlText w:val="•"/>
      <w:numFmt w:val="bullet"/>
      <w:start w:val="1"/>
    </w:lvl>
  </w:abstractNum>
  <w:abstractNum w:abstractNumId="21">
    <w:nsid w:val="749ABB43"/>
    <w:multiLevelType w:val="hybridMultilevel"/>
    <w:lvl w:ilvl="0">
      <w:lvlJc w:val="left"/>
      <w:lvlText w:val="•"/>
      <w:numFmt w:val="bullet"/>
      <w:start w:val="1"/>
    </w:lvl>
    <w:lvl w:ilvl="1">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2"/>
    </w:lvl>
    <w:lvl w:ilvl="1">
      <w:lvlJc w:val="left"/>
      <w:lvlText w:val="(%2)"/>
      <w:numFmt w:val="lowerLetter"/>
      <w:start w:val="1"/>
    </w:lvl>
  </w:abstractNum>
  <w:abstractNum w:abstractNumId="28">
    <w:nsid w:val="520EEDD1"/>
    <w:multiLevelType w:val="hybridMultilevel"/>
    <w:lvl w:ilvl="0">
      <w:lvlJc w:val="left"/>
      <w:lvlText w:val="%1."/>
      <w:numFmt w:val="decimal"/>
      <w:start w:val="7"/>
    </w:lvl>
    <w:lvl w:ilvl="1">
      <w:lvlJc w:val="left"/>
      <w:lvlText w:val="(%2)"/>
      <w:numFmt w:val="lowerLetter"/>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lvl w:ilvl="1">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lvl w:ilvl="1">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lvl w:ilvl="1">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lowerRoman"/>
      <w:start w:val="3"/>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lvl w:ilvl="1">
      <w:lvlJc w:val="left"/>
      <w:lvlText w:val="•"/>
      <w:numFmt w:val="bullet"/>
      <w:start w:val="1"/>
    </w:lvl>
  </w:abstractNum>
  <w:abstractNum w:abstractNumId="69">
    <w:nsid w:val="5DC79EA8"/>
    <w:multiLevelType w:val="hybridMultilevel"/>
    <w:lvl w:ilvl="0">
      <w:lvlJc w:val="left"/>
      <w:lvlText w:val="(%1)"/>
      <w:numFmt w:val="lowerRoman"/>
      <w:start w:val="2"/>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4"/>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2019-12-09T23:01:57Z</dcterms:created>
  <dcterms:modified xsi:type="dcterms:W3CDTF">2019-12-09T23:01:57Z</dcterms:modified>
</cp:coreProperties>
</file>