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56"/>
        <w:spacing w:after="0"/>
        <w:rPr>
          <w:sz w:val="20"/>
          <w:szCs w:val="20"/>
          <w:color w:val="auto"/>
        </w:rPr>
      </w:pPr>
      <w:r>
        <w:rPr>
          <w:rFonts w:ascii="Arial" w:cs="Arial" w:eastAsia="Arial" w:hAnsi="Arial"/>
          <w:sz w:val="18"/>
          <w:szCs w:val="18"/>
          <w:b w:val="1"/>
          <w:bCs w:val="1"/>
          <w:color w:val="auto"/>
        </w:rPr>
        <w:t>909 Rose Avenue</w:t>
      </w:r>
    </w:p>
    <w:p>
      <w:pPr>
        <w:spacing w:after="0" w:line="27"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North Bethesda,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20852</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180340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Depositary Shares, each representing 1/1000 of a</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FRT-C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 of 5.00% Series C 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Redeemable Preferred Share of Beneficial</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Interest, $.01 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70" w:lineRule="exact"/>
        <w:rPr>
          <w:sz w:val="24"/>
          <w:szCs w:val="24"/>
          <w:color w:val="auto"/>
        </w:rPr>
      </w:pPr>
    </w:p>
    <w:p>
      <w:pPr>
        <w:ind w:left="880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ind w:left="4"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previously disclosed in a Current Report on Form 8-K filed on February 24, 2021, Federal Realty Investment Trust (the “Company”) entered into an Equity Distribution Agreement (the “Distribution Agreement”), dated February 24, 2021, with BofA Securities, Inc., Citigroup Global Markets Inc., J.P. Morgan Securities LLC, Wells Fargo Securities, LLC and Jefferies LLC (the “agents”) and the forward purchasers identified therein, under which an aggregate offering price of up to $500,000,000 of the Company’s common shares of beneficial interest, par value $.01 per share (“Shares”), may be offered to or through the agents, acting as sales agents, principals, or forward sellers.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May 7, 2021, the Company filed a new universal shelf registration statement on Form S-3 (the “New Universal Shelf”). In connection with the New Universal Shelf, the Company entered into an amendment (the “Amendment”) to the Distribution Agreement. Prior to the Amendment, the Company had sold Shares under the Distribution Agreement having an aggregate offering price of $95,642,284, including Shares currently subject to outstanding forward sales agreements. The Amendment increased the amount of Shares the Company may sell under the Distribution Agreement such that an aggregate offering price of $500,000,000 of Shares remain available, as of May 7, 2021, for sale pursuant to the terms thereof. From and after May 7, 2021, sales of Shares under the Distribution Agreement will be made pursuant to the New Universal Shelf and the prospectus supplement filed by the Company on May 7, 2021.</w:t>
      </w:r>
    </w:p>
    <w:p>
      <w:pPr>
        <w:spacing w:after="0" w:line="1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Amendment is filed as Exhibit 1.1 to this Current Report on Form 8-K and is incorporated herein by reference. The foregoing description of the material terms of the Amendment is qualified in its entirety by reference to such exhibit.</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60" w:type="dxa"/>
            <w:vAlign w:val="bottom"/>
            <w:gridSpan w:val="7"/>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right"/>
              <w:ind w:right="36"/>
              <w:spacing w:after="0" w:line="158" w:lineRule="exact"/>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3"/>
                <w:szCs w:val="23"/>
                <w:color w:val="auto"/>
              </w:rPr>
            </w:pPr>
          </w:p>
        </w:tc>
        <w:tc>
          <w:tcPr>
            <w:tcW w:w="99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Amendment No. 1, dated May 7, 2021, to Equity Distribution Agreement dated February 22, 2021 among Federal Realty Investment Trust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the forward purchasers and sales agents identified therein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Opinion of Pillsbury Winthrop Shaw Pittman LLP relating to legality of the Shares</w:t>
              </w:r>
            </w:hyperlink>
          </w:p>
        </w:tc>
        <w:tc>
          <w:tcPr>
            <w:tcW w:w="0" w:type="dxa"/>
            <w:vAlign w:val="bottom"/>
          </w:tcPr>
          <w:p>
            <w:pPr>
              <w:spacing w:after="0"/>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4"/>
                <w:szCs w:val="24"/>
                <w:color w:val="auto"/>
              </w:rPr>
            </w:pPr>
          </w:p>
        </w:tc>
        <w:tc>
          <w:tcPr>
            <w:tcW w:w="5960" w:type="dxa"/>
            <w:vAlign w:val="bottom"/>
            <w:tcBorders>
              <w:top w:val="single" w:sz="8" w:color="0000EE"/>
            </w:tcBorders>
            <w:gridSpan w:val="5"/>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Opinion of Pillsbury Winthrop Shaw Pittman LLP relating to certain tax matters</w:t>
              </w:r>
            </w:hyperlink>
          </w:p>
        </w:tc>
        <w:tc>
          <w:tcPr>
            <w:tcW w:w="4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6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Consents of Pillsbury Winthrop Shaw Pittman LLP (contained in the opinions filed as </w:t>
            </w:r>
            <w:hyperlink w:anchor="page10">
              <w:r>
                <w:rPr>
                  <w:rFonts w:ascii="Arial" w:cs="Arial" w:eastAsia="Arial" w:hAnsi="Arial"/>
                  <w:sz w:val="18"/>
                  <w:szCs w:val="18"/>
                  <w:color w:val="0000EE"/>
                </w:rPr>
                <w:t>Exhibits 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11">
              <w:r>
                <w:rPr>
                  <w:rFonts w:ascii="Arial" w:cs="Arial" w:eastAsia="Arial" w:hAnsi="Arial"/>
                  <w:sz w:val="18"/>
                  <w:szCs w:val="18"/>
                  <w:color w:val="0000EE"/>
                </w:rPr>
                <w:t>8.1</w:t>
              </w:r>
              <w:r>
                <w:rPr>
                  <w:rFonts w:ascii="Arial" w:cs="Arial" w:eastAsia="Arial" w:hAnsi="Arial"/>
                  <w:sz w:val="18"/>
                  <w:szCs w:val="18"/>
                  <w:color w:val="auto"/>
                </w:rPr>
                <w:t xml:space="preserve"> </w:t>
              </w:r>
            </w:hyperlink>
            <w:r>
              <w:rPr>
                <w:rFonts w:ascii="Arial" w:cs="Arial" w:eastAsia="Arial" w:hAnsi="Arial"/>
                <w:sz w:val="18"/>
                <w:szCs w:val="18"/>
                <w:color w:val="auto"/>
              </w:rPr>
              <w:t>hereto)</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40" w:top="297" w:right="4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940"/>
          </w:cols>
          <w:pgMar w:left="440" w:top="301"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DATED MAY 7, 2021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DISTRIBUTION AGREEMENT, DATED FEBRUARY 24, 2021</w:t>
      </w:r>
    </w:p>
    <w:p>
      <w:pPr>
        <w:spacing w:after="0" w:line="207"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b w:val="1"/>
          <w:bCs w:val="1"/>
          <w:color w:val="auto"/>
        </w:rPr>
        <w:t>Amendment</w:t>
      </w:r>
      <w:r>
        <w:rPr>
          <w:rFonts w:ascii="Arial" w:cs="Arial" w:eastAsia="Arial" w:hAnsi="Arial"/>
          <w:sz w:val="17"/>
          <w:szCs w:val="17"/>
          <w:color w:val="auto"/>
        </w:rPr>
        <w:t>”) to the Equity Distribution Agreement, dated February 24, 2021 (the “</w:t>
      </w:r>
      <w:r>
        <w:rPr>
          <w:rFonts w:ascii="Arial" w:cs="Arial" w:eastAsia="Arial" w:hAnsi="Arial"/>
          <w:sz w:val="17"/>
          <w:szCs w:val="17"/>
          <w:b w:val="1"/>
          <w:bCs w:val="1"/>
          <w:color w:val="auto"/>
        </w:rPr>
        <w:t>Distribution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by and among Federal Realty Investment Trust, a Maryland real estate investment trust (the “</w:t>
      </w:r>
      <w:r>
        <w:rPr>
          <w:rFonts w:ascii="Arial" w:cs="Arial" w:eastAsia="Arial" w:hAnsi="Arial"/>
          <w:sz w:val="17"/>
          <w:szCs w:val="17"/>
          <w:b w:val="1"/>
          <w:bCs w:val="1"/>
          <w:color w:val="auto"/>
        </w:rPr>
        <w:t>Company</w:t>
      </w:r>
      <w:r>
        <w:rPr>
          <w:rFonts w:ascii="Arial" w:cs="Arial" w:eastAsia="Arial" w:hAnsi="Arial"/>
          <w:sz w:val="17"/>
          <w:szCs w:val="17"/>
          <w:color w:val="auto"/>
        </w:rPr>
        <w:t>”), and Bank of America, N.A.,</w:t>
      </w:r>
      <w:r>
        <w:rPr>
          <w:rFonts w:ascii="Arial" w:cs="Arial" w:eastAsia="Arial" w:hAnsi="Arial"/>
          <w:sz w:val="17"/>
          <w:szCs w:val="17"/>
          <w:b w:val="1"/>
          <w:bCs w:val="1"/>
          <w:color w:val="auto"/>
        </w:rPr>
        <w:t xml:space="preserve"> </w:t>
      </w:r>
      <w:r>
        <w:rPr>
          <w:rFonts w:ascii="Arial" w:cs="Arial" w:eastAsia="Arial" w:hAnsi="Arial"/>
          <w:sz w:val="17"/>
          <w:szCs w:val="17"/>
          <w:color w:val="auto"/>
        </w:rPr>
        <w:t>Citibank, N.A., JPMorgan Chase Bank, National Association, Wells Fargo Bank, National Association and Jefferies LLC (each in its capacity as forward purchaser, a “</w:t>
      </w:r>
      <w:r>
        <w:rPr>
          <w:rFonts w:ascii="Arial" w:cs="Arial" w:eastAsia="Arial" w:hAnsi="Arial"/>
          <w:sz w:val="17"/>
          <w:szCs w:val="17"/>
          <w:b w:val="1"/>
          <w:bCs w:val="1"/>
          <w:color w:val="auto"/>
        </w:rPr>
        <w:t>Forward Purchaser</w:t>
      </w:r>
      <w:r>
        <w:rPr>
          <w:rFonts w:ascii="Arial" w:cs="Arial" w:eastAsia="Arial" w:hAnsi="Arial"/>
          <w:sz w:val="17"/>
          <w:szCs w:val="17"/>
          <w:color w:val="auto"/>
        </w:rPr>
        <w:t>,” and together the “</w:t>
      </w:r>
      <w:r>
        <w:rPr>
          <w:rFonts w:ascii="Arial" w:cs="Arial" w:eastAsia="Arial" w:hAnsi="Arial"/>
          <w:sz w:val="17"/>
          <w:szCs w:val="17"/>
          <w:b w:val="1"/>
          <w:bCs w:val="1"/>
          <w:color w:val="auto"/>
        </w:rPr>
        <w:t>Forward Purchasers</w:t>
      </w:r>
      <w:r>
        <w:rPr>
          <w:rFonts w:ascii="Arial" w:cs="Arial" w:eastAsia="Arial" w:hAnsi="Arial"/>
          <w:sz w:val="17"/>
          <w:szCs w:val="17"/>
          <w:color w:val="auto"/>
        </w:rPr>
        <w:t>”), and BofA Securities, Inc., Citigroup Global Markets Inc., J.P. Morgan Securities LLC, Wells Fargo Securities, LLC and Jefferies LLC (each in its capacity as agent for the Company and/or principal in connection with the offering and sale of any Issuance Securities (as defined in the Distribution Agreement) under the Distribution Agreement as amended hereby, a “</w:t>
      </w:r>
      <w:r>
        <w:rPr>
          <w:rFonts w:ascii="Arial" w:cs="Arial" w:eastAsia="Arial" w:hAnsi="Arial"/>
          <w:sz w:val="17"/>
          <w:szCs w:val="17"/>
          <w:b w:val="1"/>
          <w:bCs w:val="1"/>
          <w:color w:val="auto"/>
        </w:rPr>
        <w:t>Sales</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and together the “</w:t>
      </w:r>
      <w:r>
        <w:rPr>
          <w:rFonts w:ascii="Arial" w:cs="Arial" w:eastAsia="Arial" w:hAnsi="Arial"/>
          <w:sz w:val="17"/>
          <w:szCs w:val="17"/>
          <w:b w:val="1"/>
          <w:bCs w:val="1"/>
          <w:color w:val="auto"/>
        </w:rPr>
        <w:t>Sales Agents</w:t>
      </w:r>
      <w:r>
        <w:rPr>
          <w:rFonts w:ascii="Arial" w:cs="Arial" w:eastAsia="Arial" w:hAnsi="Arial"/>
          <w:sz w:val="17"/>
          <w:szCs w:val="17"/>
          <w:color w:val="auto"/>
        </w:rPr>
        <w:t>,” and each in its capacity as agent for the related Forward Purchaser in connection with the offering and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Forward Hedge Securities (as defined in the Distribution Agreement) hereunder, a “</w:t>
      </w:r>
      <w:r>
        <w:rPr>
          <w:rFonts w:ascii="Arial" w:cs="Arial" w:eastAsia="Arial" w:hAnsi="Arial"/>
          <w:sz w:val="17"/>
          <w:szCs w:val="17"/>
          <w:b w:val="1"/>
          <w:bCs w:val="1"/>
          <w:color w:val="auto"/>
        </w:rPr>
        <w:t>Forward Seller,</w:t>
      </w:r>
      <w:r>
        <w:rPr>
          <w:rFonts w:ascii="Arial" w:cs="Arial" w:eastAsia="Arial" w:hAnsi="Arial"/>
          <w:sz w:val="17"/>
          <w:szCs w:val="17"/>
          <w:color w:val="auto"/>
        </w:rPr>
        <w:t>” and together the “</w:t>
      </w:r>
      <w:r>
        <w:rPr>
          <w:rFonts w:ascii="Arial" w:cs="Arial" w:eastAsia="Arial" w:hAnsi="Arial"/>
          <w:sz w:val="17"/>
          <w:szCs w:val="17"/>
          <w:b w:val="1"/>
          <w:bCs w:val="1"/>
          <w:color w:val="auto"/>
        </w:rPr>
        <w:t>Forward Sellers</w:t>
      </w:r>
      <w:r>
        <w:rPr>
          <w:rFonts w:ascii="Arial" w:cs="Arial" w:eastAsia="Arial" w:hAnsi="Arial"/>
          <w:sz w:val="17"/>
          <w:szCs w:val="17"/>
          <w:color w:val="auto"/>
        </w:rPr>
        <w:t>”), is dated May 7, 2021 (the “</w:t>
      </w:r>
      <w:r>
        <w:rPr>
          <w:rFonts w:ascii="Arial" w:cs="Arial" w:eastAsia="Arial" w:hAnsi="Arial"/>
          <w:sz w:val="17"/>
          <w:szCs w:val="17"/>
          <w:b w:val="1"/>
          <w:bCs w:val="1"/>
          <w:color w:val="auto"/>
        </w:rPr>
        <w:t>Effective Date</w:t>
      </w:r>
      <w:r>
        <w:rPr>
          <w:rFonts w:ascii="Arial" w:cs="Arial" w:eastAsia="Arial" w:hAnsi="Arial"/>
          <w:sz w:val="17"/>
          <w:szCs w:val="17"/>
          <w:color w:val="auto"/>
        </w:rPr>
        <w:t>”). The Company and the other parties named above, in their capacities as Forward Purchasers, Sales Agents and/or Forward Sellers, as applicable, are referred to herein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180" w:firstLine="991"/>
        <w:spacing w:after="0" w:line="266" w:lineRule="auto"/>
        <w:rPr>
          <w:sz w:val="20"/>
          <w:szCs w:val="20"/>
          <w:color w:val="auto"/>
        </w:rPr>
      </w:pPr>
      <w:r>
        <w:rPr>
          <w:rFonts w:ascii="Arial" w:cs="Arial" w:eastAsia="Arial" w:hAnsi="Arial"/>
          <w:sz w:val="18"/>
          <w:szCs w:val="18"/>
          <w:color w:val="auto"/>
        </w:rPr>
        <w:t>WHEREAS, pursuant to the Distribution Agreement, the Company has implemented an at-the-market offering program (the “</w:t>
      </w:r>
      <w:r>
        <w:rPr>
          <w:rFonts w:ascii="Arial" w:cs="Arial" w:eastAsia="Arial" w:hAnsi="Arial"/>
          <w:sz w:val="18"/>
          <w:szCs w:val="18"/>
          <w:b w:val="1"/>
          <w:bCs w:val="1"/>
          <w:color w:val="auto"/>
        </w:rPr>
        <w:t>ATM</w:t>
      </w:r>
      <w:r>
        <w:rPr>
          <w:rFonts w:ascii="Arial" w:cs="Arial" w:eastAsia="Arial" w:hAnsi="Arial"/>
          <w:sz w:val="18"/>
          <w:szCs w:val="18"/>
          <w:color w:val="auto"/>
        </w:rPr>
        <w:t xml:space="preserve"> </w:t>
      </w:r>
      <w:r>
        <w:rPr>
          <w:rFonts w:ascii="Arial" w:cs="Arial" w:eastAsia="Arial" w:hAnsi="Arial"/>
          <w:sz w:val="18"/>
          <w:szCs w:val="18"/>
          <w:b w:val="1"/>
          <w:bCs w:val="1"/>
          <w:color w:val="auto"/>
        </w:rPr>
        <w:t>Program</w:t>
      </w:r>
      <w:r>
        <w:rPr>
          <w:rFonts w:ascii="Arial" w:cs="Arial" w:eastAsia="Arial" w:hAnsi="Arial"/>
          <w:sz w:val="18"/>
          <w:szCs w:val="18"/>
          <w:color w:val="auto"/>
        </w:rPr>
        <w:t>”) under which the Company was originally authorized to issue its common shares of beneficial interest, par value $.01 per share (“</w:t>
      </w:r>
      <w:r>
        <w:rPr>
          <w:rFonts w:ascii="Arial" w:cs="Arial" w:eastAsia="Arial" w:hAnsi="Arial"/>
          <w:sz w:val="18"/>
          <w:szCs w:val="18"/>
          <w:b w:val="1"/>
          <w:bCs w:val="1"/>
          <w:color w:val="auto"/>
        </w:rPr>
        <w:t>Common Shares</w:t>
      </w:r>
      <w:r>
        <w:rPr>
          <w:rFonts w:ascii="Arial" w:cs="Arial" w:eastAsia="Arial" w:hAnsi="Arial"/>
          <w:sz w:val="18"/>
          <w:szCs w:val="18"/>
          <w:color w:val="auto"/>
        </w:rPr>
        <w:t>”), with an aggregate offering price of up to $500,000,000;</w:t>
      </w:r>
    </w:p>
    <w:p>
      <w:pPr>
        <w:spacing w:after="0" w:line="180"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WHEREAS, prior to the Effective Date, the Company conducted the ATM Program pursuant to an automatic shelf registration statement on Form S-3ASR (File No. 333-224701), including a base prospectus dated May 7, 2018, and a prospectus supplement dated February 24, 2021 specifically relating to the Securities (as defined in the Distribution Agreement);</w:t>
      </w:r>
    </w:p>
    <w:p>
      <w:pPr>
        <w:spacing w:after="0" w:line="184" w:lineRule="exact"/>
        <w:rPr>
          <w:sz w:val="20"/>
          <w:szCs w:val="20"/>
          <w:color w:val="auto"/>
        </w:rPr>
      </w:pPr>
    </w:p>
    <w:p>
      <w:pPr>
        <w:jc w:val="both"/>
        <w:ind w:right="680" w:firstLine="991"/>
        <w:spacing w:after="0" w:line="263" w:lineRule="auto"/>
        <w:rPr>
          <w:sz w:val="20"/>
          <w:szCs w:val="20"/>
          <w:color w:val="auto"/>
        </w:rPr>
      </w:pPr>
      <w:r>
        <w:rPr>
          <w:rFonts w:ascii="Arial" w:cs="Arial" w:eastAsia="Arial" w:hAnsi="Arial"/>
          <w:sz w:val="18"/>
          <w:szCs w:val="18"/>
          <w:color w:val="auto"/>
        </w:rPr>
        <w:t>WHEREAS, prior to the Effective Date, the Company sold Securities under the ATM Program with an aggregate offering price of $95,642,284, and Common Shares with an aggregate offering price of up to $404,357,716 remained available for issue and sale under the ATM Program;</w:t>
      </w:r>
    </w:p>
    <w:p>
      <w:pPr>
        <w:spacing w:after="0" w:line="184"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WHEREAS, the Company desires to increase the Maximum Amount (as defined in the Distribution Agreement) by $95,642,284, from $500,000,000 to $595,642,284, with the result that Common Shares with an aggregate offering price of up to $500,000,000 will be available for issue and sale under the ATM Program as of the Effective Date;</w:t>
      </w:r>
    </w:p>
    <w:p>
      <w:pPr>
        <w:spacing w:after="0" w:line="180" w:lineRule="exact"/>
        <w:rPr>
          <w:sz w:val="20"/>
          <w:szCs w:val="20"/>
          <w:color w:val="auto"/>
        </w:rPr>
      </w:pPr>
    </w:p>
    <w:p>
      <w:pPr>
        <w:jc w:val="both"/>
        <w:ind w:right="120" w:firstLine="991"/>
        <w:spacing w:after="0" w:line="314" w:lineRule="auto"/>
        <w:rPr>
          <w:sz w:val="20"/>
          <w:szCs w:val="20"/>
          <w:color w:val="auto"/>
        </w:rPr>
      </w:pPr>
      <w:r>
        <w:rPr>
          <w:rFonts w:ascii="Arial" w:cs="Arial" w:eastAsia="Arial" w:hAnsi="Arial"/>
          <w:sz w:val="16"/>
          <w:szCs w:val="16"/>
          <w:color w:val="auto"/>
        </w:rPr>
        <w:t>WHEREAS, the Company has prepared an automatic shelf registration statement (the “</w:t>
      </w:r>
      <w:r>
        <w:rPr>
          <w:rFonts w:ascii="Arial" w:cs="Arial" w:eastAsia="Arial" w:hAnsi="Arial"/>
          <w:sz w:val="16"/>
          <w:szCs w:val="16"/>
          <w:b w:val="1"/>
          <w:bCs w:val="1"/>
          <w:color w:val="auto"/>
        </w:rPr>
        <w:t>2021 Registration Statement</w:t>
      </w:r>
      <w:r>
        <w:rPr>
          <w:rFonts w:ascii="Arial" w:cs="Arial" w:eastAsia="Arial" w:hAnsi="Arial"/>
          <w:sz w:val="16"/>
          <w:szCs w:val="16"/>
          <w:color w:val="auto"/>
        </w:rPr>
        <w:t>”) on Form S-3ASR (File No. 333-255863), including a base prospectus dated May 7, 2021, relating to certain securities, including the Securities, to be issued from time to time from the Company, and a prospectus supplement dated May 7, 2021 (the “</w:t>
      </w:r>
      <w:r>
        <w:rPr>
          <w:rFonts w:ascii="Arial" w:cs="Arial" w:eastAsia="Arial" w:hAnsi="Arial"/>
          <w:sz w:val="16"/>
          <w:szCs w:val="16"/>
          <w:b w:val="1"/>
          <w:bCs w:val="1"/>
          <w:color w:val="auto"/>
        </w:rPr>
        <w:t>2021 Prospectus Supplement</w:t>
      </w:r>
      <w:r>
        <w:rPr>
          <w:rFonts w:ascii="Arial" w:cs="Arial" w:eastAsia="Arial" w:hAnsi="Arial"/>
          <w:sz w:val="16"/>
          <w:szCs w:val="16"/>
          <w:color w:val="auto"/>
        </w:rPr>
        <w:t>”), specifically relating to the Securities;</w:t>
      </w:r>
    </w:p>
    <w:p>
      <w:pPr>
        <w:spacing w:after="0" w:line="146"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WHEREAS, from the Effective Date, the ATM Program is to be conducted pursuant to the 2021 Registration Statement and the 2021 Prospectus Supplement; and</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WHEREAS, this Amendment shall constitute an amendment to the Distribution Agreement, which shall remain in full force and effect as of the Effective Date as amended by this Amendment.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right="2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have agreed to amend the Distribution Agreement, as set forth in this Amendment, subject to the terms and conditions set forth below. All capitalized terms used herein and not otherwise defined shall have the meanings given to such terms in the Distribution Agreement.</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NOW, THEREFORE, in consideration of the premises set forth above and other good and valuable consideration, the receipt and sufficiency of which are hereby acknowledged, the Parties agree that the Distribution Agreement and the Exhibits appended thereto are hereby amended as provided below:</w:t>
      </w:r>
    </w:p>
    <w:p>
      <w:pPr>
        <w:spacing w:after="0" w:line="184"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Representation and Warranty</w:t>
      </w:r>
      <w:r>
        <w:rPr>
          <w:rFonts w:ascii="Arial" w:cs="Arial" w:eastAsia="Arial" w:hAnsi="Arial"/>
          <w:sz w:val="17"/>
          <w:szCs w:val="17"/>
          <w:color w:val="auto"/>
        </w:rPr>
        <w:t>. The Company represents and warrants to the Sales Agents, the Forward Sellers and the Forward Purchasers that this Amendment has been duly authorized, executed and delivered by, and is a valid and binding agreement of, the Company.</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 of the Distribution Agreement</w:t>
      </w:r>
      <w:r>
        <w:rPr>
          <w:rFonts w:ascii="Arial" w:cs="Arial" w:eastAsia="Arial" w:hAnsi="Arial"/>
          <w:sz w:val="18"/>
          <w:szCs w:val="18"/>
          <w:color w:val="auto"/>
        </w:rPr>
        <w:t>. The Distribution Agreement is hereby amended as follows:</w:t>
      </w:r>
    </w:p>
    <w:p>
      <w:pPr>
        <w:spacing w:after="0" w:line="12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and after the Effective Date, the references to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refer to the 2021 Registration Statement.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and after the Effective Date, the references to “</w:t>
      </w:r>
      <w:r>
        <w:rPr>
          <w:rFonts w:ascii="Arial" w:cs="Arial" w:eastAsia="Arial" w:hAnsi="Arial"/>
          <w:sz w:val="18"/>
          <w:szCs w:val="18"/>
          <w:b w:val="1"/>
          <w:bCs w:val="1"/>
          <w:color w:val="auto"/>
        </w:rPr>
        <w:t>Prospectus Supplement</w:t>
      </w:r>
      <w:r>
        <w:rPr>
          <w:rFonts w:ascii="Arial" w:cs="Arial" w:eastAsia="Arial" w:hAnsi="Arial"/>
          <w:sz w:val="18"/>
          <w:szCs w:val="18"/>
          <w:color w:val="auto"/>
        </w:rPr>
        <w:t>” shall refer to the 2021 Prospectus Supplement.</w:t>
      </w:r>
    </w:p>
    <w:p>
      <w:pPr>
        <w:spacing w:after="0" w:line="134" w:lineRule="exact"/>
        <w:rPr>
          <w:rFonts w:ascii="Arial" w:cs="Arial" w:eastAsia="Arial" w:hAnsi="Arial"/>
          <w:sz w:val="18"/>
          <w:szCs w:val="18"/>
          <w:color w:val="auto"/>
        </w:rPr>
      </w:pPr>
    </w:p>
    <w:p>
      <w:pPr>
        <w:ind w:left="424" w:right="560" w:hanging="424"/>
        <w:spacing w:after="0" w:line="308"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first sentence of Section 1 is hereby amended to reflect the increased Maximum Amount and the remaining aggregate offering price of Common Shares that is available for issue and sale under the ATM Program and replaced in its entirety by the following:</w:t>
      </w:r>
    </w:p>
    <w:p>
      <w:pPr>
        <w:spacing w:after="0" w:line="38" w:lineRule="exact"/>
        <w:rPr>
          <w:sz w:val="20"/>
          <w:szCs w:val="20"/>
          <w:color w:val="auto"/>
        </w:rPr>
      </w:pPr>
    </w:p>
    <w:p>
      <w:pPr>
        <w:jc w:val="both"/>
        <w:ind w:left="1424" w:right="160"/>
        <w:spacing w:after="0" w:line="311" w:lineRule="auto"/>
        <w:rPr>
          <w:sz w:val="20"/>
          <w:szCs w:val="20"/>
          <w:color w:val="auto"/>
        </w:rPr>
      </w:pPr>
      <w:r>
        <w:rPr>
          <w:rFonts w:ascii="Arial" w:cs="Arial" w:eastAsia="Arial" w:hAnsi="Arial"/>
          <w:sz w:val="16"/>
          <w:szCs w:val="16"/>
          <w:color w:val="auto"/>
        </w:rPr>
        <w:t>The Company agrees that, from time to time during the term of this Agreement, on the terms and subject to the conditions set forth herein, Securities having an aggregate offering price of up to $595,642,284 (the “</w:t>
      </w:r>
      <w:r>
        <w:rPr>
          <w:rFonts w:ascii="Arial" w:cs="Arial" w:eastAsia="Arial" w:hAnsi="Arial"/>
          <w:sz w:val="16"/>
          <w:szCs w:val="16"/>
          <w:u w:val="single" w:color="auto"/>
          <w:color w:val="auto"/>
        </w:rPr>
        <w:t>Maximum Amount</w:t>
      </w:r>
      <w:r>
        <w:rPr>
          <w:rFonts w:ascii="Arial" w:cs="Arial" w:eastAsia="Arial" w:hAnsi="Arial"/>
          <w:sz w:val="16"/>
          <w:szCs w:val="16"/>
          <w:color w:val="auto"/>
        </w:rPr>
        <w:t>”) may be offered and sold in the manner contemplated by this Agreement, of which $500,000,000 remains available for issue and sale as of May 7, 2021.</w:t>
      </w:r>
    </w:p>
    <w:p>
      <w:pPr>
        <w:spacing w:after="0" w:line="54" w:lineRule="exact"/>
        <w:rPr>
          <w:sz w:val="20"/>
          <w:szCs w:val="20"/>
          <w:color w:val="auto"/>
        </w:rPr>
      </w:pPr>
    </w:p>
    <w:p>
      <w:pPr>
        <w:ind w:left="424" w:right="12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sentence of the second paragraph of Section 1 is hereby amended to reflect the filing of the 2021 Registration Statement and replaced in its entirety by the following:</w:t>
      </w:r>
    </w:p>
    <w:p>
      <w:pPr>
        <w:spacing w:after="0" w:line="62" w:lineRule="exact"/>
        <w:rPr>
          <w:sz w:val="20"/>
          <w:szCs w:val="20"/>
          <w:color w:val="auto"/>
        </w:rPr>
      </w:pPr>
    </w:p>
    <w:p>
      <w:pPr>
        <w:ind w:left="1424" w:right="100"/>
        <w:spacing w:after="0" w:line="275" w:lineRule="auto"/>
        <w:rPr>
          <w:sz w:val="20"/>
          <w:szCs w:val="20"/>
          <w:color w:val="auto"/>
        </w:rPr>
      </w:pPr>
      <w:r>
        <w:rPr>
          <w:rFonts w:ascii="Arial" w:cs="Arial" w:eastAsia="Arial" w:hAnsi="Arial"/>
          <w:sz w:val="17"/>
          <w:szCs w:val="17"/>
          <w:color w:val="auto"/>
        </w:rPr>
        <w:t>The Company has filed, in accordance with the provisions of the Securities Act,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an automatic shelf registration statement on Form S-3 (File No. 333-255863),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82" w:lineRule="exact"/>
        <w:rPr>
          <w:sz w:val="20"/>
          <w:szCs w:val="20"/>
          <w:color w:val="auto"/>
        </w:rPr>
      </w:pPr>
    </w:p>
    <w:p>
      <w:pPr>
        <w:ind w:left="424" w:right="56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first sentence of the second paragraph of Section 5(a)(1) is hereby amended to reflect the filing of the 2021 Registration Statement and replaced in its entirety by the following:</w:t>
      </w:r>
    </w:p>
    <w:p>
      <w:pPr>
        <w:spacing w:after="0" w:line="62" w:lineRule="exact"/>
        <w:rPr>
          <w:sz w:val="20"/>
          <w:szCs w:val="20"/>
          <w:color w:val="auto"/>
        </w:rPr>
      </w:pPr>
    </w:p>
    <w:p>
      <w:pPr>
        <w:ind w:left="1424" w:right="620"/>
        <w:spacing w:after="0" w:line="277" w:lineRule="auto"/>
        <w:rPr>
          <w:sz w:val="20"/>
          <w:szCs w:val="20"/>
          <w:color w:val="auto"/>
        </w:rPr>
      </w:pPr>
      <w:r>
        <w:rPr>
          <w:rFonts w:ascii="Arial" w:cs="Arial" w:eastAsia="Arial" w:hAnsi="Arial"/>
          <w:sz w:val="18"/>
          <w:szCs w:val="18"/>
          <w:color w:val="auto"/>
        </w:rPr>
        <w:t>The Original Registration Statement became effective upon filing under Rule 462(e) on May 7, 2021, and any post-effective amendment thereto will become effective upon filing under Rule 462(e).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5" w:name="page6"/>
    <w:bookmarkEnd w:id="5"/>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shall be effective as of the Effective Date.</w:t>
      </w:r>
    </w:p>
    <w:p>
      <w:pPr>
        <w:spacing w:after="0" w:line="225" w:lineRule="exact"/>
        <w:rPr>
          <w:sz w:val="20"/>
          <w:szCs w:val="20"/>
          <w:color w:val="auto"/>
        </w:rPr>
      </w:pPr>
    </w:p>
    <w:p>
      <w:pPr>
        <w:jc w:val="both"/>
        <w:ind w:left="4" w:right="180" w:firstLine="991"/>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Distribution Agreement, as amended by this Amendment, represents the entire agreement between the Company, on the one hand, and each Sales Agent, Forward Seller and Forward Purchaser, on the other hand, with respect to the subject matter thereof and hereof.</w:t>
      </w:r>
    </w:p>
    <w:p>
      <w:pPr>
        <w:spacing w:after="0" w:line="184" w:lineRule="exact"/>
        <w:rPr>
          <w:sz w:val="20"/>
          <w:szCs w:val="20"/>
          <w:color w:val="auto"/>
        </w:rPr>
      </w:pPr>
    </w:p>
    <w:p>
      <w:pPr>
        <w:ind w:left="4" w:right="140" w:firstLine="991"/>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Prior Sales</w:t>
      </w:r>
      <w:r>
        <w:rPr>
          <w:rFonts w:ascii="Arial" w:cs="Arial" w:eastAsia="Arial" w:hAnsi="Arial"/>
          <w:sz w:val="18"/>
          <w:szCs w:val="18"/>
          <w:color w:val="auto"/>
        </w:rPr>
        <w:t>. Notwithstanding anything contained herein, this Amendment shall not have any effect on offerings or sales of Securities prior to the Effective Date or on the terms of the Distribution Agreement, and the rights and obligations of the parties thereunder, insofar as they relate to such offerings or sales, including, without limitation, the representations, warranties and agreements (including the indemnification and contribution provisions), as well as the definitions of “Registration Statement” and “Prospectus Supplement,” contained in the Distribution Agreement prior to the Effective Date.</w:t>
      </w:r>
    </w:p>
    <w:p>
      <w:pPr>
        <w:spacing w:after="0" w:line="188"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 YORK.</w:t>
      </w:r>
    </w:p>
    <w:p>
      <w:pPr>
        <w:spacing w:after="0" w:line="170"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any one or more of the Parties in any number of counterparts, each of which shall be deemed to be an original, but all such respective counterparts shall together constitute one and the same instrument. Delivery of an executed Amendment by one Party to the other may be made by electronic mail (including any electronic signature complying with the New York Electronic Signatures and Records Act (N.Y. State Tech. §§ 301-309), as amended from time to time, or other applicable law) or other transmission method, and the Parties agree that any counterpart so delivered shall be deemed to have been duly and validly delivered and be valid and effective for all purposes.</w:t>
      </w:r>
    </w:p>
    <w:p>
      <w:pPr>
        <w:spacing w:after="0" w:line="19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6" w:name="page7"/>
    <w:bookmarkEnd w:id="6"/>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parties hereto in accordance with its terms.</w:t>
      </w:r>
    </w:p>
    <w:p>
      <w:pPr>
        <w:spacing w:after="0" w:line="17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11" w:lineRule="exact"/>
        <w:rPr>
          <w:sz w:val="20"/>
          <w:szCs w:val="20"/>
          <w:color w:val="auto"/>
        </w:rPr>
      </w:pPr>
    </w:p>
    <w:p>
      <w:pPr>
        <w:ind w:left="590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14605</wp:posOffset>
            </wp:positionV>
            <wp:extent cx="2905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jc w:val="right"/>
        <w:spacing w:after="0"/>
        <w:tabs>
          <w:tab w:leader="none" w:pos="4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President-Chief Financial Officer and Treasurer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Amendment to Equity Distribution Agreement]</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 as of the date first above written:</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Hicham Hamdouch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 Ricaud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 Ricaud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Stephanie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Stephanie Little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Elizabeth Alvarez</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Joshua G.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Joshua G. Fuller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386" w:lineRule="exact"/>
        <w:rPr>
          <w:sz w:val="20"/>
          <w:szCs w:val="20"/>
          <w:color w:val="auto"/>
        </w:rPr>
      </w:pPr>
    </w:p>
    <w:p>
      <w:pPr>
        <w:jc w:val="right"/>
        <w:ind w:right="2199"/>
        <w:spacing w:after="0"/>
        <w:rPr>
          <w:sz w:val="20"/>
          <w:szCs w:val="20"/>
          <w:color w:val="auto"/>
        </w:rPr>
      </w:pPr>
      <w:r>
        <w:rPr>
          <w:rFonts w:ascii="Arial" w:cs="Arial" w:eastAsia="Arial" w:hAnsi="Arial"/>
          <w:sz w:val="18"/>
          <w:szCs w:val="18"/>
          <w:i w:val="1"/>
          <w:iCs w:val="1"/>
          <w:color w:val="auto"/>
        </w:rPr>
        <w:t>[Signature Page: Amendment to Equity Distribution Agreement]</w:t>
      </w:r>
    </w:p>
    <w:p>
      <w:pPr>
        <w:sectPr>
          <w:pgSz w:w="11900" w:h="16838" w:orient="portrait"/>
          <w:cols w:equalWidth="0" w:num="1">
            <w:col w:w="10019"/>
          </w:cols>
          <w:pgMar w:left="440" w:top="270"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 as of the date first above written:</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Jake Mendelsohn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2785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Jake Mendelsohn</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Natelson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2785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Eric Natelson</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JPMORGAN CHASE 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Stephanie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2785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Stephanie Little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Thomas Yates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2785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Thomas Yates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Joshua G.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2785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Joshua G. Fuller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Forward Purchasers, solely as the recipients and/or beneficiaries of certain representations, warranties, covenants and indemnities set forth in this Amendment</w:t>
      </w:r>
    </w:p>
    <w:p>
      <w:pPr>
        <w:spacing w:after="0" w:line="103"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Amendment to Equity Distribution Agreement]</w:t>
      </w:r>
    </w:p>
    <w:p>
      <w:pPr>
        <w:sectPr>
          <w:pgSz w:w="11900" w:h="16838" w:orient="portrait"/>
          <w:cols w:equalWidth="0" w:num="1">
            <w:col w:w="10640"/>
          </w:cols>
          <w:pgMar w:left="440" w:top="270" w:right="8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909 Rose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Bethesda, MD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from time to time, of up to $500,000,000 aggregate offering price of common shares of beneficial interest (the “Shares”), par value $0.01 per share, of the Company, all of which are authorized but heretofore unissued shares to be offered and sold by the Company, pursuant to the Registration Statement on Form S-3 (Registration No. 333-255863) (the “Registration Statement”), filed by the Company with the Securities and Exchange Commission (the “Commission”) under the Securities Act of 1933 (the “Act”), and related prospectus, dated May 7, 2021, as supplemented by the prospectus supplement dated May 7, 2021 relating to the offer and sale of the Shares (as so supplemented, the “Prospectus”).</w:t>
      </w:r>
    </w:p>
    <w:p>
      <w:pPr>
        <w:spacing w:after="0" w:line="16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and the Pricing Committee thereof, will be validly issued, fully paid and nonassessable.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laws of the State of Maryland as in effect on the date hereof.</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020"/>
          </w:cols>
          <w:pgMar w:left="440" w:top="121" w:right="439" w:bottom="1440" w:gutter="0" w:footer="0" w:header="0"/>
        </w:sectPr>
      </w:pPr>
    </w:p>
    <w:bookmarkStart w:id="10" w:name="page11"/>
    <w:bookmarkEnd w:id="10"/>
    <w:p>
      <w:pPr>
        <w:ind w:left="10184"/>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024"/>
          </w:cols>
          <w:pgMar w:left="436" w:top="121" w:right="439" w:bottom="1440" w:gutter="0" w:footer="0" w:header="0"/>
        </w:sectPr>
      </w:pPr>
    </w:p>
    <w:p>
      <w:pPr>
        <w:spacing w:after="0" w:line="279" w:lineRule="exact"/>
        <w:rPr>
          <w:sz w:val="20"/>
          <w:szCs w:val="20"/>
          <w:color w:val="auto"/>
        </w:rPr>
      </w:pPr>
    </w:p>
    <w:p>
      <w:pPr>
        <w:ind w:left="5764"/>
        <w:spacing w:after="0"/>
        <w:rPr>
          <w:sz w:val="20"/>
          <w:szCs w:val="20"/>
          <w:color w:val="auto"/>
        </w:rPr>
      </w:pPr>
      <w:r>
        <w:rPr>
          <w:rFonts w:ascii="Arial" w:cs="Arial" w:eastAsia="Arial" w:hAnsi="Arial"/>
          <w:sz w:val="16"/>
          <w:szCs w:val="16"/>
          <w:color w:val="auto"/>
        </w:rPr>
        <w:t>1200 Seventeenth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882650" cy="548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2650" cy="548640"/>
                    </a:xfrm>
                    <a:prstGeom prst="rect">
                      <a:avLst/>
                    </a:prstGeom>
                    <a:noFill/>
                  </pic:spPr>
                </pic:pic>
              </a:graphicData>
            </a:graphic>
          </wp:anchor>
        </w:drawing>
      </w:r>
    </w:p>
    <w:p>
      <w:pPr>
        <w:spacing w:after="0" w:line="26" w:lineRule="exact"/>
        <w:rPr>
          <w:sz w:val="20"/>
          <w:szCs w:val="20"/>
          <w:color w:val="auto"/>
        </w:rPr>
      </w:pPr>
    </w:p>
    <w:p>
      <w:pPr>
        <w:ind w:left="5764"/>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www.pillsburylaw.com</w:t>
      </w:r>
    </w:p>
    <w:p>
      <w:pPr>
        <w:spacing w:after="0" w:line="200" w:lineRule="exact"/>
        <w:rPr>
          <w:sz w:val="20"/>
          <w:szCs w:val="20"/>
          <w:color w:val="auto"/>
        </w:rPr>
      </w:pPr>
    </w:p>
    <w:p>
      <w:pPr>
        <w:sectPr>
          <w:pgSz w:w="11900" w:h="16838" w:orient="portrait"/>
          <w:cols w:equalWidth="0" w:num="2">
            <w:col w:w="8084" w:space="720"/>
            <w:col w:w="2220"/>
          </w:cols>
          <w:pgMar w:left="436" w:top="121" w:right="439" w:bottom="1440" w:gutter="0" w:footer="0" w:header="0"/>
          <w:type w:val="continuous"/>
        </w:sectPr>
      </w:pPr>
    </w:p>
    <w:p>
      <w:pPr>
        <w:spacing w:after="0" w:line="250"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May 7, 2021</w:t>
      </w:r>
    </w:p>
    <w:p>
      <w:pPr>
        <w:sectPr>
          <w:pgSz w:w="11900" w:h="16838" w:orient="portrait"/>
          <w:cols w:equalWidth="0" w:num="1">
            <w:col w:w="11024"/>
          </w:cols>
          <w:pgMar w:left="436" w:top="121" w:right="439" w:bottom="1440" w:gutter="0" w:footer="0" w:header="0"/>
          <w:type w:val="continuous"/>
        </w:sect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You have requested certain opinions regarding the application of U.S. federal income tax laws to Federal Realty Investment Trust, a Maryland real estate investment trust (the “Company”), in connection with the filing of a prospectus supplement dated May 7, 2021 (the “Prospectus Supplement”) to a prospectus (the “Base Prospectus”) filed as part of a registration statement on Form S-3 with respect to common shares and other securities of the Company (the “Registration Statement,” which term includes the Base Prospectus, the Prospectus Supplement, and all documents incorporated and deemed to be incorporated by reference therein) with the Securities and Exchange Commission.</w:t>
      </w:r>
    </w:p>
    <w:p>
      <w:pPr>
        <w:spacing w:after="0" w:line="176"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4" w:right="160" w:hanging="4"/>
        <w:spacing w:after="0" w:line="268" w:lineRule="auto"/>
        <w:tabs>
          <w:tab w:leader="none" w:pos="259"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3"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024"/>
          </w:cols>
          <w:pgMar w:left="436" w:top="121"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2021;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(2021) taxable year and for future taxable years, and (iii) the discussions in (x) the Base Prospectus under the caption “Material Federal Income Tax Considerations,” and (y) the Company’s Annual Report on Form 10-K for the year ended December 31, 2020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 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6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000"/>
          </w:cols>
          <w:pgMar w:left="440" w:top="274"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 PITTMAN LLP</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2021-05-07T07:13:32Z</dcterms:created>
  <dcterms:modified xsi:type="dcterms:W3CDTF">2021-05-07T07:13:32Z</dcterms:modified>
</cp:coreProperties>
</file>