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December 31, 2016</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On February 13, 2017, Federal Realty Investment Trust issued supplemental data pertaining to its operations, as well as a press release, to report its financial results for the quarter ended December 31, 2016.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2016 (including press release dated February 13, 2017)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20" w:val="left"/>
          <w:tab w:leader="none" w:pos="47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13, 2017</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2016</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Fourth Quarter and Full Year 2016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4">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Assembly Row and Pike &amp; Rose Site Plans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Significant Acquisitions and Disposition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29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2017,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i w:val="1"/>
                <w:iCs w:val="1"/>
                <w:color w:val="auto"/>
                <w:w w:val="99"/>
              </w:rPr>
              <w:t>Investor Inquiries</w:t>
            </w:r>
          </w:p>
        </w:tc>
        <w:tc>
          <w:tcPr>
            <w:tcW w:w="1160" w:type="dxa"/>
            <w:vAlign w:val="bottom"/>
            <w:gridSpan w:val="2"/>
          </w:tcPr>
          <w:p>
            <w:pPr>
              <w:spacing w:after="0"/>
              <w:rPr>
                <w:sz w:val="24"/>
                <w:szCs w:val="24"/>
                <w:color w:val="auto"/>
              </w:rPr>
            </w:pPr>
          </w:p>
        </w:tc>
        <w:tc>
          <w:tcPr>
            <w:tcW w:w="3320" w:type="dxa"/>
            <w:vAlign w:val="bottom"/>
            <w:gridSpan w:val="4"/>
          </w:tcPr>
          <w:p>
            <w:pPr>
              <w:ind w:left="280"/>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1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6"/>
        </w:trPr>
        <w:tc>
          <w:tcPr>
            <w:tcW w:w="1380" w:type="dxa"/>
            <w:vAlign w:val="bottom"/>
          </w:tcPr>
          <w:p>
            <w:pPr>
              <w:spacing w:after="0"/>
              <w:rPr>
                <w:sz w:val="20"/>
                <w:szCs w:val="20"/>
                <w:color w:val="auto"/>
              </w:rPr>
            </w:pPr>
            <w:r>
              <w:rPr>
                <w:rFonts w:ascii="Arial" w:cs="Arial" w:eastAsia="Arial" w:hAnsi="Arial"/>
                <w:sz w:val="18"/>
                <w:szCs w:val="18"/>
                <w:color w:val="auto"/>
              </w:rPr>
              <w:t>Leah Andress</w:t>
            </w:r>
          </w:p>
        </w:tc>
        <w:tc>
          <w:tcPr>
            <w:tcW w:w="1160" w:type="dxa"/>
            <w:vAlign w:val="bottom"/>
            <w:gridSpan w:val="2"/>
          </w:tcPr>
          <w:p>
            <w:pPr>
              <w:spacing w:after="0"/>
              <w:rPr>
                <w:sz w:val="20"/>
                <w:szCs w:val="20"/>
                <w:color w:val="auto"/>
              </w:rPr>
            </w:pPr>
          </w:p>
        </w:tc>
        <w:tc>
          <w:tcPr>
            <w:tcW w:w="3320" w:type="dxa"/>
            <w:vAlign w:val="bottom"/>
            <w:gridSpan w:val="4"/>
          </w:tcPr>
          <w:p>
            <w:pPr>
              <w:ind w:left="240"/>
              <w:spacing w:after="0"/>
              <w:rPr>
                <w:sz w:val="20"/>
                <w:szCs w:val="20"/>
                <w:color w:val="auto"/>
              </w:rPr>
            </w:pPr>
            <w:r>
              <w:rPr>
                <w:rFonts w:ascii="Arial" w:cs="Arial" w:eastAsia="Arial" w:hAnsi="Arial"/>
                <w:sz w:val="18"/>
                <w:szCs w:val="18"/>
                <w:color w:val="auto"/>
              </w:rPr>
              <w:t>Andrea Simpson</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Investor Relations Associate</w:t>
            </w:r>
          </w:p>
        </w:tc>
        <w:tc>
          <w:tcPr>
            <w:tcW w:w="280" w:type="dxa"/>
            <w:vAlign w:val="bottom"/>
          </w:tcPr>
          <w:p>
            <w:pPr>
              <w:spacing w:after="0"/>
              <w:rPr>
                <w:sz w:val="18"/>
                <w:szCs w:val="18"/>
                <w:color w:val="auto"/>
              </w:rPr>
            </w:pPr>
          </w:p>
        </w:tc>
        <w:tc>
          <w:tcPr>
            <w:tcW w:w="3040" w:type="dxa"/>
            <w:vAlign w:val="bottom"/>
            <w:gridSpan w:val="3"/>
          </w:tcPr>
          <w:p>
            <w:pPr>
              <w:ind w:left="720"/>
              <w:spacing w:after="0"/>
              <w:rPr>
                <w:sz w:val="20"/>
                <w:szCs w:val="20"/>
                <w:color w:val="auto"/>
              </w:rPr>
            </w:pPr>
            <w:r>
              <w:rPr>
                <w:rFonts w:ascii="Arial" w:cs="Arial" w:eastAsia="Arial" w:hAnsi="Arial"/>
                <w:sz w:val="18"/>
                <w:szCs w:val="18"/>
                <w:color w:val="auto"/>
              </w:rPr>
              <w:t>Vice President, Marketing</w:t>
            </w:r>
          </w:p>
        </w:tc>
      </w:tr>
      <w:tr>
        <w:trPr>
          <w:trHeight w:val="198"/>
        </w:trPr>
        <w:tc>
          <w:tcPr>
            <w:tcW w:w="1380" w:type="dxa"/>
            <w:vAlign w:val="bottom"/>
          </w:tcPr>
          <w:p>
            <w:pPr>
              <w:spacing w:after="0" w:line="198" w:lineRule="exact"/>
              <w:rPr>
                <w:sz w:val="20"/>
                <w:szCs w:val="20"/>
                <w:color w:val="auto"/>
              </w:rPr>
            </w:pPr>
            <w:r>
              <w:rPr>
                <w:rFonts w:ascii="Arial" w:cs="Arial" w:eastAsia="Arial" w:hAnsi="Arial"/>
                <w:sz w:val="18"/>
                <w:szCs w:val="18"/>
                <w:color w:val="auto"/>
              </w:rPr>
              <w:t>301/998-8265</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90"/>
              <w:spacing w:after="0" w:line="198" w:lineRule="exact"/>
              <w:rPr>
                <w:sz w:val="20"/>
                <w:szCs w:val="20"/>
                <w:color w:val="auto"/>
              </w:rPr>
            </w:pPr>
            <w:r>
              <w:rPr>
                <w:rFonts w:ascii="Arial" w:cs="Arial" w:eastAsia="Arial" w:hAnsi="Arial"/>
                <w:sz w:val="18"/>
                <w:szCs w:val="18"/>
                <w:color w:val="auto"/>
              </w:rPr>
              <w:t>617/684-1511</w:t>
            </w:r>
          </w:p>
        </w:tc>
        <w:tc>
          <w:tcPr>
            <w:tcW w:w="1820" w:type="dxa"/>
            <w:vAlign w:val="bottom"/>
          </w:tcPr>
          <w:p>
            <w:pPr>
              <w:spacing w:after="0"/>
              <w:rPr>
                <w:sz w:val="17"/>
                <w:szCs w:val="17"/>
                <w:color w:val="auto"/>
              </w:rPr>
            </w:pPr>
          </w:p>
        </w:tc>
      </w:tr>
      <w:tr>
        <w:trPr>
          <w:trHeight w:val="194"/>
        </w:trPr>
        <w:tc>
          <w:tcPr>
            <w:tcW w:w="224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i w:val="1"/>
                <w:iCs w:val="1"/>
                <w:color w:val="0000FF"/>
                <w:w w:val="98"/>
              </w:rPr>
              <w:t>landress@federalrealty.com</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2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i w:val="1"/>
                <w:iCs w:val="1"/>
                <w:color w:val="0000FF"/>
                <w:w w:val="98"/>
              </w:rPr>
              <w:t>asimpson@federalrealty.com</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FOURTH QUARTER AND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YEAR 2016 OPERATING RESULTS</w:t>
      </w:r>
    </w:p>
    <w:p>
      <w:pPr>
        <w:spacing w:after="0" w:line="279"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 xml:space="preserve">ROCKVILLE, Md. (February 13, 2017)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fourth quarter and year ended December 31, 2016. Highlights of the quarter and year end include:</w:t>
      </w:r>
    </w:p>
    <w:p>
      <w:pPr>
        <w:spacing w:after="0" w:line="292" w:lineRule="exact"/>
        <w:rPr>
          <w:sz w:val="20"/>
          <w:szCs w:val="20"/>
          <w:color w:val="auto"/>
        </w:rPr>
      </w:pPr>
    </w:p>
    <w:p>
      <w:pPr>
        <w:jc w:val="both"/>
        <w:ind w:left="660" w:right="12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earnings per diluted share of $0.80 for the quarter compared to $0.97 in fourth quarter 2015 ($0.73 excluding a $0.24 gain on sale in the fourth quarter 2015). For the year ended 2016, generated earnings per diluted share of $3.50 compared to $3.03 for the year ended 2015.</w:t>
      </w:r>
    </w:p>
    <w:p>
      <w:pPr>
        <w:ind w:left="660" w:right="54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per diluted share of $1.45 for the quarter compared to $1.37 in fourth quarter 2015. For the year ended 2016, generated FFO per diluted share of $5.65 compared to $5.05 for the year ended 2015 ($5.32 excluding prepayment premiums in 2015).</w:t>
      </w:r>
    </w:p>
    <w:p>
      <w:pPr>
        <w:ind w:left="660" w:right="24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same center property operating income growth of 3.0% for the fourth quarter. For the year end 2016, same center growth was 3.1%.</w:t>
      </w:r>
    </w:p>
    <w:p>
      <w:pPr>
        <w:ind w:left="660" w:right="2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274,622 sf of comparable space (347,604 sf total) in the fourth quarter at an average rent of $37.10 psf and achieved cash basis rollover growth on those comparable spaces of 15%.</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Affirmed 2017 FFO per diluted share guidance range of $5.83 - $5.93.</w:t>
      </w:r>
    </w:p>
    <w:p>
      <w:pPr>
        <w:spacing w:after="0" w:line="200" w:lineRule="exact"/>
        <w:rPr>
          <w:sz w:val="20"/>
          <w:szCs w:val="20"/>
          <w:color w:val="auto"/>
        </w:rPr>
      </w:pPr>
    </w:p>
    <w:p>
      <w:pPr>
        <w:spacing w:after="0" w:line="214"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“We are very pleased with our fourth quarter and full year 2016 results - another record for the trust in terms of FFO per share,” said Donald C. Wood, President and Chief Executive Officer of Federal Realty. “We are making good progress on anchor box releasing in our core portfolio. The second phases at both Assembly Row and Pike &amp; Rose have been topped off and we are excited for them to begin opening later this year. We continue to execute on our long term, balanced business plan in order to further position our portfolio for the changing retail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 YEAR 2016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Net income available for common shareholders was $57.9 million and earnings per diluted share was $0.80 for fourth quarter 2016 versus $67.8 million and $0.97, respectively, for fourth quarter 2015 ($0.73 per diluted share excluding a $0.24 gain on sale in the fourth quarter 2015). For the full year 2016, Federal Realty reported net income available for common shareholders of $249.4 million and earnings per diluted share of $3.50. This compares to net income available for common shareholders of $209.7 million and earnings per diluted share of $3.03 for the full year 2015.</w:t>
      </w:r>
    </w:p>
    <w:p>
      <w:pPr>
        <w:spacing w:after="0" w:line="298" w:lineRule="exact"/>
        <w:rPr>
          <w:sz w:val="20"/>
          <w:szCs w:val="20"/>
          <w:color w:val="auto"/>
        </w:rPr>
      </w:pPr>
    </w:p>
    <w:p>
      <w:pPr>
        <w:jc w:val="both"/>
        <w:ind w:right="20"/>
        <w:spacing w:after="0" w:line="364" w:lineRule="auto"/>
        <w:rPr>
          <w:sz w:val="20"/>
          <w:szCs w:val="20"/>
          <w:color w:val="auto"/>
        </w:rPr>
      </w:pPr>
      <w:r>
        <w:rPr>
          <w:rFonts w:ascii="Arial" w:cs="Arial" w:eastAsia="Arial" w:hAnsi="Arial"/>
          <w:sz w:val="18"/>
          <w:szCs w:val="18"/>
          <w:color w:val="auto"/>
        </w:rPr>
        <w:t>In the fourth quarter 2016, Federal Realty generated funds from operations available for common shareholders (FFO) of $104.9 million, or $1.45 per diluted share. This compares to FFO of $96.5 million, or $1.37 per diluted share, in fourth quarter 2015. For the full year 2016, FFO was $406.4 million, or $5.65 per diluted share, compared to $352.9 million, or $5.05 per diluted share for the full year 2015. Excluding an early extinguishment of debt charge in 2015, FFO per diluted share for the full year 2015 was $5.32.</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In fourth quarter 2016, same-center property operating income increased 3.0% when including properties that are being redeveloped and 2.1% when excluding those properties. For the year 2016, same-center property operating income increased 3.1% when including properties that are being redeveloped and 1.9% when excluding those properties. As anticipated, an unusually high number of anchor vacancies, both proactively pursued and otherwise, negatively impacted the quarterly and year end results.</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The overall portfolio was 94.4% leased as of December 31, 2016, compared to 94.3% on December 31, 2015. Federal Realty’s same center portfolio was 95.7% leased on December 31, 2016, compared to 95.9% on December 31, 2015.</w:t>
      </w:r>
    </w:p>
    <w:p>
      <w:pPr>
        <w:spacing w:after="0" w:line="292" w:lineRule="exact"/>
        <w:rPr>
          <w:sz w:val="20"/>
          <w:szCs w:val="20"/>
          <w:color w:val="auto"/>
        </w:rPr>
      </w:pPr>
    </w:p>
    <w:p>
      <w:pPr>
        <w:ind w:right="40"/>
        <w:spacing w:after="0" w:line="362" w:lineRule="auto"/>
        <w:rPr>
          <w:sz w:val="20"/>
          <w:szCs w:val="20"/>
          <w:color w:val="auto"/>
        </w:rPr>
      </w:pPr>
      <w:r>
        <w:rPr>
          <w:rFonts w:ascii="Arial" w:cs="Arial" w:eastAsia="Arial" w:hAnsi="Arial"/>
          <w:sz w:val="18"/>
          <w:szCs w:val="18"/>
          <w:color w:val="auto"/>
        </w:rPr>
        <w:t>During fourth quarter 2016, Federal Realty signed 89 leases for 347,604 square feet of retail space. On a comparable space basis (i.e., spaces for which there was a former tenant), Federal Realty leased 274,622 square feet at an average cash basis contractual rent increase (i.e., excluding the impact of straight-line rents) of 15%. The average contractual rent on this comparable space for the first year of the new leases is $37.10 per square foot compared to the average contractual rent of $32.27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for comparable retail space averaged 27% for fourth quarter 2016.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 YEAR 2016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79"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the year 2016, Federal Realty signed 386 leases for 1.7 million square feet of retail space. On a comparable space basis, Federal Realty leased 1.5 million square feet at an average cash-basis contractual rent increase of 13%, and 26% on a GAAP-basis. The average contractual rent on this comparable space for the first year of the new leases is $34.72 per square foot compared to the average contractual rent of $30.63 per square foot for the last year of the prior leases. As of December 31, 2016, Federal Realty’s average contractual minimum rent for retail and commercial space in its portfolio is $26.91 per square foot, as compared to $26.28 per square foot on December 31, 2015.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$0.98 per common share, resulting in an indicated annual rate of $3.92 per common share. The regular common dividend will be payable on April 17, 2017 to common shareholders of record as of March 14,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jc w:val="both"/>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February 8, 2017 - Federal Realty announced the promotion of Craig Klimisch to Vice President - Corporate Controller. In this capacity, Mr. Klimisch is responsible for all aspects of accounting functions and processes, internal and external financial reporting and SEC filing requirements. Mr. Klimisch joined Federal Realty in 2011.</w:t>
      </w:r>
    </w:p>
    <w:p>
      <w:pPr>
        <w:jc w:val="both"/>
        <w:ind w:left="660" w:hanging="328"/>
        <w:spacing w:after="0" w:line="3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February 9, 2017 - Federal Realty announced the acquisition of Hastings Ranch Plaza, a 274,000 square foot shopping center in Pasadena, California. The Trust acquired the leasehold interest in the shopping center for $29.5 million. Hastings Ranch Plaza enjoys immediate access to Interstate 210 at the Rosemead-Michillinda exit and is within walking distance of the Sierra Madre Station on the Metro Gold Line. Federal Realty anticipates increasing the value over time through potential redevelopment and/or the re-leasing of space currently leased at below market rents.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Federal Realty affirmed our 2017 guidance for FFO per diluted share of $5.83 to $5.93 and 2017 earnings per diluted share guidance of $3.13 to $3.23.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ind w:right="20"/>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fourth quarter and year end 2016 earnings conference call, which is scheduled for Tuesday, February 14, 2017 at 12:00PM ET. To participate, please call 877.445.3230 five to ten minutes prior to the call start time and use the passcode 30117601 (required). A replay of the webcast will be available on Federal Realty’s website at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A telephonic replay of the conference call will also be available through February 21, 2017 by dialing 855.859.2056; Passcode: 30117601.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 YEAR 2016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ind w:right="60"/>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96 properties include over 2,800 tenants, in approximately 23 million square feet, and over 1,800 residential units.</w:t>
      </w:r>
    </w:p>
    <w:p>
      <w:pPr>
        <w:spacing w:after="0" w:line="300" w:lineRule="exact"/>
        <w:rPr>
          <w:sz w:val="20"/>
          <w:szCs w:val="20"/>
          <w:color w:val="auto"/>
        </w:rPr>
      </w:pPr>
    </w:p>
    <w:p>
      <w:pPr>
        <w:ind w:right="160"/>
        <w:spacing w:after="0" w:line="365" w:lineRule="auto"/>
        <w:rPr>
          <w:sz w:val="20"/>
          <w:szCs w:val="20"/>
          <w:color w:val="auto"/>
        </w:rPr>
      </w:pPr>
      <w:r>
        <w:rPr>
          <w:rFonts w:ascii="Arial" w:cs="Arial" w:eastAsia="Arial" w:hAnsi="Arial"/>
          <w:sz w:val="18"/>
          <w:szCs w:val="18"/>
          <w:color w:val="auto"/>
        </w:rPr>
        <w:t>Federal Realty has paid quarterly dividends to its shareholders continuously since its founding in 1962, and has increased its dividend rate for 49 consecutive years, the longest record in the REIT industry. Federal Realty shares are traded on the NYSE under the symbol FRT. For additional information about Federal Realty and its properties, visit www.FederalRealty.com.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2017, and include the following:</w:t>
      </w:r>
    </w:p>
    <w:p>
      <w:pPr>
        <w:spacing w:after="0" w:line="206" w:lineRule="exact"/>
        <w:rPr>
          <w:sz w:val="20"/>
          <w:szCs w:val="20"/>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2017.</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200,871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189,200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786,583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727,812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192,507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801,591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744,012</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147,593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22,959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95,286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85,824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35,645</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48,448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193,585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174,796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120,632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116,593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480,596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443,858</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83,477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75,914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320,995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300,154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(94,994)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(92,553)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226,425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190,094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Gain on sale of real estate and change in control of interests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16,821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32,458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28,330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258,883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218,424</w:t>
            </w:r>
          </w:p>
        </w:tc>
        <w:tc>
          <w:tcPr>
            <w:tcW w:w="0" w:type="dxa"/>
            <w:vAlign w:val="bottom"/>
          </w:tcPr>
          <w:p>
            <w:pPr>
              <w:spacing w:after="0"/>
              <w:rPr>
                <w:sz w:val="1"/>
                <w:szCs w:val="1"/>
                <w:color w:val="auto"/>
              </w:rPr>
            </w:pPr>
          </w:p>
        </w:tc>
      </w:tr>
      <w:tr>
        <w:trPr>
          <w:trHeight w:val="243"/>
        </w:trPr>
        <w:tc>
          <w:tcPr>
            <w:tcW w:w="528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249,910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210,219</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57,902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67,819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249,369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209,678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w w:val="96"/>
              </w:rPr>
              <w:t>Gain on sale of real estate and change in control of interests,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71,628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69,272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70,877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68,797</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Gain on sale of real estate and change in control of interests, net</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71,785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71,049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68,981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52"/>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6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0"/>
              </w:rPr>
              <w:t>(in thousands, except share and</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w w:val="93"/>
              </w:rPr>
              <w:t>per share data)</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5"/>
              </w:rPr>
              <w:t>Operating (including $1,226,918 and $1,192,336 of consolidated variable interest entities, respectively)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6,125,957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5,630,771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599,260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433,635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33,856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6,759,073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6,064,406</w:t>
            </w: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1"/>
              </w:rPr>
              <w:t>Less accumulated depreciation and amortization (including $209,239 and $176,057 of consolidated variable</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(1,729,234)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(1,574,041)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5,029,839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4,490,365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23,368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21,046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116,749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110,402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29,904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41,618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208,555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191,582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5,423,279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4,896,559</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$439,120 and $448,315 of consolidated variable interest entities,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471,117</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481,084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71,620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279,151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341,961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1,976,594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1,732,551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201,756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146,532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66,338</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16,285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15,439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115,817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121,787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3,203,750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2,977,312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143,694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137,316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71,995,897 and 69,493,392</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2,718,325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2,381,867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(724,701)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1,976,733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1,663,749</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99,102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118,182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2,075,835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1,781,931</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5,423,279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4,896,559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(in thousands, except per share data)</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9"/>
        </w:trPr>
        <w:tc>
          <w:tcPr>
            <w:tcW w:w="6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59,724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69,998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258,883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218,424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(8,205)</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(16,821)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(31,133)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w w:val="98"/>
              </w:rPr>
              <w:t>(28,330)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40,619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169,198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154,232</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16,875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15,026</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95,974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404,850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351,147</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Dividends on preferred shares</w:t>
            </w: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(541)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3,398</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(1,147)</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FFO (2)</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104,921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96,474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406,359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352,857</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28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72,549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70,391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71,869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69,920</w:t>
            </w:r>
          </w:p>
        </w:tc>
      </w:tr>
      <w:tr>
        <w:trPr>
          <w:trHeight w:val="251"/>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 (2)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5.05</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3"/>
        </w:trPr>
        <w:tc>
          <w:tcPr>
            <w:tcW w:w="62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133,136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58,863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428,669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239,338</w:t>
            </w:r>
          </w:p>
        </w:tc>
      </w:tr>
      <w:tr>
        <w:trPr>
          <w:trHeight w:val="243"/>
        </w:trPr>
        <w:tc>
          <w:tcPr>
            <w:tcW w:w="40" w:type="dxa"/>
            <w:vAlign w:val="bottom"/>
          </w:tcPr>
          <w:p>
            <w:pPr>
              <w:spacing w:after="0"/>
              <w:rPr>
                <w:sz w:val="21"/>
                <w:szCs w:val="21"/>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10,206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8,321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34,610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24,050</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143,342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463,279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263,388</w:t>
            </w:r>
          </w:p>
        </w:tc>
      </w:tr>
      <w:tr>
        <w:trPr>
          <w:trHeight w:val="243"/>
        </w:trPr>
        <w:tc>
          <w:tcPr>
            <w:tcW w:w="40" w:type="dxa"/>
            <w:vAlign w:val="bottom"/>
          </w:tcPr>
          <w:p>
            <w:pPr>
              <w:spacing w:after="0"/>
              <w:rPr>
                <w:sz w:val="21"/>
                <w:szCs w:val="21"/>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10,390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29,357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19,699</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156,569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77,574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492,636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283,087</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3"/>
        </w:trPr>
        <w:tc>
          <w:tcPr>
            <w:tcW w:w="62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70,512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65,317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274,402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250,388</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 (2)</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 w:lineRule="exact"/>
        <w:rPr>
          <w:rFonts w:ascii="Arial" w:cs="Arial" w:eastAsia="Arial" w:hAnsi="Arial"/>
          <w:sz w:val="16"/>
          <w:szCs w:val="16"/>
          <w:color w:val="auto"/>
        </w:rPr>
      </w:pPr>
    </w:p>
    <w:p>
      <w:pPr>
        <w:ind w:left="660" w:right="100" w:hanging="652"/>
        <w:spacing w:after="0" w:line="25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$19.1 million early extinguishment of debt charge incurred in the second quarter of 2015 was excluded, our FFO for the year ended December 31, 2015 would have been $371.9 million, and FFO per diluted share would have been $5.32. Additionally, the dividend payout ratio as a percentage of FFO for the year ended December 31, 2015 would have been 67%.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72,760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70,428</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142.11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146.10</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10,339,924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3"/>
              </w:rPr>
              <w:t>10,289,531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10,349,924</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w w:val="93"/>
              </w:rPr>
              <w:t>10,299,531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2,798,452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2,627,216</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13,148,376</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3"/>
              </w:rPr>
              <w:t>12,926,747</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8420" w:type="dxa"/>
            <w:vAlign w:val="bottom"/>
          </w:tcPr>
          <w:p>
            <w:pPr>
              <w:ind w:left="58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3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include 763,797 and 934,405 operating partnership units outstanding at December 31, 2016 and 2015,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26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Total debt includes capital leases, mortgages payable, notes payable, senior notes and debentures, net of premiums and discounts from our consolidated balance </w:t>
      </w:r>
      <w:r>
        <w:rPr>
          <w:rFonts w:ascii="Arial" w:cs="Arial" w:eastAsia="Arial" w:hAnsi="Arial"/>
          <w:sz w:val="14"/>
          <w:szCs w:val="14"/>
          <w:color w:val="auto"/>
        </w:rPr>
        <w:t>sheet.</w:t>
      </w:r>
      <w:r>
        <w:rPr>
          <w:rFonts w:ascii="Arial" w:cs="Arial" w:eastAsia="Arial" w:hAnsi="Arial"/>
          <w:sz w:val="16"/>
          <w:szCs w:val="16"/>
          <w:color w:val="auto"/>
        </w:rPr>
        <w:t xml:space="preserve"> The December 31, 2016 and 2015 balances are net of debt issuance costs of $15.4 million and $15.2 million, respectively, reflecting our January 1, 2016 adoption of ASU 2015-03, "Simplifying the Presentation of Debt Issuance Costs." See Note 2 of our December 31, 2016 Form 10-K for additional information regarding the adoption.</w:t>
      </w:r>
    </w:p>
    <w:p>
      <w:pPr>
        <w:spacing w:after="0" w:line="20"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140,525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132,260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549,552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509,825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49,465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42,797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39,038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37,416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158,042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148,110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18,547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15,169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200,871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189,200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786,583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727,812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6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$1.9 million and $2.6 million for the three months ended December 31, 2016 and 2015, respectively, and $8.1 million and $7.6 million for the years ended December 31, 2016 and 2015, respectively, to recognize minimum rents on a straight-line basis. In addition, minimum rents include $0.6 million and $0.8 million for the three months ended December 31, 2016 and 2015, respectively, and $1.8 million and $2.7 million for the years ended December 31, 2016 and 2015,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As of December 31, 2016</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vMerge w:val="restart"/>
          </w:tcPr>
          <w:p>
            <w:pPr>
              <w:jc w:val="center"/>
              <w:ind w:right="183"/>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effective rate (3)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Mortgages Payable</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i w:val="1"/>
                <w:iCs w:val="1"/>
                <w:color w:val="auto"/>
              </w:rPr>
              <w:t>Secured fixed rate</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Plaza El Segundo</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8/5/2017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The Grove at Shrewsbury (East)</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10/1/2017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42,536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Grove at Shrewsbury (West)</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3/1/2018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Rollingwood Apartments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3"/>
              </w:rPr>
              <w:t>5/1/2019</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21,283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Shops at Sunset Place</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9/1/2020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68,634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29</w:t>
            </w:r>
            <w:r>
              <w:rPr>
                <w:rFonts w:ascii="Arial" w:cs="Arial" w:eastAsia="Arial" w:hAnsi="Arial"/>
                <w:sz w:val="18"/>
                <w:szCs w:val="18"/>
                <w:color w:val="auto"/>
              </w:rPr>
              <w:t>th</w:t>
            </w:r>
            <w:r>
              <w:rPr>
                <w:rFonts w:ascii="Arial" w:cs="Arial" w:eastAsia="Arial" w:hAnsi="Arial"/>
                <w:sz w:val="16"/>
                <w:szCs w:val="16"/>
                <w:color w:val="auto"/>
              </w:rPr>
              <w:t xml:space="preserve"> Place</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4,553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AVENUE at White Marsh</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Montrose Crossing</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72,726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Brook 35</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Chelsea</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6,576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466,305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gridSpan w:val="8"/>
          </w:tcPr>
          <w:p>
            <w:pPr>
              <w:ind w:left="900"/>
              <w:spacing w:after="0"/>
              <w:rPr>
                <w:sz w:val="20"/>
                <w:szCs w:val="20"/>
                <w:color w:val="auto"/>
              </w:rPr>
            </w:pPr>
            <w:r>
              <w:rPr>
                <w:rFonts w:ascii="Arial" w:cs="Arial" w:eastAsia="Arial" w:hAnsi="Arial"/>
                <w:sz w:val="16"/>
                <w:szCs w:val="16"/>
                <w:color w:val="auto"/>
              </w:rPr>
              <w:t>Net unamortized premium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4,812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mortgages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471,117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Notes payable</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Term Loan (1)</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LIBOR + 0.90%</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Various</w:t>
            </w:r>
          </w:p>
        </w:tc>
        <w:tc>
          <w:tcPr>
            <w:tcW w:w="20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Various through 2028</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5,247</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variable rate</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Revolving Credit Facility (2)</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4/20/2020</w:t>
            </w:r>
          </w:p>
        </w:tc>
        <w:tc>
          <w:tcPr>
            <w:tcW w:w="10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LIBOR + 0.825%</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280,247</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900"/>
              <w:spacing w:after="0"/>
              <w:rPr>
                <w:sz w:val="20"/>
                <w:szCs w:val="20"/>
                <w:color w:val="auto"/>
              </w:rPr>
            </w:pPr>
            <w:r>
              <w:rPr>
                <w:rFonts w:ascii="Arial" w:cs="Arial" w:eastAsia="Arial" w:hAnsi="Arial"/>
                <w:sz w:val="16"/>
                <w:szCs w:val="16"/>
                <w:color w:val="auto"/>
              </w:rPr>
              <w:t>Net unamortized debt issuance costs</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(1,096)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279,151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74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6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7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6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5.90% notes</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4/1/2020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2.55% notes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1/15/2021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3.00% notes</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2.75% notes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3.95% notes</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7.48% debentures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6.82% medium term notes</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4.50% notes</w:t>
            </w:r>
          </w:p>
        </w:tc>
        <w:tc>
          <w:tcPr>
            <w:tcW w:w="1900" w:type="dxa"/>
            <w:vAlign w:val="bottom"/>
            <w:gridSpan w:val="2"/>
          </w:tcPr>
          <w:p>
            <w:pPr>
              <w:jc w:val="center"/>
              <w:spacing w:after="0"/>
              <w:rPr>
                <w:sz w:val="20"/>
                <w:szCs w:val="20"/>
                <w:color w:val="auto"/>
              </w:rPr>
            </w:pPr>
            <w:r>
              <w:rPr>
                <w:rFonts w:ascii="Arial" w:cs="Arial" w:eastAsia="Arial" w:hAnsi="Arial"/>
                <w:sz w:val="16"/>
                <w:szCs w:val="16"/>
                <w:color w:val="auto"/>
                <w:w w:val="92"/>
              </w:rPr>
              <w:t>12/1/2044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3.625% notes</w:t>
            </w:r>
          </w:p>
        </w:tc>
        <w:tc>
          <w:tcPr>
            <w:tcW w:w="19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8/1/2046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1,994,200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w w:val="90"/>
              </w:rPr>
              <w:t>Net unamortized discount and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(17,606)</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ind w:left="680"/>
              <w:spacing w:after="0"/>
              <w:rPr>
                <w:sz w:val="20"/>
                <w:szCs w:val="20"/>
                <w:color w:val="auto"/>
              </w:rPr>
            </w:pPr>
            <w:r>
              <w:rPr>
                <w:rFonts w:ascii="Arial" w:cs="Arial" w:eastAsia="Arial" w:hAnsi="Arial"/>
                <w:sz w:val="16"/>
                <w:szCs w:val="16"/>
                <w:color w:val="auto"/>
              </w:rPr>
              <w:t>Total senior notes and debentures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1,976,594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rPr>
              <w:t>Capital lease obligations</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Various</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center"/>
              <w:ind w:right="183"/>
              <w:spacing w:after="0"/>
              <w:rPr>
                <w:sz w:val="20"/>
                <w:szCs w:val="20"/>
                <w:color w:val="auto"/>
              </w:rPr>
            </w:pPr>
            <w:r>
              <w:rPr>
                <w:rFonts w:ascii="Arial" w:cs="Arial" w:eastAsia="Arial" w:hAnsi="Arial"/>
                <w:sz w:val="16"/>
                <w:szCs w:val="16"/>
                <w:color w:val="auto"/>
                <w:w w:val="90"/>
                <w:shd w:val="clear" w:color="auto" w:fill="CCEEFF"/>
              </w:rPr>
              <w:t>Various through 2106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shd w:val="clear" w:color="auto" w:fill="CCEEFF"/>
              </w:rPr>
              <w:t>Various</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71,590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356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Total debt and capital lease obligations</w:t>
            </w:r>
          </w:p>
        </w:tc>
        <w:tc>
          <w:tcPr>
            <w:tcW w:w="26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2,798,452</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fixed rate debt and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2,798,452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4.07%</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rPr>
              <w:t>Total variable rate debt</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debt and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2,798,452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4.07%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42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20" w:top="747" w:right="299" w:bottom="42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960" w:type="dxa"/>
            <w:vAlign w:val="bottom"/>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rPr>
              <w:t>Year Ended</w:t>
            </w:r>
          </w:p>
        </w:tc>
      </w:tr>
      <w:tr>
        <w:trPr>
          <w:trHeight w:val="270"/>
        </w:trPr>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1960" w:type="dxa"/>
            <w:vAlign w:val="bottom"/>
            <w:gridSpan w:val="3"/>
          </w:tcPr>
          <w:p>
            <w:pPr>
              <w:ind w:left="50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80"/>
        </w:trPr>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060" w:type="dxa"/>
            <w:vAlign w:val="bottom"/>
          </w:tcPr>
          <w:p>
            <w:pPr>
              <w:ind w:left="320"/>
              <w:spacing w:after="0"/>
              <w:rPr>
                <w:sz w:val="20"/>
                <w:szCs w:val="20"/>
                <w:color w:val="auto"/>
              </w:rPr>
            </w:pPr>
            <w:r>
              <w:rPr>
                <w:rFonts w:ascii="Arial" w:cs="Arial" w:eastAsia="Arial" w:hAnsi="Arial"/>
                <w:sz w:val="14"/>
                <w:szCs w:val="14"/>
                <w:b w:val="1"/>
                <w:bCs w:val="1"/>
                <w:color w:val="auto"/>
              </w:rPr>
              <w:t>2016</w:t>
            </w: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2015</w:t>
            </w:r>
          </w:p>
        </w:tc>
      </w:tr>
      <w:tr>
        <w:trPr>
          <w:trHeight w:val="66"/>
        </w:trPr>
        <w:tc>
          <w:tcPr>
            <w:tcW w:w="4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6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169"/>
        </w:trPr>
        <w:tc>
          <w:tcPr>
            <w:tcW w:w="766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6"/>
                <w:szCs w:val="16"/>
                <w:color w:val="auto"/>
              </w:rPr>
              <w:t>Operational Statistics</w:t>
            </w: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auto"/>
            </w:tcBorders>
            <w:shd w:val="clear" w:color="auto" w:fill="CCEEFF"/>
          </w:tcPr>
          <w:p>
            <w:pPr>
              <w:spacing w:after="0"/>
              <w:rPr>
                <w:sz w:val="6"/>
                <w:szCs w:val="6"/>
                <w:color w:val="auto"/>
              </w:rPr>
            </w:pPr>
          </w:p>
        </w:tc>
        <w:tc>
          <w:tcPr>
            <w:tcW w:w="62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r>
      <w:tr>
        <w:trPr>
          <w:trHeight w:val="224"/>
        </w:trPr>
        <w:tc>
          <w:tcPr>
            <w:tcW w:w="40" w:type="dxa"/>
            <w:vAlign w:val="bottom"/>
          </w:tcPr>
          <w:p>
            <w:pPr>
              <w:spacing w:after="0"/>
              <w:rPr>
                <w:sz w:val="19"/>
                <w:szCs w:val="19"/>
                <w:color w:val="auto"/>
              </w:rPr>
            </w:pPr>
          </w:p>
        </w:tc>
        <w:tc>
          <w:tcPr>
            <w:tcW w:w="7620" w:type="dxa"/>
            <w:vAlign w:val="bottom"/>
            <w:gridSpan w:val="2"/>
          </w:tcPr>
          <w:p>
            <w:pPr>
              <w:ind w:left="680"/>
              <w:spacing w:after="0"/>
              <w:rPr>
                <w:sz w:val="20"/>
                <w:szCs w:val="20"/>
                <w:color w:val="auto"/>
              </w:rPr>
            </w:pPr>
            <w:r>
              <w:rPr>
                <w:rFonts w:ascii="Arial" w:cs="Arial" w:eastAsia="Arial" w:hAnsi="Arial"/>
                <w:sz w:val="16"/>
                <w:szCs w:val="16"/>
                <w:color w:val="auto"/>
              </w:rPr>
              <w:t>Excluding early extinguishment of debt:</w:t>
            </w: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(5)(6)</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4.45x</w:t>
            </w:r>
          </w:p>
        </w:tc>
        <w:tc>
          <w:tcPr>
            <w:tcW w:w="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5.06x</w:t>
            </w:r>
          </w:p>
        </w:tc>
        <w:tc>
          <w:tcPr>
            <w:tcW w:w="1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4.76x</w:t>
            </w:r>
          </w:p>
        </w:tc>
        <w:tc>
          <w:tcPr>
            <w:tcW w:w="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w w:val="96"/>
              </w:rPr>
              <w:t>4.50x</w:t>
            </w:r>
          </w:p>
        </w:tc>
      </w:tr>
      <w:tr>
        <w:trPr>
          <w:trHeight w:val="224"/>
        </w:trPr>
        <w:tc>
          <w:tcPr>
            <w:tcW w:w="40" w:type="dxa"/>
            <w:vAlign w:val="bottom"/>
          </w:tcPr>
          <w:p>
            <w:pPr>
              <w:spacing w:after="0"/>
              <w:rPr>
                <w:sz w:val="19"/>
                <w:szCs w:val="19"/>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(5)(6)</w:t>
            </w:r>
          </w:p>
        </w:tc>
        <w:tc>
          <w:tcPr>
            <w:tcW w:w="1060" w:type="dxa"/>
            <w:vAlign w:val="bottom"/>
          </w:tcPr>
          <w:p>
            <w:pPr>
              <w:ind w:left="540"/>
              <w:spacing w:after="0"/>
              <w:rPr>
                <w:sz w:val="20"/>
                <w:szCs w:val="20"/>
                <w:color w:val="auto"/>
              </w:rPr>
            </w:pPr>
            <w:r>
              <w:rPr>
                <w:rFonts w:ascii="Arial" w:cs="Arial" w:eastAsia="Arial" w:hAnsi="Arial"/>
                <w:sz w:val="16"/>
                <w:szCs w:val="16"/>
                <w:color w:val="auto"/>
              </w:rPr>
              <w:t>4.45x</w:t>
            </w:r>
          </w:p>
        </w:tc>
        <w:tc>
          <w:tcPr>
            <w:tcW w:w="900" w:type="dxa"/>
            <w:vAlign w:val="bottom"/>
            <w:gridSpan w:val="2"/>
          </w:tcPr>
          <w:p>
            <w:pPr>
              <w:ind w:left="400"/>
              <w:spacing w:after="0"/>
              <w:rPr>
                <w:sz w:val="20"/>
                <w:szCs w:val="20"/>
                <w:color w:val="auto"/>
              </w:rPr>
            </w:pPr>
            <w:r>
              <w:rPr>
                <w:rFonts w:ascii="Arial" w:cs="Arial" w:eastAsia="Arial" w:hAnsi="Arial"/>
                <w:sz w:val="16"/>
                <w:szCs w:val="16"/>
                <w:color w:val="auto"/>
              </w:rPr>
              <w:t>4.45x</w:t>
            </w:r>
          </w:p>
        </w:tc>
        <w:tc>
          <w:tcPr>
            <w:tcW w:w="1040" w:type="dxa"/>
            <w:vAlign w:val="bottom"/>
          </w:tcPr>
          <w:p>
            <w:pPr>
              <w:ind w:left="500"/>
              <w:spacing w:after="0"/>
              <w:rPr>
                <w:sz w:val="20"/>
                <w:szCs w:val="20"/>
                <w:color w:val="auto"/>
              </w:rPr>
            </w:pPr>
            <w:r>
              <w:rPr>
                <w:rFonts w:ascii="Arial" w:cs="Arial" w:eastAsia="Arial" w:hAnsi="Arial"/>
                <w:sz w:val="16"/>
                <w:szCs w:val="16"/>
                <w:color w:val="auto"/>
              </w:rPr>
              <w:t>4.48x</w:t>
            </w:r>
          </w:p>
        </w:tc>
        <w:tc>
          <w:tcPr>
            <w:tcW w:w="760" w:type="dxa"/>
            <w:vAlign w:val="bottom"/>
          </w:tcPr>
          <w:p>
            <w:pPr>
              <w:ind w:left="360"/>
              <w:spacing w:after="0"/>
              <w:rPr>
                <w:sz w:val="20"/>
                <w:szCs w:val="20"/>
                <w:color w:val="auto"/>
              </w:rPr>
            </w:pPr>
            <w:r>
              <w:rPr>
                <w:rFonts w:ascii="Arial" w:cs="Arial" w:eastAsia="Arial" w:hAnsi="Arial"/>
                <w:sz w:val="16"/>
                <w:szCs w:val="16"/>
                <w:color w:val="auto"/>
                <w:w w:val="96"/>
              </w:rPr>
              <w:t>4.25x</w:t>
            </w: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Including early extinguishment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(5)</w:t>
            </w:r>
          </w:p>
        </w:tc>
        <w:tc>
          <w:tcPr>
            <w:tcW w:w="1060" w:type="dxa"/>
            <w:vAlign w:val="bottom"/>
          </w:tcPr>
          <w:p>
            <w:pPr>
              <w:ind w:left="540"/>
              <w:spacing w:after="0"/>
              <w:rPr>
                <w:sz w:val="20"/>
                <w:szCs w:val="20"/>
                <w:color w:val="auto"/>
              </w:rPr>
            </w:pPr>
            <w:r>
              <w:rPr>
                <w:rFonts w:ascii="Arial" w:cs="Arial" w:eastAsia="Arial" w:hAnsi="Arial"/>
                <w:sz w:val="16"/>
                <w:szCs w:val="16"/>
                <w:color w:val="auto"/>
              </w:rPr>
              <w:t>4.45x</w:t>
            </w:r>
          </w:p>
        </w:tc>
        <w:tc>
          <w:tcPr>
            <w:tcW w:w="900" w:type="dxa"/>
            <w:vAlign w:val="bottom"/>
            <w:gridSpan w:val="2"/>
          </w:tcPr>
          <w:p>
            <w:pPr>
              <w:ind w:left="400"/>
              <w:spacing w:after="0"/>
              <w:rPr>
                <w:sz w:val="20"/>
                <w:szCs w:val="20"/>
                <w:color w:val="auto"/>
              </w:rPr>
            </w:pPr>
            <w:r>
              <w:rPr>
                <w:rFonts w:ascii="Arial" w:cs="Arial" w:eastAsia="Arial" w:hAnsi="Arial"/>
                <w:sz w:val="16"/>
                <w:szCs w:val="16"/>
                <w:color w:val="auto"/>
              </w:rPr>
              <w:t>5.06x</w:t>
            </w:r>
          </w:p>
        </w:tc>
        <w:tc>
          <w:tcPr>
            <w:tcW w:w="1040" w:type="dxa"/>
            <w:vAlign w:val="bottom"/>
          </w:tcPr>
          <w:p>
            <w:pPr>
              <w:ind w:left="500"/>
              <w:spacing w:after="0"/>
              <w:rPr>
                <w:sz w:val="20"/>
                <w:szCs w:val="20"/>
                <w:color w:val="auto"/>
              </w:rPr>
            </w:pPr>
            <w:r>
              <w:rPr>
                <w:rFonts w:ascii="Arial" w:cs="Arial" w:eastAsia="Arial" w:hAnsi="Arial"/>
                <w:sz w:val="16"/>
                <w:szCs w:val="16"/>
                <w:color w:val="auto"/>
              </w:rPr>
              <w:t>4.76x</w:t>
            </w:r>
          </w:p>
        </w:tc>
        <w:tc>
          <w:tcPr>
            <w:tcW w:w="760" w:type="dxa"/>
            <w:vAlign w:val="bottom"/>
          </w:tcPr>
          <w:p>
            <w:pPr>
              <w:ind w:left="360"/>
              <w:spacing w:after="0"/>
              <w:rPr>
                <w:sz w:val="20"/>
                <w:szCs w:val="20"/>
                <w:color w:val="auto"/>
              </w:rPr>
            </w:pPr>
            <w:r>
              <w:rPr>
                <w:rFonts w:ascii="Arial" w:cs="Arial" w:eastAsia="Arial" w:hAnsi="Arial"/>
                <w:sz w:val="16"/>
                <w:szCs w:val="16"/>
                <w:color w:val="auto"/>
                <w:w w:val="96"/>
              </w:rPr>
              <w:t>3.85x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(5)</w:t>
            </w:r>
          </w:p>
        </w:tc>
        <w:tc>
          <w:tcPr>
            <w:tcW w:w="1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4.45x</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4.45x</w:t>
            </w:r>
          </w:p>
        </w:tc>
        <w:tc>
          <w:tcPr>
            <w:tcW w:w="1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4.48x</w:t>
            </w:r>
          </w:p>
        </w:tc>
        <w:tc>
          <w:tcPr>
            <w:tcW w:w="7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3.63x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1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12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There were no borrowings under our revolving credit facility during the three months ended December 31, 2016. For the year ended December 31, 2016, the maximum amount drawn under our revolving credit facility was $251.5 million, and the weighted average effective interest rate on borrowings under our revolving credit facility, before amortization of debt fees was 1.3%.</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4.</w:t>
      </w:r>
    </w:p>
    <w:p>
      <w:pPr>
        <w:spacing w:after="0" w:line="55" w:lineRule="exact"/>
        <w:rPr>
          <w:rFonts w:ascii="Arial" w:cs="Arial" w:eastAsia="Arial" w:hAnsi="Arial"/>
          <w:sz w:val="14"/>
          <w:szCs w:val="14"/>
          <w:color w:val="auto"/>
        </w:rPr>
      </w:pPr>
    </w:p>
    <w:p>
      <w:pPr>
        <w:ind w:left="660" w:right="4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quarterly debt fee amortization on our revolving credit facility which had no outstanding balance on December 31, 2016. In addition, the weighted average effective interest rate is calculated using the fixed rate on our term loan of 2.62% as the result of the interest rate swap agreements discussed in Note 1. The term loan is included in fixed rate debt.</w:t>
      </w:r>
    </w:p>
    <w:p>
      <w:pPr>
        <w:spacing w:after="0" w:line="23" w:lineRule="exact"/>
        <w:rPr>
          <w:rFonts w:ascii="Arial" w:cs="Arial" w:eastAsia="Arial" w:hAnsi="Arial"/>
          <w:sz w:val="14"/>
          <w:szCs w:val="14"/>
          <w:color w:val="auto"/>
        </w:rPr>
      </w:pPr>
    </w:p>
    <w:p>
      <w:pPr>
        <w:ind w:left="660" w:right="40" w:hanging="652"/>
        <w:spacing w:after="0" w:line="286"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Fixed charges consist of interest on borrowed funds (including capitalized interest), amortization of debt discount/premium and debt costs, and the portion of rent expense representing an interest factor. EBITDA includes a gain on sale of real estate and change in control of interests of $32.5 million for the year ended December 31, 2016 and $16.8 million and $28.3 million for the three months and year ended December 31, 2015, respectively. Adjusted EBITDA is reconciled to net income in the Glossary of Terms.</w:t>
      </w:r>
    </w:p>
    <w:p>
      <w:pPr>
        <w:spacing w:after="0" w:line="5" w:lineRule="exact"/>
        <w:rPr>
          <w:rFonts w:ascii="Arial" w:cs="Arial" w:eastAsia="Arial" w:hAnsi="Arial"/>
          <w:sz w:val="13"/>
          <w:szCs w:val="13"/>
          <w:color w:val="auto"/>
        </w:rPr>
      </w:pPr>
    </w:p>
    <w:p>
      <w:pPr>
        <w:ind w:left="660" w:right="62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for the year ended December 31, 2015 exclude the $19.1 million early extinguishment of debt charge related to the make-whole premium paid as part of the early redemption of the 6.20% senior notes in the second quarter of 2015.</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38" w:right="239"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Rate</w:t>
            </w:r>
          </w:p>
        </w:tc>
        <w:tc>
          <w:tcPr>
            <w:tcW w:w="340" w:type="dxa"/>
            <w:vAlign w:val="bottom"/>
          </w:tcPr>
          <w:p>
            <w:pPr>
              <w:spacing w:after="0"/>
              <w:rPr>
                <w:sz w:val="17"/>
                <w:szCs w:val="17"/>
                <w:color w:val="auto"/>
              </w:rPr>
            </w:pPr>
          </w:p>
        </w:tc>
      </w:tr>
      <w:tr>
        <w:trPr>
          <w:trHeight w:val="210"/>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(4)</w:t>
            </w:r>
          </w:p>
        </w:tc>
        <w:tc>
          <w:tcPr>
            <w:tcW w:w="340" w:type="dxa"/>
            <w:vAlign w:val="bottom"/>
          </w:tcPr>
          <w:p>
            <w:pPr>
              <w:spacing w:after="0"/>
              <w:rPr>
                <w:sz w:val="18"/>
                <w:szCs w:val="18"/>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8"/>
        </w:trPr>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6,213</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216,732</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222,945</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5,525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285,502</w:t>
            </w:r>
          </w:p>
        </w:tc>
        <w:tc>
          <w:tcPr>
            <w:tcW w:w="340" w:type="dxa"/>
            <w:vAlign w:val="bottom"/>
          </w:tcPr>
          <w:p>
            <w:pPr>
              <w:jc w:val="right"/>
              <w:ind w:right="36"/>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291,027</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5,455</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4,769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210,593</w:t>
            </w:r>
          </w:p>
        </w:tc>
        <w:tc>
          <w:tcPr>
            <w:tcW w:w="340" w:type="dxa"/>
            <w:vAlign w:val="bottom"/>
          </w:tcPr>
          <w:p>
            <w:pPr>
              <w:jc w:val="right"/>
              <w:ind w:right="36"/>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215,362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26.8%</w:t>
            </w: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(5)</w:t>
            </w: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3,110</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253,625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256,735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1,237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366,323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367,560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49.0%</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330,010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331,247</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1,003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301,003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71.5%</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29,200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29,690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72.6%</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19,115</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751,500</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770,615</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CCEEFF"/>
            </w:tcBorders>
            <w:shd w:val="clear" w:color="auto" w:fill="CCEEFF"/>
          </w:tcPr>
          <w:p>
            <w:pPr>
              <w:spacing w:after="0"/>
              <w:rPr>
                <w:sz w:val="23"/>
                <w:szCs w:val="23"/>
                <w:color w:val="auto"/>
              </w:rPr>
            </w:pPr>
          </w:p>
        </w:tc>
      </w:tr>
      <w:tr>
        <w:trPr>
          <w:trHeight w:val="250"/>
        </w:trPr>
        <w:tc>
          <w:tcPr>
            <w:tcW w:w="198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48,697</w:t>
            </w:r>
          </w:p>
        </w:tc>
        <w:tc>
          <w:tcPr>
            <w:tcW w:w="3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2,763,645</w:t>
            </w:r>
          </w:p>
        </w:tc>
        <w:tc>
          <w:tcPr>
            <w:tcW w:w="34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2,812,342</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8890</wp:posOffset>
            </wp:positionV>
            <wp:extent cx="404749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47490"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$275.0 million unsecured term loan matures on November 21, 2018, subject to a one-year extension at our option.</w:t>
      </w:r>
    </w:p>
    <w:p>
      <w:pPr>
        <w:spacing w:after="0" w:line="59" w:lineRule="exact"/>
        <w:rPr>
          <w:rFonts w:ascii="Arial" w:cs="Arial" w:eastAsia="Arial" w:hAnsi="Arial"/>
          <w:sz w:val="16"/>
          <w:szCs w:val="16"/>
          <w:color w:val="auto"/>
        </w:rPr>
      </w:pPr>
    </w:p>
    <w:p>
      <w:pPr>
        <w:ind w:left="660" w:right="26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$800.0 million revolving credit facility matures on April 20, 2020, subject to two six-month extensions at our option. As of December 31, 2016, there was no outstanding balance under this credit facility.</w:t>
      </w:r>
    </w:p>
    <w:p>
      <w:pPr>
        <w:spacing w:after="0" w:line="10" w:lineRule="exact"/>
        <w:rPr>
          <w:rFonts w:ascii="Arial" w:cs="Arial" w:eastAsia="Arial" w:hAnsi="Arial"/>
          <w:sz w:val="16"/>
          <w:szCs w:val="16"/>
          <w:color w:val="auto"/>
        </w:rPr>
      </w:pPr>
    </w:p>
    <w:p>
      <w:pPr>
        <w:ind w:left="660" w:right="16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premium/(discount) and debt issuance costs on certain mortgage loans, note payable, and senior notes as of December 31, 2016.</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weighted average rate excludes </w:t>
      </w:r>
      <w:r>
        <w:rPr>
          <w:rFonts w:ascii="Arial" w:cs="Arial" w:eastAsia="Arial" w:hAnsi="Arial"/>
          <w:sz w:val="14"/>
          <w:szCs w:val="14"/>
          <w:color w:val="auto"/>
        </w:rPr>
        <w:t>$0.6 million</w:t>
      </w:r>
      <w:r>
        <w:rPr>
          <w:rFonts w:ascii="Arial" w:cs="Arial" w:eastAsia="Arial" w:hAnsi="Arial"/>
          <w:sz w:val="16"/>
          <w:szCs w:val="16"/>
          <w:color w:val="auto"/>
        </w:rPr>
        <w:t xml:space="preserve">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2016</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 (1)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Property</w:t>
            </w: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Location</w:t>
            </w:r>
          </w:p>
        </w:tc>
        <w:tc>
          <w:tcPr>
            <w:tcW w:w="512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Opportunity</w:t>
            </w: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5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ROI (2)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00" w:type="dxa"/>
            <w:vAlign w:val="bottom"/>
          </w:tcPr>
          <w:p>
            <w:pPr>
              <w:ind w:left="40"/>
              <w:spacing w:after="0"/>
              <w:rPr>
                <w:sz w:val="20"/>
                <w:szCs w:val="20"/>
                <w:color w:val="auto"/>
              </w:rPr>
            </w:pPr>
            <w:r>
              <w:rPr>
                <w:rFonts w:ascii="Arial" w:cs="Arial" w:eastAsia="Arial" w:hAnsi="Arial"/>
                <w:sz w:val="14"/>
                <w:szCs w:val="14"/>
                <w:b w:val="1"/>
                <w:bCs w:val="1"/>
                <w:color w:val="auto"/>
                <w:w w:val="93"/>
              </w:rPr>
              <w:t>Projects Stabilized in 2016</w:t>
            </w:r>
          </w:p>
        </w:tc>
        <w:tc>
          <w:tcPr>
            <w:tcW w:w="116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700" w:type="dxa"/>
            <w:vAlign w:val="bottom"/>
          </w:tcPr>
          <w:p>
            <w:pPr>
              <w:ind w:left="40"/>
              <w:spacing w:after="0"/>
              <w:rPr>
                <w:sz w:val="20"/>
                <w:szCs w:val="20"/>
                <w:color w:val="auto"/>
              </w:rPr>
            </w:pPr>
            <w:r>
              <w:rPr>
                <w:rFonts w:ascii="Arial" w:cs="Arial" w:eastAsia="Arial" w:hAnsi="Arial"/>
                <w:sz w:val="14"/>
                <w:szCs w:val="14"/>
                <w:color w:val="auto"/>
              </w:rPr>
              <w:t>Santana Row - Lot 11</w:t>
            </w:r>
          </w:p>
        </w:tc>
        <w:tc>
          <w:tcPr>
            <w:tcW w:w="1160" w:type="dxa"/>
            <w:vAlign w:val="bottom"/>
          </w:tcPr>
          <w:p>
            <w:pPr>
              <w:ind w:left="40"/>
              <w:spacing w:after="0"/>
              <w:rPr>
                <w:sz w:val="20"/>
                <w:szCs w:val="20"/>
                <w:color w:val="auto"/>
              </w:rPr>
            </w:pPr>
            <w:r>
              <w:rPr>
                <w:rFonts w:ascii="Arial" w:cs="Arial" w:eastAsia="Arial" w:hAnsi="Arial"/>
                <w:sz w:val="14"/>
                <w:szCs w:val="14"/>
                <w:color w:val="auto"/>
              </w:rPr>
              <w:t>San Jose, CA</w:t>
            </w:r>
          </w:p>
        </w:tc>
        <w:tc>
          <w:tcPr>
            <w:tcW w:w="5120" w:type="dxa"/>
            <w:vAlign w:val="bottom"/>
          </w:tcPr>
          <w:p>
            <w:pPr>
              <w:ind w:left="20"/>
              <w:spacing w:after="0"/>
              <w:rPr>
                <w:sz w:val="20"/>
                <w:szCs w:val="20"/>
                <w:color w:val="auto"/>
              </w:rPr>
            </w:pPr>
            <w:r>
              <w:rPr>
                <w:rFonts w:ascii="Arial" w:cs="Arial" w:eastAsia="Arial" w:hAnsi="Arial"/>
                <w:sz w:val="14"/>
                <w:szCs w:val="14"/>
                <w:color w:val="auto"/>
                <w:w w:val="97"/>
              </w:rPr>
              <w:t>Addition of 6-story building with 234,500 square feet of office space and 670 parking</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spaces</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Congressional Plaza</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Rockville, MD</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48 unit rental apartment building and conversion of office space into 39,000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square feet of retail anchor space to accommodate new tenant</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Westgate Center</w:t>
            </w:r>
          </w:p>
        </w:tc>
        <w:tc>
          <w:tcPr>
            <w:tcW w:w="1160" w:type="dxa"/>
            <w:vAlign w:val="bottom"/>
          </w:tcPr>
          <w:p>
            <w:pPr>
              <w:ind w:left="40"/>
              <w:spacing w:after="0"/>
              <w:rPr>
                <w:sz w:val="20"/>
                <w:szCs w:val="20"/>
                <w:color w:val="auto"/>
              </w:rPr>
            </w:pPr>
            <w:r>
              <w:rPr>
                <w:rFonts w:ascii="Arial" w:cs="Arial" w:eastAsia="Arial" w:hAnsi="Arial"/>
                <w:sz w:val="14"/>
                <w:szCs w:val="14"/>
                <w:color w:val="auto"/>
              </w:rPr>
              <w:t>San Jose, CA</w:t>
            </w:r>
          </w:p>
        </w:tc>
        <w:tc>
          <w:tcPr>
            <w:tcW w:w="5120" w:type="dxa"/>
            <w:vAlign w:val="bottom"/>
          </w:tcPr>
          <w:p>
            <w:pPr>
              <w:ind w:left="2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Melville Mall</w:t>
            </w:r>
          </w:p>
        </w:tc>
        <w:tc>
          <w:tcPr>
            <w:tcW w:w="1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Huntington, NY</w:t>
            </w:r>
          </w:p>
        </w:tc>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5"/>
              </w:rPr>
              <w:t>Redevelopment of 92,000 square foot vacant anchor space to convert into two anchor</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$15</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spaces for a value retailer and a sporting goods tenant and revamp current anchor space</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Willow Lawn</w:t>
            </w:r>
          </w:p>
        </w:tc>
        <w:tc>
          <w:tcPr>
            <w:tcW w:w="1160" w:type="dxa"/>
            <w:vAlign w:val="bottom"/>
          </w:tcPr>
          <w:p>
            <w:pPr>
              <w:ind w:left="40"/>
              <w:spacing w:after="0"/>
              <w:rPr>
                <w:sz w:val="20"/>
                <w:szCs w:val="20"/>
                <w:color w:val="auto"/>
              </w:rPr>
            </w:pPr>
            <w:r>
              <w:rPr>
                <w:rFonts w:ascii="Arial" w:cs="Arial" w:eastAsia="Arial" w:hAnsi="Arial"/>
                <w:sz w:val="14"/>
                <w:szCs w:val="14"/>
                <w:color w:val="auto"/>
              </w:rPr>
              <w:t>Richmond, VA</w:t>
            </w:r>
          </w:p>
        </w:tc>
        <w:tc>
          <w:tcPr>
            <w:tcW w:w="5120" w:type="dxa"/>
            <w:vAlign w:val="bottom"/>
          </w:tcPr>
          <w:p>
            <w:pPr>
              <w:ind w:left="20"/>
              <w:spacing w:after="0"/>
              <w:rPr>
                <w:sz w:val="20"/>
                <w:szCs w:val="20"/>
                <w:color w:val="auto"/>
              </w:rPr>
            </w:pPr>
            <w:r>
              <w:rPr>
                <w:rFonts w:ascii="Arial" w:cs="Arial" w:eastAsia="Arial" w:hAnsi="Arial"/>
                <w:sz w:val="14"/>
                <w:szCs w:val="14"/>
                <w:color w:val="auto"/>
              </w:rPr>
              <w:t>Construction of two new in-line retail spaces totaling 17,400 square feet</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Mercer Mall</w:t>
            </w:r>
          </w:p>
        </w:tc>
        <w:tc>
          <w:tcPr>
            <w:tcW w:w="1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Lawrenceville, NJ</w:t>
            </w:r>
          </w:p>
        </w:tc>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Demolition of existing 3,000 square foot pad building to allow for construction of a</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multi-restaurant pad building totaling 5,600 square feet</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Wynnewood</w:t>
            </w:r>
          </w:p>
        </w:tc>
        <w:tc>
          <w:tcPr>
            <w:tcW w:w="1160" w:type="dxa"/>
            <w:vAlign w:val="bottom"/>
          </w:tcPr>
          <w:p>
            <w:pPr>
              <w:ind w:left="40"/>
              <w:spacing w:after="0"/>
              <w:rPr>
                <w:sz w:val="20"/>
                <w:szCs w:val="20"/>
                <w:color w:val="auto"/>
              </w:rPr>
            </w:pPr>
            <w:r>
              <w:rPr>
                <w:rFonts w:ascii="Arial" w:cs="Arial" w:eastAsia="Arial" w:hAnsi="Arial"/>
                <w:sz w:val="14"/>
                <w:szCs w:val="14"/>
                <w:color w:val="auto"/>
              </w:rPr>
              <w:t>Wynnewood, PA</w:t>
            </w:r>
          </w:p>
        </w:tc>
        <w:tc>
          <w:tcPr>
            <w:tcW w:w="5120" w:type="dxa"/>
            <w:vAlign w:val="bottom"/>
          </w:tcPr>
          <w:p>
            <w:pPr>
              <w:ind w:left="20"/>
              <w:spacing w:after="0"/>
              <w:rPr>
                <w:sz w:val="20"/>
                <w:szCs w:val="20"/>
                <w:color w:val="auto"/>
              </w:rPr>
            </w:pPr>
            <w:r>
              <w:rPr>
                <w:rFonts w:ascii="Arial" w:cs="Arial" w:eastAsia="Arial" w:hAnsi="Arial"/>
                <w:sz w:val="14"/>
                <w:szCs w:val="14"/>
                <w:color w:val="auto"/>
              </w:rPr>
              <w:t>Conversion of obsolete 2nd floor office space to residential</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2860" w:type="dxa"/>
            <w:vAlign w:val="bottom"/>
            <w:tcBorders>
              <w:bottom w:val="single" w:sz="8" w:color="CCEEFF"/>
            </w:tcBorders>
            <w:gridSpan w:val="2"/>
          </w:tcPr>
          <w:p>
            <w:pPr>
              <w:spacing w:after="0"/>
              <w:rPr>
                <w:sz w:val="6"/>
                <w:szCs w:val="6"/>
                <w:color w:val="auto"/>
              </w:rPr>
            </w:pPr>
          </w:p>
        </w:tc>
        <w:tc>
          <w:tcPr>
            <w:tcW w:w="51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w w:val="96"/>
              </w:rPr>
              <w:t>Total Projects Stabilized in 2016 (3) (4)</w:t>
            </w:r>
          </w:p>
        </w:tc>
        <w:tc>
          <w:tcPr>
            <w:tcW w:w="5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$181</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w:t>
            </w: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Active Redevelopment Projects</w:t>
            </w:r>
          </w:p>
        </w:tc>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860" w:type="dxa"/>
            <w:vAlign w:val="bottom"/>
            <w:gridSpan w:val="2"/>
            <w:vMerge w:val="continue"/>
          </w:tcPr>
          <w:p>
            <w:pPr>
              <w:spacing w:after="0"/>
              <w:rPr>
                <w:sz w:val="24"/>
                <w:szCs w:val="24"/>
                <w:color w:val="auto"/>
              </w:rPr>
            </w:pPr>
          </w:p>
        </w:tc>
        <w:tc>
          <w:tcPr>
            <w:tcW w:w="5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Point</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 Segundo, CA</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 of 90,000 square feet of retail and 25,000 square feet of office space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17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Towson Residential</w:t>
            </w:r>
          </w:p>
        </w:tc>
        <w:tc>
          <w:tcPr>
            <w:tcW w:w="1160" w:type="dxa"/>
            <w:vAlign w:val="bottom"/>
          </w:tcPr>
          <w:p>
            <w:pPr>
              <w:ind w:left="40"/>
              <w:spacing w:after="0"/>
              <w:rPr>
                <w:sz w:val="20"/>
                <w:szCs w:val="20"/>
                <w:color w:val="auto"/>
              </w:rPr>
            </w:pPr>
            <w:r>
              <w:rPr>
                <w:rFonts w:ascii="Arial" w:cs="Arial" w:eastAsia="Arial" w:hAnsi="Arial"/>
                <w:sz w:val="14"/>
                <w:szCs w:val="14"/>
                <w:color w:val="auto"/>
              </w:rPr>
              <w:t>Towson, MD</w:t>
            </w:r>
          </w:p>
        </w:tc>
        <w:tc>
          <w:tcPr>
            <w:tcW w:w="5120" w:type="dxa"/>
            <w:vAlign w:val="bottom"/>
          </w:tcPr>
          <w:p>
            <w:pPr>
              <w:ind w:left="20"/>
              <w:spacing w:after="0"/>
              <w:rPr>
                <w:sz w:val="20"/>
                <w:szCs w:val="20"/>
                <w:color w:val="auto"/>
              </w:rPr>
            </w:pPr>
            <w:r>
              <w:rPr>
                <w:rFonts w:ascii="Arial" w:cs="Arial" w:eastAsia="Arial" w:hAnsi="Arial"/>
                <w:sz w:val="14"/>
                <w:szCs w:val="14"/>
                <w:color w:val="auto"/>
              </w:rPr>
              <w:t>New 105 unit 5-story apartment building with above grade parking</w:t>
            </w: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Plaza Del Mercado</w:t>
            </w:r>
          </w:p>
        </w:tc>
        <w:tc>
          <w:tcPr>
            <w:tcW w:w="1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Silver Spring, MD</w:t>
            </w:r>
          </w:p>
        </w:tc>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4"/>
              </w:rPr>
              <w:t>Demolition of former grocery anchor space to construct spaces for new grocery anchor</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$16</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$12</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fitness center tenants</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Tower Shops</w:t>
            </w:r>
          </w:p>
        </w:tc>
        <w:tc>
          <w:tcPr>
            <w:tcW w:w="1160" w:type="dxa"/>
            <w:vAlign w:val="bottom"/>
          </w:tcPr>
          <w:p>
            <w:pPr>
              <w:ind w:left="40"/>
              <w:spacing w:after="0"/>
              <w:rPr>
                <w:sz w:val="20"/>
                <w:szCs w:val="20"/>
                <w:color w:val="auto"/>
              </w:rPr>
            </w:pPr>
            <w:r>
              <w:rPr>
                <w:rFonts w:ascii="Arial" w:cs="Arial" w:eastAsia="Arial" w:hAnsi="Arial"/>
                <w:sz w:val="14"/>
                <w:szCs w:val="14"/>
                <w:color w:val="auto"/>
              </w:rPr>
              <w:t>Davie, FL</w:t>
            </w:r>
          </w:p>
        </w:tc>
        <w:tc>
          <w:tcPr>
            <w:tcW w:w="5120" w:type="dxa"/>
            <w:vAlign w:val="bottom"/>
          </w:tcPr>
          <w:p>
            <w:pPr>
              <w:ind w:left="20"/>
              <w:spacing w:after="0"/>
              <w:rPr>
                <w:sz w:val="20"/>
                <w:szCs w:val="20"/>
                <w:color w:val="auto"/>
              </w:rPr>
            </w:pPr>
            <w:r>
              <w:rPr>
                <w:rFonts w:ascii="Arial" w:cs="Arial" w:eastAsia="Arial" w:hAnsi="Arial"/>
                <w:sz w:val="14"/>
                <w:szCs w:val="14"/>
                <w:color w:val="auto"/>
              </w:rPr>
              <w:t>Addition of 50,000 square foot pad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Del Mar Village</w:t>
            </w:r>
          </w:p>
        </w:tc>
        <w:tc>
          <w:tcPr>
            <w:tcW w:w="1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Boca Raton, FL</w:t>
            </w:r>
          </w:p>
        </w:tc>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3"/>
              </w:rPr>
              <w:t>Demolition of small shop spaces and relocation of tenants to accommodate new 37,000</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square foot fitness center tenant</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00" w:type="dxa"/>
            <w:vAlign w:val="bottom"/>
          </w:tcPr>
          <w:p>
            <w:pPr>
              <w:ind w:left="40"/>
              <w:spacing w:after="0" w:line="157" w:lineRule="exact"/>
              <w:rPr>
                <w:sz w:val="20"/>
                <w:szCs w:val="20"/>
                <w:color w:val="auto"/>
              </w:rPr>
            </w:pPr>
            <w:r>
              <w:rPr>
                <w:rFonts w:ascii="Arial" w:cs="Arial" w:eastAsia="Arial" w:hAnsi="Arial"/>
                <w:sz w:val="14"/>
                <w:szCs w:val="14"/>
                <w:color w:val="auto"/>
              </w:rPr>
              <w:t>Montrose Crossing</w:t>
            </w:r>
          </w:p>
        </w:tc>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Rockville, MD</w:t>
            </w:r>
          </w:p>
        </w:tc>
        <w:tc>
          <w:tcPr>
            <w:tcW w:w="5120" w:type="dxa"/>
            <w:vAlign w:val="bottom"/>
          </w:tcPr>
          <w:p>
            <w:pPr>
              <w:ind w:left="20"/>
              <w:spacing w:after="0" w:line="157" w:lineRule="exact"/>
              <w:rPr>
                <w:sz w:val="20"/>
                <w:szCs w:val="20"/>
                <w:color w:val="auto"/>
              </w:rPr>
            </w:pPr>
            <w:r>
              <w:rPr>
                <w:rFonts w:ascii="Arial" w:cs="Arial" w:eastAsia="Arial" w:hAnsi="Arial"/>
                <w:sz w:val="14"/>
                <w:szCs w:val="14"/>
                <w:color w:val="auto"/>
                <w:w w:val="94"/>
              </w:rPr>
              <w:t>Demolition of 10,000 square foot restaurant building to construct an 18,000 square foot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$10</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multi-tenant pad building</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Pike 7</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Vienna, VA</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 of 8,300 square foot multi-tenant retail pad building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80"/>
        </w:trPr>
        <w:tc>
          <w:tcPr>
            <w:tcW w:w="17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Pr>
          <w:p>
            <w:pPr>
              <w:ind w:left="40"/>
              <w:spacing w:after="0" w:line="157" w:lineRule="exact"/>
              <w:rPr>
                <w:sz w:val="20"/>
                <w:szCs w:val="20"/>
                <w:color w:val="auto"/>
              </w:rPr>
            </w:pPr>
            <w:r>
              <w:rPr>
                <w:rFonts w:ascii="Arial" w:cs="Arial" w:eastAsia="Arial" w:hAnsi="Arial"/>
                <w:sz w:val="14"/>
                <w:szCs w:val="14"/>
                <w:color w:val="auto"/>
              </w:rPr>
              <w:t>The AVENUE at White</w:t>
            </w:r>
          </w:p>
        </w:tc>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White Marsh, MD</w:t>
            </w:r>
          </w:p>
        </w:tc>
        <w:tc>
          <w:tcPr>
            <w:tcW w:w="5120" w:type="dxa"/>
            <w:vAlign w:val="bottom"/>
          </w:tcPr>
          <w:p>
            <w:pPr>
              <w:ind w:left="20"/>
              <w:spacing w:after="0" w:line="157" w:lineRule="exact"/>
              <w:rPr>
                <w:sz w:val="20"/>
                <w:szCs w:val="20"/>
                <w:color w:val="auto"/>
              </w:rPr>
            </w:pPr>
            <w:r>
              <w:rPr>
                <w:rFonts w:ascii="Arial" w:cs="Arial" w:eastAsia="Arial" w:hAnsi="Arial"/>
                <w:sz w:val="14"/>
                <w:szCs w:val="14"/>
                <w:color w:val="auto"/>
                <w:w w:val="99"/>
              </w:rPr>
              <w:t>Addition of two new pad sites totaling 13,000 square feet, a new 3,600 square foot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$5</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88"/>
        </w:trPr>
        <w:tc>
          <w:tcPr>
            <w:tcW w:w="1700" w:type="dxa"/>
            <w:vAlign w:val="bottom"/>
          </w:tcPr>
          <w:p>
            <w:pPr>
              <w:ind w:left="40"/>
              <w:spacing w:after="0"/>
              <w:rPr>
                <w:sz w:val="20"/>
                <w:szCs w:val="20"/>
                <w:color w:val="auto"/>
              </w:rPr>
            </w:pPr>
            <w:r>
              <w:rPr>
                <w:rFonts w:ascii="Arial" w:cs="Arial" w:eastAsia="Arial" w:hAnsi="Arial"/>
                <w:sz w:val="14"/>
                <w:szCs w:val="14"/>
                <w:color w:val="auto"/>
              </w:rPr>
              <w:t>Marsh</w:t>
            </w:r>
          </w:p>
        </w:tc>
        <w:tc>
          <w:tcPr>
            <w:tcW w:w="116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restaurant building, and a drive up ATM</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 Jose, CA</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 of two retail kiosks and open air plaza upgrades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17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Eastgate Crossing</w:t>
            </w:r>
          </w:p>
        </w:tc>
        <w:tc>
          <w:tcPr>
            <w:tcW w:w="1160" w:type="dxa"/>
            <w:vAlign w:val="bottom"/>
          </w:tcPr>
          <w:p>
            <w:pPr>
              <w:ind w:left="40"/>
              <w:spacing w:after="0"/>
              <w:rPr>
                <w:sz w:val="20"/>
                <w:szCs w:val="20"/>
                <w:color w:val="auto"/>
              </w:rPr>
            </w:pPr>
            <w:r>
              <w:rPr>
                <w:rFonts w:ascii="Arial" w:cs="Arial" w:eastAsia="Arial" w:hAnsi="Arial"/>
                <w:sz w:val="14"/>
                <w:szCs w:val="14"/>
                <w:color w:val="auto"/>
              </w:rPr>
              <w:t>Chapel Hill, NC</w:t>
            </w:r>
          </w:p>
        </w:tc>
        <w:tc>
          <w:tcPr>
            <w:tcW w:w="5120" w:type="dxa"/>
            <w:vAlign w:val="bottom"/>
          </w:tcPr>
          <w:p>
            <w:pPr>
              <w:ind w:left="20"/>
              <w:spacing w:after="0"/>
              <w:rPr>
                <w:sz w:val="20"/>
                <w:szCs w:val="20"/>
                <w:color w:val="auto"/>
              </w:rPr>
            </w:pPr>
            <w:r>
              <w:rPr>
                <w:rFonts w:ascii="Arial" w:cs="Arial" w:eastAsia="Arial" w:hAnsi="Arial"/>
                <w:sz w:val="14"/>
                <w:szCs w:val="14"/>
                <w:color w:val="auto"/>
              </w:rPr>
              <w:t>New 7,400 square foot multi-tenant pad building on site of existing gas station</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4"/>
              </w:rPr>
              <w:t>Free State Shopping Center</w:t>
            </w:r>
          </w:p>
        </w:tc>
        <w:tc>
          <w:tcPr>
            <w:tcW w:w="1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Bowie, MD</w:t>
            </w:r>
          </w:p>
        </w:tc>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Demolition of 26,000 square foot vacant building to allow for construction of new</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88"/>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12,500 square foot pad building for new daycare tenant</w:t>
            </w:r>
          </w:p>
        </w:tc>
        <w:tc>
          <w:tcPr>
            <w:tcW w:w="8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ind w:left="380"/>
              <w:spacing w:after="0"/>
              <w:rPr>
                <w:sz w:val="20"/>
                <w:szCs w:val="20"/>
                <w:color w:val="auto"/>
              </w:rPr>
            </w:pPr>
            <w:r>
              <w:rPr>
                <w:rFonts w:ascii="Arial" w:cs="Arial" w:eastAsia="Arial" w:hAnsi="Arial"/>
                <w:sz w:val="14"/>
                <w:szCs w:val="14"/>
                <w:b w:val="1"/>
                <w:bCs w:val="1"/>
                <w:color w:val="auto"/>
                <w:w w:val="92"/>
              </w:rPr>
              <w:t>Total Active Redevelopment projects (4)</w:t>
            </w:r>
          </w:p>
        </w:tc>
        <w:tc>
          <w:tcPr>
            <w:tcW w:w="512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$188</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20" w:hanging="652"/>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generally the year in which 95%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60"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Pike &amp; Rose, Assembly Row,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2016</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Projected POI Delivered (as a % of</w:t>
            </w:r>
          </w:p>
        </w:tc>
        <w:tc>
          <w:tcPr>
            <w:tcW w:w="2500" w:type="dxa"/>
            <w:vAlign w:val="bottom"/>
          </w:tcPr>
          <w:p>
            <w:pPr>
              <w:spacing w:after="0"/>
              <w:rPr>
                <w:sz w:val="13"/>
                <w:szCs w:val="13"/>
                <w:color w:val="auto"/>
              </w:rPr>
            </w:pPr>
          </w:p>
        </w:tc>
      </w:tr>
      <w:tr>
        <w:trPr>
          <w:trHeight w:val="164"/>
        </w:trPr>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Total)</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80"/>
        </w:trPr>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jc w:val="right"/>
              <w:ind w:right="137"/>
              <w:spacing w:after="0"/>
              <w:rPr>
                <w:sz w:val="20"/>
                <w:szCs w:val="20"/>
                <w:color w:val="auto"/>
              </w:rPr>
            </w:pPr>
            <w:r>
              <w:rPr>
                <w:rFonts w:ascii="Arial" w:cs="Arial" w:eastAsia="Arial" w:hAnsi="Arial"/>
                <w:sz w:val="13"/>
                <w:szCs w:val="13"/>
                <w:b w:val="1"/>
                <w:bCs w:val="1"/>
                <w:color w:val="auto"/>
              </w:rPr>
              <w:t>Projected</w:t>
            </w:r>
          </w:p>
        </w:tc>
        <w:tc>
          <w:tcPr>
            <w:tcW w:w="720" w:type="dxa"/>
            <w:vAlign w:val="bottom"/>
          </w:tcPr>
          <w:p>
            <w:pPr>
              <w:jc w:val="center"/>
              <w:ind w:left="17"/>
              <w:spacing w:after="0"/>
              <w:rPr>
                <w:sz w:val="20"/>
                <w:szCs w:val="20"/>
                <w:color w:val="auto"/>
              </w:rPr>
            </w:pPr>
            <w:r>
              <w:rPr>
                <w:rFonts w:ascii="Arial" w:cs="Arial" w:eastAsia="Arial" w:hAnsi="Arial"/>
                <w:sz w:val="13"/>
                <w:szCs w:val="13"/>
                <w:b w:val="1"/>
                <w:bCs w:val="1"/>
                <w:color w:val="auto"/>
                <w:w w:val="89"/>
              </w:rPr>
              <w:t>Total</w:t>
            </w: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0"/>
              </w:rPr>
              <w:t>Costs to</w:t>
            </w:r>
          </w:p>
        </w:tc>
        <w:tc>
          <w:tcPr>
            <w:tcW w:w="21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For Year Ended December 31, (2)</w:t>
            </w:r>
          </w:p>
        </w:tc>
        <w:tc>
          <w:tcPr>
            <w:tcW w:w="2500" w:type="dxa"/>
            <w:vAlign w:val="bottom"/>
          </w:tcPr>
          <w:p>
            <w:pPr>
              <w:spacing w:after="0"/>
              <w:rPr>
                <w:sz w:val="24"/>
                <w:szCs w:val="24"/>
                <w:color w:val="auto"/>
              </w:rPr>
            </w:pPr>
          </w:p>
        </w:tc>
      </w:tr>
      <w:tr>
        <w:trPr>
          <w:trHeight w:val="250"/>
        </w:trPr>
        <w:tc>
          <w:tcPr>
            <w:tcW w:w="8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Property (1)</w:t>
            </w: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Location</w:t>
            </w:r>
          </w:p>
        </w:tc>
        <w:tc>
          <w:tcPr>
            <w:tcW w:w="194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Opportunity</w:t>
            </w:r>
          </w:p>
        </w:tc>
        <w:tc>
          <w:tcPr>
            <w:tcW w:w="16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ROI (3)</w:t>
            </w:r>
          </w:p>
        </w:tc>
        <w:tc>
          <w:tcPr>
            <w:tcW w:w="72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0"/>
              </w:rPr>
              <w:t>Cost (4)</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2017</w:t>
            </w: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2018</w:t>
            </w:r>
          </w:p>
        </w:tc>
        <w:tc>
          <w:tcPr>
            <w:tcW w:w="6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1"/>
                <w:szCs w:val="21"/>
                <w:color w:val="auto"/>
              </w:rPr>
            </w:pPr>
          </w:p>
        </w:tc>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Expected Opening Timeframe</w:t>
            </w:r>
          </w:p>
        </w:tc>
      </w:tr>
    </w:tbl>
    <w:p>
      <w:pPr>
        <w:spacing w:after="0" w:line="311"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Assembly Row</w:t>
      </w:r>
      <w:r>
        <w:rPr>
          <w:rFonts w:ascii="Arial" w:cs="Arial" w:eastAsia="Arial" w:hAnsi="Arial"/>
          <w:sz w:val="14"/>
          <w:szCs w:val="14"/>
          <w:b w:val="1"/>
          <w:bCs w:val="1"/>
          <w:color w:val="auto"/>
        </w:rPr>
        <w:t xml:space="preserve"> Somerville, MA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2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color w:val="auto"/>
              </w:rPr>
              <w:t>Phase I</w:t>
            </w:r>
          </w:p>
        </w:tc>
        <w:tc>
          <w:tcPr>
            <w:tcW w:w="1260" w:type="dxa"/>
            <w:vAlign w:val="bottom"/>
            <w:shd w:val="clear" w:color="auto" w:fill="CCEEFF"/>
          </w:tcPr>
          <w:p>
            <w:pPr>
              <w:spacing w:after="0"/>
              <w:rPr>
                <w:sz w:val="15"/>
                <w:szCs w:val="15"/>
                <w:color w:val="auto"/>
              </w:rPr>
            </w:pPr>
          </w:p>
        </w:tc>
        <w:tc>
          <w:tcPr>
            <w:tcW w:w="230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- 331,000 SF of retail</w:t>
            </w: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5-6%</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$196</w:t>
            </w:r>
          </w:p>
        </w:tc>
        <w:tc>
          <w:tcPr>
            <w:tcW w:w="700" w:type="dxa"/>
            <w:vAlign w:val="bottom"/>
            <w:vMerge w:val="restart"/>
            <w:shd w:val="clear" w:color="auto" w:fill="CCEEFF"/>
          </w:tcPr>
          <w:p>
            <w:pPr>
              <w:jc w:val="center"/>
              <w:ind w:right="52"/>
              <w:spacing w:after="0"/>
              <w:rPr>
                <w:sz w:val="20"/>
                <w:szCs w:val="20"/>
                <w:color w:val="auto"/>
              </w:rPr>
            </w:pPr>
            <w:r>
              <w:rPr>
                <w:rFonts w:ascii="Arial" w:cs="Arial" w:eastAsia="Arial" w:hAnsi="Arial"/>
                <w:sz w:val="14"/>
                <w:szCs w:val="14"/>
                <w:color w:val="auto"/>
                <w:w w:val="90"/>
              </w:rPr>
              <w:t>Complete</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920" w:type="dxa"/>
            <w:vAlign w:val="bottom"/>
            <w:gridSpan w:val="4"/>
            <w:vMerge w:val="continue"/>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30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2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- 98,000 SF of office</w:t>
            </w:r>
          </w:p>
        </w:tc>
        <w:tc>
          <w:tcPr>
            <w:tcW w:w="6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- 445 residential units (by AVB)</w:t>
            </w:r>
          </w:p>
        </w:tc>
        <w:tc>
          <w:tcPr>
            <w:tcW w:w="6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Orange Line T-Stop by MBTA</w:t>
            </w: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20" w:type="dxa"/>
            <w:vAlign w:val="bottom"/>
          </w:tcPr>
          <w:p>
            <w:pPr>
              <w:ind w:left="140"/>
              <w:spacing w:after="0"/>
              <w:rPr>
                <w:sz w:val="20"/>
                <w:szCs w:val="20"/>
                <w:color w:val="auto"/>
              </w:rPr>
            </w:pPr>
            <w:r>
              <w:rPr>
                <w:rFonts w:ascii="Arial" w:cs="Arial" w:eastAsia="Arial" w:hAnsi="Arial"/>
                <w:sz w:val="14"/>
                <w:szCs w:val="14"/>
                <w:color w:val="auto"/>
              </w:rPr>
              <w:t>Opening projected 3Q 2017 through 2Q</w:t>
            </w:r>
          </w:p>
        </w:tc>
        <w:tc>
          <w:tcPr>
            <w:tcW w:w="0" w:type="dxa"/>
            <w:vAlign w:val="bottom"/>
          </w:tcPr>
          <w:p>
            <w:pPr>
              <w:spacing w:after="0"/>
              <w:rPr>
                <w:sz w:val="1"/>
                <w:szCs w:val="1"/>
                <w:color w:val="auto"/>
              </w:rPr>
            </w:pPr>
          </w:p>
        </w:tc>
      </w:tr>
      <w:tr>
        <w:trPr>
          <w:trHeight w:val="172"/>
        </w:trPr>
        <w:tc>
          <w:tcPr>
            <w:tcW w:w="920" w:type="dxa"/>
            <w:vAlign w:val="bottom"/>
            <w:gridSpan w:val="4"/>
          </w:tcPr>
          <w:p>
            <w:pPr>
              <w:ind w:left="40"/>
              <w:spacing w:after="0"/>
              <w:rPr>
                <w:sz w:val="20"/>
                <w:szCs w:val="20"/>
                <w:color w:val="auto"/>
              </w:rPr>
            </w:pPr>
            <w:r>
              <w:rPr>
                <w:rFonts w:ascii="Arial" w:cs="Arial" w:eastAsia="Arial" w:hAnsi="Arial"/>
                <w:sz w:val="14"/>
                <w:szCs w:val="14"/>
                <w:color w:val="auto"/>
              </w:rPr>
              <w:t>Phase II</w:t>
            </w:r>
          </w:p>
        </w:tc>
        <w:tc>
          <w:tcPr>
            <w:tcW w:w="126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- 161,000 SF of retail</w:t>
            </w:r>
          </w:p>
        </w:tc>
        <w:tc>
          <w:tcPr>
            <w:tcW w:w="660" w:type="dxa"/>
            <w:vAlign w:val="bottom"/>
          </w:tcPr>
          <w:p>
            <w:pPr>
              <w:jc w:val="center"/>
              <w:ind w:left="92"/>
              <w:spacing w:after="0"/>
              <w:rPr>
                <w:sz w:val="20"/>
                <w:szCs w:val="20"/>
                <w:color w:val="auto"/>
              </w:rPr>
            </w:pPr>
            <w:r>
              <w:rPr>
                <w:rFonts w:ascii="Arial" w:cs="Arial" w:eastAsia="Arial" w:hAnsi="Arial"/>
                <w:sz w:val="14"/>
                <w:szCs w:val="14"/>
                <w:color w:val="auto"/>
                <w:w w:val="88"/>
              </w:rPr>
              <w:t>7%</w:t>
            </w:r>
          </w:p>
        </w:tc>
        <w:tc>
          <w:tcPr>
            <w:tcW w:w="3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$270 - 285</w:t>
            </w:r>
          </w:p>
        </w:tc>
        <w:tc>
          <w:tcPr>
            <w:tcW w:w="700" w:type="dxa"/>
            <w:vAlign w:val="bottom"/>
          </w:tcPr>
          <w:p>
            <w:pPr>
              <w:jc w:val="center"/>
              <w:ind w:right="52"/>
              <w:spacing w:after="0"/>
              <w:rPr>
                <w:sz w:val="20"/>
                <w:szCs w:val="20"/>
                <w:color w:val="auto"/>
              </w:rPr>
            </w:pPr>
            <w:r>
              <w:rPr>
                <w:rFonts w:ascii="Arial" w:cs="Arial" w:eastAsia="Arial" w:hAnsi="Arial"/>
                <w:sz w:val="14"/>
                <w:szCs w:val="14"/>
                <w:color w:val="auto"/>
                <w:w w:val="83"/>
              </w:rPr>
              <w:t>$199</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50%</w:t>
            </w:r>
          </w:p>
        </w:tc>
        <w:tc>
          <w:tcPr>
            <w:tcW w:w="660" w:type="dxa"/>
            <w:vAlign w:val="bottom"/>
          </w:tcPr>
          <w:p>
            <w:pPr>
              <w:jc w:val="center"/>
              <w:spacing w:after="0"/>
              <w:rPr>
                <w:sz w:val="20"/>
                <w:szCs w:val="20"/>
                <w:color w:val="auto"/>
              </w:rPr>
            </w:pPr>
            <w:r>
              <w:rPr>
                <w:rFonts w:ascii="Arial" w:cs="Arial" w:eastAsia="Arial" w:hAnsi="Arial"/>
                <w:sz w:val="14"/>
                <w:szCs w:val="14"/>
                <w:color w:val="auto"/>
                <w:w w:val="85"/>
              </w:rPr>
              <w:t>90%</w:t>
            </w:r>
          </w:p>
        </w:tc>
        <w:tc>
          <w:tcPr>
            <w:tcW w:w="2620" w:type="dxa"/>
            <w:vAlign w:val="bottom"/>
          </w:tcPr>
          <w:p>
            <w:pPr>
              <w:ind w:left="14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- 447 residential units</w:t>
            </w: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20" w:type="dxa"/>
            <w:vAlign w:val="bottom"/>
          </w:tcPr>
          <w:p>
            <w:pPr>
              <w:ind w:left="140"/>
              <w:spacing w:after="0"/>
              <w:rPr>
                <w:sz w:val="20"/>
                <w:szCs w:val="20"/>
                <w:color w:val="auto"/>
              </w:rPr>
            </w:pPr>
            <w:r>
              <w:rPr>
                <w:rFonts w:ascii="Arial" w:cs="Arial" w:eastAsia="Arial" w:hAnsi="Arial"/>
                <w:sz w:val="14"/>
                <w:szCs w:val="14"/>
                <w:color w:val="auto"/>
                <w:w w:val="88"/>
              </w:rPr>
              <w:t>741,500 SF Partners Healthcare office space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- 159 boutique hotel rooms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20" w:type="dxa"/>
            <w:vAlign w:val="bottom"/>
          </w:tcPr>
          <w:p>
            <w:pPr>
              <w:ind w:left="140"/>
              <w:spacing w:after="0"/>
              <w:rPr>
                <w:sz w:val="20"/>
                <w:szCs w:val="20"/>
                <w:color w:val="auto"/>
              </w:rPr>
            </w:pPr>
            <w:r>
              <w:rPr>
                <w:rFonts w:ascii="Arial" w:cs="Arial" w:eastAsia="Arial" w:hAnsi="Arial"/>
                <w:sz w:val="14"/>
                <w:szCs w:val="14"/>
                <w:color w:val="auto"/>
              </w:rPr>
              <w:t>(built by Partners) opened in 2016</w:t>
            </w: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30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- 122 for-sale condominium units</w:t>
            </w:r>
          </w:p>
        </w:tc>
        <w:tc>
          <w:tcPr>
            <w:tcW w:w="660" w:type="dxa"/>
            <w:vAlign w:val="bottom"/>
            <w:vMerge w:val="restart"/>
            <w:shd w:val="clear" w:color="auto" w:fill="CCEEFF"/>
          </w:tcPr>
          <w:p>
            <w:pPr>
              <w:jc w:val="center"/>
              <w:ind w:left="92"/>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5"/>
              </w:rPr>
              <w:t>$70 - 75</w:t>
            </w:r>
          </w:p>
        </w:tc>
        <w:tc>
          <w:tcPr>
            <w:tcW w:w="700" w:type="dxa"/>
            <w:vAlign w:val="bottom"/>
            <w:vMerge w:val="restart"/>
            <w:shd w:val="clear" w:color="auto" w:fill="CCEEFF"/>
          </w:tcPr>
          <w:p>
            <w:pPr>
              <w:jc w:val="center"/>
              <w:ind w:right="52"/>
              <w:spacing w:after="0"/>
              <w:rPr>
                <w:sz w:val="20"/>
                <w:szCs w:val="20"/>
                <w:color w:val="auto"/>
              </w:rPr>
            </w:pPr>
            <w:r>
              <w:rPr>
                <w:rFonts w:ascii="Arial" w:cs="Arial" w:eastAsia="Arial" w:hAnsi="Arial"/>
                <w:sz w:val="14"/>
                <w:szCs w:val="14"/>
                <w:color w:val="auto"/>
                <w:w w:val="94"/>
              </w:rPr>
              <w:t>$32</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2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4"/>
              </w:rPr>
              <w:t>Projected closings to commence 2Q 2018</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30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920" w:type="dxa"/>
            <w:vAlign w:val="bottom"/>
            <w:gridSpan w:val="4"/>
          </w:tcPr>
          <w:p>
            <w:pPr>
              <w:ind w:left="40"/>
              <w:spacing w:after="0"/>
              <w:rPr>
                <w:sz w:val="20"/>
                <w:szCs w:val="20"/>
                <w:color w:val="auto"/>
              </w:rPr>
            </w:pPr>
            <w:r>
              <w:rPr>
                <w:rFonts w:ascii="Arial" w:cs="Arial" w:eastAsia="Arial" w:hAnsi="Arial"/>
                <w:sz w:val="14"/>
                <w:szCs w:val="14"/>
                <w:color w:val="auto"/>
                <w:w w:val="94"/>
              </w:rPr>
              <w:t>Future Phases</w:t>
            </w:r>
          </w:p>
        </w:tc>
        <w:tc>
          <w:tcPr>
            <w:tcW w:w="1260" w:type="dxa"/>
            <w:vAlign w:val="bottom"/>
          </w:tcPr>
          <w:p>
            <w:pPr>
              <w:spacing w:after="0"/>
              <w:rPr>
                <w:sz w:val="22"/>
                <w:szCs w:val="22"/>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- 2M SF of commercial</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TBD</w:t>
            </w:r>
          </w:p>
        </w:tc>
        <w:tc>
          <w:tcPr>
            <w:tcW w:w="300" w:type="dxa"/>
            <w:vAlign w:val="bottom"/>
          </w:tcPr>
          <w:p>
            <w:pPr>
              <w:spacing w:after="0"/>
              <w:rPr>
                <w:sz w:val="22"/>
                <w:szCs w:val="22"/>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auto"/>
              </w:rPr>
              <w:t>TBD</w:t>
            </w:r>
          </w:p>
        </w:tc>
        <w:tc>
          <w:tcPr>
            <w:tcW w:w="700" w:type="dxa"/>
            <w:vAlign w:val="bottom"/>
          </w:tcPr>
          <w:p>
            <w:pPr>
              <w:jc w:val="center"/>
              <w:ind w:right="52"/>
              <w:spacing w:after="0"/>
              <w:rPr>
                <w:sz w:val="20"/>
                <w:szCs w:val="20"/>
                <w:color w:val="auto"/>
              </w:rPr>
            </w:pPr>
            <w:r>
              <w:rPr>
                <w:rFonts w:ascii="Arial" w:cs="Arial" w:eastAsia="Arial" w:hAnsi="Arial"/>
                <w:sz w:val="14"/>
                <w:szCs w:val="14"/>
                <w:color w:val="auto"/>
                <w:w w:val="92"/>
              </w:rPr>
              <w:t>TBD</w:t>
            </w: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- 826 residential units</w:t>
            </w: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Pike &amp; Rose</w:t>
            </w:r>
          </w:p>
        </w:tc>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Bethesda, MD</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Phase I</w:t>
            </w:r>
          </w:p>
        </w:tc>
        <w:tc>
          <w:tcPr>
            <w:tcW w:w="1260" w:type="dxa"/>
            <w:vAlign w:val="bottom"/>
            <w:shd w:val="clear" w:color="auto" w:fill="CCEEFF"/>
          </w:tcPr>
          <w:p>
            <w:pPr>
              <w:spacing w:after="0"/>
              <w:rPr>
                <w:sz w:val="23"/>
                <w:szCs w:val="23"/>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- 159,000 SF of retail</w:t>
            </w:r>
          </w:p>
        </w:tc>
        <w:tc>
          <w:tcPr>
            <w:tcW w:w="96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4"/>
                <w:szCs w:val="14"/>
                <w:color w:val="auto"/>
              </w:rPr>
              <w:t xml:space="preserve">6-7%   </w:t>
            </w:r>
            <w:r>
              <w:rPr>
                <w:rFonts w:ascii="Arial" w:cs="Arial" w:eastAsia="Arial" w:hAnsi="Arial"/>
                <w:sz w:val="25"/>
                <w:szCs w:val="25"/>
                <w:color w:val="auto"/>
                <w:vertAlign w:val="superscript"/>
              </w:rPr>
              <w:t>(7)</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$265 - 270</w:t>
            </w:r>
          </w:p>
        </w:tc>
        <w:tc>
          <w:tcPr>
            <w:tcW w:w="700" w:type="dxa"/>
            <w:vAlign w:val="bottom"/>
            <w:shd w:val="clear" w:color="auto" w:fill="CCEEFF"/>
          </w:tcPr>
          <w:p>
            <w:pPr>
              <w:jc w:val="center"/>
              <w:ind w:right="52"/>
              <w:spacing w:after="0"/>
              <w:rPr>
                <w:sz w:val="20"/>
                <w:szCs w:val="20"/>
                <w:color w:val="auto"/>
              </w:rPr>
            </w:pPr>
            <w:r>
              <w:rPr>
                <w:rFonts w:ascii="Arial" w:cs="Arial" w:eastAsia="Arial" w:hAnsi="Arial"/>
                <w:sz w:val="14"/>
                <w:szCs w:val="14"/>
                <w:color w:val="auto"/>
                <w:w w:val="83"/>
              </w:rPr>
              <w:t>$265</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75%</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90%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Retail &amp; office open</w:t>
            </w: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- 80,000 SF of office</w:t>
            </w:r>
          </w:p>
        </w:tc>
        <w:tc>
          <w:tcPr>
            <w:tcW w:w="6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Residential opened in 2014 (174 units) and</w:t>
            </w: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- 493 residential units</w:t>
            </w: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2015/16 (319 units)</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20" w:type="dxa"/>
            <w:vAlign w:val="bottom"/>
          </w:tcPr>
          <w:p>
            <w:pPr>
              <w:ind w:left="140"/>
              <w:spacing w:after="0"/>
              <w:rPr>
                <w:sz w:val="20"/>
                <w:szCs w:val="20"/>
                <w:color w:val="auto"/>
              </w:rPr>
            </w:pPr>
            <w:r>
              <w:rPr>
                <w:rFonts w:ascii="Arial" w:cs="Arial" w:eastAsia="Arial" w:hAnsi="Arial"/>
                <w:sz w:val="14"/>
                <w:szCs w:val="14"/>
                <w:color w:val="auto"/>
              </w:rPr>
              <w:t>Opening projected 3Q 2017 through 2Q</w:t>
            </w:r>
          </w:p>
        </w:tc>
        <w:tc>
          <w:tcPr>
            <w:tcW w:w="0" w:type="dxa"/>
            <w:vAlign w:val="bottom"/>
          </w:tcPr>
          <w:p>
            <w:pPr>
              <w:spacing w:after="0"/>
              <w:rPr>
                <w:sz w:val="1"/>
                <w:szCs w:val="1"/>
                <w:color w:val="auto"/>
              </w:rPr>
            </w:pPr>
          </w:p>
        </w:tc>
      </w:tr>
      <w:tr>
        <w:trPr>
          <w:trHeight w:val="172"/>
        </w:trPr>
        <w:tc>
          <w:tcPr>
            <w:tcW w:w="920" w:type="dxa"/>
            <w:vAlign w:val="bottom"/>
            <w:gridSpan w:val="4"/>
          </w:tcPr>
          <w:p>
            <w:pPr>
              <w:ind w:left="40"/>
              <w:spacing w:after="0"/>
              <w:rPr>
                <w:sz w:val="20"/>
                <w:szCs w:val="20"/>
                <w:color w:val="auto"/>
              </w:rPr>
            </w:pPr>
            <w:r>
              <w:rPr>
                <w:rFonts w:ascii="Arial" w:cs="Arial" w:eastAsia="Arial" w:hAnsi="Arial"/>
                <w:sz w:val="14"/>
                <w:szCs w:val="14"/>
                <w:color w:val="auto"/>
              </w:rPr>
              <w:t>Phase II</w:t>
            </w:r>
          </w:p>
        </w:tc>
        <w:tc>
          <w:tcPr>
            <w:tcW w:w="126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- 216,000 SF of retail</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6-7%</w:t>
            </w:r>
          </w:p>
        </w:tc>
        <w:tc>
          <w:tcPr>
            <w:tcW w:w="3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9"/>
              </w:rPr>
              <w:t>$200 - 207</w:t>
            </w:r>
          </w:p>
        </w:tc>
        <w:tc>
          <w:tcPr>
            <w:tcW w:w="700" w:type="dxa"/>
            <w:vAlign w:val="bottom"/>
          </w:tcPr>
          <w:p>
            <w:pPr>
              <w:jc w:val="center"/>
              <w:ind w:right="52"/>
              <w:spacing w:after="0"/>
              <w:rPr>
                <w:sz w:val="20"/>
                <w:szCs w:val="20"/>
                <w:color w:val="auto"/>
              </w:rPr>
            </w:pPr>
            <w:r>
              <w:rPr>
                <w:rFonts w:ascii="Arial" w:cs="Arial" w:eastAsia="Arial" w:hAnsi="Arial"/>
                <w:sz w:val="14"/>
                <w:szCs w:val="14"/>
                <w:color w:val="auto"/>
                <w:w w:val="83"/>
              </w:rPr>
              <w:t>$114</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65%</w:t>
            </w:r>
          </w:p>
        </w:tc>
        <w:tc>
          <w:tcPr>
            <w:tcW w:w="660" w:type="dxa"/>
            <w:vAlign w:val="bottom"/>
          </w:tcPr>
          <w:p>
            <w:pPr>
              <w:jc w:val="center"/>
              <w:spacing w:after="0"/>
              <w:rPr>
                <w:sz w:val="20"/>
                <w:szCs w:val="20"/>
                <w:color w:val="auto"/>
              </w:rPr>
            </w:pPr>
            <w:r>
              <w:rPr>
                <w:rFonts w:ascii="Arial" w:cs="Arial" w:eastAsia="Arial" w:hAnsi="Arial"/>
                <w:sz w:val="14"/>
                <w:szCs w:val="14"/>
                <w:color w:val="auto"/>
                <w:w w:val="85"/>
              </w:rPr>
              <w:t>85%</w:t>
            </w:r>
          </w:p>
        </w:tc>
        <w:tc>
          <w:tcPr>
            <w:tcW w:w="2620" w:type="dxa"/>
            <w:vAlign w:val="bottom"/>
          </w:tcPr>
          <w:p>
            <w:pPr>
              <w:ind w:left="14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- 272 residential units</w:t>
            </w: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- 177 hotel rooms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30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- 99 for-sale condominium units</w:t>
            </w:r>
          </w:p>
        </w:tc>
        <w:tc>
          <w:tcPr>
            <w:tcW w:w="660" w:type="dxa"/>
            <w:vAlign w:val="bottom"/>
            <w:vMerge w:val="restart"/>
            <w:shd w:val="clear" w:color="auto" w:fill="CCEEFF"/>
          </w:tcPr>
          <w:p>
            <w:pPr>
              <w:jc w:val="center"/>
              <w:ind w:left="92"/>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5"/>
              </w:rPr>
              <w:t>$53 - 58</w:t>
            </w:r>
          </w:p>
        </w:tc>
        <w:tc>
          <w:tcPr>
            <w:tcW w:w="700" w:type="dxa"/>
            <w:vAlign w:val="bottom"/>
            <w:vMerge w:val="restart"/>
            <w:shd w:val="clear" w:color="auto" w:fill="CCEEFF"/>
          </w:tcPr>
          <w:p>
            <w:pPr>
              <w:jc w:val="center"/>
              <w:ind w:right="52"/>
              <w:spacing w:after="0"/>
              <w:rPr>
                <w:sz w:val="20"/>
                <w:szCs w:val="20"/>
                <w:color w:val="auto"/>
              </w:rPr>
            </w:pPr>
            <w:r>
              <w:rPr>
                <w:rFonts w:ascii="Arial" w:cs="Arial" w:eastAsia="Arial" w:hAnsi="Arial"/>
                <w:sz w:val="14"/>
                <w:szCs w:val="14"/>
                <w:color w:val="auto"/>
                <w:w w:val="94"/>
              </w:rPr>
              <w:t>$27</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2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4"/>
              </w:rPr>
              <w:t>Projected closings to commence 2Q 2018</w:t>
            </w:r>
          </w:p>
        </w:tc>
        <w:tc>
          <w:tcPr>
            <w:tcW w:w="0" w:type="dxa"/>
            <w:vAlign w:val="bottom"/>
          </w:tcPr>
          <w:p>
            <w:pPr>
              <w:spacing w:after="0"/>
              <w:rPr>
                <w:sz w:val="1"/>
                <w:szCs w:val="1"/>
                <w:color w:val="auto"/>
              </w:rPr>
            </w:pPr>
          </w:p>
        </w:tc>
      </w:tr>
      <w:tr>
        <w:trPr>
          <w:trHeight w:val="97"/>
        </w:trPr>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30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920" w:type="dxa"/>
            <w:vAlign w:val="bottom"/>
            <w:gridSpan w:val="4"/>
          </w:tcPr>
          <w:p>
            <w:pPr>
              <w:ind w:left="40"/>
              <w:spacing w:after="0"/>
              <w:rPr>
                <w:sz w:val="20"/>
                <w:szCs w:val="20"/>
                <w:color w:val="auto"/>
              </w:rPr>
            </w:pPr>
            <w:r>
              <w:rPr>
                <w:rFonts w:ascii="Arial" w:cs="Arial" w:eastAsia="Arial" w:hAnsi="Arial"/>
                <w:sz w:val="14"/>
                <w:szCs w:val="14"/>
                <w:color w:val="auto"/>
                <w:w w:val="94"/>
              </w:rPr>
              <w:t>Future Phases</w:t>
            </w:r>
          </w:p>
        </w:tc>
        <w:tc>
          <w:tcPr>
            <w:tcW w:w="1260" w:type="dxa"/>
            <w:vAlign w:val="bottom"/>
          </w:tcPr>
          <w:p>
            <w:pPr>
              <w:spacing w:after="0"/>
              <w:rPr>
                <w:sz w:val="22"/>
                <w:szCs w:val="22"/>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- 1M SF of commercial</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TBD</w:t>
            </w:r>
          </w:p>
        </w:tc>
        <w:tc>
          <w:tcPr>
            <w:tcW w:w="300" w:type="dxa"/>
            <w:vAlign w:val="bottom"/>
          </w:tcPr>
          <w:p>
            <w:pPr>
              <w:spacing w:after="0"/>
              <w:rPr>
                <w:sz w:val="22"/>
                <w:szCs w:val="22"/>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auto"/>
              </w:rPr>
              <w:t>TBD</w:t>
            </w:r>
          </w:p>
        </w:tc>
        <w:tc>
          <w:tcPr>
            <w:tcW w:w="700" w:type="dxa"/>
            <w:vAlign w:val="bottom"/>
          </w:tcPr>
          <w:p>
            <w:pPr>
              <w:jc w:val="center"/>
              <w:ind w:right="52"/>
              <w:spacing w:after="0"/>
              <w:rPr>
                <w:sz w:val="20"/>
                <w:szCs w:val="20"/>
                <w:color w:val="auto"/>
              </w:rPr>
            </w:pPr>
            <w:r>
              <w:rPr>
                <w:rFonts w:ascii="Arial" w:cs="Arial" w:eastAsia="Arial" w:hAnsi="Arial"/>
                <w:sz w:val="14"/>
                <w:szCs w:val="14"/>
                <w:color w:val="auto"/>
                <w:w w:val="92"/>
              </w:rPr>
              <w:t>TBD</w:t>
            </w: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- 741 residential units</w:t>
            </w: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w w:val="97"/>
              </w:rPr>
              <w:t>Santana Row</w:t>
            </w:r>
          </w:p>
        </w:tc>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San Jose, CA</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700 Santana</w:t>
            </w:r>
          </w:p>
        </w:tc>
        <w:tc>
          <w:tcPr>
            <w:tcW w:w="126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Row</w:t>
            </w:r>
          </w:p>
        </w:tc>
        <w:tc>
          <w:tcPr>
            <w:tcW w:w="1260" w:type="dxa"/>
            <w:vAlign w:val="bottom"/>
            <w:shd w:val="clear" w:color="auto" w:fill="CCEEFF"/>
          </w:tcPr>
          <w:p>
            <w:pPr>
              <w:spacing w:after="0"/>
              <w:rPr>
                <w:sz w:val="14"/>
                <w:szCs w:val="14"/>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- 284,000 SF of office</w:t>
            </w:r>
          </w:p>
        </w:tc>
        <w:tc>
          <w:tcPr>
            <w:tcW w:w="660" w:type="dxa"/>
            <w:vAlign w:val="bottom"/>
            <w:shd w:val="clear" w:color="auto" w:fill="CCEEFF"/>
          </w:tcPr>
          <w:p>
            <w:pPr>
              <w:jc w:val="center"/>
              <w:ind w:left="92"/>
              <w:spacing w:after="0"/>
              <w:rPr>
                <w:sz w:val="20"/>
                <w:szCs w:val="20"/>
                <w:color w:val="auto"/>
              </w:rPr>
            </w:pPr>
            <w:r>
              <w:rPr>
                <w:rFonts w:ascii="Arial" w:cs="Arial" w:eastAsia="Arial" w:hAnsi="Arial"/>
                <w:sz w:val="14"/>
                <w:szCs w:val="14"/>
                <w:color w:val="auto"/>
                <w:w w:val="88"/>
              </w:rPr>
              <w:t>7%</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$205 - 215</w:t>
            </w:r>
          </w:p>
        </w:tc>
        <w:tc>
          <w:tcPr>
            <w:tcW w:w="700" w:type="dxa"/>
            <w:vAlign w:val="bottom"/>
            <w:shd w:val="clear" w:color="auto" w:fill="CCEEFF"/>
          </w:tcPr>
          <w:p>
            <w:pPr>
              <w:jc w:val="center"/>
              <w:ind w:right="52"/>
              <w:spacing w:after="0"/>
              <w:rPr>
                <w:sz w:val="20"/>
                <w:szCs w:val="20"/>
                <w:color w:val="auto"/>
              </w:rPr>
            </w:pPr>
            <w:r>
              <w:rPr>
                <w:rFonts w:ascii="Arial" w:cs="Arial" w:eastAsia="Arial" w:hAnsi="Arial"/>
                <w:sz w:val="14"/>
                <w:szCs w:val="14"/>
                <w:color w:val="auto"/>
                <w:w w:val="94"/>
              </w:rPr>
              <w:t>$17</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TBD</w:t>
            </w: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Commenced construction 4Q 2016</w:t>
            </w:r>
          </w:p>
        </w:tc>
        <w:tc>
          <w:tcPr>
            <w:tcW w:w="0" w:type="dxa"/>
            <w:vAlign w:val="bottom"/>
          </w:tcPr>
          <w:p>
            <w:pPr>
              <w:spacing w:after="0"/>
              <w:rPr>
                <w:sz w:val="1"/>
                <w:szCs w:val="1"/>
                <w:color w:val="auto"/>
              </w:rPr>
            </w:pPr>
          </w:p>
        </w:tc>
      </w:tr>
      <w:tr>
        <w:trPr>
          <w:trHeight w:val="179"/>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- 29,000 SF of retail &amp; 1,300 parking</w:t>
            </w: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Opening projected 2019</w:t>
            </w:r>
          </w:p>
        </w:tc>
        <w:tc>
          <w:tcPr>
            <w:tcW w:w="0" w:type="dxa"/>
            <w:vAlign w:val="bottom"/>
          </w:tcPr>
          <w:p>
            <w:pPr>
              <w:spacing w:after="0"/>
              <w:rPr>
                <w:sz w:val="1"/>
                <w:szCs w:val="1"/>
                <w:color w:val="auto"/>
              </w:rPr>
            </w:pPr>
          </w:p>
        </w:tc>
      </w:tr>
      <w:tr>
        <w:trPr>
          <w:trHeight w:val="186"/>
        </w:trPr>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spaces</w:t>
            </w: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20" w:type="dxa"/>
            <w:vAlign w:val="bottom"/>
            <w:gridSpan w:val="4"/>
          </w:tcPr>
          <w:p>
            <w:pPr>
              <w:ind w:left="40"/>
              <w:spacing w:after="0"/>
              <w:rPr>
                <w:sz w:val="20"/>
                <w:szCs w:val="20"/>
                <w:color w:val="auto"/>
              </w:rPr>
            </w:pPr>
            <w:r>
              <w:rPr>
                <w:rFonts w:ascii="Arial" w:cs="Arial" w:eastAsia="Arial" w:hAnsi="Arial"/>
                <w:sz w:val="14"/>
                <w:szCs w:val="14"/>
                <w:color w:val="auto"/>
                <w:w w:val="94"/>
              </w:rPr>
              <w:t>Future Phases</w:t>
            </w:r>
          </w:p>
        </w:tc>
        <w:tc>
          <w:tcPr>
            <w:tcW w:w="1260" w:type="dxa"/>
            <w:vAlign w:val="bottom"/>
          </w:tcPr>
          <w:p>
            <w:pPr>
              <w:spacing w:after="0"/>
              <w:rPr>
                <w:sz w:val="22"/>
                <w:szCs w:val="22"/>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- 321,000 SF of commercial</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TBD</w:t>
            </w:r>
          </w:p>
        </w:tc>
        <w:tc>
          <w:tcPr>
            <w:tcW w:w="300" w:type="dxa"/>
            <w:vAlign w:val="bottom"/>
          </w:tcPr>
          <w:p>
            <w:pPr>
              <w:spacing w:after="0"/>
              <w:rPr>
                <w:sz w:val="22"/>
                <w:szCs w:val="22"/>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auto"/>
              </w:rPr>
              <w:t>TBD</w:t>
            </w:r>
          </w:p>
        </w:tc>
        <w:tc>
          <w:tcPr>
            <w:tcW w:w="700" w:type="dxa"/>
            <w:vAlign w:val="bottom"/>
          </w:tcPr>
          <w:p>
            <w:pPr>
              <w:jc w:val="center"/>
              <w:ind w:right="52"/>
              <w:spacing w:after="0"/>
              <w:rPr>
                <w:sz w:val="20"/>
                <w:szCs w:val="20"/>
                <w:color w:val="auto"/>
              </w:rPr>
            </w:pPr>
            <w:r>
              <w:rPr>
                <w:rFonts w:ascii="Arial" w:cs="Arial" w:eastAsia="Arial" w:hAnsi="Arial"/>
                <w:sz w:val="14"/>
                <w:szCs w:val="14"/>
                <w:color w:val="auto"/>
                <w:w w:val="92"/>
              </w:rPr>
              <w:t>TBD</w:t>
            </w: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- 395 residential units</w:t>
            </w: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Anticipated opening dates, total cost, projected return on investment (ROI), and projected POI percentages are subject to adjustment as a result of factors inherent in the development process, some of which</w:t>
      </w:r>
    </w:p>
    <w:p>
      <w:pPr>
        <w:spacing w:after="0" w:line="22" w:lineRule="exact"/>
        <w:rPr>
          <w:sz w:val="20"/>
          <w:szCs w:val="20"/>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may not be under</w:t>
      </w:r>
    </w:p>
    <w:p>
      <w:pPr>
        <w:spacing w:after="0" w:line="97"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the direct control of the Company. Refer to the Company's filings with the Securities and Exchange Commission on Form 10-K and Form 10-Q for other risk factors.</w:t>
      </w:r>
    </w:p>
    <w:p>
      <w:pPr>
        <w:spacing w:after="0" w:line="41"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2"/>
          <w:szCs w:val="12"/>
          <w:color w:val="auto"/>
        </w:rPr>
        <w:t>Percentage figures reflect (i) the projected POI (herein defined) for the stated year divided by (ii) the current projected annual stabilized POI for the Property. These percentages are projections only and we</w:t>
      </w:r>
    </w:p>
    <w:p>
      <w:pPr>
        <w:spacing w:after="0" w:line="22"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cannot give any</w:t>
      </w:r>
    </w:p>
    <w:p>
      <w:pPr>
        <w:spacing w:after="0" w:line="97"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assurances that these amounts will actually be achieved.</w:t>
      </w:r>
    </w:p>
    <w:p>
      <w:pPr>
        <w:spacing w:after="0" w:line="41"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w:t>
      </w:r>
    </w:p>
    <w:p>
      <w:pPr>
        <w:spacing w:after="0" w:line="41"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are net of expected reimbursement by third parties and land sale proceeds from expected exercise of option. Phase II total costs include our share of the costs in the hotel.</w:t>
      </w:r>
    </w:p>
    <w:p>
      <w:pPr>
        <w:spacing w:after="0" w:line="41" w:lineRule="exact"/>
        <w:rPr>
          <w:rFonts w:ascii="Arial" w:cs="Arial" w:eastAsia="Arial" w:hAnsi="Arial"/>
          <w:sz w:val="14"/>
          <w:szCs w:val="14"/>
          <w:color w:val="auto"/>
        </w:rPr>
      </w:pPr>
    </w:p>
    <w:p>
      <w:pPr>
        <w:ind w:left="260" w:hanging="225"/>
        <w:spacing w:after="0"/>
        <w:tabs>
          <w:tab w:leader="none" w:pos="2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Condominiums shown at cost; the projected ROI for Phase II does not assume any incremental profit on the sale of condominium units; condominiums are assumed to be sold at cost.</w:t>
      </w:r>
    </w:p>
    <w:p>
      <w:pPr>
        <w:spacing w:after="0" w:line="64" w:lineRule="exact"/>
        <w:rPr>
          <w:rFonts w:ascii="Arial" w:cs="Arial" w:eastAsia="Arial" w:hAnsi="Arial"/>
          <w:sz w:val="12"/>
          <w:szCs w:val="12"/>
          <w:color w:val="auto"/>
        </w:rPr>
      </w:pPr>
    </w:p>
    <w:p>
      <w:pPr>
        <w:ind w:left="260" w:hanging="22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approximately $5 million of costs incurred to date of which we have claims for recovery against 3rd parties.</w:t>
      </w:r>
    </w:p>
    <w:p>
      <w:pPr>
        <w:sectPr>
          <w:pgSz w:w="11900" w:h="16838" w:orient="portrait"/>
          <w:cols w:equalWidth="0" w:num="1">
            <w:col w:w="11420"/>
          </w:cols>
          <w:pgMar w:left="240" w:top="760"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6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Assembly Row Site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64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219"/>
          </w:cols>
          <w:pgMar w:left="240" w:top="580"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Pike &amp; Rose Site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89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58952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219"/>
          </w:cols>
          <w:pgMar w:left="240" w:top="580" w:right="1440"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2016</w:t>
      </w:r>
    </w:p>
    <w:p>
      <w:pPr>
        <w:spacing w:after="0" w:line="297" w:lineRule="exact"/>
        <w:rPr>
          <w:sz w:val="20"/>
          <w:szCs w:val="20"/>
          <w:color w:val="auto"/>
        </w:rPr>
      </w:pPr>
    </w:p>
    <w:p>
      <w:pPr>
        <w:ind w:left="40" w:right="100"/>
        <w:spacing w:after="0" w:line="264" w:lineRule="auto"/>
        <w:rPr>
          <w:sz w:val="20"/>
          <w:szCs w:val="20"/>
          <w:color w:val="auto"/>
        </w:rPr>
      </w:pPr>
      <w:r>
        <w:rPr>
          <w:rFonts w:ascii="Arial" w:cs="Arial" w:eastAsia="Arial" w:hAnsi="Arial"/>
          <w:sz w:val="13"/>
          <w:szCs w:val="13"/>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41" w:lineRule="exact"/>
        <w:rPr>
          <w:sz w:val="20"/>
          <w:szCs w:val="20"/>
          <w:color w:val="auto"/>
        </w:rPr>
      </w:pPr>
    </w:p>
    <w:p>
      <w:pPr>
        <w:ind w:left="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Bethesda, MD</w:t>
            </w:r>
          </w:p>
        </w:tc>
        <w:tc>
          <w:tcPr>
            <w:tcW w:w="2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Fresh Meadows</w:t>
            </w:r>
          </w:p>
        </w:tc>
        <w:tc>
          <w:tcPr>
            <w:tcW w:w="46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Queens, NY</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020" w:type="dxa"/>
            <w:vAlign w:val="bottom"/>
          </w:tcPr>
          <w:p>
            <w:pPr>
              <w:ind w:left="380"/>
              <w:spacing w:after="0"/>
              <w:rPr>
                <w:sz w:val="20"/>
                <w:szCs w:val="20"/>
                <w:color w:val="auto"/>
              </w:rPr>
            </w:pPr>
            <w:r>
              <w:rPr>
                <w:rFonts w:ascii="Arial" w:cs="Arial" w:eastAsia="Arial" w:hAnsi="Arial"/>
                <w:sz w:val="16"/>
                <w:szCs w:val="16"/>
                <w:color w:val="auto"/>
              </w:rPr>
              <w:t>Dedham, MA</w:t>
            </w:r>
          </w:p>
        </w:tc>
        <w:tc>
          <w:tcPr>
            <w:tcW w:w="2480" w:type="dxa"/>
            <w:vAlign w:val="bottom"/>
          </w:tcPr>
          <w:p>
            <w:pPr>
              <w:ind w:left="640"/>
              <w:spacing w:after="0"/>
              <w:rPr>
                <w:sz w:val="20"/>
                <w:szCs w:val="20"/>
                <w:color w:val="auto"/>
              </w:rPr>
            </w:pPr>
            <w:r>
              <w:rPr>
                <w:rFonts w:ascii="Arial" w:cs="Arial" w:eastAsia="Arial" w:hAnsi="Arial"/>
                <w:sz w:val="16"/>
                <w:szCs w:val="16"/>
                <w:b w:val="1"/>
                <w:bCs w:val="1"/>
                <w:color w:val="auto"/>
              </w:rPr>
              <w:t>Melville Mall</w:t>
            </w:r>
          </w:p>
        </w:tc>
        <w:tc>
          <w:tcPr>
            <w:tcW w:w="4620" w:type="dxa"/>
            <w:vAlign w:val="bottom"/>
          </w:tcPr>
          <w:p>
            <w:pPr>
              <w:ind w:left="780"/>
              <w:spacing w:after="0"/>
              <w:rPr>
                <w:sz w:val="20"/>
                <w:szCs w:val="20"/>
                <w:color w:val="auto"/>
              </w:rPr>
            </w:pPr>
            <w:r>
              <w:rPr>
                <w:rFonts w:ascii="Arial" w:cs="Arial" w:eastAsia="Arial" w:hAnsi="Arial"/>
                <w:sz w:val="16"/>
                <w:szCs w:val="16"/>
                <w:color w:val="auto"/>
              </w:rPr>
              <w:t>Huntington, NY</w:t>
            </w:r>
          </w:p>
        </w:tc>
      </w:tr>
      <w:tr>
        <w:trPr>
          <w:trHeight w:val="33"/>
        </w:trPr>
        <w:tc>
          <w:tcPr>
            <w:tcW w:w="2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CA</w:t>
            </w:r>
          </w:p>
        </w:tc>
        <w:tc>
          <w:tcPr>
            <w:tcW w:w="2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Mercer Mall</w:t>
            </w:r>
          </w:p>
        </w:tc>
        <w:tc>
          <w:tcPr>
            <w:tcW w:w="46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Lawrenceville, NJ</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020" w:type="dxa"/>
            <w:vAlign w:val="bottom"/>
          </w:tcPr>
          <w:p>
            <w:pPr>
              <w:ind w:left="380"/>
              <w:spacing w:after="0"/>
              <w:rPr>
                <w:sz w:val="20"/>
                <w:szCs w:val="20"/>
                <w:color w:val="auto"/>
              </w:rPr>
            </w:pPr>
            <w:r>
              <w:rPr>
                <w:rFonts w:ascii="Arial" w:cs="Arial" w:eastAsia="Arial" w:hAnsi="Arial"/>
                <w:sz w:val="16"/>
                <w:szCs w:val="16"/>
                <w:color w:val="auto"/>
              </w:rPr>
              <w:t>Rockville, MD</w:t>
            </w:r>
          </w:p>
        </w:tc>
        <w:tc>
          <w:tcPr>
            <w:tcW w:w="2480" w:type="dxa"/>
            <w:vAlign w:val="bottom"/>
          </w:tcPr>
          <w:p>
            <w:pPr>
              <w:ind w:left="640"/>
              <w:spacing w:after="0"/>
              <w:rPr>
                <w:sz w:val="20"/>
                <w:szCs w:val="20"/>
                <w:color w:val="auto"/>
              </w:rPr>
            </w:pPr>
            <w:r>
              <w:rPr>
                <w:rFonts w:ascii="Arial" w:cs="Arial" w:eastAsia="Arial" w:hAnsi="Arial"/>
                <w:sz w:val="16"/>
                <w:szCs w:val="16"/>
                <w:b w:val="1"/>
                <w:bCs w:val="1"/>
                <w:color w:val="auto"/>
              </w:rPr>
              <w:t>Pan Am</w:t>
            </w:r>
          </w:p>
        </w:tc>
        <w:tc>
          <w:tcPr>
            <w:tcW w:w="4620" w:type="dxa"/>
            <w:vAlign w:val="bottom"/>
          </w:tcPr>
          <w:p>
            <w:pPr>
              <w:ind w:left="780"/>
              <w:spacing w:after="0"/>
              <w:rPr>
                <w:sz w:val="20"/>
                <w:szCs w:val="20"/>
                <w:color w:val="auto"/>
              </w:rPr>
            </w:pPr>
            <w:r>
              <w:rPr>
                <w:rFonts w:ascii="Arial" w:cs="Arial" w:eastAsia="Arial" w:hAnsi="Arial"/>
                <w:sz w:val="16"/>
                <w:szCs w:val="16"/>
                <w:color w:val="auto"/>
              </w:rPr>
              <w:t>Fairfax, VA</w:t>
            </w:r>
          </w:p>
        </w:tc>
      </w:tr>
      <w:tr>
        <w:trPr>
          <w:trHeight w:val="33"/>
        </w:trPr>
        <w:tc>
          <w:tcPr>
            <w:tcW w:w="2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37"/>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Flourtown</w:t>
            </w:r>
          </w:p>
        </w:tc>
        <w:tc>
          <w:tcPr>
            <w:tcW w:w="2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Flourtown, PA</w:t>
            </w:r>
          </w:p>
        </w:tc>
        <w:tc>
          <w:tcPr>
            <w:tcW w:w="24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Wildwood</w:t>
            </w:r>
          </w:p>
        </w:tc>
        <w:tc>
          <w:tcPr>
            <w:tcW w:w="46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Bethesda, MD</w:t>
            </w:r>
          </w:p>
        </w:tc>
      </w:tr>
      <w:tr>
        <w:trPr>
          <w:trHeight w:val="33"/>
        </w:trPr>
        <w:tc>
          <w:tcPr>
            <w:tcW w:w="2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77"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380" w:type="dxa"/>
            <w:vAlign w:val="bottom"/>
          </w:tcPr>
          <w:p>
            <w:pPr>
              <w:ind w:left="620"/>
              <w:spacing w:after="0"/>
              <w:rPr>
                <w:sz w:val="20"/>
                <w:szCs w:val="20"/>
                <w:color w:val="auto"/>
              </w:rPr>
            </w:pPr>
            <w:r>
              <w:rPr>
                <w:rFonts w:ascii="Arial" w:cs="Arial" w:eastAsia="Arial" w:hAnsi="Arial"/>
                <w:sz w:val="16"/>
                <w:szCs w:val="16"/>
                <w:color w:val="auto"/>
              </w:rPr>
              <w:t>Charlottesville, VA</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Fresh Meadows</w:t>
            </w:r>
          </w:p>
        </w:tc>
        <w:tc>
          <w:tcPr>
            <w:tcW w:w="4260" w:type="dxa"/>
            <w:vAlign w:val="bottom"/>
          </w:tcPr>
          <w:p>
            <w:pPr>
              <w:ind w:left="420"/>
              <w:spacing w:after="0"/>
              <w:rPr>
                <w:sz w:val="20"/>
                <w:szCs w:val="20"/>
                <w:color w:val="auto"/>
              </w:rPr>
            </w:pPr>
            <w:r>
              <w:rPr>
                <w:rFonts w:ascii="Arial" w:cs="Arial" w:eastAsia="Arial" w:hAnsi="Arial"/>
                <w:sz w:val="16"/>
                <w:szCs w:val="16"/>
                <w:color w:val="auto"/>
              </w:rPr>
              <w:t>Queens, NY</w:t>
            </w:r>
          </w:p>
        </w:tc>
      </w:tr>
      <w:tr>
        <w:trPr>
          <w:trHeight w:val="33"/>
        </w:trPr>
        <w:tc>
          <w:tcPr>
            <w:tcW w:w="2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3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Bethesda, MD</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Northeast</w:t>
            </w: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Philadelphia, PA</w:t>
            </w:r>
          </w:p>
        </w:tc>
      </w:tr>
      <w:tr>
        <w:trPr>
          <w:trHeight w:val="237"/>
        </w:trPr>
        <w:tc>
          <w:tcPr>
            <w:tcW w:w="2060" w:type="dxa"/>
            <w:vAlign w:val="bottom"/>
          </w:tcPr>
          <w:p>
            <w:pPr>
              <w:ind w:left="380"/>
              <w:spacing w:after="0"/>
              <w:rPr>
                <w:sz w:val="20"/>
                <w:szCs w:val="20"/>
                <w:color w:val="auto"/>
              </w:rPr>
            </w:pPr>
            <w:r>
              <w:rPr>
                <w:rFonts w:ascii="Arial" w:cs="Arial" w:eastAsia="Arial" w:hAnsi="Arial"/>
                <w:sz w:val="16"/>
                <w:szCs w:val="16"/>
                <w:b w:val="1"/>
                <w:bCs w:val="1"/>
                <w:color w:val="auto"/>
              </w:rPr>
              <w:t>Brick</w:t>
            </w:r>
          </w:p>
        </w:tc>
        <w:tc>
          <w:tcPr>
            <w:tcW w:w="2380" w:type="dxa"/>
            <w:vAlign w:val="bottom"/>
          </w:tcPr>
          <w:p>
            <w:pPr>
              <w:ind w:left="620"/>
              <w:spacing w:after="0"/>
              <w:rPr>
                <w:sz w:val="20"/>
                <w:szCs w:val="20"/>
                <w:color w:val="auto"/>
              </w:rPr>
            </w:pPr>
            <w:r>
              <w:rPr>
                <w:rFonts w:ascii="Arial" w:cs="Arial" w:eastAsia="Arial" w:hAnsi="Arial"/>
                <w:sz w:val="16"/>
                <w:szCs w:val="16"/>
                <w:color w:val="auto"/>
              </w:rPr>
              <w:t>Brick, NJ</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4260" w:type="dxa"/>
            <w:vAlign w:val="bottom"/>
          </w:tcPr>
          <w:p>
            <w:pPr>
              <w:ind w:left="420"/>
              <w:spacing w:after="0"/>
              <w:rPr>
                <w:sz w:val="20"/>
                <w:szCs w:val="20"/>
                <w:color w:val="auto"/>
              </w:rPr>
            </w:pPr>
            <w:r>
              <w:rPr>
                <w:rFonts w:ascii="Arial" w:cs="Arial" w:eastAsia="Arial" w:hAnsi="Arial"/>
                <w:sz w:val="16"/>
                <w:szCs w:val="16"/>
                <w:color w:val="auto"/>
              </w:rPr>
              <w:t>South Miami, FL</w:t>
            </w:r>
          </w:p>
        </w:tc>
      </w:tr>
      <w:tr>
        <w:trPr>
          <w:trHeight w:val="33"/>
        </w:trPr>
        <w:tc>
          <w:tcPr>
            <w:tcW w:w="2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CocoWalk</w:t>
            </w:r>
          </w:p>
        </w:tc>
        <w:tc>
          <w:tcPr>
            <w:tcW w:w="23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Coconut Grove, FL</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Santa Monica, CA</w:t>
            </w:r>
          </w:p>
        </w:tc>
      </w:tr>
      <w:tr>
        <w:trPr>
          <w:trHeight w:val="237"/>
        </w:trPr>
        <w:tc>
          <w:tcPr>
            <w:tcW w:w="2060" w:type="dxa"/>
            <w:vAlign w:val="bottom"/>
          </w:tcPr>
          <w:p>
            <w:pPr>
              <w:ind w:left="380"/>
              <w:spacing w:after="0"/>
              <w:rPr>
                <w:sz w:val="20"/>
                <w:szCs w:val="20"/>
                <w:color w:val="auto"/>
              </w:rPr>
            </w:pPr>
            <w:r>
              <w:rPr>
                <w:rFonts w:ascii="Arial" w:cs="Arial" w:eastAsia="Arial" w:hAnsi="Arial"/>
                <w:sz w:val="16"/>
                <w:szCs w:val="16"/>
                <w:b w:val="1"/>
                <w:bCs w:val="1"/>
                <w:color w:val="auto"/>
              </w:rPr>
              <w:t>Crossroads</w:t>
            </w:r>
          </w:p>
        </w:tc>
        <w:tc>
          <w:tcPr>
            <w:tcW w:w="2380" w:type="dxa"/>
            <w:vAlign w:val="bottom"/>
          </w:tcPr>
          <w:p>
            <w:pPr>
              <w:ind w:left="620"/>
              <w:spacing w:after="0"/>
              <w:rPr>
                <w:sz w:val="20"/>
                <w:szCs w:val="20"/>
                <w:color w:val="auto"/>
              </w:rPr>
            </w:pPr>
            <w:r>
              <w:rPr>
                <w:rFonts w:ascii="Arial" w:cs="Arial" w:eastAsia="Arial" w:hAnsi="Arial"/>
                <w:sz w:val="16"/>
                <w:szCs w:val="16"/>
                <w:color w:val="auto"/>
              </w:rPr>
              <w:t>Highland Park, IL</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Troy</w:t>
            </w:r>
          </w:p>
        </w:tc>
        <w:tc>
          <w:tcPr>
            <w:tcW w:w="4260" w:type="dxa"/>
            <w:vAlign w:val="bottom"/>
          </w:tcPr>
          <w:p>
            <w:pPr>
              <w:ind w:left="420"/>
              <w:spacing w:after="0"/>
              <w:rPr>
                <w:sz w:val="20"/>
                <w:szCs w:val="20"/>
                <w:color w:val="auto"/>
              </w:rPr>
            </w:pPr>
            <w:r>
              <w:rPr>
                <w:rFonts w:ascii="Arial" w:cs="Arial" w:eastAsia="Arial" w:hAnsi="Arial"/>
                <w:sz w:val="16"/>
                <w:szCs w:val="16"/>
                <w:color w:val="auto"/>
              </w:rPr>
              <w:t>Parsippany, NJ</w:t>
            </w:r>
          </w:p>
        </w:tc>
      </w:tr>
      <w:tr>
        <w:trPr>
          <w:trHeight w:val="33"/>
        </w:trPr>
        <w:tc>
          <w:tcPr>
            <w:tcW w:w="2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37"/>
        </w:trPr>
        <w:tc>
          <w:tcPr>
            <w:tcW w:w="206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Darien</w:t>
            </w:r>
          </w:p>
        </w:tc>
        <w:tc>
          <w:tcPr>
            <w:tcW w:w="23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Darien, CT</w:t>
            </w:r>
          </w:p>
        </w:tc>
        <w:tc>
          <w:tcPr>
            <w:tcW w:w="272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2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33"/>
        </w:trPr>
        <w:tc>
          <w:tcPr>
            <w:tcW w:w="20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Barracks Road</w:t>
            </w:r>
          </w:p>
        </w:tc>
        <w:tc>
          <w:tcPr>
            <w:tcW w:w="2340" w:type="dxa"/>
            <w:vAlign w:val="bottom"/>
          </w:tcPr>
          <w:p>
            <w:pPr>
              <w:ind w:left="520"/>
              <w:spacing w:after="0"/>
              <w:rPr>
                <w:sz w:val="20"/>
                <w:szCs w:val="20"/>
                <w:color w:val="auto"/>
              </w:rPr>
            </w:pPr>
            <w:r>
              <w:rPr>
                <w:rFonts w:ascii="Arial" w:cs="Arial" w:eastAsia="Arial" w:hAnsi="Arial"/>
                <w:sz w:val="16"/>
                <w:szCs w:val="16"/>
                <w:color w:val="auto"/>
              </w:rPr>
              <w:t>Charlottesville, VA</w:t>
            </w: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rPr>
              <w:t>Graham Park Plaza</w:t>
            </w:r>
          </w:p>
        </w:tc>
        <w:tc>
          <w:tcPr>
            <w:tcW w:w="3940" w:type="dxa"/>
            <w:vAlign w:val="bottom"/>
          </w:tcPr>
          <w:p>
            <w:pPr>
              <w:ind w:left="100"/>
              <w:spacing w:after="0"/>
              <w:rPr>
                <w:sz w:val="20"/>
                <w:szCs w:val="20"/>
                <w:color w:val="auto"/>
              </w:rPr>
            </w:pPr>
            <w:r>
              <w:rPr>
                <w:rFonts w:ascii="Arial" w:cs="Arial" w:eastAsia="Arial" w:hAnsi="Arial"/>
                <w:sz w:val="16"/>
                <w:szCs w:val="16"/>
                <w:color w:val="auto"/>
              </w:rPr>
              <w:t>Falls Church, VA</w:t>
            </w: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 Cynwyd</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Bala Cynwyd, PA</w:t>
            </w:r>
          </w:p>
        </w:tc>
        <w:tc>
          <w:tcPr>
            <w:tcW w:w="2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Village at Shirlington</w:t>
            </w:r>
          </w:p>
        </w:tc>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Arlington, VA</w:t>
            </w:r>
          </w:p>
        </w:tc>
      </w:tr>
      <w:tr>
        <w:trPr>
          <w:trHeight w:val="270"/>
        </w:trPr>
        <w:tc>
          <w:tcPr>
            <w:tcW w:w="40" w:type="dxa"/>
            <w:vAlign w:val="bottom"/>
          </w:tcPr>
          <w:p>
            <w:pPr>
              <w:spacing w:after="0"/>
              <w:rPr>
                <w:sz w:val="23"/>
                <w:szCs w:val="23"/>
                <w:color w:val="auto"/>
              </w:rPr>
            </w:pPr>
          </w:p>
        </w:tc>
        <w:tc>
          <w:tcPr>
            <w:tcW w:w="420" w:type="dxa"/>
            <w:vAlign w:val="bottom"/>
            <w:gridSpan w:val="2"/>
          </w:tcPr>
          <w:p>
            <w:pPr>
              <w:spacing w:after="0"/>
              <w:rPr>
                <w:sz w:val="23"/>
                <w:szCs w:val="23"/>
                <w:color w:val="auto"/>
              </w:rPr>
            </w:pPr>
          </w:p>
        </w:tc>
        <w:tc>
          <w:tcPr>
            <w:tcW w:w="4040" w:type="dxa"/>
            <w:vAlign w:val="bottom"/>
            <w:gridSpan w:val="2"/>
          </w:tcPr>
          <w:p>
            <w:pPr>
              <w:spacing w:after="0"/>
              <w:rPr>
                <w:sz w:val="23"/>
                <w:szCs w:val="23"/>
                <w:color w:val="auto"/>
              </w:rPr>
            </w:pPr>
          </w:p>
        </w:tc>
        <w:tc>
          <w:tcPr>
            <w:tcW w:w="298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237"/>
        </w:trPr>
        <w:tc>
          <w:tcPr>
            <w:tcW w:w="45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98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Assembly Row (1)</w:t>
            </w:r>
          </w:p>
        </w:tc>
        <w:tc>
          <w:tcPr>
            <w:tcW w:w="2340" w:type="dxa"/>
            <w:vAlign w:val="bottom"/>
          </w:tcPr>
          <w:p>
            <w:pPr>
              <w:ind w:left="520"/>
              <w:spacing w:after="0"/>
              <w:rPr>
                <w:sz w:val="20"/>
                <w:szCs w:val="20"/>
                <w:color w:val="auto"/>
              </w:rPr>
            </w:pPr>
            <w:r>
              <w:rPr>
                <w:rFonts w:ascii="Arial" w:cs="Arial" w:eastAsia="Arial" w:hAnsi="Arial"/>
                <w:sz w:val="16"/>
                <w:szCs w:val="16"/>
                <w:color w:val="auto"/>
              </w:rPr>
              <w:t>Somerville, MA</w:t>
            </w: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rPr>
              <w:t>San Antonio Center</w:t>
            </w:r>
          </w:p>
        </w:tc>
        <w:tc>
          <w:tcPr>
            <w:tcW w:w="3940" w:type="dxa"/>
            <w:vAlign w:val="bottom"/>
          </w:tcPr>
          <w:p>
            <w:pPr>
              <w:ind w:left="100"/>
              <w:spacing w:after="0"/>
              <w:rPr>
                <w:sz w:val="20"/>
                <w:szCs w:val="20"/>
                <w:color w:val="auto"/>
              </w:rPr>
            </w:pPr>
            <w:r>
              <w:rPr>
                <w:rFonts w:ascii="Arial" w:cs="Arial" w:eastAsia="Arial" w:hAnsi="Arial"/>
                <w:sz w:val="16"/>
                <w:szCs w:val="16"/>
                <w:color w:val="auto"/>
              </w:rPr>
              <w:t>Mountain View, CA</w:t>
            </w: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 Cynwyd</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Bala Cynwyd, PA</w:t>
            </w:r>
          </w:p>
        </w:tc>
        <w:tc>
          <w:tcPr>
            <w:tcW w:w="2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Santana Row (3)</w:t>
            </w:r>
          </w:p>
        </w:tc>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w w:val="94"/>
              </w:rPr>
              <w:t>Santana Row - Winchester Theater</w:t>
            </w:r>
          </w:p>
        </w:tc>
        <w:tc>
          <w:tcPr>
            <w:tcW w:w="39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Pike 7 Plaza</w:t>
            </w:r>
          </w:p>
        </w:tc>
        <w:tc>
          <w:tcPr>
            <w:tcW w:w="2340" w:type="dxa"/>
            <w:vAlign w:val="bottom"/>
          </w:tcPr>
          <w:p>
            <w:pPr>
              <w:ind w:left="520"/>
              <w:spacing w:after="0"/>
              <w:rPr>
                <w:sz w:val="20"/>
                <w:szCs w:val="20"/>
                <w:color w:val="auto"/>
              </w:rPr>
            </w:pPr>
            <w:r>
              <w:rPr>
                <w:rFonts w:ascii="Arial" w:cs="Arial" w:eastAsia="Arial" w:hAnsi="Arial"/>
                <w:sz w:val="16"/>
                <w:szCs w:val="16"/>
                <w:color w:val="auto"/>
              </w:rPr>
              <w:t>Vienna, VA</w:t>
            </w:r>
          </w:p>
        </w:tc>
        <w:tc>
          <w:tcPr>
            <w:tcW w:w="2980" w:type="dxa"/>
            <w:vAlign w:val="bottom"/>
          </w:tcPr>
          <w:p>
            <w:pPr>
              <w:ind w:left="460"/>
              <w:spacing w:after="0"/>
              <w:rPr>
                <w:sz w:val="20"/>
                <w:szCs w:val="20"/>
                <w:color w:val="auto"/>
              </w:rPr>
            </w:pPr>
            <w:r>
              <w:rPr>
                <w:rFonts w:ascii="Arial" w:cs="Arial" w:eastAsia="Arial" w:hAnsi="Arial"/>
                <w:sz w:val="16"/>
                <w:szCs w:val="16"/>
                <w:b w:val="1"/>
                <w:bCs w:val="1"/>
                <w:color w:val="auto"/>
              </w:rPr>
              <w:t>site</w:t>
            </w:r>
          </w:p>
        </w:tc>
        <w:tc>
          <w:tcPr>
            <w:tcW w:w="394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Pike &amp; Rose (2)</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North Bethesda, MD</w:t>
            </w:r>
          </w:p>
        </w:tc>
        <w:tc>
          <w:tcPr>
            <w:tcW w:w="298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3"/>
        </w:trPr>
        <w:tc>
          <w:tcPr>
            <w:tcW w:w="21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34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3940" w:type="dxa"/>
            <w:vAlign w:val="bottom"/>
            <w:tcBorders>
              <w:top w:val="single" w:sz="8" w:color="CCEEFF"/>
            </w:tcBorders>
            <w:shd w:val="clear" w:color="auto" w:fill="CCEEFF"/>
          </w:tcPr>
          <w:p>
            <w:pPr>
              <w:spacing w:after="0"/>
              <w:rPr>
                <w:sz w:val="4"/>
                <w:szCs w:val="4"/>
                <w:color w:val="auto"/>
              </w:rPr>
            </w:pPr>
          </w:p>
        </w:tc>
      </w:tr>
      <w:tr>
        <w:trPr>
          <w:trHeight w:val="224"/>
        </w:trPr>
        <w:tc>
          <w:tcPr>
            <w:tcW w:w="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820" w:type="dxa"/>
            <w:vAlign w:val="bottom"/>
            <w:gridSpan w:val="2"/>
          </w:tcPr>
          <w:p>
            <w:pPr>
              <w:ind w:left="40"/>
              <w:spacing w:after="0"/>
              <w:rPr>
                <w:sz w:val="20"/>
                <w:szCs w:val="20"/>
                <w:color w:val="auto"/>
              </w:rPr>
            </w:pPr>
            <w:r>
              <w:rPr>
                <w:rFonts w:ascii="Arial" w:cs="Arial" w:eastAsia="Arial" w:hAnsi="Arial"/>
                <w:sz w:val="16"/>
                <w:szCs w:val="16"/>
                <w:color w:val="auto"/>
              </w:rPr>
              <w:t>Assembly Row</w:t>
            </w:r>
          </w:p>
        </w:tc>
        <w:tc>
          <w:tcPr>
            <w:tcW w:w="9260" w:type="dxa"/>
            <w:vAlign w:val="bottom"/>
            <w:gridSpan w:val="3"/>
          </w:tcPr>
          <w:p>
            <w:pPr>
              <w:ind w:left="520"/>
              <w:spacing w:after="0"/>
              <w:rPr>
                <w:sz w:val="20"/>
                <w:szCs w:val="20"/>
                <w:color w:val="auto"/>
              </w:rPr>
            </w:pPr>
            <w:r>
              <w:rPr>
                <w:rFonts w:ascii="Arial" w:cs="Arial" w:eastAsia="Arial" w:hAnsi="Arial"/>
                <w:sz w:val="14"/>
                <w:szCs w:val="14"/>
                <w:color w:val="auto"/>
              </w:rPr>
              <w:t>Remaining entitlements after Phase II include approximately 2 million square feet of commercial-use buildings and 826 residential units.</w:t>
            </w: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60" w:type="dxa"/>
            <w:vAlign w:val="bottom"/>
            <w:gridSpan w:val="3"/>
          </w:tcPr>
          <w:p>
            <w:pPr>
              <w:spacing w:after="0"/>
              <w:rPr>
                <w:sz w:val="2"/>
                <w:szCs w:val="2"/>
                <w:color w:val="auto"/>
              </w:rPr>
            </w:pPr>
          </w:p>
        </w:tc>
      </w:tr>
      <w:tr>
        <w:trPr>
          <w:trHeight w:val="237"/>
        </w:trPr>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Pike &amp; Rose</w:t>
            </w:r>
          </w:p>
        </w:tc>
        <w:tc>
          <w:tcPr>
            <w:tcW w:w="92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4"/>
                <w:szCs w:val="14"/>
                <w:color w:val="auto"/>
              </w:rPr>
              <w:t>Remaining entitlements after Phase II include 1 million square feet of commercial-use buildings and 741 residential units.</w:t>
            </w:r>
          </w:p>
        </w:tc>
      </w:tr>
      <w:tr>
        <w:trPr>
          <w:trHeight w:val="224"/>
        </w:trPr>
        <w:tc>
          <w:tcPr>
            <w:tcW w:w="3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820" w:type="dxa"/>
            <w:vAlign w:val="bottom"/>
            <w:gridSpan w:val="2"/>
          </w:tcPr>
          <w:p>
            <w:pPr>
              <w:ind w:left="40"/>
              <w:spacing w:after="0"/>
              <w:rPr>
                <w:sz w:val="20"/>
                <w:szCs w:val="20"/>
                <w:color w:val="auto"/>
              </w:rPr>
            </w:pPr>
            <w:r>
              <w:rPr>
                <w:rFonts w:ascii="Arial" w:cs="Arial" w:eastAsia="Arial" w:hAnsi="Arial"/>
                <w:sz w:val="16"/>
                <w:szCs w:val="16"/>
                <w:color w:val="auto"/>
              </w:rPr>
              <w:t>Santana Row</w:t>
            </w:r>
          </w:p>
        </w:tc>
        <w:tc>
          <w:tcPr>
            <w:tcW w:w="9260" w:type="dxa"/>
            <w:vAlign w:val="bottom"/>
            <w:gridSpan w:val="3"/>
          </w:tcPr>
          <w:p>
            <w:pPr>
              <w:ind w:left="520"/>
              <w:spacing w:after="0"/>
              <w:rPr>
                <w:sz w:val="20"/>
                <w:szCs w:val="20"/>
                <w:color w:val="auto"/>
              </w:rPr>
            </w:pPr>
            <w:r>
              <w:rPr>
                <w:rFonts w:ascii="Arial" w:cs="Arial" w:eastAsia="Arial" w:hAnsi="Arial"/>
                <w:sz w:val="14"/>
                <w:szCs w:val="14"/>
                <w:color w:val="auto"/>
              </w:rPr>
              <w:t>Remaining entitlements include approximately 321,000 square feet of commercial space and 395 residential units.</w:t>
            </w:r>
          </w:p>
        </w:tc>
      </w:tr>
      <w:tr>
        <w:trPr>
          <w:trHeight w:val="49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80" w:type="dxa"/>
            <w:vAlign w:val="bottom"/>
          </w:tcPr>
          <w:p>
            <w:pPr>
              <w:ind w:left="1120"/>
              <w:spacing w:after="0"/>
              <w:rPr>
                <w:sz w:val="20"/>
                <w:szCs w:val="20"/>
                <w:color w:val="auto"/>
              </w:rPr>
            </w:pPr>
            <w:r>
              <w:rPr>
                <w:rFonts w:ascii="Arial" w:cs="Arial" w:eastAsia="Arial" w:hAnsi="Arial"/>
                <w:sz w:val="18"/>
                <w:szCs w:val="18"/>
                <w:color w:val="auto"/>
              </w:rPr>
              <w:t>19</w:t>
            </w:r>
          </w:p>
        </w:tc>
        <w:tc>
          <w:tcPr>
            <w:tcW w:w="394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Acquisitions and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2016 Significant Acquisitions</w:t>
      </w:r>
    </w:p>
    <w:p>
      <w:pPr>
        <w:spacing w:after="0" w:line="185" w:lineRule="exact"/>
        <w:rPr>
          <w:sz w:val="20"/>
          <w:szCs w:val="20"/>
          <w:color w:val="auto"/>
        </w:rPr>
      </w:pPr>
    </w:p>
    <w:p>
      <w:pPr>
        <w:ind w:left="40" w:right="100"/>
        <w:spacing w:after="0" w:line="255" w:lineRule="auto"/>
        <w:rPr>
          <w:sz w:val="20"/>
          <w:szCs w:val="20"/>
          <w:color w:val="auto"/>
        </w:rPr>
      </w:pPr>
      <w:r>
        <w:rPr>
          <w:rFonts w:ascii="Arial" w:cs="Arial" w:eastAsia="Arial" w:hAnsi="Arial"/>
          <w:sz w:val="17"/>
          <w:szCs w:val="17"/>
          <w:color w:val="auto"/>
        </w:rPr>
        <w:t>On January 13, 2016, we acquired our partner's 70% interest in our joint venture arrangement (the "Partnership") with affiliates of a discretionary fund created and advised by Clarion Partners ("Clarion") for $153.7 million, which included the payment of $130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Property</w:t>
            </w:r>
          </w:p>
        </w:tc>
        <w:tc>
          <w:tcPr>
            <w:tcW w:w="2460" w:type="dxa"/>
            <w:vAlign w:val="bottom"/>
          </w:tcPr>
          <w:p>
            <w:pPr>
              <w:ind w:left="420"/>
              <w:spacing w:after="0"/>
              <w:rPr>
                <w:sz w:val="20"/>
                <w:szCs w:val="20"/>
                <w:color w:val="auto"/>
              </w:rPr>
            </w:pPr>
            <w:r>
              <w:rPr>
                <w:rFonts w:ascii="Arial" w:cs="Arial" w:eastAsia="Arial" w:hAnsi="Arial"/>
                <w:sz w:val="16"/>
                <w:szCs w:val="16"/>
                <w:b w:val="1"/>
                <w:bCs w:val="1"/>
                <w:color w:val="auto"/>
              </w:rPr>
              <w:t>City/State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GLA</w:t>
            </w:r>
          </w:p>
        </w:tc>
        <w:tc>
          <w:tcPr>
            <w:tcW w:w="5240" w:type="dxa"/>
            <w:vAlign w:val="bottom"/>
          </w:tcPr>
          <w:p>
            <w:pPr>
              <w:ind w:left="140"/>
              <w:spacing w:after="0"/>
              <w:rPr>
                <w:sz w:val="20"/>
                <w:szCs w:val="20"/>
                <w:color w:val="auto"/>
              </w:rPr>
            </w:pPr>
            <w:r>
              <w:rPr>
                <w:rFonts w:ascii="Arial" w:cs="Arial" w:eastAsia="Arial" w:hAnsi="Arial"/>
                <w:sz w:val="16"/>
                <w:szCs w:val="16"/>
                <w:b w:val="1"/>
                <w:bCs w:val="1"/>
                <w:color w:val="auto"/>
              </w:rPr>
              <w:t>Principal Tenants</w:t>
            </w:r>
          </w:p>
        </w:tc>
        <w:tc>
          <w:tcPr>
            <w:tcW w:w="0" w:type="dxa"/>
            <w:vAlign w:val="bottom"/>
          </w:tcPr>
          <w:p>
            <w:pPr>
              <w:spacing w:after="0"/>
              <w:rPr>
                <w:sz w:val="1"/>
                <w:szCs w:val="1"/>
                <w:color w:val="auto"/>
              </w:rPr>
            </w:pPr>
          </w:p>
        </w:tc>
      </w:tr>
      <w:tr>
        <w:trPr>
          <w:trHeight w:val="33"/>
        </w:trPr>
        <w:tc>
          <w:tcPr>
            <w:tcW w:w="22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Atlantic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North Reading, MA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Stop &amp; Shop</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Arial" w:cs="Arial" w:eastAsia="Arial" w:hAnsi="Arial"/>
                <w:sz w:val="16"/>
                <w:szCs w:val="16"/>
                <w:color w:val="auto"/>
              </w:rPr>
              <w:t>Barcroft Plaza</w:t>
            </w:r>
          </w:p>
        </w:tc>
        <w:tc>
          <w:tcPr>
            <w:tcW w:w="2460" w:type="dxa"/>
            <w:vAlign w:val="bottom"/>
          </w:tcPr>
          <w:p>
            <w:pPr>
              <w:ind w:left="420"/>
              <w:spacing w:after="0"/>
              <w:rPr>
                <w:sz w:val="20"/>
                <w:szCs w:val="20"/>
                <w:color w:val="auto"/>
              </w:rPr>
            </w:pPr>
            <w:r>
              <w:rPr>
                <w:rFonts w:ascii="Arial" w:cs="Arial" w:eastAsia="Arial" w:hAnsi="Arial"/>
                <w:sz w:val="16"/>
                <w:szCs w:val="16"/>
                <w:color w:val="auto"/>
              </w:rPr>
              <w:t>Falls Church, VA</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100,000</w:t>
            </w:r>
          </w:p>
        </w:tc>
        <w:tc>
          <w:tcPr>
            <w:tcW w:w="5240" w:type="dxa"/>
            <w:vAlign w:val="bottom"/>
          </w:tcPr>
          <w:p>
            <w:pPr>
              <w:ind w:left="140"/>
              <w:spacing w:after="0"/>
              <w:rPr>
                <w:sz w:val="20"/>
                <w:szCs w:val="20"/>
                <w:color w:val="auto"/>
              </w:rPr>
            </w:pPr>
            <w:r>
              <w:rPr>
                <w:rFonts w:ascii="Arial" w:cs="Arial" w:eastAsia="Arial" w:hAnsi="Arial"/>
                <w:sz w:val="16"/>
                <w:szCs w:val="16"/>
                <w:color w:val="auto"/>
              </w:rPr>
              <w:t>Harris Teeter / Bank of America</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Campus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Bridgewater, MA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116,000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Roche Bros. / Burlington Coat Factory</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Arial" w:cs="Arial" w:eastAsia="Arial" w:hAnsi="Arial"/>
                <w:sz w:val="16"/>
                <w:szCs w:val="16"/>
                <w:color w:val="auto"/>
              </w:rPr>
              <w:t>Free State Shopping Center</w:t>
            </w:r>
          </w:p>
        </w:tc>
        <w:tc>
          <w:tcPr>
            <w:tcW w:w="2460" w:type="dxa"/>
            <w:vAlign w:val="bottom"/>
          </w:tcPr>
          <w:p>
            <w:pPr>
              <w:ind w:left="420"/>
              <w:spacing w:after="0"/>
              <w:rPr>
                <w:sz w:val="20"/>
                <w:szCs w:val="20"/>
                <w:color w:val="auto"/>
              </w:rPr>
            </w:pPr>
            <w:r>
              <w:rPr>
                <w:rFonts w:ascii="Arial" w:cs="Arial" w:eastAsia="Arial" w:hAnsi="Arial"/>
                <w:sz w:val="16"/>
                <w:szCs w:val="16"/>
                <w:color w:val="auto"/>
              </w:rPr>
              <w:t>Bowie, MD</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265,000</w:t>
            </w:r>
          </w:p>
        </w:tc>
        <w:tc>
          <w:tcPr>
            <w:tcW w:w="5240" w:type="dxa"/>
            <w:vAlign w:val="bottom"/>
          </w:tcPr>
          <w:p>
            <w:pPr>
              <w:ind w:left="140"/>
              <w:spacing w:after="0"/>
              <w:rPr>
                <w:sz w:val="20"/>
                <w:szCs w:val="20"/>
                <w:color w:val="auto"/>
              </w:rPr>
            </w:pPr>
            <w:r>
              <w:rPr>
                <w:rFonts w:ascii="Arial" w:cs="Arial" w:eastAsia="Arial" w:hAnsi="Arial"/>
                <w:sz w:val="16"/>
                <w:szCs w:val="16"/>
                <w:color w:val="auto"/>
              </w:rPr>
              <w:t>Giant Food / TJ Maxx / Ross Dress For Less / Office Depot</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Greenlawn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Greenlawn, NY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106,000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Greenlawn Farms / Tuesday Morning</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Arial" w:cs="Arial" w:eastAsia="Arial" w:hAnsi="Arial"/>
                <w:sz w:val="16"/>
                <w:szCs w:val="16"/>
                <w:color w:val="auto"/>
              </w:rPr>
              <w:t>Plaza del Mercado</w:t>
            </w:r>
          </w:p>
        </w:tc>
        <w:tc>
          <w:tcPr>
            <w:tcW w:w="2460" w:type="dxa"/>
            <w:vAlign w:val="bottom"/>
          </w:tcPr>
          <w:p>
            <w:pPr>
              <w:ind w:left="420"/>
              <w:spacing w:after="0"/>
              <w:rPr>
                <w:sz w:val="20"/>
                <w:szCs w:val="20"/>
                <w:color w:val="auto"/>
              </w:rPr>
            </w:pPr>
            <w:r>
              <w:rPr>
                <w:rFonts w:ascii="Arial" w:cs="Arial" w:eastAsia="Arial" w:hAnsi="Arial"/>
                <w:sz w:val="16"/>
                <w:szCs w:val="16"/>
                <w:color w:val="auto"/>
              </w:rPr>
              <w:t>Silver Spring, MD</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96,000</w:t>
            </w:r>
          </w:p>
        </w:tc>
        <w:tc>
          <w:tcPr>
            <w:tcW w:w="5240" w:type="dxa"/>
            <w:vAlign w:val="bottom"/>
          </w:tcPr>
          <w:p>
            <w:pPr>
              <w:ind w:left="140"/>
              <w:spacing w:after="0"/>
              <w:rPr>
                <w:sz w:val="20"/>
                <w:szCs w:val="20"/>
                <w:color w:val="auto"/>
              </w:rPr>
            </w:pPr>
            <w:r>
              <w:rPr>
                <w:rFonts w:ascii="Arial" w:cs="Arial" w:eastAsia="Arial" w:hAnsi="Arial"/>
                <w:sz w:val="16"/>
                <w:szCs w:val="16"/>
                <w:color w:val="auto"/>
              </w:rPr>
              <w:t>CVS</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vMerge w:val="restart"/>
          </w:tcPr>
          <w:p>
            <w:pPr>
              <w:ind w:left="1700"/>
              <w:spacing w:after="0"/>
              <w:rPr>
                <w:sz w:val="20"/>
                <w:szCs w:val="20"/>
                <w:color w:val="auto"/>
              </w:rPr>
            </w:pPr>
            <w:r>
              <w:rPr>
                <w:rFonts w:ascii="Arial" w:cs="Arial" w:eastAsia="Arial" w:hAnsi="Arial"/>
                <w:sz w:val="16"/>
                <w:szCs w:val="16"/>
                <w:b w:val="1"/>
                <w:bCs w:val="1"/>
                <w:color w:val="auto"/>
                <w:w w:val="96"/>
              </w:rPr>
              <w:t>Total GLA</w:t>
            </w:r>
          </w:p>
        </w:tc>
        <w:tc>
          <w:tcPr>
            <w:tcW w:w="1480" w:type="dxa"/>
            <w:vAlign w:val="bottom"/>
            <w:tcBorders>
              <w:bottom w:val="single" w:sz="8" w:color="auto"/>
            </w:tcBorders>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806,000</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right="2880"/>
        <w:spacing w:after="0" w:line="241" w:lineRule="auto"/>
        <w:rPr>
          <w:sz w:val="20"/>
          <w:szCs w:val="20"/>
          <w:color w:val="auto"/>
        </w:rPr>
      </w:pPr>
      <w:r>
        <w:rPr>
          <w:rFonts w:ascii="Arial" w:cs="Arial" w:eastAsia="Arial" w:hAnsi="Arial"/>
          <w:sz w:val="17"/>
          <w:szCs w:val="17"/>
          <w:color w:val="auto"/>
        </w:rPr>
        <w:t>On July 26, 2016, we acquired an additional building in the Coconut Grove neighborhood of Miami, Florida for $5.9 million through our CocoWalk LLC entity.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On November 7, 2016, we acquired a building adjacent to our Barcroft Plaza property for $5.3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2016 Disposition</w:t>
      </w:r>
    </w:p>
    <w:p>
      <w:pPr>
        <w:spacing w:after="0" w:line="202"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On May 12, 2016, an unconsolidated joint venture that we hold an interest in, sold a building in Coconut Grove, Florida. Our share of the gain, net of noncontrolling interests, was $0.5 million.</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Subsequent Event - 2017 Significant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On February 1, 2017, we acquired a leasehold interest in Hastings Ranch Plaza, a 274,000 square foot shopping center in Pasadena, California for $29.5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Rent PSF</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420" w:type="dxa"/>
            <w:vAlign w:val="bottom"/>
          </w:tcPr>
          <w:p>
            <w:pPr>
              <w:spacing w:after="0"/>
              <w:rPr>
                <w:sz w:val="11"/>
                <w:szCs w:val="11"/>
                <w:color w:val="auto"/>
              </w:rPr>
            </w:pPr>
          </w:p>
        </w:tc>
      </w:tr>
      <w:tr>
        <w:trPr>
          <w:trHeight w:val="174"/>
        </w:trPr>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MSA Description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Occupied</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(3)</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r>
      <w:tr>
        <w:trPr>
          <w:trHeight w:val="173"/>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Barcroft Plaza</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5"/>
              </w:rPr>
              <w:t>Washington, DC-MD-VA</w:t>
            </w:r>
          </w:p>
        </w:tc>
        <w:tc>
          <w:tcPr>
            <w:tcW w:w="1540" w:type="dxa"/>
            <w:vAlign w:val="bottom"/>
            <w:gridSpan w:val="2"/>
          </w:tcPr>
          <w:p>
            <w:pPr>
              <w:jc w:val="right"/>
              <w:ind w:right="37"/>
              <w:spacing w:after="0"/>
              <w:rPr>
                <w:sz w:val="20"/>
                <w:szCs w:val="20"/>
                <w:color w:val="auto"/>
              </w:rPr>
            </w:pPr>
            <w:r>
              <w:rPr>
                <w:rFonts w:ascii="Arial" w:cs="Arial" w:eastAsia="Arial" w:hAnsi="Arial"/>
                <w:sz w:val="13"/>
                <w:szCs w:val="13"/>
                <w:color w:val="auto"/>
                <w:w w:val="93"/>
              </w:rPr>
              <w:t>2006-2007/2016 $  42,850</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115,000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580" w:type="dxa"/>
            <w:vAlign w:val="bottom"/>
          </w:tcPr>
          <w:p>
            <w:pPr>
              <w:jc w:val="right"/>
              <w:spacing w:after="0"/>
              <w:rPr>
                <w:sz w:val="20"/>
                <w:szCs w:val="20"/>
                <w:color w:val="auto"/>
              </w:rPr>
            </w:pPr>
            <w:r>
              <w:rPr>
                <w:rFonts w:ascii="Arial" w:cs="Arial" w:eastAsia="Arial" w:hAnsi="Arial"/>
                <w:sz w:val="13"/>
                <w:szCs w:val="13"/>
                <w:color w:val="auto"/>
              </w:rPr>
              <w:t>84%</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$24.52</w:t>
            </w:r>
          </w:p>
        </w:tc>
        <w:tc>
          <w:tcPr>
            <w:tcW w:w="600" w:type="dxa"/>
            <w:vAlign w:val="bottom"/>
          </w:tcPr>
          <w:p>
            <w:pPr>
              <w:ind w:left="60"/>
              <w:spacing w:after="0"/>
              <w:rPr>
                <w:sz w:val="20"/>
                <w:szCs w:val="20"/>
                <w:color w:val="auto"/>
              </w:rPr>
            </w:pPr>
            <w:r>
              <w:rPr>
                <w:rFonts w:ascii="Arial" w:cs="Arial" w:eastAsia="Arial" w:hAnsi="Arial"/>
                <w:sz w:val="13"/>
                <w:szCs w:val="13"/>
                <w:color w:val="auto"/>
              </w:rPr>
              <w:t>46,000</w:t>
            </w:r>
          </w:p>
        </w:tc>
        <w:tc>
          <w:tcPr>
            <w:tcW w:w="820" w:type="dxa"/>
            <w:vAlign w:val="bottom"/>
          </w:tcPr>
          <w:p>
            <w:pPr>
              <w:ind w:left="80"/>
              <w:spacing w:after="0"/>
              <w:rPr>
                <w:sz w:val="20"/>
                <w:szCs w:val="20"/>
                <w:color w:val="auto"/>
              </w:rPr>
            </w:pPr>
            <w:r>
              <w:rPr>
                <w:rFonts w:ascii="Arial" w:cs="Arial" w:eastAsia="Arial" w:hAnsi="Arial"/>
                <w:sz w:val="13"/>
                <w:szCs w:val="13"/>
                <w:color w:val="auto"/>
                <w:w w:val="94"/>
              </w:rPr>
              <w:t>Harris Teeter</w:t>
            </w:r>
          </w:p>
        </w:tc>
        <w:tc>
          <w:tcPr>
            <w:tcW w:w="2420" w:type="dxa"/>
            <w:vAlign w:val="bottom"/>
          </w:tcPr>
          <w:p>
            <w:pPr>
              <w:ind w:left="40"/>
              <w:spacing w:after="0"/>
              <w:rPr>
                <w:sz w:val="20"/>
                <w:szCs w:val="20"/>
                <w:color w:val="auto"/>
              </w:rPr>
            </w:pPr>
            <w:r>
              <w:rPr>
                <w:rFonts w:ascii="Arial" w:cs="Arial" w:eastAsia="Arial" w:hAnsi="Arial"/>
                <w:sz w:val="13"/>
                <w:szCs w:val="13"/>
                <w:color w:val="auto"/>
              </w:rPr>
              <w:t>Bank of America</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48"/>
        </w:trPr>
        <w:tc>
          <w:tcPr>
            <w:tcW w:w="132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Bethesda Row</w:t>
            </w:r>
          </w:p>
        </w:tc>
        <w:tc>
          <w:tcPr>
            <w:tcW w:w="3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226,075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534,000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49.20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40,000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Apple Computer / Barnes &amp; Noble / Equinox</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2006/2008/2010</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 Landmark Theater</w:t>
            </w: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Congressional Plaza</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w:t>
            </w: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1965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100,965</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40.09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The Fresh</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6"/>
              </w:rPr>
              <w:t>Buy Buy Baby / Container Store / Last Call</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Market</w:t>
            </w:r>
          </w:p>
        </w:tc>
        <w:tc>
          <w:tcPr>
            <w:tcW w:w="2420" w:type="dxa"/>
            <w:vAlign w:val="bottom"/>
          </w:tcPr>
          <w:p>
            <w:pPr>
              <w:ind w:left="40"/>
              <w:spacing w:after="0" w:line="135" w:lineRule="exact"/>
              <w:rPr>
                <w:sz w:val="20"/>
                <w:szCs w:val="20"/>
                <w:color w:val="auto"/>
              </w:rPr>
            </w:pPr>
            <w:r>
              <w:rPr>
                <w:rFonts w:ascii="Arial" w:cs="Arial" w:eastAsia="Arial" w:hAnsi="Arial"/>
                <w:sz w:val="13"/>
                <w:szCs w:val="13"/>
                <w:color w:val="auto"/>
              </w:rPr>
              <w:t>Studio by Neiman Marcus / Saks Fifth</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Avenue Off 5th / Ulta</w:t>
            </w:r>
          </w:p>
        </w:tc>
      </w:tr>
      <w:tr>
        <w:trPr>
          <w:trHeight w:val="181"/>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Courthouse Center</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4,905</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23.31</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3"/>
              </w:rPr>
              <w:t>Falls Plaza/Falls Plaza-</w:t>
            </w:r>
          </w:p>
        </w:tc>
        <w:tc>
          <w:tcPr>
            <w:tcW w:w="320" w:type="dxa"/>
            <w:vAlign w:val="bottom"/>
          </w:tcPr>
          <w:p>
            <w:pPr>
              <w:spacing w:after="0"/>
              <w:rPr>
                <w:sz w:val="12"/>
                <w:szCs w:val="12"/>
                <w:color w:val="auto"/>
              </w:rPr>
            </w:pP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1967/1972</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13,968</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34.88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51,000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CVS / Staples</w:t>
            </w:r>
          </w:p>
        </w:tc>
      </w:tr>
      <w:tr>
        <w:trPr>
          <w:trHeight w:val="168"/>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East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56"/>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Federal Plaza</w:t>
            </w:r>
          </w:p>
        </w:tc>
        <w:tc>
          <w:tcPr>
            <w:tcW w:w="3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67,642</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35.30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 Micro Center / Ross Dress For</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w:t>
            </w: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Free State Shopping</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w:t>
            </w: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63,978</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85%</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18.51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73,000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89"/>
              </w:rPr>
              <w:t>TJ Maxx / Ross Dress For Less / Office Depot</w:t>
            </w:r>
          </w:p>
        </w:tc>
      </w:tr>
      <w:tr>
        <w:trPr>
          <w:trHeight w:val="168"/>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Center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56"/>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3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37,570</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29.01</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 / Maggiano's / Nordstrom Rack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Gaithersburg Square</w:t>
            </w:r>
          </w:p>
        </w:tc>
        <w:tc>
          <w:tcPr>
            <w:tcW w:w="320" w:type="dxa"/>
            <w:vAlign w:val="bottom"/>
          </w:tcPr>
          <w:p>
            <w:pPr>
              <w:spacing w:after="0"/>
              <w:rPr>
                <w:sz w:val="12"/>
                <w:szCs w:val="12"/>
                <w:color w:val="auto"/>
              </w:rPr>
            </w:pP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26,901</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27.51</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Bed, Bath &amp; Beyond / Ross Dress For Less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Ashley Furniture HomeStore</w:t>
            </w:r>
          </w:p>
        </w:tc>
      </w:tr>
      <w:tr>
        <w:trPr>
          <w:trHeight w:val="181"/>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 Plaza</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34,856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27.24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 Fitness / Stein Mart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Idylwood Plaza</w:t>
            </w:r>
          </w:p>
        </w:tc>
        <w:tc>
          <w:tcPr>
            <w:tcW w:w="32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1994</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16,787</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46.61</w:t>
            </w:r>
          </w:p>
        </w:tc>
        <w:tc>
          <w:tcPr>
            <w:tcW w:w="600" w:type="dxa"/>
            <w:vAlign w:val="bottom"/>
          </w:tcPr>
          <w:p>
            <w:pPr>
              <w:ind w:left="60"/>
              <w:spacing w:after="0"/>
              <w:rPr>
                <w:sz w:val="20"/>
                <w:szCs w:val="20"/>
                <w:color w:val="auto"/>
              </w:rPr>
            </w:pPr>
            <w:r>
              <w:rPr>
                <w:rFonts w:ascii="Arial" w:cs="Arial" w:eastAsia="Arial" w:hAnsi="Arial"/>
                <w:sz w:val="13"/>
                <w:szCs w:val="13"/>
                <w:color w:val="auto"/>
              </w:rPr>
              <w:t>30,000</w:t>
            </w:r>
          </w:p>
        </w:tc>
        <w:tc>
          <w:tcPr>
            <w:tcW w:w="820" w:type="dxa"/>
            <w:vAlign w:val="bottom"/>
          </w:tcPr>
          <w:p>
            <w:pPr>
              <w:ind w:left="80"/>
              <w:spacing w:after="0"/>
              <w:rPr>
                <w:sz w:val="20"/>
                <w:szCs w:val="20"/>
                <w:color w:val="auto"/>
              </w:rPr>
            </w:pPr>
            <w:r>
              <w:rPr>
                <w:rFonts w:ascii="Arial" w:cs="Arial" w:eastAsia="Arial" w:hAnsi="Arial"/>
                <w:sz w:val="13"/>
                <w:szCs w:val="13"/>
                <w:color w:val="auto"/>
                <w:w w:val="93"/>
              </w:rPr>
              <w:t>Whole Foods</w:t>
            </w:r>
          </w:p>
        </w:tc>
        <w:tc>
          <w:tcPr>
            <w:tcW w:w="24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55,969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21.71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Leesburg Plaza</w:t>
            </w:r>
          </w:p>
        </w:tc>
        <w:tc>
          <w:tcPr>
            <w:tcW w:w="32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36,026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23.09</w:t>
            </w:r>
          </w:p>
        </w:tc>
        <w:tc>
          <w:tcPr>
            <w:tcW w:w="600" w:type="dxa"/>
            <w:vAlign w:val="bottom"/>
          </w:tcPr>
          <w:p>
            <w:pPr>
              <w:ind w:left="60"/>
              <w:spacing w:after="0"/>
              <w:rPr>
                <w:sz w:val="20"/>
                <w:szCs w:val="20"/>
                <w:color w:val="auto"/>
              </w:rPr>
            </w:pPr>
            <w:r>
              <w:rPr>
                <w:rFonts w:ascii="Arial" w:cs="Arial" w:eastAsia="Arial" w:hAnsi="Arial"/>
                <w:sz w:val="13"/>
                <w:szCs w:val="13"/>
                <w:color w:val="auto"/>
              </w:rPr>
              <w:t>55,000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420" w:type="dxa"/>
            <w:vAlign w:val="bottom"/>
          </w:tcPr>
          <w:p>
            <w:pPr>
              <w:ind w:left="4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48"/>
        </w:trPr>
        <w:tc>
          <w:tcPr>
            <w:tcW w:w="132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Montrose Crossing</w:t>
            </w:r>
          </w:p>
        </w:tc>
        <w:tc>
          <w:tcPr>
            <w:tcW w:w="3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w:t>
            </w:r>
          </w:p>
        </w:tc>
        <w:tc>
          <w:tcPr>
            <w:tcW w:w="144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2011/2013</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154,215</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72,726</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364,000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25.74</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73,000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7"/>
              </w:rPr>
              <w:t>Marshalls / Barnes &amp; Noble / A.C. Moore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Value City Furniture</w:t>
            </w: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w:t>
            </w: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84,114</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17.76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Bed, Bath &amp; Beyond / Michaels / Home</w:t>
            </w:r>
          </w:p>
        </w:tc>
      </w:tr>
      <w:tr>
        <w:trPr>
          <w:trHeight w:val="135"/>
        </w:trPr>
        <w:tc>
          <w:tcPr>
            <w:tcW w:w="132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6"/>
              </w:rPr>
              <w:t>Valley/7770 Richmond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420" w:type="dxa"/>
            <w:vAlign w:val="bottom"/>
          </w:tcPr>
          <w:p>
            <w:pPr>
              <w:ind w:left="40"/>
              <w:spacing w:after="0" w:line="135" w:lineRule="exact"/>
              <w:rPr>
                <w:sz w:val="20"/>
                <w:szCs w:val="20"/>
                <w:color w:val="auto"/>
              </w:rPr>
            </w:pPr>
            <w:r>
              <w:rPr>
                <w:rFonts w:ascii="Arial" w:cs="Arial" w:eastAsia="Arial" w:hAnsi="Arial"/>
                <w:sz w:val="13"/>
                <w:szCs w:val="13"/>
                <w:color w:val="auto"/>
              </w:rPr>
              <w:t>Depot / TJ Maxx / Gold's Gym / Staples /</w:t>
            </w:r>
          </w:p>
        </w:tc>
      </w:tr>
      <w:tr>
        <w:trPr>
          <w:trHeight w:val="168"/>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Hwy</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2420" w:type="dxa"/>
            <w:vAlign w:val="bottom"/>
          </w:tcPr>
          <w:p>
            <w:pPr>
              <w:ind w:left="40"/>
              <w:spacing w:after="0"/>
              <w:rPr>
                <w:sz w:val="20"/>
                <w:szCs w:val="20"/>
                <w:color w:val="auto"/>
              </w:rPr>
            </w:pPr>
            <w:r>
              <w:rPr>
                <w:rFonts w:ascii="Arial" w:cs="Arial" w:eastAsia="Arial" w:hAnsi="Arial"/>
                <w:sz w:val="13"/>
                <w:szCs w:val="13"/>
                <w:color w:val="auto"/>
              </w:rPr>
              <w:t>DSW</w:t>
            </w:r>
          </w:p>
        </w:tc>
      </w:tr>
      <w:tr>
        <w:trPr>
          <w:trHeight w:val="181"/>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7,261</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Pan Am</w:t>
            </w:r>
          </w:p>
        </w:tc>
        <w:tc>
          <w:tcPr>
            <w:tcW w:w="32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28,885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24.87</w:t>
            </w:r>
          </w:p>
        </w:tc>
        <w:tc>
          <w:tcPr>
            <w:tcW w:w="600" w:type="dxa"/>
            <w:vAlign w:val="bottom"/>
          </w:tcPr>
          <w:p>
            <w:pPr>
              <w:ind w:left="60"/>
              <w:spacing w:after="0"/>
              <w:rPr>
                <w:sz w:val="20"/>
                <w:szCs w:val="20"/>
                <w:color w:val="auto"/>
              </w:rPr>
            </w:pPr>
            <w:r>
              <w:rPr>
                <w:rFonts w:ascii="Arial" w:cs="Arial" w:eastAsia="Arial" w:hAnsi="Arial"/>
                <w:sz w:val="13"/>
                <w:szCs w:val="13"/>
                <w:color w:val="auto"/>
              </w:rPr>
              <w:t>65,000</w:t>
            </w:r>
          </w:p>
        </w:tc>
        <w:tc>
          <w:tcPr>
            <w:tcW w:w="820" w:type="dxa"/>
            <w:vAlign w:val="bottom"/>
          </w:tcPr>
          <w:p>
            <w:pPr>
              <w:ind w:left="80"/>
              <w:spacing w:after="0"/>
              <w:rPr>
                <w:sz w:val="20"/>
                <w:szCs w:val="20"/>
                <w:color w:val="auto"/>
              </w:rPr>
            </w:pPr>
            <w:r>
              <w:rPr>
                <w:rFonts w:ascii="Arial" w:cs="Arial" w:eastAsia="Arial" w:hAnsi="Arial"/>
                <w:sz w:val="13"/>
                <w:szCs w:val="13"/>
                <w:color w:val="auto"/>
              </w:rPr>
              <w:t>Safeway</w:t>
            </w:r>
          </w:p>
        </w:tc>
        <w:tc>
          <w:tcPr>
            <w:tcW w:w="2420" w:type="dxa"/>
            <w:vAlign w:val="bottom"/>
          </w:tcPr>
          <w:p>
            <w:pPr>
              <w:ind w:left="4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98,109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39.25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Bed, Bath &amp; Beyond / DSW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Pike and Rose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w:t>
            </w: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w w:val="89"/>
              </w:rPr>
              <w:t>1982/2007/2012</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469,388</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251,000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43.63</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iPic Theater / Sport &amp; Health / Gap / Gap</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Kids / Nike / Bank of America</w:t>
            </w:r>
          </w:p>
        </w:tc>
      </w:tr>
      <w:tr>
        <w:trPr>
          <w:trHeight w:val="181"/>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1997/2015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42,333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45.06</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Plaza del Mercado</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2004</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42,416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105,000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tcPr>
          <w:p>
            <w:pPr>
              <w:jc w:val="right"/>
              <w:spacing w:after="0"/>
              <w:rPr>
                <w:sz w:val="20"/>
                <w:szCs w:val="20"/>
                <w:color w:val="auto"/>
              </w:rPr>
            </w:pPr>
            <w:r>
              <w:rPr>
                <w:rFonts w:ascii="Arial" w:cs="Arial" w:eastAsia="Arial" w:hAnsi="Arial"/>
                <w:sz w:val="13"/>
                <w:szCs w:val="13"/>
                <w:color w:val="auto"/>
              </w:rPr>
              <w:t>65%</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30.91</w:t>
            </w:r>
          </w:p>
        </w:tc>
        <w:tc>
          <w:tcPr>
            <w:tcW w:w="600" w:type="dxa"/>
            <w:vAlign w:val="bottom"/>
          </w:tcPr>
          <w:p>
            <w:pPr>
              <w:ind w:left="60"/>
              <w:spacing w:after="0"/>
              <w:rPr>
                <w:sz w:val="20"/>
                <w:szCs w:val="20"/>
                <w:color w:val="auto"/>
              </w:rPr>
            </w:pPr>
            <w:r>
              <w:rPr>
                <w:rFonts w:ascii="Arial" w:cs="Arial" w:eastAsia="Arial" w:hAnsi="Arial"/>
                <w:sz w:val="13"/>
                <w:szCs w:val="13"/>
                <w:color w:val="auto"/>
              </w:rPr>
              <w:t>18,000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242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Quince Orchard</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38,073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23.37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19,000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 Fitness / HomeGoods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4"/>
              </w:rPr>
              <w:t>Rockville Town Square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w:t>
            </w: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2006-2007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50,016</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4,474</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187,000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27.46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Dawson's</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CVS / Gold's Gym</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w:t>
            </w:r>
          </w:p>
        </w:tc>
        <w:tc>
          <w:tcPr>
            <w:tcW w:w="2420" w:type="dxa"/>
            <w:vAlign w:val="bottom"/>
          </w:tcPr>
          <w:p>
            <w:pPr>
              <w:spacing w:after="0"/>
              <w:rPr>
                <w:sz w:val="14"/>
                <w:szCs w:val="14"/>
                <w:color w:val="auto"/>
              </w:rPr>
            </w:pPr>
          </w:p>
        </w:tc>
      </w:tr>
      <w:tr>
        <w:trPr>
          <w:trHeight w:val="156"/>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Rollingwood</w:t>
            </w:r>
          </w:p>
        </w:tc>
        <w:tc>
          <w:tcPr>
            <w:tcW w:w="3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10,544</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21,283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N/A</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r>
      <w:tr>
        <w:trPr>
          <w:trHeight w:val="176"/>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Apartments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73"/>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Sam's Park &amp; Shop</w:t>
            </w:r>
          </w:p>
        </w:tc>
        <w:tc>
          <w:tcPr>
            <w:tcW w:w="32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12,744</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tcPr>
          <w:p>
            <w:pPr>
              <w:jc w:val="right"/>
              <w:spacing w:after="0"/>
              <w:rPr>
                <w:sz w:val="20"/>
                <w:szCs w:val="20"/>
                <w:color w:val="auto"/>
              </w:rPr>
            </w:pPr>
            <w:r>
              <w:rPr>
                <w:rFonts w:ascii="Arial" w:cs="Arial" w:eastAsia="Arial" w:hAnsi="Arial"/>
                <w:sz w:val="13"/>
                <w:szCs w:val="13"/>
                <w:color w:val="auto"/>
              </w:rPr>
              <w:t>86%</w:t>
            </w:r>
          </w:p>
        </w:tc>
        <w:tc>
          <w:tcPr>
            <w:tcW w:w="580" w:type="dxa"/>
            <w:vAlign w:val="bottom"/>
          </w:tcPr>
          <w:p>
            <w:pPr>
              <w:jc w:val="right"/>
              <w:spacing w:after="0"/>
              <w:rPr>
                <w:sz w:val="20"/>
                <w:szCs w:val="20"/>
                <w:color w:val="auto"/>
              </w:rPr>
            </w:pPr>
            <w:r>
              <w:rPr>
                <w:rFonts w:ascii="Arial" w:cs="Arial" w:eastAsia="Arial" w:hAnsi="Arial"/>
                <w:sz w:val="13"/>
                <w:szCs w:val="13"/>
                <w:color w:val="auto"/>
              </w:rPr>
              <w:t>86%</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45.16</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1"/>
              </w:rPr>
              <w:t>Tower Shopping Center</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21,707</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24.87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L.A. Mart</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Talbots / Total Wine &amp; More</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Tyson's Station</w:t>
            </w:r>
          </w:p>
        </w:tc>
        <w:tc>
          <w:tcPr>
            <w:tcW w:w="32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1978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4,623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44.63</w:t>
            </w:r>
          </w:p>
        </w:tc>
        <w:tc>
          <w:tcPr>
            <w:tcW w:w="600" w:type="dxa"/>
            <w:vAlign w:val="bottom"/>
          </w:tcPr>
          <w:p>
            <w:pPr>
              <w:ind w:left="60"/>
              <w:spacing w:after="0"/>
              <w:rPr>
                <w:sz w:val="20"/>
                <w:szCs w:val="20"/>
                <w:color w:val="auto"/>
              </w:rPr>
            </w:pPr>
            <w:r>
              <w:rPr>
                <w:rFonts w:ascii="Arial" w:cs="Arial" w:eastAsia="Arial" w:hAnsi="Arial"/>
                <w:sz w:val="13"/>
                <w:szCs w:val="13"/>
                <w:color w:val="auto"/>
              </w:rPr>
              <w:t>11,000</w:t>
            </w:r>
          </w:p>
        </w:tc>
        <w:tc>
          <w:tcPr>
            <w:tcW w:w="82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24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Village at Shirlington</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63,219</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6,591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37.59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320" w:type="dxa"/>
            <w:vAlign w:val="bottom"/>
            <w:gridSpan w:val="3"/>
          </w:tcPr>
          <w:p>
            <w:pPr>
              <w:ind w:left="40"/>
              <w:spacing w:after="0"/>
              <w:rPr>
                <w:sz w:val="20"/>
                <w:szCs w:val="20"/>
                <w:color w:val="auto"/>
              </w:rPr>
            </w:pPr>
            <w:r>
              <w:rPr>
                <w:rFonts w:ascii="Arial" w:cs="Arial" w:eastAsia="Arial" w:hAnsi="Arial"/>
                <w:sz w:val="13"/>
                <w:szCs w:val="13"/>
                <w:color w:val="auto"/>
              </w:rPr>
              <w:t>Wildwood</w:t>
            </w:r>
          </w:p>
        </w:tc>
        <w:tc>
          <w:tcPr>
            <w:tcW w:w="32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1969</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19,656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83,000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97.30</w:t>
            </w:r>
          </w:p>
        </w:tc>
        <w:tc>
          <w:tcPr>
            <w:tcW w:w="600" w:type="dxa"/>
            <w:vAlign w:val="bottom"/>
          </w:tcPr>
          <w:p>
            <w:pPr>
              <w:ind w:left="60"/>
              <w:spacing w:after="0"/>
              <w:rPr>
                <w:sz w:val="20"/>
                <w:szCs w:val="20"/>
                <w:color w:val="auto"/>
              </w:rPr>
            </w:pPr>
            <w:r>
              <w:rPr>
                <w:rFonts w:ascii="Arial" w:cs="Arial" w:eastAsia="Arial" w:hAnsi="Arial"/>
                <w:sz w:val="13"/>
                <w:szCs w:val="13"/>
                <w:color w:val="auto"/>
              </w:rPr>
              <w:t>20,000</w:t>
            </w:r>
          </w:p>
        </w:tc>
        <w:tc>
          <w:tcPr>
            <w:tcW w:w="820" w:type="dxa"/>
            <w:vAlign w:val="bottom"/>
          </w:tcPr>
          <w:p>
            <w:pPr>
              <w:ind w:left="80"/>
              <w:spacing w:after="0"/>
              <w:rPr>
                <w:sz w:val="20"/>
                <w:szCs w:val="20"/>
                <w:color w:val="auto"/>
              </w:rPr>
            </w:pPr>
            <w:r>
              <w:rPr>
                <w:rFonts w:ascii="Arial" w:cs="Arial" w:eastAsia="Arial" w:hAnsi="Arial"/>
                <w:sz w:val="13"/>
                <w:szCs w:val="13"/>
                <w:color w:val="auto"/>
              </w:rPr>
              <w:t>Balducci's</w:t>
            </w:r>
          </w:p>
        </w:tc>
        <w:tc>
          <w:tcPr>
            <w:tcW w:w="242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180" w:type="dxa"/>
            <w:vAlign w:val="bottom"/>
            <w:tcBorders>
              <w:bottom w:val="single" w:sz="8" w:color="CCEEFF"/>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24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w w:val="99"/>
              </w:rPr>
              <w:t>Total Washington Metropolitan Area</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1,875,795</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6,034,000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32.28</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9"/>
              </w:rPr>
              <w:t>California</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320" w:type="dxa"/>
            <w:vAlign w:val="bottom"/>
          </w:tcPr>
          <w:p>
            <w:pPr>
              <w:spacing w:after="0"/>
              <w:rPr>
                <w:sz w:val="12"/>
                <w:szCs w:val="12"/>
                <w:color w:val="auto"/>
              </w:rPr>
            </w:pP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89"/>
              </w:rPr>
              <w:t>Los Angeles-Long Beach,</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19,365</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44.18</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color w:val="auto"/>
              </w:rPr>
              <w:t>CA</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56"/>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3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San Ramon, CA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89,499</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32,000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Sprouts</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Orchard Supply Hardware / Rite Aid</w:t>
            </w:r>
          </w:p>
        </w:tc>
      </w:tr>
      <w:tr>
        <w:trPr>
          <w:trHeight w:val="176"/>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Commons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East Bay Bridge</w:t>
            </w:r>
          </w:p>
        </w:tc>
        <w:tc>
          <w:tcPr>
            <w:tcW w:w="320" w:type="dxa"/>
            <w:vAlign w:val="bottom"/>
          </w:tcPr>
          <w:p>
            <w:pPr>
              <w:spacing w:after="0"/>
              <w:rPr>
                <w:sz w:val="12"/>
                <w:szCs w:val="12"/>
                <w:color w:val="auto"/>
              </w:rPr>
            </w:pP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5"/>
              </w:rPr>
              <w:t>San Francisco-Oakland-</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2012</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177,601</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439,000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18.17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59,000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2"/>
              </w:rPr>
              <w:t>Home Depot / Michaels / Target / Nordstrom</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color w:val="auto"/>
              </w:rPr>
              <w:t>Fremont, CA</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Rack / Ashley Furniture / Ulta</w:t>
            </w:r>
          </w:p>
        </w:tc>
      </w:tr>
      <w:tr>
        <w:trPr>
          <w:trHeight w:val="156"/>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5"/>
              </w:rPr>
              <w:t>Escondido Promenade</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San Diego, CA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47,348</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24.59</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TJ Maxx / Toys R Us / Dick’s Sporting Goods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 Ross Dress For Less</w:t>
            </w: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Hermosa Avenue</w:t>
            </w:r>
          </w:p>
        </w:tc>
        <w:tc>
          <w:tcPr>
            <w:tcW w:w="320" w:type="dxa"/>
            <w:vAlign w:val="bottom"/>
          </w:tcPr>
          <w:p>
            <w:pPr>
              <w:spacing w:after="0"/>
              <w:rPr>
                <w:sz w:val="12"/>
                <w:szCs w:val="12"/>
                <w:color w:val="auto"/>
              </w:rPr>
            </w:pP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89"/>
              </w:rPr>
              <w:t>Los Angeles-Long Beach,</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5,855</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42.27</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color w:val="auto"/>
              </w:rPr>
              <w:t>CA</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56"/>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3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9"/>
              </w:rPr>
              <w:t>Los Angeles-Long Beach,</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46,722</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33.98</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DSW / L.A. Fitness / Marshalls / La La Land</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CA</w:t>
            </w: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48"/>
        </w:trPr>
        <w:tc>
          <w:tcPr>
            <w:tcW w:w="132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Kings Court</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w:t>
            </w:r>
          </w:p>
        </w:tc>
        <w:tc>
          <w:tcPr>
            <w:tcW w:w="144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San Jose, CA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11,666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32.03</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31,000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w w:val="92"/>
              </w:rPr>
              <w:t>Super Market</w:t>
            </w:r>
          </w:p>
        </w:tc>
        <w:tc>
          <w:tcPr>
            <w:tcW w:w="2420" w:type="dxa"/>
            <w:vAlign w:val="bottom"/>
          </w:tcPr>
          <w:p>
            <w:pPr>
              <w:spacing w:after="0"/>
              <w:rPr>
                <w:sz w:val="14"/>
                <w:szCs w:val="14"/>
                <w:color w:val="auto"/>
              </w:rPr>
            </w:pPr>
          </w:p>
        </w:tc>
      </w:tr>
      <w:tr>
        <w:trPr>
          <w:trHeight w:val="181"/>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San Jose, CA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36,756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41.51</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81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811"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and/or</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2460" w:type="dxa"/>
            <w:vAlign w:val="bottom"/>
          </w:tcPr>
          <w:p>
            <w:pPr>
              <w:spacing w:after="0"/>
              <w:rPr>
                <w:sz w:val="11"/>
                <w:szCs w:val="11"/>
                <w:color w:val="auto"/>
              </w:rPr>
            </w:pPr>
          </w:p>
        </w:tc>
      </w:tr>
      <w:tr>
        <w:trPr>
          <w:trHeight w:val="174"/>
        </w:trPr>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MSA Description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Occupied</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70"/>
        </w:trPr>
        <w:tc>
          <w:tcPr>
            <w:tcW w:w="1280" w:type="dxa"/>
            <w:vAlign w:val="bottom"/>
            <w:gridSpan w:val="4"/>
          </w:tcPr>
          <w:p>
            <w:pPr>
              <w:ind w:left="40"/>
              <w:spacing w:after="0"/>
              <w:rPr>
                <w:sz w:val="20"/>
                <w:szCs w:val="20"/>
                <w:color w:val="auto"/>
              </w:rPr>
            </w:pPr>
            <w:r>
              <w:rPr>
                <w:rFonts w:ascii="Arial" w:cs="Arial" w:eastAsia="Arial" w:hAnsi="Arial"/>
                <w:sz w:val="13"/>
                <w:szCs w:val="13"/>
                <w:color w:val="auto"/>
                <w:w w:val="89"/>
              </w:rPr>
              <w:t>Plaza El Segundo / The</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1400" w:type="dxa"/>
            <w:vAlign w:val="bottom"/>
            <w:gridSpan w:val="2"/>
          </w:tcPr>
          <w:p>
            <w:pPr>
              <w:ind w:left="40"/>
              <w:spacing w:after="0"/>
              <w:rPr>
                <w:sz w:val="20"/>
                <w:szCs w:val="20"/>
                <w:color w:val="auto"/>
              </w:rPr>
            </w:pPr>
            <w:r>
              <w:rPr>
                <w:rFonts w:ascii="Arial" w:cs="Arial" w:eastAsia="Arial" w:hAnsi="Arial"/>
                <w:sz w:val="13"/>
                <w:szCs w:val="13"/>
                <w:color w:val="auto"/>
                <w:w w:val="89"/>
              </w:rPr>
              <w:t>Los Angeles-Long Beach,</w:t>
            </w:r>
          </w:p>
        </w:tc>
        <w:tc>
          <w:tcPr>
            <w:tcW w:w="900" w:type="dxa"/>
            <w:vAlign w:val="bottom"/>
          </w:tcPr>
          <w:p>
            <w:pPr>
              <w:jc w:val="right"/>
              <w:spacing w:after="0"/>
              <w:rPr>
                <w:sz w:val="20"/>
                <w:szCs w:val="20"/>
                <w:color w:val="auto"/>
              </w:rPr>
            </w:pPr>
            <w:r>
              <w:rPr>
                <w:rFonts w:ascii="Arial" w:cs="Arial" w:eastAsia="Arial" w:hAnsi="Arial"/>
                <w:sz w:val="13"/>
                <w:szCs w:val="13"/>
                <w:color w:val="auto"/>
              </w:rPr>
              <w:t>2011/2013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278,722</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175,000</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494,000</w:t>
            </w: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560" w:type="dxa"/>
            <w:vAlign w:val="bottom"/>
          </w:tcPr>
          <w:p>
            <w:pPr>
              <w:jc w:val="right"/>
              <w:spacing w:after="0"/>
              <w:rPr>
                <w:sz w:val="20"/>
                <w:szCs w:val="20"/>
                <w:color w:val="auto"/>
              </w:rPr>
            </w:pPr>
            <w:r>
              <w:rPr>
                <w:rFonts w:ascii="Arial" w:cs="Arial" w:eastAsia="Arial" w:hAnsi="Arial"/>
                <w:sz w:val="13"/>
                <w:szCs w:val="13"/>
                <w:color w:val="auto"/>
              </w:rPr>
              <w:t>93%</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43.26</w:t>
            </w:r>
          </w:p>
        </w:tc>
        <w:tc>
          <w:tcPr>
            <w:tcW w:w="580" w:type="dxa"/>
            <w:vAlign w:val="bottom"/>
          </w:tcPr>
          <w:p>
            <w:pPr>
              <w:ind w:left="60"/>
              <w:spacing w:after="0"/>
              <w:rPr>
                <w:sz w:val="20"/>
                <w:szCs w:val="20"/>
                <w:color w:val="auto"/>
              </w:rPr>
            </w:pPr>
            <w:r>
              <w:rPr>
                <w:rFonts w:ascii="Arial" w:cs="Arial" w:eastAsia="Arial" w:hAnsi="Arial"/>
                <w:sz w:val="13"/>
                <w:szCs w:val="13"/>
                <w:color w:val="auto"/>
              </w:rPr>
              <w:t>66,000</w:t>
            </w:r>
          </w:p>
        </w:tc>
        <w:tc>
          <w:tcPr>
            <w:tcW w:w="860" w:type="dxa"/>
            <w:vAlign w:val="bottom"/>
          </w:tcPr>
          <w:p>
            <w:pPr>
              <w:ind w:left="100"/>
              <w:spacing w:after="0"/>
              <w:rPr>
                <w:sz w:val="20"/>
                <w:szCs w:val="20"/>
                <w:color w:val="auto"/>
              </w:rPr>
            </w:pPr>
            <w:r>
              <w:rPr>
                <w:rFonts w:ascii="Arial" w:cs="Arial" w:eastAsia="Arial" w:hAnsi="Arial"/>
                <w:sz w:val="13"/>
                <w:szCs w:val="13"/>
                <w:color w:val="auto"/>
                <w:w w:val="96"/>
              </w:rPr>
              <w:t>Whole Foods</w:t>
            </w:r>
          </w:p>
        </w:tc>
        <w:tc>
          <w:tcPr>
            <w:tcW w:w="2460" w:type="dxa"/>
            <w:vAlign w:val="bottom"/>
          </w:tcPr>
          <w:p>
            <w:pPr>
              <w:ind w:left="20"/>
              <w:spacing w:after="0"/>
              <w:rPr>
                <w:sz w:val="20"/>
                <w:szCs w:val="20"/>
                <w:color w:val="auto"/>
              </w:rPr>
            </w:pPr>
            <w:r>
              <w:rPr>
                <w:rFonts w:ascii="Arial" w:cs="Arial" w:eastAsia="Arial" w:hAnsi="Arial"/>
                <w:sz w:val="13"/>
                <w:szCs w:val="13"/>
                <w:color w:val="auto"/>
                <w:w w:val="95"/>
              </w:rPr>
              <w:t>Anthropologie / Best Buy / Container Store /</w:t>
            </w:r>
          </w:p>
        </w:tc>
      </w:tr>
      <w:tr>
        <w:trPr>
          <w:trHeight w:val="168"/>
        </w:trPr>
        <w:tc>
          <w:tcPr>
            <w:tcW w:w="1280" w:type="dxa"/>
            <w:vAlign w:val="bottom"/>
            <w:gridSpan w:val="4"/>
          </w:tcPr>
          <w:p>
            <w:pPr>
              <w:ind w:left="40"/>
              <w:spacing w:after="0"/>
              <w:rPr>
                <w:sz w:val="20"/>
                <w:szCs w:val="20"/>
                <w:color w:val="auto"/>
              </w:rPr>
            </w:pPr>
            <w:r>
              <w:rPr>
                <w:rFonts w:ascii="Arial" w:cs="Arial" w:eastAsia="Arial" w:hAnsi="Arial"/>
                <w:sz w:val="13"/>
                <w:szCs w:val="13"/>
                <w:color w:val="auto"/>
              </w:rPr>
              <w:t>Point</w:t>
            </w:r>
          </w:p>
        </w:tc>
        <w:tc>
          <w:tcPr>
            <w:tcW w:w="4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CA</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w w:val="96"/>
              </w:rPr>
              <w:t>Dick's Sporting Goods / H&amp;M / HomeGoods</w:t>
            </w:r>
          </w:p>
        </w:tc>
      </w:tr>
      <w:tr>
        <w:trPr>
          <w:trHeight w:val="156"/>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4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806,917</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888,000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49.81</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Crate &amp; Barrel / Container Store / Best Buy /</w:t>
            </w:r>
          </w:p>
        </w:tc>
      </w:tr>
      <w:tr>
        <w:trPr>
          <w:trHeight w:val="135"/>
        </w:trPr>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CineArts Theatre / Hotel Valencia / H&amp;M /</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Splunk</w:t>
            </w:r>
          </w:p>
        </w:tc>
      </w:tr>
      <w:tr>
        <w:trPr>
          <w:trHeight w:val="148"/>
        </w:trPr>
        <w:tc>
          <w:tcPr>
            <w:tcW w:w="12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San Antonio Center</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90"/>
              </w:rPr>
              <w:t>(4) (6)</w:t>
            </w: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San Francisco-Oakland-</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73,500</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376,000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13.36</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11,000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rPr>
              <w:t>Trader Joe's</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w w:val="95"/>
              </w:rPr>
              <w:t>Kohl's / Wal-mart / 24 Hour Fitness / Jo-Ann</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San Jose, CA</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Stores</w:t>
            </w:r>
          </w:p>
        </w:tc>
      </w:tr>
      <w:tr>
        <w:trPr>
          <w:trHeight w:val="156"/>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87"/>
              </w:rPr>
              <w:t>Third Street Promenade</w:t>
            </w:r>
          </w:p>
        </w:tc>
        <w:tc>
          <w:tcPr>
            <w:tcW w:w="4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9"/>
              </w:rPr>
              <w:t>Los Angeles-Long Beach,</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1996-2000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79,047</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76.01</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 Crew / Banana Republic / Old Navy /</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Abercrombie &amp; Fitch</w:t>
            </w:r>
          </w:p>
        </w:tc>
      </w:tr>
      <w:tr>
        <w:trPr>
          <w:trHeight w:val="148"/>
        </w:trPr>
        <w:tc>
          <w:tcPr>
            <w:tcW w:w="12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Westgate Center</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Jose, CA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149,426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638,000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17.96</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38,000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rPr>
              <w:t>Walmart</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w w:val="92"/>
              </w:rPr>
              <w:t>Target / Burlington Coat Factory / Ross Dress</w:t>
            </w: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3"/>
                <w:szCs w:val="13"/>
                <w:color w:val="auto"/>
                <w:w w:val="90"/>
              </w:rPr>
              <w:t>Neighborhood</w:t>
            </w:r>
          </w:p>
        </w:tc>
        <w:tc>
          <w:tcPr>
            <w:tcW w:w="2460" w:type="dxa"/>
            <w:vAlign w:val="bottom"/>
          </w:tcPr>
          <w:p>
            <w:pPr>
              <w:ind w:left="20"/>
              <w:spacing w:after="0" w:line="135" w:lineRule="exact"/>
              <w:rPr>
                <w:sz w:val="20"/>
                <w:szCs w:val="20"/>
                <w:color w:val="auto"/>
              </w:rPr>
            </w:pPr>
            <w:r>
              <w:rPr>
                <w:rFonts w:ascii="Arial" w:cs="Arial" w:eastAsia="Arial" w:hAnsi="Arial"/>
                <w:sz w:val="13"/>
                <w:szCs w:val="13"/>
                <w:color w:val="auto"/>
                <w:w w:val="95"/>
              </w:rPr>
              <w:t>For Less / Michaels / Nordstrom Rack / Nike</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Market</w:t>
            </w:r>
          </w:p>
        </w:tc>
        <w:tc>
          <w:tcPr>
            <w:tcW w:w="2460" w:type="dxa"/>
            <w:vAlign w:val="bottom"/>
          </w:tcPr>
          <w:p>
            <w:pPr>
              <w:ind w:left="20"/>
              <w:spacing w:after="0"/>
              <w:rPr>
                <w:sz w:val="20"/>
                <w:szCs w:val="20"/>
                <w:color w:val="auto"/>
              </w:rPr>
            </w:pPr>
            <w:r>
              <w:rPr>
                <w:rFonts w:ascii="Arial" w:cs="Arial" w:eastAsia="Arial" w:hAnsi="Arial"/>
                <w:sz w:val="13"/>
                <w:szCs w:val="13"/>
                <w:color w:val="auto"/>
              </w:rPr>
              <w:t>Factory / J. Crew / Gap Factory Store</w:t>
            </w:r>
          </w:p>
        </w:tc>
      </w:tr>
      <w:tr>
        <w:trPr>
          <w:trHeight w:val="181"/>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150 Post Street</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Francisco, CA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36,109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44.41</w:t>
            </w: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Shreve &amp; Co.</w:t>
            </w:r>
          </w:p>
        </w:tc>
      </w:tr>
      <w:tr>
        <w:trPr>
          <w:trHeight w:val="97"/>
        </w:trPr>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California</w:t>
            </w:r>
          </w:p>
        </w:tc>
        <w:tc>
          <w:tcPr>
            <w:tcW w:w="9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1,858,533</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4,137,000</w:t>
            </w: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560" w:type="dxa"/>
            <w:vAlign w:val="bottom"/>
          </w:tcPr>
          <w:p>
            <w:pPr>
              <w:jc w:val="right"/>
              <w:spacing w:after="0"/>
              <w:rPr>
                <w:sz w:val="20"/>
                <w:szCs w:val="20"/>
                <w:color w:val="auto"/>
              </w:rPr>
            </w:pPr>
            <w:r>
              <w:rPr>
                <w:rFonts w:ascii="Arial" w:cs="Arial" w:eastAsia="Arial" w:hAnsi="Arial"/>
                <w:sz w:val="13"/>
                <w:szCs w:val="13"/>
                <w:color w:val="auto"/>
              </w:rPr>
              <w:t>96%</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34.14</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60" w:type="dxa"/>
            <w:vAlign w:val="bottom"/>
          </w:tcPr>
          <w:p>
            <w:pPr>
              <w:spacing w:after="0"/>
              <w:rPr>
                <w:sz w:val="7"/>
                <w:szCs w:val="7"/>
                <w:color w:val="auto"/>
              </w:rPr>
            </w:pPr>
          </w:p>
        </w:tc>
      </w:tr>
      <w:tr>
        <w:trPr>
          <w:trHeight w:val="122"/>
        </w:trPr>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r>
      <w:tr>
        <w:trPr>
          <w:trHeight w:val="149"/>
        </w:trPr>
        <w:tc>
          <w:tcPr>
            <w:tcW w:w="40" w:type="dxa"/>
            <w:vAlign w:val="bottom"/>
          </w:tcPr>
          <w:p>
            <w:pPr>
              <w:spacing w:after="0"/>
              <w:rPr>
                <w:sz w:val="12"/>
                <w:szCs w:val="12"/>
                <w:color w:val="auto"/>
              </w:rPr>
            </w:pPr>
          </w:p>
        </w:tc>
        <w:tc>
          <w:tcPr>
            <w:tcW w:w="1240" w:type="dxa"/>
            <w:vAlign w:val="bottom"/>
            <w:gridSpan w:val="3"/>
          </w:tcPr>
          <w:p>
            <w:pPr>
              <w:ind w:left="60"/>
              <w:spacing w:after="0"/>
              <w:rPr>
                <w:sz w:val="20"/>
                <w:szCs w:val="20"/>
                <w:color w:val="auto"/>
              </w:rPr>
            </w:pPr>
            <w:r>
              <w:rPr>
                <w:rFonts w:ascii="Arial" w:cs="Arial" w:eastAsia="Arial" w:hAnsi="Arial"/>
                <w:sz w:val="13"/>
                <w:szCs w:val="13"/>
                <w:b w:val="1"/>
                <w:bCs w:val="1"/>
                <w:color w:val="auto"/>
              </w:rPr>
              <w:t>NY Metro/New</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15"/>
        </w:trPr>
        <w:tc>
          <w:tcPr>
            <w:tcW w:w="4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Jersey</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60" w:type="dxa"/>
            <w:vAlign w:val="bottom"/>
          </w:tcPr>
          <w:p>
            <w:pPr>
              <w:spacing w:after="0"/>
              <w:rPr>
                <w:sz w:val="10"/>
                <w:szCs w:val="10"/>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3"/>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Brick Plaza</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Monmouth-Ocean, 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70,152</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20.13</w:t>
            </w: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AMC Loews / Barnes &amp; Noble / Ulta</w:t>
            </w:r>
          </w:p>
        </w:tc>
      </w:tr>
      <w:tr>
        <w:trPr>
          <w:trHeight w:val="97"/>
        </w:trPr>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48"/>
        </w:trPr>
        <w:tc>
          <w:tcPr>
            <w:tcW w:w="12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Brook 35</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90"/>
              </w:rPr>
              <w:t>(4) (6)</w:t>
            </w: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New York-Northern New</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47,118</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11,500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98,000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35.25</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Ann Taylor / Banana Republic / Coach /</w:t>
            </w: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6"/>
              </w:rPr>
              <w:t>Jersey-Long Island, NY-</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60" w:type="dxa"/>
            <w:vAlign w:val="bottom"/>
          </w:tcPr>
          <w:p>
            <w:pPr>
              <w:ind w:left="20"/>
              <w:spacing w:after="0" w:line="135" w:lineRule="exact"/>
              <w:rPr>
                <w:sz w:val="20"/>
                <w:szCs w:val="20"/>
                <w:color w:val="auto"/>
              </w:rPr>
            </w:pPr>
            <w:r>
              <w:rPr>
                <w:rFonts w:ascii="Arial" w:cs="Arial" w:eastAsia="Arial" w:hAnsi="Arial"/>
                <w:sz w:val="13"/>
                <w:szCs w:val="13"/>
                <w:color w:val="auto"/>
              </w:rPr>
              <w:t>Williams-Sonoma</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NJ-PA</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Darien</w:t>
            </w:r>
          </w:p>
        </w:tc>
        <w:tc>
          <w:tcPr>
            <w:tcW w:w="4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8"/>
              </w:rPr>
              <w:t>New Haven-Bridgeport-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48,921</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28.42</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Stop &amp; Shop</w:t>
            </w: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Equinox</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Stamford-Waterbury</w:t>
            </w: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73"/>
        </w:trPr>
        <w:tc>
          <w:tcPr>
            <w:tcW w:w="1280" w:type="dxa"/>
            <w:vAlign w:val="bottom"/>
            <w:gridSpan w:val="4"/>
          </w:tcPr>
          <w:p>
            <w:pPr>
              <w:ind w:left="40"/>
              <w:spacing w:after="0"/>
              <w:rPr>
                <w:sz w:val="20"/>
                <w:szCs w:val="20"/>
                <w:color w:val="auto"/>
              </w:rPr>
            </w:pPr>
            <w:r>
              <w:rPr>
                <w:rFonts w:ascii="Arial" w:cs="Arial" w:eastAsia="Arial" w:hAnsi="Arial"/>
                <w:sz w:val="13"/>
                <w:szCs w:val="13"/>
                <w:color w:val="auto"/>
              </w:rPr>
              <w:t>Fresh Meadows</w:t>
            </w:r>
          </w:p>
        </w:tc>
        <w:tc>
          <w:tcPr>
            <w:tcW w:w="4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New York, NY</w:t>
            </w:r>
          </w:p>
        </w:tc>
        <w:tc>
          <w:tcPr>
            <w:tcW w:w="90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86,345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404,000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560" w:type="dxa"/>
            <w:vAlign w:val="bottom"/>
          </w:tcPr>
          <w:p>
            <w:pPr>
              <w:jc w:val="right"/>
              <w:spacing w:after="0"/>
              <w:rPr>
                <w:sz w:val="20"/>
                <w:szCs w:val="20"/>
                <w:color w:val="auto"/>
              </w:rPr>
            </w:pPr>
            <w:r>
              <w:rPr>
                <w:rFonts w:ascii="Arial" w:cs="Arial" w:eastAsia="Arial" w:hAnsi="Arial"/>
                <w:sz w:val="13"/>
                <w:szCs w:val="13"/>
                <w:color w:val="auto"/>
              </w:rPr>
              <w:t>99%</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31.81</w:t>
            </w:r>
          </w:p>
        </w:tc>
        <w:tc>
          <w:tcPr>
            <w:tcW w:w="580" w:type="dxa"/>
            <w:vAlign w:val="bottom"/>
          </w:tcPr>
          <w:p>
            <w:pPr>
              <w:ind w:left="60"/>
              <w:spacing w:after="0"/>
              <w:rPr>
                <w:sz w:val="20"/>
                <w:szCs w:val="20"/>
                <w:color w:val="auto"/>
              </w:rPr>
            </w:pPr>
            <w:r>
              <w:rPr>
                <w:rFonts w:ascii="Arial" w:cs="Arial" w:eastAsia="Arial" w:hAnsi="Arial"/>
                <w:sz w:val="13"/>
                <w:szCs w:val="13"/>
                <w:color w:val="auto"/>
              </w:rPr>
              <w:t>15,000</w:t>
            </w:r>
          </w:p>
        </w:tc>
        <w:tc>
          <w:tcPr>
            <w:tcW w:w="860" w:type="dxa"/>
            <w:vAlign w:val="bottom"/>
          </w:tcPr>
          <w:p>
            <w:pPr>
              <w:ind w:left="100"/>
              <w:spacing w:after="0"/>
              <w:rPr>
                <w:sz w:val="20"/>
                <w:szCs w:val="20"/>
                <w:color w:val="auto"/>
              </w:rPr>
            </w:pPr>
            <w:r>
              <w:rPr>
                <w:rFonts w:ascii="Arial" w:cs="Arial" w:eastAsia="Arial" w:hAnsi="Arial"/>
                <w:sz w:val="13"/>
                <w:szCs w:val="13"/>
                <w:color w:val="auto"/>
                <w:w w:val="92"/>
              </w:rPr>
              <w:t>Island of Gold</w:t>
            </w:r>
          </w:p>
        </w:tc>
        <w:tc>
          <w:tcPr>
            <w:tcW w:w="2460" w:type="dxa"/>
            <w:vAlign w:val="bottom"/>
          </w:tcPr>
          <w:p>
            <w:pPr>
              <w:ind w:left="20"/>
              <w:spacing w:after="0"/>
              <w:rPr>
                <w:sz w:val="20"/>
                <w:szCs w:val="20"/>
                <w:color w:val="auto"/>
              </w:rPr>
            </w:pPr>
            <w:r>
              <w:rPr>
                <w:rFonts w:ascii="Arial" w:cs="Arial" w:eastAsia="Arial" w:hAnsi="Arial"/>
                <w:sz w:val="13"/>
                <w:szCs w:val="13"/>
                <w:color w:val="auto"/>
              </w:rPr>
              <w:t>AMC Loews / Kohl's / Michaels / Modell's</w:t>
            </w:r>
          </w:p>
        </w:tc>
      </w:tr>
      <w:tr>
        <w:trPr>
          <w:trHeight w:val="97"/>
        </w:trPr>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48"/>
        </w:trPr>
        <w:tc>
          <w:tcPr>
            <w:tcW w:w="128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Greenlawn Plaza</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(9)</w:t>
            </w:r>
          </w:p>
        </w:tc>
        <w:tc>
          <w:tcPr>
            <w:tcW w:w="14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31,672</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106,000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5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17.63</w:t>
            </w:r>
          </w:p>
        </w:tc>
        <w:tc>
          <w:tcPr>
            <w:tcW w:w="5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46,000</w:t>
            </w:r>
          </w:p>
        </w:tc>
        <w:tc>
          <w:tcPr>
            <w:tcW w:w="8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Greenlawn</w:t>
            </w:r>
          </w:p>
        </w:tc>
        <w:tc>
          <w:tcPr>
            <w:tcW w:w="2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Tuesday Morning</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Farms</w:t>
            </w:r>
          </w:p>
        </w:tc>
        <w:tc>
          <w:tcPr>
            <w:tcW w:w="2460" w:type="dxa"/>
            <w:vAlign w:val="bottom"/>
            <w:shd w:val="clear" w:color="auto" w:fill="CCEEFF"/>
          </w:tcPr>
          <w:p>
            <w:pPr>
              <w:spacing w:after="0"/>
              <w:rPr>
                <w:sz w:val="15"/>
                <w:szCs w:val="15"/>
                <w:color w:val="auto"/>
              </w:rPr>
            </w:pPr>
          </w:p>
        </w:tc>
      </w:tr>
      <w:tr>
        <w:trPr>
          <w:trHeight w:val="148"/>
        </w:trPr>
        <w:tc>
          <w:tcPr>
            <w:tcW w:w="12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8"/>
              </w:rPr>
              <w:t>New Haven-Bridgeport-</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14,127</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70.15</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Stamford-Waterbury</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81"/>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28,630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Shop Rite</w:t>
            </w: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 Moore</w:t>
            </w:r>
          </w:p>
        </w:tc>
      </w:tr>
      <w:tr>
        <w:trPr>
          <w:trHeight w:val="97"/>
        </w:trPr>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48"/>
        </w:trPr>
        <w:tc>
          <w:tcPr>
            <w:tcW w:w="12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Huntington</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w w:val="91"/>
              </w:rPr>
              <w:t>1988/2007/2015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46,575</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25.74</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Buy Buy Baby / Bed, Bath &amp; Beyond /</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Michaels / Nordstrom Rack / Ulta</w:t>
            </w:r>
          </w:p>
        </w:tc>
      </w:tr>
      <w:tr>
        <w:trPr>
          <w:trHeight w:val="181"/>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12,176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27.69</w:t>
            </w: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48"/>
        </w:trPr>
        <w:tc>
          <w:tcPr>
            <w:tcW w:w="12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Melville Mall</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83,874</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251,000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74%</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26.58</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w w:val="98"/>
              </w:rPr>
              <w:t>Dick’s Sporting Goods / Marshalls / Macy's</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Backstage / Field &amp; Stream</w:t>
            </w:r>
          </w:p>
        </w:tc>
      </w:tr>
      <w:tr>
        <w:trPr>
          <w:trHeight w:val="156"/>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Mercer Mall</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(7)</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Trenton, 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120,970</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55,618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24.25</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Shop Rite</w:t>
            </w: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Bed, Bath &amp; Beyond / DSW / TJ Maxx /</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Raymour &amp; Flanigan / Nordstrom Rack / REI</w:t>
            </w:r>
          </w:p>
        </w:tc>
      </w:tr>
      <w:tr>
        <w:trPr>
          <w:trHeight w:val="148"/>
        </w:trPr>
        <w:tc>
          <w:tcPr>
            <w:tcW w:w="12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The Grove at</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90"/>
              </w:rPr>
              <w:t>(4) (6)</w:t>
            </w: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New York-Northern New</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123,756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53,328</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192,000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44.77</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w w:val="92"/>
              </w:rPr>
              <w:t>Lululemon / Brooks Brothers / Anthropologie /</w:t>
            </w:r>
          </w:p>
        </w:tc>
      </w:tr>
      <w:tr>
        <w:trPr>
          <w:trHeight w:val="135"/>
        </w:trPr>
        <w:tc>
          <w:tcPr>
            <w:tcW w:w="128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Shrewsbury</w:t>
            </w:r>
          </w:p>
        </w:tc>
        <w:tc>
          <w:tcPr>
            <w:tcW w:w="400" w:type="dxa"/>
            <w:vAlign w:val="bottom"/>
          </w:tcPr>
          <w:p>
            <w:pPr>
              <w:spacing w:after="0"/>
              <w:rPr>
                <w:sz w:val="11"/>
                <w:szCs w:val="11"/>
                <w:color w:val="auto"/>
              </w:rPr>
            </w:pPr>
          </w:p>
        </w:tc>
        <w:tc>
          <w:tcPr>
            <w:tcW w:w="140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6"/>
              </w:rPr>
              <w:t>Jersey-Long Island, NY-</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60" w:type="dxa"/>
            <w:vAlign w:val="bottom"/>
          </w:tcPr>
          <w:p>
            <w:pPr>
              <w:ind w:left="20"/>
              <w:spacing w:after="0" w:line="135" w:lineRule="exact"/>
              <w:rPr>
                <w:sz w:val="20"/>
                <w:szCs w:val="20"/>
                <w:color w:val="auto"/>
              </w:rPr>
            </w:pPr>
            <w:r>
              <w:rPr>
                <w:rFonts w:ascii="Arial" w:cs="Arial" w:eastAsia="Arial" w:hAnsi="Arial"/>
                <w:sz w:val="13"/>
                <w:szCs w:val="13"/>
                <w:color w:val="auto"/>
                <w:w w:val="99"/>
              </w:rPr>
              <w:t>Pottery Barn / J. Crew / Banana Republic /</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NJ-PA</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Arial" w:cs="Arial" w:eastAsia="Arial" w:hAnsi="Arial"/>
                <w:sz w:val="13"/>
                <w:szCs w:val="13"/>
                <w:color w:val="auto"/>
              </w:rPr>
              <w:t>Williams-Sonoma</w:t>
            </w:r>
          </w:p>
        </w:tc>
      </w:tr>
      <w:tr>
        <w:trPr>
          <w:trHeight w:val="181"/>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Troy</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Newark, 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35,089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28.57</w:t>
            </w: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 Fitness</w:t>
            </w:r>
          </w:p>
        </w:tc>
      </w:tr>
      <w:tr>
        <w:trPr>
          <w:trHeight w:val="97"/>
        </w:trPr>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16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749,405</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2,832,000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560" w:type="dxa"/>
            <w:vAlign w:val="bottom"/>
          </w:tcPr>
          <w:p>
            <w:pPr>
              <w:jc w:val="right"/>
              <w:spacing w:after="0"/>
              <w:rPr>
                <w:sz w:val="20"/>
                <w:szCs w:val="20"/>
                <w:color w:val="auto"/>
              </w:rPr>
            </w:pPr>
            <w:r>
              <w:rPr>
                <w:rFonts w:ascii="Arial" w:cs="Arial" w:eastAsia="Arial" w:hAnsi="Arial"/>
                <w:sz w:val="13"/>
                <w:szCs w:val="13"/>
                <w:color w:val="auto"/>
              </w:rPr>
              <w:t>89%</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28.46</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gridSpan w:val="3"/>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60" w:type="dxa"/>
            <w:vAlign w:val="bottom"/>
          </w:tcPr>
          <w:p>
            <w:pPr>
              <w:spacing w:after="0"/>
              <w:rPr>
                <w:sz w:val="7"/>
                <w:szCs w:val="7"/>
                <w:color w:val="auto"/>
              </w:rPr>
            </w:pPr>
          </w:p>
        </w:tc>
      </w:tr>
      <w:tr>
        <w:trPr>
          <w:trHeight w:val="122"/>
        </w:trPr>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00" w:type="dxa"/>
            <w:vAlign w:val="bottom"/>
            <w:gridSpan w:val="3"/>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r>
      <w:tr>
        <w:trPr>
          <w:trHeight w:val="149"/>
        </w:trPr>
        <w:tc>
          <w:tcPr>
            <w:tcW w:w="40" w:type="dxa"/>
            <w:vAlign w:val="bottom"/>
          </w:tcPr>
          <w:p>
            <w:pPr>
              <w:spacing w:after="0"/>
              <w:rPr>
                <w:sz w:val="12"/>
                <w:szCs w:val="12"/>
                <w:color w:val="auto"/>
              </w:rPr>
            </w:pPr>
          </w:p>
        </w:tc>
        <w:tc>
          <w:tcPr>
            <w:tcW w:w="3040" w:type="dxa"/>
            <w:vAlign w:val="bottom"/>
            <w:gridSpan w:val="6"/>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48"/>
        </w:trPr>
        <w:tc>
          <w:tcPr>
            <w:tcW w:w="128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Andorra</w:t>
            </w:r>
          </w:p>
        </w:tc>
        <w:tc>
          <w:tcPr>
            <w:tcW w:w="4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1988</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25,791</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15.55</w:t>
            </w:r>
          </w:p>
        </w:tc>
        <w:tc>
          <w:tcPr>
            <w:tcW w:w="5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24,000</w:t>
            </w:r>
          </w:p>
        </w:tc>
        <w:tc>
          <w:tcPr>
            <w:tcW w:w="8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Acme</w:t>
            </w:r>
          </w:p>
        </w:tc>
        <w:tc>
          <w:tcPr>
            <w:tcW w:w="2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Kohl's / Staples / L.A. Fitness</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2460" w:type="dxa"/>
            <w:vAlign w:val="bottom"/>
            <w:shd w:val="clear" w:color="auto" w:fill="CCEEFF"/>
          </w:tcPr>
          <w:p>
            <w:pPr>
              <w:spacing w:after="0"/>
              <w:rPr>
                <w:sz w:val="15"/>
                <w:szCs w:val="15"/>
                <w:color w:val="auto"/>
              </w:rPr>
            </w:pPr>
          </w:p>
        </w:tc>
      </w:tr>
      <w:tr>
        <w:trPr>
          <w:trHeight w:val="148"/>
        </w:trPr>
        <w:tc>
          <w:tcPr>
            <w:tcW w:w="12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Bala Cynwyd</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40,533</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295,000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24.47</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45,000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rPr>
              <w:t>Acme</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Lord &amp; Taylor / L.A. Fitness / Michaels</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Markets</w:t>
            </w:r>
          </w:p>
        </w:tc>
        <w:tc>
          <w:tcPr>
            <w:tcW w:w="2460" w:type="dxa"/>
            <w:vAlign w:val="bottom"/>
          </w:tcPr>
          <w:p>
            <w:pPr>
              <w:spacing w:after="0"/>
              <w:rPr>
                <w:sz w:val="14"/>
                <w:szCs w:val="14"/>
                <w:color w:val="auto"/>
              </w:rPr>
            </w:pPr>
          </w:p>
        </w:tc>
      </w:tr>
      <w:tr>
        <w:trPr>
          <w:trHeight w:val="181"/>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Ellisburg</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34,449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15.81</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47,000</w:t>
            </w: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6"/>
              </w:rPr>
              <w:t>Whole Foods</w:t>
            </w: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73"/>
        </w:trPr>
        <w:tc>
          <w:tcPr>
            <w:tcW w:w="1280" w:type="dxa"/>
            <w:vAlign w:val="bottom"/>
            <w:gridSpan w:val="4"/>
          </w:tcPr>
          <w:p>
            <w:pPr>
              <w:ind w:left="40"/>
              <w:spacing w:after="0"/>
              <w:rPr>
                <w:sz w:val="20"/>
                <w:szCs w:val="20"/>
                <w:color w:val="auto"/>
              </w:rPr>
            </w:pPr>
            <w:r>
              <w:rPr>
                <w:rFonts w:ascii="Arial" w:cs="Arial" w:eastAsia="Arial" w:hAnsi="Arial"/>
                <w:sz w:val="13"/>
                <w:szCs w:val="13"/>
                <w:color w:val="auto"/>
              </w:rPr>
              <w:t>Flourtown</w:t>
            </w:r>
          </w:p>
        </w:tc>
        <w:tc>
          <w:tcPr>
            <w:tcW w:w="4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16,892</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156,000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560" w:type="dxa"/>
            <w:vAlign w:val="bottom"/>
          </w:tcPr>
          <w:p>
            <w:pPr>
              <w:jc w:val="right"/>
              <w:spacing w:after="0"/>
              <w:rPr>
                <w:sz w:val="20"/>
                <w:szCs w:val="20"/>
                <w:color w:val="auto"/>
              </w:rPr>
            </w:pPr>
            <w:r>
              <w:rPr>
                <w:rFonts w:ascii="Arial" w:cs="Arial" w:eastAsia="Arial" w:hAnsi="Arial"/>
                <w:sz w:val="13"/>
                <w:szCs w:val="13"/>
                <w:color w:val="auto"/>
              </w:rPr>
              <w:t>98%</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21.57</w:t>
            </w:r>
          </w:p>
        </w:tc>
        <w:tc>
          <w:tcPr>
            <w:tcW w:w="580" w:type="dxa"/>
            <w:vAlign w:val="bottom"/>
          </w:tcPr>
          <w:p>
            <w:pPr>
              <w:ind w:left="60"/>
              <w:spacing w:after="0"/>
              <w:rPr>
                <w:sz w:val="20"/>
                <w:szCs w:val="20"/>
                <w:color w:val="auto"/>
              </w:rPr>
            </w:pPr>
            <w:r>
              <w:rPr>
                <w:rFonts w:ascii="Arial" w:cs="Arial" w:eastAsia="Arial" w:hAnsi="Arial"/>
                <w:sz w:val="13"/>
                <w:szCs w:val="13"/>
                <w:color w:val="auto"/>
              </w:rPr>
              <w:t>75,000</w:t>
            </w:r>
          </w:p>
        </w:tc>
        <w:tc>
          <w:tcPr>
            <w:tcW w:w="86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2460" w:type="dxa"/>
            <w:vAlign w:val="bottom"/>
          </w:tcPr>
          <w:p>
            <w:pPr>
              <w:ind w:left="20"/>
              <w:spacing w:after="0"/>
              <w:rPr>
                <w:sz w:val="20"/>
                <w:szCs w:val="20"/>
                <w:color w:val="auto"/>
              </w:rPr>
            </w:pPr>
            <w:r>
              <w:rPr>
                <w:rFonts w:ascii="Arial" w:cs="Arial" w:eastAsia="Arial" w:hAnsi="Arial"/>
                <w:sz w:val="13"/>
                <w:szCs w:val="13"/>
                <w:color w:val="auto"/>
              </w:rPr>
              <w:t>Movie Tavern</w:t>
            </w:r>
          </w:p>
        </w:tc>
      </w:tr>
      <w:tr>
        <w:trPr>
          <w:trHeight w:val="97"/>
        </w:trPr>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48"/>
        </w:trPr>
        <w:tc>
          <w:tcPr>
            <w:tcW w:w="128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4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21,930</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16.79</w:t>
            </w:r>
          </w:p>
        </w:tc>
        <w:tc>
          <w:tcPr>
            <w:tcW w:w="5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55,000</w:t>
            </w:r>
          </w:p>
        </w:tc>
        <w:tc>
          <w:tcPr>
            <w:tcW w:w="8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Redner's</w:t>
            </w:r>
          </w:p>
        </w:tc>
        <w:tc>
          <w:tcPr>
            <w:tcW w:w="2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Warehouse</w:t>
            </w:r>
          </w:p>
        </w:tc>
        <w:tc>
          <w:tcPr>
            <w:tcW w:w="24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Mkts.</w:t>
            </w:r>
          </w:p>
        </w:tc>
        <w:tc>
          <w:tcPr>
            <w:tcW w:w="2460" w:type="dxa"/>
            <w:vAlign w:val="bottom"/>
            <w:shd w:val="clear" w:color="auto" w:fill="CCEEFF"/>
          </w:tcPr>
          <w:p>
            <w:pPr>
              <w:spacing w:after="0"/>
              <w:rPr>
                <w:sz w:val="15"/>
                <w:szCs w:val="15"/>
                <w:color w:val="auto"/>
              </w:rPr>
            </w:pPr>
          </w:p>
        </w:tc>
      </w:tr>
      <w:tr>
        <w:trPr>
          <w:trHeight w:val="148"/>
        </w:trPr>
        <w:tc>
          <w:tcPr>
            <w:tcW w:w="12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Lawrence Park</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33,000</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364,000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20.58</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53,000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rPr>
              <w:t>Acme</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Brightwood Career Institute / TJ Maxx /</w:t>
            </w:r>
          </w:p>
        </w:tc>
      </w:tr>
      <w:tr>
        <w:trPr>
          <w:trHeight w:val="168"/>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Markets</w:t>
            </w:r>
          </w:p>
        </w:tc>
        <w:tc>
          <w:tcPr>
            <w:tcW w:w="2460" w:type="dxa"/>
            <w:vAlign w:val="bottom"/>
          </w:tcPr>
          <w:p>
            <w:pPr>
              <w:ind w:left="20"/>
              <w:spacing w:after="0"/>
              <w:rPr>
                <w:sz w:val="20"/>
                <w:szCs w:val="20"/>
                <w:color w:val="auto"/>
              </w:rPr>
            </w:pPr>
            <w:r>
              <w:rPr>
                <w:rFonts w:ascii="Arial" w:cs="Arial" w:eastAsia="Arial" w:hAnsi="Arial"/>
                <w:sz w:val="13"/>
                <w:szCs w:val="13"/>
                <w:color w:val="auto"/>
              </w:rPr>
              <w:t>HomeGoods</w:t>
            </w:r>
          </w:p>
        </w:tc>
      </w:tr>
      <w:tr>
        <w:trPr>
          <w:trHeight w:val="156"/>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Northeast</w:t>
            </w:r>
          </w:p>
        </w:tc>
        <w:tc>
          <w:tcPr>
            <w:tcW w:w="4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28,230</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12.57</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Burlington Coat Factory / Home Gallery /</w:t>
            </w:r>
          </w:p>
        </w:tc>
      </w:tr>
      <w:tr>
        <w:trPr>
          <w:trHeight w:val="176"/>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Marshalls</w:t>
            </w:r>
          </w:p>
        </w:tc>
      </w:tr>
      <w:tr>
        <w:trPr>
          <w:trHeight w:val="148"/>
        </w:trPr>
        <w:tc>
          <w:tcPr>
            <w:tcW w:w="12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Town Center of New</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15,142</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124,000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5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9.86</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36,000</w:t>
            </w:r>
          </w:p>
        </w:tc>
        <w:tc>
          <w:tcPr>
            <w:tcW w:w="860" w:type="dxa"/>
            <w:vAlign w:val="bottom"/>
          </w:tcPr>
          <w:p>
            <w:pPr>
              <w:ind w:left="100"/>
              <w:spacing w:after="0" w:line="148" w:lineRule="exact"/>
              <w:rPr>
                <w:sz w:val="20"/>
                <w:szCs w:val="20"/>
                <w:color w:val="auto"/>
              </w:rPr>
            </w:pPr>
            <w:r>
              <w:rPr>
                <w:rFonts w:ascii="Arial" w:cs="Arial" w:eastAsia="Arial" w:hAnsi="Arial"/>
                <w:sz w:val="13"/>
                <w:szCs w:val="13"/>
                <w:color w:val="auto"/>
              </w:rPr>
              <w:t>Giant Food</w:t>
            </w:r>
          </w:p>
        </w:tc>
        <w:tc>
          <w:tcPr>
            <w:tcW w:w="2460" w:type="dxa"/>
            <w:vAlign w:val="bottom"/>
          </w:tcPr>
          <w:p>
            <w:pPr>
              <w:ind w:left="20"/>
              <w:spacing w:after="0" w:line="148" w:lineRule="exact"/>
              <w:rPr>
                <w:sz w:val="20"/>
                <w:szCs w:val="20"/>
                <w:color w:val="auto"/>
              </w:rPr>
            </w:pPr>
            <w:r>
              <w:rPr>
                <w:rFonts w:ascii="Arial" w:cs="Arial" w:eastAsia="Arial" w:hAnsi="Arial"/>
                <w:sz w:val="13"/>
                <w:szCs w:val="13"/>
                <w:color w:val="auto"/>
              </w:rPr>
              <w:t>Rite Aid</w:t>
            </w:r>
          </w:p>
        </w:tc>
      </w:tr>
      <w:tr>
        <w:trPr>
          <w:trHeight w:val="168"/>
        </w:trPr>
        <w:tc>
          <w:tcPr>
            <w:tcW w:w="1280" w:type="dxa"/>
            <w:vAlign w:val="bottom"/>
            <w:gridSpan w:val="4"/>
          </w:tcPr>
          <w:p>
            <w:pPr>
              <w:ind w:left="40"/>
              <w:spacing w:after="0"/>
              <w:rPr>
                <w:sz w:val="20"/>
                <w:szCs w:val="20"/>
                <w:color w:val="auto"/>
              </w:rPr>
            </w:pPr>
            <w:r>
              <w:rPr>
                <w:rFonts w:ascii="Arial" w:cs="Arial" w:eastAsia="Arial" w:hAnsi="Arial"/>
                <w:sz w:val="13"/>
                <w:szCs w:val="13"/>
                <w:color w:val="auto"/>
              </w:rPr>
              <w:t>Britain</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81"/>
        </w:trPr>
        <w:tc>
          <w:tcPr>
            <w:tcW w:w="12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Willow Grove</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30,096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19.09</w:t>
            </w: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73"/>
        </w:trPr>
        <w:tc>
          <w:tcPr>
            <w:tcW w:w="1280" w:type="dxa"/>
            <w:vAlign w:val="bottom"/>
            <w:gridSpan w:val="4"/>
          </w:tcPr>
          <w:p>
            <w:pPr>
              <w:ind w:left="40"/>
              <w:spacing w:after="0"/>
              <w:rPr>
                <w:sz w:val="20"/>
                <w:szCs w:val="20"/>
                <w:color w:val="auto"/>
              </w:rPr>
            </w:pPr>
            <w:r>
              <w:rPr>
                <w:rFonts w:ascii="Arial" w:cs="Arial" w:eastAsia="Arial" w:hAnsi="Arial"/>
                <w:sz w:val="13"/>
                <w:szCs w:val="13"/>
                <w:color w:val="auto"/>
              </w:rPr>
              <w:t>Wynnewood</w:t>
            </w:r>
          </w:p>
        </w:tc>
        <w:tc>
          <w:tcPr>
            <w:tcW w:w="4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1996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42,815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251,000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56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27.48</w:t>
            </w:r>
          </w:p>
        </w:tc>
        <w:tc>
          <w:tcPr>
            <w:tcW w:w="580" w:type="dxa"/>
            <w:vAlign w:val="bottom"/>
          </w:tcPr>
          <w:p>
            <w:pPr>
              <w:ind w:left="60"/>
              <w:spacing w:after="0"/>
              <w:rPr>
                <w:sz w:val="20"/>
                <w:szCs w:val="20"/>
                <w:color w:val="auto"/>
              </w:rPr>
            </w:pPr>
            <w:r>
              <w:rPr>
                <w:rFonts w:ascii="Arial" w:cs="Arial" w:eastAsia="Arial" w:hAnsi="Arial"/>
                <w:sz w:val="13"/>
                <w:szCs w:val="13"/>
                <w:color w:val="auto"/>
              </w:rPr>
              <w:t>98,000</w:t>
            </w:r>
          </w:p>
        </w:tc>
        <w:tc>
          <w:tcPr>
            <w:tcW w:w="86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2460" w:type="dxa"/>
            <w:vAlign w:val="bottom"/>
          </w:tcPr>
          <w:p>
            <w:pPr>
              <w:ind w:left="2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4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160" w:type="dxa"/>
            <w:vAlign w:val="bottom"/>
            <w:tcBorders>
              <w:bottom w:val="single" w:sz="8" w:color="CCEEFF"/>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246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w w:val="99"/>
              </w:rPr>
              <w:t>Total Philadelphia Metropolitan Area</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288,878</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2,441,000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18.99</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60" w:type="dxa"/>
            <w:vAlign w:val="bottom"/>
            <w:shd w:val="clear" w:color="auto" w:fill="CCEEFF"/>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7" w:right="2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6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6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620" w:type="dxa"/>
            <w:vAlign w:val="bottom"/>
          </w:tcPr>
          <w:p>
            <w:pPr>
              <w:spacing w:after="0"/>
              <w:rPr>
                <w:sz w:val="11"/>
                <w:szCs w:val="11"/>
                <w:color w:val="auto"/>
              </w:rPr>
            </w:pPr>
          </w:p>
        </w:tc>
      </w:tr>
      <w:tr>
        <w:trPr>
          <w:trHeight w:val="174"/>
        </w:trPr>
        <w:tc>
          <w:tcPr>
            <w:tcW w:w="134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Occupied</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0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New England</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620" w:type="dxa"/>
            <w:vAlign w:val="bottom"/>
            <w:tcBorders>
              <w:top w:val="single" w:sz="8" w:color="CCEEFF"/>
            </w:tcBorders>
            <w:shd w:val="clear" w:color="auto" w:fill="CCEEFF"/>
          </w:tcPr>
          <w:p>
            <w:pPr>
              <w:spacing w:after="0"/>
              <w:rPr>
                <w:sz w:val="8"/>
                <w:szCs w:val="8"/>
                <w:color w:val="auto"/>
              </w:rPr>
            </w:pPr>
          </w:p>
        </w:tc>
      </w:tr>
      <w:tr>
        <w:trPr>
          <w:trHeight w:val="148"/>
        </w:trPr>
        <w:tc>
          <w:tcPr>
            <w:tcW w:w="13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Assembly Row /</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w w:val="89"/>
              </w:rPr>
              <w:t>Boston-Cambridge-Quincy,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2005-</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627,726</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761,000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23.45</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ind w:left="60"/>
              <w:spacing w:after="0" w:line="148" w:lineRule="exact"/>
              <w:rPr>
                <w:sz w:val="20"/>
                <w:szCs w:val="20"/>
                <w:color w:val="auto"/>
              </w:rPr>
            </w:pPr>
            <w:r>
              <w:rPr>
                <w:rFonts w:ascii="Arial" w:cs="Arial" w:eastAsia="Arial" w:hAnsi="Arial"/>
                <w:sz w:val="13"/>
                <w:szCs w:val="13"/>
                <w:color w:val="auto"/>
                <w:w w:val="92"/>
              </w:rPr>
              <w:t>AMC Theatres / LEGOLAND Discovery Center /</w:t>
            </w:r>
          </w:p>
        </w:tc>
      </w:tr>
      <w:tr>
        <w:trPr>
          <w:trHeight w:val="135"/>
        </w:trPr>
        <w:tc>
          <w:tcPr>
            <w:tcW w:w="1340" w:type="dxa"/>
            <w:vAlign w:val="bottom"/>
            <w:gridSpan w:val="7"/>
          </w:tcPr>
          <w:p>
            <w:pPr>
              <w:ind w:left="40"/>
              <w:spacing w:after="0" w:line="135" w:lineRule="exact"/>
              <w:rPr>
                <w:sz w:val="20"/>
                <w:szCs w:val="20"/>
                <w:color w:val="auto"/>
              </w:rPr>
            </w:pPr>
            <w:r>
              <w:rPr>
                <w:rFonts w:ascii="Arial" w:cs="Arial" w:eastAsia="Arial" w:hAnsi="Arial"/>
                <w:sz w:val="13"/>
                <w:szCs w:val="13"/>
                <w:color w:val="auto"/>
              </w:rPr>
              <w:t>Assembly Square</w:t>
            </w:r>
          </w:p>
        </w:tc>
        <w:tc>
          <w:tcPr>
            <w:tcW w:w="440" w:type="dxa"/>
            <w:vAlign w:val="bottom"/>
          </w:tcPr>
          <w:p>
            <w:pPr>
              <w:spacing w:after="0"/>
              <w:rPr>
                <w:sz w:val="11"/>
                <w:szCs w:val="11"/>
                <w:color w:val="auto"/>
              </w:rPr>
            </w:pPr>
          </w:p>
        </w:tc>
        <w:tc>
          <w:tcPr>
            <w:tcW w:w="1460" w:type="dxa"/>
            <w:vAlign w:val="bottom"/>
          </w:tcPr>
          <w:p>
            <w:pPr>
              <w:ind w:left="40"/>
              <w:spacing w:after="0" w:line="135" w:lineRule="exact"/>
              <w:rPr>
                <w:sz w:val="20"/>
                <w:szCs w:val="20"/>
                <w:color w:val="auto"/>
              </w:rPr>
            </w:pPr>
            <w:r>
              <w:rPr>
                <w:rFonts w:ascii="Arial" w:cs="Arial" w:eastAsia="Arial" w:hAnsi="Arial"/>
                <w:sz w:val="13"/>
                <w:szCs w:val="13"/>
                <w:color w:val="auto"/>
              </w:rPr>
              <w:t>MA-NH</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2011,</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20" w:type="dxa"/>
            <w:vAlign w:val="bottom"/>
          </w:tcPr>
          <w:p>
            <w:pPr>
              <w:ind w:left="60"/>
              <w:spacing w:after="0" w:line="135" w:lineRule="exact"/>
              <w:rPr>
                <w:sz w:val="20"/>
                <w:szCs w:val="20"/>
                <w:color w:val="auto"/>
              </w:rPr>
            </w:pPr>
            <w:r>
              <w:rPr>
                <w:rFonts w:ascii="Arial" w:cs="Arial" w:eastAsia="Arial" w:hAnsi="Arial"/>
                <w:sz w:val="13"/>
                <w:szCs w:val="13"/>
                <w:color w:val="auto"/>
              </w:rPr>
              <w:t>Saks Fifth Avenue Off 5th / J. Crew / Nike</w:t>
            </w:r>
          </w:p>
        </w:tc>
      </w:tr>
      <w:tr>
        <w:trPr>
          <w:trHeight w:val="168"/>
        </w:trPr>
        <w:tc>
          <w:tcPr>
            <w:tcW w:w="1340" w:type="dxa"/>
            <w:vAlign w:val="bottom"/>
            <w:gridSpan w:val="7"/>
          </w:tcPr>
          <w:p>
            <w:pPr>
              <w:ind w:left="40"/>
              <w:spacing w:after="0"/>
              <w:rPr>
                <w:sz w:val="20"/>
                <w:szCs w:val="20"/>
                <w:color w:val="auto"/>
              </w:rPr>
            </w:pPr>
            <w:r>
              <w:rPr>
                <w:rFonts w:ascii="Arial" w:cs="Arial" w:eastAsia="Arial" w:hAnsi="Arial"/>
                <w:sz w:val="13"/>
                <w:szCs w:val="13"/>
                <w:color w:val="auto"/>
              </w:rPr>
              <w:t>Marketplace</w:t>
            </w: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2013</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3"/>
                <w:szCs w:val="13"/>
                <w:color w:val="auto"/>
              </w:rPr>
              <w:t>Factory / Bed, Bath &amp; Beyond / TJ Maxx</w:t>
            </w:r>
          </w:p>
        </w:tc>
      </w:tr>
      <w:tr>
        <w:trPr>
          <w:trHeight w:val="156"/>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Atlantic Plaza</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(9)</w:t>
            </w: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Boston-Worcester-</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25,182</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16.25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Stop &amp; Shop</w:t>
            </w:r>
          </w:p>
        </w:tc>
        <w:tc>
          <w:tcPr>
            <w:tcW w:w="2620" w:type="dxa"/>
            <w:vAlign w:val="bottom"/>
            <w:shd w:val="clear" w:color="auto" w:fill="CCEEFF"/>
          </w:tcPr>
          <w:p>
            <w:pPr>
              <w:spacing w:after="0"/>
              <w:rPr>
                <w:sz w:val="13"/>
                <w:szCs w:val="13"/>
                <w:color w:val="auto"/>
              </w:rPr>
            </w:pPr>
          </w:p>
        </w:tc>
      </w:tr>
      <w:tr>
        <w:trPr>
          <w:trHeight w:val="135"/>
        </w:trPr>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Lawrence-Lowell-</w:t>
            </w: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Brockton, MA</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48"/>
        </w:trPr>
        <w:tc>
          <w:tcPr>
            <w:tcW w:w="13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Campus Plaza</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87"/>
              </w:rPr>
              <w:t>(9)</w:t>
            </w: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Boston-Worcester-</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30,387</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116,000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15.26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2620" w:type="dxa"/>
            <w:vAlign w:val="bottom"/>
          </w:tcPr>
          <w:p>
            <w:pPr>
              <w:ind w:left="60"/>
              <w:spacing w:after="0" w:line="148" w:lineRule="exact"/>
              <w:rPr>
                <w:sz w:val="20"/>
                <w:szCs w:val="20"/>
                <w:color w:val="auto"/>
              </w:rPr>
            </w:pPr>
            <w:r>
              <w:rPr>
                <w:rFonts w:ascii="Arial" w:cs="Arial" w:eastAsia="Arial" w:hAnsi="Arial"/>
                <w:sz w:val="13"/>
                <w:szCs w:val="13"/>
                <w:color w:val="auto"/>
              </w:rPr>
              <w:t>Burlington Coat Factory</w:t>
            </w: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ind w:left="40"/>
              <w:spacing w:after="0" w:line="135" w:lineRule="exact"/>
              <w:rPr>
                <w:sz w:val="20"/>
                <w:szCs w:val="20"/>
                <w:color w:val="auto"/>
              </w:rPr>
            </w:pPr>
            <w:r>
              <w:rPr>
                <w:rFonts w:ascii="Arial" w:cs="Arial" w:eastAsia="Arial" w:hAnsi="Arial"/>
                <w:sz w:val="13"/>
                <w:szCs w:val="13"/>
                <w:color w:val="auto"/>
              </w:rPr>
              <w:t>Lawrence-Lowell-</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2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Brockton, MA</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56"/>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Chelsea Commons</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Boston-Cambridge-Quincy,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42,841</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6,576</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Sav-A-Lot</w:t>
            </w: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Home Depot / Planet Fitness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48"/>
        </w:trPr>
        <w:tc>
          <w:tcPr>
            <w:tcW w:w="13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Dedham Plaza</w:t>
            </w:r>
          </w:p>
        </w:tc>
        <w:tc>
          <w:tcPr>
            <w:tcW w:w="440" w:type="dxa"/>
            <w:vAlign w:val="bottom"/>
          </w:tcPr>
          <w:p>
            <w:pPr>
              <w:spacing w:after="0"/>
              <w:rPr>
                <w:sz w:val="12"/>
                <w:szCs w:val="12"/>
                <w:color w:val="auto"/>
              </w:rPr>
            </w:pPr>
          </w:p>
        </w:tc>
        <w:tc>
          <w:tcPr>
            <w:tcW w:w="206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0"/>
              </w:rPr>
              <w:t>Boston-Cambridge-Quincy, 1993/2016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38,316</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16.50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80,000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Star Market</w:t>
            </w:r>
          </w:p>
        </w:tc>
        <w:tc>
          <w:tcPr>
            <w:tcW w:w="26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MA-NH</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56"/>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Linden Square</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Boston-Cambridge-Quincy,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148,039</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47.15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48"/>
        </w:trPr>
        <w:tc>
          <w:tcPr>
            <w:tcW w:w="13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North Dartmouth</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w w:val="89"/>
              </w:rPr>
              <w:t>Boston-Cambridge-Quincy,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9,368</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15.31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26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MA-NH</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56"/>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Queen Anne Plaza</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Boston-Cambridge-Quincy,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18,280</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17.72</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Big Y Foods</w:t>
            </w: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TJ Maxx / HomeGoods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48"/>
        </w:trPr>
        <w:tc>
          <w:tcPr>
            <w:tcW w:w="13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Saugus Plaza</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w w:val="89"/>
              </w:rPr>
              <w:t>Boston-Cambridge-Quincy,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1996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15,257</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12.22</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Super Stop &amp;</w:t>
            </w:r>
          </w:p>
        </w:tc>
        <w:tc>
          <w:tcPr>
            <w:tcW w:w="2620" w:type="dxa"/>
            <w:vAlign w:val="bottom"/>
          </w:tcPr>
          <w:p>
            <w:pPr>
              <w:ind w:left="60"/>
              <w:spacing w:after="0" w:line="148" w:lineRule="exact"/>
              <w:rPr>
                <w:sz w:val="20"/>
                <w:szCs w:val="20"/>
                <w:color w:val="auto"/>
              </w:rPr>
            </w:pPr>
            <w:r>
              <w:rPr>
                <w:rFonts w:ascii="Arial" w:cs="Arial" w:eastAsia="Arial" w:hAnsi="Arial"/>
                <w:sz w:val="13"/>
                <w:szCs w:val="13"/>
                <w:color w:val="auto"/>
              </w:rPr>
              <w:t>Kmart</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MA-NH</w:t>
            </w:r>
          </w:p>
        </w:tc>
        <w:tc>
          <w:tcPr>
            <w:tcW w:w="6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262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New England</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955,396</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2,052,000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21.31</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620" w:type="dxa"/>
            <w:vAlign w:val="bottom"/>
            <w:shd w:val="clear" w:color="auto" w:fill="CCEEFF"/>
          </w:tcPr>
          <w:p>
            <w:pPr>
              <w:spacing w:after="0"/>
              <w:rPr>
                <w:sz w:val="7"/>
                <w:szCs w:val="7"/>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20" w:type="dxa"/>
            <w:vAlign w:val="bottom"/>
          </w:tcPr>
          <w:p>
            <w:pPr>
              <w:spacing w:after="0"/>
              <w:rPr>
                <w:sz w:val="10"/>
                <w:szCs w:val="10"/>
                <w:color w:val="auto"/>
              </w:rPr>
            </w:pPr>
          </w:p>
        </w:tc>
      </w:tr>
      <w:tr>
        <w:trPr>
          <w:trHeight w:val="149"/>
        </w:trPr>
        <w:tc>
          <w:tcPr>
            <w:tcW w:w="40" w:type="dxa"/>
            <w:vAlign w:val="bottom"/>
            <w:shd w:val="clear" w:color="auto" w:fill="CCEEFF"/>
          </w:tcPr>
          <w:p>
            <w:pPr>
              <w:spacing w:after="0"/>
              <w:rPr>
                <w:sz w:val="12"/>
                <w:szCs w:val="12"/>
                <w:color w:val="auto"/>
              </w:rPr>
            </w:pPr>
          </w:p>
        </w:tc>
        <w:tc>
          <w:tcPr>
            <w:tcW w:w="130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South Florida</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620" w:type="dxa"/>
            <w:vAlign w:val="bottom"/>
            <w:tcBorders>
              <w:top w:val="single" w:sz="8" w:color="CCEEFF"/>
            </w:tcBorders>
            <w:shd w:val="clear" w:color="auto" w:fill="CCEEFF"/>
          </w:tcPr>
          <w:p>
            <w:pPr>
              <w:spacing w:after="0"/>
              <w:rPr>
                <w:sz w:val="8"/>
                <w:szCs w:val="8"/>
                <w:color w:val="auto"/>
              </w:rPr>
            </w:pPr>
          </w:p>
        </w:tc>
      </w:tr>
      <w:tr>
        <w:trPr>
          <w:trHeight w:val="173"/>
        </w:trPr>
        <w:tc>
          <w:tcPr>
            <w:tcW w:w="1340" w:type="dxa"/>
            <w:vAlign w:val="bottom"/>
            <w:gridSpan w:val="7"/>
          </w:tcPr>
          <w:p>
            <w:pPr>
              <w:ind w:left="40"/>
              <w:spacing w:after="0"/>
              <w:rPr>
                <w:sz w:val="20"/>
                <w:szCs w:val="20"/>
                <w:color w:val="auto"/>
              </w:rPr>
            </w:pPr>
            <w:r>
              <w:rPr>
                <w:rFonts w:ascii="Arial" w:cs="Arial" w:eastAsia="Arial" w:hAnsi="Arial"/>
                <w:sz w:val="13"/>
                <w:szCs w:val="13"/>
                <w:color w:val="auto"/>
              </w:rPr>
              <w:t>Cocowalk</w:t>
            </w:r>
          </w:p>
        </w:tc>
        <w:tc>
          <w:tcPr>
            <w:tcW w:w="440" w:type="dxa"/>
            <w:vAlign w:val="bottom"/>
          </w:tcPr>
          <w:p>
            <w:pPr>
              <w:jc w:val="center"/>
              <w:spacing w:after="0"/>
              <w:rPr>
                <w:sz w:val="20"/>
                <w:szCs w:val="20"/>
                <w:color w:val="auto"/>
              </w:rPr>
            </w:pPr>
            <w:r>
              <w:rPr>
                <w:rFonts w:ascii="Arial" w:cs="Arial" w:eastAsia="Arial" w:hAnsi="Arial"/>
                <w:sz w:val="13"/>
                <w:szCs w:val="13"/>
                <w:color w:val="auto"/>
                <w:w w:val="95"/>
              </w:rPr>
              <w:t>(4) (8)</w:t>
            </w:r>
          </w:p>
        </w:tc>
        <w:tc>
          <w:tcPr>
            <w:tcW w:w="1460" w:type="dxa"/>
            <w:vAlign w:val="bottom"/>
          </w:tcPr>
          <w:p>
            <w:pPr>
              <w:ind w:left="40"/>
              <w:spacing w:after="0"/>
              <w:rPr>
                <w:sz w:val="20"/>
                <w:szCs w:val="20"/>
                <w:color w:val="auto"/>
              </w:rPr>
            </w:pPr>
            <w:r>
              <w:rPr>
                <w:rFonts w:ascii="Arial" w:cs="Arial" w:eastAsia="Arial" w:hAnsi="Arial"/>
                <w:sz w:val="13"/>
                <w:szCs w:val="13"/>
                <w:color w:val="auto"/>
              </w:rPr>
              <w:t>Miami-Ft Lauderdale</w:t>
            </w:r>
          </w:p>
        </w:tc>
        <w:tc>
          <w:tcPr>
            <w:tcW w:w="600" w:type="dxa"/>
            <w:vAlign w:val="bottom"/>
          </w:tcPr>
          <w:p>
            <w:pPr>
              <w:jc w:val="right"/>
              <w:spacing w:after="0"/>
              <w:rPr>
                <w:sz w:val="20"/>
                <w:szCs w:val="20"/>
                <w:color w:val="auto"/>
              </w:rPr>
            </w:pPr>
            <w:r>
              <w:rPr>
                <w:rFonts w:ascii="Arial" w:cs="Arial" w:eastAsia="Arial" w:hAnsi="Arial"/>
                <w:sz w:val="13"/>
                <w:szCs w:val="13"/>
                <w:color w:val="auto"/>
              </w:rPr>
              <w:t>2015</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106,877</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rPr>
                <w:sz w:val="20"/>
                <w:szCs w:val="20"/>
                <w:color w:val="auto"/>
              </w:rPr>
            </w:pPr>
            <w:r>
              <w:rPr>
                <w:rFonts w:ascii="Arial" w:cs="Arial" w:eastAsia="Arial" w:hAnsi="Arial"/>
                <w:sz w:val="13"/>
                <w:szCs w:val="13"/>
                <w:color w:val="auto"/>
              </w:rPr>
              <w:t>78%</w:t>
            </w:r>
          </w:p>
        </w:tc>
        <w:tc>
          <w:tcPr>
            <w:tcW w:w="580" w:type="dxa"/>
            <w:vAlign w:val="bottom"/>
          </w:tcPr>
          <w:p>
            <w:pPr>
              <w:jc w:val="right"/>
              <w:spacing w:after="0"/>
              <w:rPr>
                <w:sz w:val="20"/>
                <w:szCs w:val="20"/>
                <w:color w:val="auto"/>
              </w:rPr>
            </w:pPr>
            <w:r>
              <w:rPr>
                <w:rFonts w:ascii="Arial" w:cs="Arial" w:eastAsia="Arial" w:hAnsi="Arial"/>
                <w:sz w:val="13"/>
                <w:szCs w:val="13"/>
                <w:color w:val="auto"/>
              </w:rPr>
              <w:t>78%</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36.24</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20" w:type="dxa"/>
            <w:vAlign w:val="bottom"/>
          </w:tcPr>
          <w:p>
            <w:pPr>
              <w:ind w:left="60"/>
              <w:spacing w:after="0"/>
              <w:rPr>
                <w:sz w:val="20"/>
                <w:szCs w:val="20"/>
                <w:color w:val="auto"/>
              </w:rPr>
            </w:pPr>
            <w:r>
              <w:rPr>
                <w:rFonts w:ascii="Arial" w:cs="Arial" w:eastAsia="Arial" w:hAnsi="Arial"/>
                <w:sz w:val="13"/>
                <w:szCs w:val="13"/>
                <w:color w:val="auto"/>
                <w:w w:val="97"/>
              </w:rPr>
              <w:t>Cinepolis Theaters / Gap / Youfit Health Club</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20" w:type="dxa"/>
            <w:vAlign w:val="bottom"/>
          </w:tcPr>
          <w:p>
            <w:pPr>
              <w:spacing w:after="0"/>
              <w:rPr>
                <w:sz w:val="8"/>
                <w:szCs w:val="8"/>
                <w:color w:val="auto"/>
              </w:rPr>
            </w:pPr>
          </w:p>
        </w:tc>
      </w:tr>
      <w:tr>
        <w:trPr>
          <w:trHeight w:val="173"/>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Del Mar Village</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Miami-Ft Lauderdale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2008/2014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62,588</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620" w:type="dxa"/>
            <w:vAlign w:val="bottom"/>
            <w:shd w:val="clear" w:color="auto" w:fill="CCEEFF"/>
          </w:tcPr>
          <w:p>
            <w:pPr>
              <w:spacing w:after="0"/>
              <w:rPr>
                <w:sz w:val="8"/>
                <w:szCs w:val="8"/>
                <w:color w:val="auto"/>
              </w:rPr>
            </w:pPr>
          </w:p>
        </w:tc>
      </w:tr>
      <w:tr>
        <w:trPr>
          <w:trHeight w:val="148"/>
        </w:trPr>
        <w:tc>
          <w:tcPr>
            <w:tcW w:w="13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The Shops at Sunset</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120,777</w:t>
            </w:r>
          </w:p>
        </w:tc>
        <w:tc>
          <w:tcPr>
            <w:tcW w:w="660" w:type="dxa"/>
            <w:vAlign w:val="bottom"/>
          </w:tcPr>
          <w:p>
            <w:pPr>
              <w:jc w:val="right"/>
              <w:ind w:right="39"/>
              <w:spacing w:after="0" w:line="148" w:lineRule="exact"/>
              <w:rPr>
                <w:sz w:val="20"/>
                <w:szCs w:val="20"/>
                <w:color w:val="auto"/>
              </w:rPr>
            </w:pPr>
            <w:r>
              <w:rPr>
                <w:rFonts w:ascii="Arial" w:cs="Arial" w:eastAsia="Arial" w:hAnsi="Arial"/>
                <w:sz w:val="13"/>
                <w:szCs w:val="13"/>
                <w:color w:val="auto"/>
              </w:rPr>
              <w:t>68,634</w:t>
            </w: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84%</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21.43</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ind w:left="60"/>
              <w:spacing w:after="0" w:line="148" w:lineRule="exact"/>
              <w:rPr>
                <w:sz w:val="20"/>
                <w:szCs w:val="20"/>
                <w:color w:val="auto"/>
              </w:rPr>
            </w:pPr>
            <w:r>
              <w:rPr>
                <w:rFonts w:ascii="Arial" w:cs="Arial" w:eastAsia="Arial" w:hAnsi="Arial"/>
                <w:sz w:val="13"/>
                <w:szCs w:val="13"/>
                <w:color w:val="auto"/>
                <w:w w:val="93"/>
              </w:rPr>
              <w:t>AMC Theatres / L.A. Fitness / Barnes &amp; Noble /</w:t>
            </w:r>
          </w:p>
        </w:tc>
      </w:tr>
      <w:tr>
        <w:trPr>
          <w:trHeight w:val="168"/>
        </w:trPr>
        <w:tc>
          <w:tcPr>
            <w:tcW w:w="1340" w:type="dxa"/>
            <w:vAlign w:val="bottom"/>
            <w:gridSpan w:val="7"/>
          </w:tcPr>
          <w:p>
            <w:pPr>
              <w:ind w:left="40"/>
              <w:spacing w:after="0"/>
              <w:rPr>
                <w:sz w:val="20"/>
                <w:szCs w:val="20"/>
                <w:color w:val="auto"/>
              </w:rPr>
            </w:pPr>
            <w:r>
              <w:rPr>
                <w:rFonts w:ascii="Arial" w:cs="Arial" w:eastAsia="Arial" w:hAnsi="Arial"/>
                <w:sz w:val="13"/>
                <w:szCs w:val="13"/>
                <w:color w:val="auto"/>
              </w:rPr>
              <w:t>Place</w:t>
            </w:r>
          </w:p>
        </w:tc>
        <w:tc>
          <w:tcPr>
            <w:tcW w:w="44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3"/>
                <w:szCs w:val="13"/>
                <w:color w:val="auto"/>
              </w:rPr>
              <w:t>GameTime / Restoration Hardware Outlet</w:t>
            </w:r>
          </w:p>
        </w:tc>
      </w:tr>
      <w:tr>
        <w:trPr>
          <w:trHeight w:val="156"/>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Tower Shops</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Miami-Ft Lauderdale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2011/2014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96,170</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21.80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12,000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Best Buy / DSW / Old Navy / Ross Dress For</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 / TJ Maxx / Ulta</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60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386,412</w:t>
            </w:r>
          </w:p>
        </w:tc>
        <w:tc>
          <w:tcPr>
            <w:tcW w:w="6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w w:val="96"/>
              </w:rPr>
              <w:t>1,355,000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580" w:type="dxa"/>
            <w:vAlign w:val="bottom"/>
          </w:tcPr>
          <w:p>
            <w:pPr>
              <w:jc w:val="right"/>
              <w:spacing w:after="0"/>
              <w:rPr>
                <w:sz w:val="20"/>
                <w:szCs w:val="20"/>
                <w:color w:val="auto"/>
              </w:rPr>
            </w:pPr>
            <w:r>
              <w:rPr>
                <w:rFonts w:ascii="Arial" w:cs="Arial" w:eastAsia="Arial" w:hAnsi="Arial"/>
                <w:sz w:val="13"/>
                <w:szCs w:val="13"/>
                <w:color w:val="auto"/>
              </w:rPr>
              <w:t>86%</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23.10</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20" w:type="dxa"/>
            <w:vAlign w:val="bottom"/>
          </w:tcPr>
          <w:p>
            <w:pPr>
              <w:spacing w:after="0"/>
              <w:rPr>
                <w:sz w:val="7"/>
                <w:szCs w:val="7"/>
                <w:color w:val="auto"/>
              </w:rPr>
            </w:pPr>
          </w:p>
        </w:tc>
      </w:tr>
      <w:tr>
        <w:trPr>
          <w:trHeight w:val="122"/>
        </w:trPr>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r>
      <w:tr>
        <w:trPr>
          <w:trHeight w:val="149"/>
        </w:trPr>
        <w:tc>
          <w:tcPr>
            <w:tcW w:w="40" w:type="dxa"/>
            <w:vAlign w:val="bottom"/>
          </w:tcPr>
          <w:p>
            <w:pPr>
              <w:spacing w:after="0"/>
              <w:rPr>
                <w:sz w:val="12"/>
                <w:szCs w:val="12"/>
                <w:color w:val="auto"/>
              </w:rPr>
            </w:pPr>
          </w:p>
        </w:tc>
        <w:tc>
          <w:tcPr>
            <w:tcW w:w="1300" w:type="dxa"/>
            <w:vAlign w:val="bottom"/>
            <w:gridSpan w:val="6"/>
          </w:tcPr>
          <w:p>
            <w:pPr>
              <w:ind w:left="60"/>
              <w:spacing w:after="0"/>
              <w:rPr>
                <w:sz w:val="20"/>
                <w:szCs w:val="20"/>
                <w:color w:val="auto"/>
              </w:rPr>
            </w:pPr>
            <w:r>
              <w:rPr>
                <w:rFonts w:ascii="Arial" w:cs="Arial" w:eastAsia="Arial" w:hAnsi="Arial"/>
                <w:sz w:val="13"/>
                <w:szCs w:val="13"/>
                <w:b w:val="1"/>
                <w:bCs w:val="1"/>
                <w:color w:val="auto"/>
              </w:rPr>
              <w:t>Baltimore</w:t>
            </w: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20" w:type="dxa"/>
            <w:vAlign w:val="bottom"/>
          </w:tcPr>
          <w:p>
            <w:pPr>
              <w:spacing w:after="0"/>
              <w:rPr>
                <w:sz w:val="8"/>
                <w:szCs w:val="8"/>
                <w:color w:val="auto"/>
              </w:rPr>
            </w:pPr>
          </w:p>
        </w:tc>
      </w:tr>
      <w:tr>
        <w:trPr>
          <w:trHeight w:val="173"/>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Governor Plaza</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27,374</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19.56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16,500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Dick’s Sporting Goods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620" w:type="dxa"/>
            <w:vAlign w:val="bottom"/>
            <w:shd w:val="clear" w:color="auto" w:fill="CCEEFF"/>
          </w:tcPr>
          <w:p>
            <w:pPr>
              <w:spacing w:after="0"/>
              <w:rPr>
                <w:sz w:val="8"/>
                <w:szCs w:val="8"/>
                <w:color w:val="auto"/>
              </w:rPr>
            </w:pPr>
          </w:p>
        </w:tc>
      </w:tr>
      <w:tr>
        <w:trPr>
          <w:trHeight w:val="148"/>
        </w:trPr>
        <w:tc>
          <w:tcPr>
            <w:tcW w:w="13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Perring Plaza</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30,938</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14.44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620" w:type="dxa"/>
            <w:vAlign w:val="bottom"/>
          </w:tcPr>
          <w:p>
            <w:pPr>
              <w:ind w:left="60"/>
              <w:spacing w:after="0" w:line="148" w:lineRule="exact"/>
              <w:rPr>
                <w:sz w:val="20"/>
                <w:szCs w:val="20"/>
                <w:color w:val="auto"/>
              </w:rPr>
            </w:pPr>
            <w:r>
              <w:rPr>
                <w:rFonts w:ascii="Arial" w:cs="Arial" w:eastAsia="Arial" w:hAnsi="Arial"/>
                <w:sz w:val="13"/>
                <w:szCs w:val="13"/>
                <w:color w:val="auto"/>
                <w:w w:val="93"/>
              </w:rPr>
              <w:t>Home Depot / Burlington Coat Factory / Jo-Ann</w:t>
            </w: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620" w:type="dxa"/>
            <w:vAlign w:val="bottom"/>
          </w:tcPr>
          <w:p>
            <w:pPr>
              <w:ind w:left="60"/>
              <w:spacing w:after="0" w:line="135" w:lineRule="exact"/>
              <w:rPr>
                <w:sz w:val="20"/>
                <w:szCs w:val="20"/>
                <w:color w:val="auto"/>
              </w:rPr>
            </w:pPr>
            <w:r>
              <w:rPr>
                <w:rFonts w:ascii="Arial" w:cs="Arial" w:eastAsia="Arial" w:hAnsi="Arial"/>
                <w:sz w:val="13"/>
                <w:szCs w:val="13"/>
                <w:color w:val="auto"/>
              </w:rPr>
              <w:t>Stores / Micro Center</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2620" w:type="dxa"/>
            <w:vAlign w:val="bottom"/>
          </w:tcPr>
          <w:p>
            <w:pPr>
              <w:spacing w:after="0"/>
              <w:rPr>
                <w:sz w:val="14"/>
                <w:szCs w:val="14"/>
                <w:color w:val="auto"/>
              </w:rPr>
            </w:pPr>
          </w:p>
        </w:tc>
      </w:tr>
      <w:tr>
        <w:trPr>
          <w:trHeight w:val="156"/>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5"/>
              </w:rPr>
              <w:t>THE AVENUE at White</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106,075</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52,705</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24.27</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3"/>
              </w:rPr>
              <w:t>AMC Loews / Old Navy / Barnes &amp; Noble / A.C.</w:t>
            </w:r>
          </w:p>
        </w:tc>
      </w:tr>
      <w:tr>
        <w:trPr>
          <w:trHeight w:val="176"/>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Marsh</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Moore / Ulta</w:t>
            </w:r>
          </w:p>
        </w:tc>
      </w:tr>
      <w:tr>
        <w:trPr>
          <w:trHeight w:val="148"/>
        </w:trPr>
        <w:tc>
          <w:tcPr>
            <w:tcW w:w="13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The Shoppes at</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17,460</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49.25</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spacing w:after="0"/>
              <w:rPr>
                <w:sz w:val="12"/>
                <w:szCs w:val="12"/>
                <w:color w:val="auto"/>
              </w:rPr>
            </w:pPr>
          </w:p>
        </w:tc>
      </w:tr>
      <w:tr>
        <w:trPr>
          <w:trHeight w:val="168"/>
        </w:trPr>
        <w:tc>
          <w:tcPr>
            <w:tcW w:w="1340" w:type="dxa"/>
            <w:vAlign w:val="bottom"/>
            <w:gridSpan w:val="7"/>
          </w:tcPr>
          <w:p>
            <w:pPr>
              <w:ind w:left="40"/>
              <w:spacing w:after="0"/>
              <w:rPr>
                <w:sz w:val="20"/>
                <w:szCs w:val="20"/>
                <w:color w:val="auto"/>
              </w:rPr>
            </w:pPr>
            <w:r>
              <w:rPr>
                <w:rFonts w:ascii="Arial" w:cs="Arial" w:eastAsia="Arial" w:hAnsi="Arial"/>
                <w:sz w:val="13"/>
                <w:szCs w:val="13"/>
                <w:color w:val="auto"/>
              </w:rPr>
              <w:t>Nottingham Square</w:t>
            </w: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81"/>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White Marsh Plaza</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25,228</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6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620" w:type="dxa"/>
            <w:vAlign w:val="bottom"/>
            <w:shd w:val="clear" w:color="auto" w:fill="CCEEFF"/>
          </w:tcPr>
          <w:p>
            <w:pPr>
              <w:spacing w:after="0"/>
              <w:rPr>
                <w:sz w:val="8"/>
                <w:szCs w:val="8"/>
                <w:color w:val="auto"/>
              </w:rPr>
            </w:pPr>
          </w:p>
        </w:tc>
      </w:tr>
      <w:tr>
        <w:trPr>
          <w:trHeight w:val="173"/>
        </w:trPr>
        <w:tc>
          <w:tcPr>
            <w:tcW w:w="1340" w:type="dxa"/>
            <w:vAlign w:val="bottom"/>
            <w:gridSpan w:val="7"/>
          </w:tcPr>
          <w:p>
            <w:pPr>
              <w:ind w:left="40"/>
              <w:spacing w:after="0"/>
              <w:rPr>
                <w:sz w:val="20"/>
                <w:szCs w:val="20"/>
                <w:color w:val="auto"/>
              </w:rPr>
            </w:pPr>
            <w:r>
              <w:rPr>
                <w:rFonts w:ascii="Arial" w:cs="Arial" w:eastAsia="Arial" w:hAnsi="Arial"/>
                <w:sz w:val="13"/>
                <w:szCs w:val="13"/>
                <w:color w:val="auto"/>
              </w:rPr>
              <w:t>White Marsh Other</w:t>
            </w:r>
          </w:p>
        </w:tc>
        <w:tc>
          <w:tcPr>
            <w:tcW w:w="44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600" w:type="dxa"/>
            <w:vAlign w:val="bottom"/>
          </w:tcPr>
          <w:p>
            <w:pPr>
              <w:jc w:val="right"/>
              <w:spacing w:after="0"/>
              <w:rPr>
                <w:sz w:val="20"/>
                <w:szCs w:val="20"/>
                <w:color w:val="auto"/>
              </w:rPr>
            </w:pPr>
            <w:r>
              <w:rPr>
                <w:rFonts w:ascii="Arial" w:cs="Arial" w:eastAsia="Arial" w:hAnsi="Arial"/>
                <w:sz w:val="13"/>
                <w:szCs w:val="13"/>
                <w:color w:val="auto"/>
              </w:rPr>
              <w:t>2007</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44,556</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31.49</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500" w:type="dxa"/>
            <w:vAlign w:val="bottom"/>
            <w:tcBorders>
              <w:bottom w:val="single" w:sz="8" w:color="CCEEFF"/>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26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Baltimore</w:t>
            </w:r>
          </w:p>
        </w:tc>
        <w:tc>
          <w:tcPr>
            <w:tcW w:w="6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251,631</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1,134,000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20.77</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620" w:type="dxa"/>
            <w:vAlign w:val="bottom"/>
            <w:shd w:val="clear" w:color="auto" w:fill="CCEEFF"/>
          </w:tcPr>
          <w:p>
            <w:pPr>
              <w:spacing w:after="0"/>
              <w:rPr>
                <w:sz w:val="7"/>
                <w:szCs w:val="7"/>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20" w:type="dxa"/>
            <w:vAlign w:val="bottom"/>
          </w:tcPr>
          <w:p>
            <w:pPr>
              <w:spacing w:after="0"/>
              <w:rPr>
                <w:sz w:val="10"/>
                <w:szCs w:val="10"/>
                <w:color w:val="auto"/>
              </w:rPr>
            </w:pPr>
          </w:p>
        </w:tc>
      </w:tr>
      <w:tr>
        <w:trPr>
          <w:trHeight w:val="149"/>
        </w:trPr>
        <w:tc>
          <w:tcPr>
            <w:tcW w:w="40" w:type="dxa"/>
            <w:vAlign w:val="bottom"/>
            <w:shd w:val="clear" w:color="auto" w:fill="CCEEFF"/>
          </w:tcPr>
          <w:p>
            <w:pPr>
              <w:spacing w:after="0"/>
              <w:rPr>
                <w:sz w:val="12"/>
                <w:szCs w:val="12"/>
                <w:color w:val="auto"/>
              </w:rPr>
            </w:pPr>
          </w:p>
        </w:tc>
        <w:tc>
          <w:tcPr>
            <w:tcW w:w="130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620" w:type="dxa"/>
            <w:vAlign w:val="bottom"/>
            <w:tcBorders>
              <w:top w:val="single" w:sz="8" w:color="CCEEFF"/>
            </w:tcBorders>
            <w:shd w:val="clear" w:color="auto" w:fill="CCEEFF"/>
          </w:tcPr>
          <w:p>
            <w:pPr>
              <w:spacing w:after="0"/>
              <w:rPr>
                <w:sz w:val="8"/>
                <w:szCs w:val="8"/>
                <w:color w:val="auto"/>
              </w:rPr>
            </w:pPr>
          </w:p>
        </w:tc>
      </w:tr>
      <w:tr>
        <w:trPr>
          <w:trHeight w:val="173"/>
        </w:trPr>
        <w:tc>
          <w:tcPr>
            <w:tcW w:w="1340" w:type="dxa"/>
            <w:vAlign w:val="bottom"/>
            <w:gridSpan w:val="7"/>
          </w:tcPr>
          <w:p>
            <w:pPr>
              <w:ind w:left="40"/>
              <w:spacing w:after="0"/>
              <w:rPr>
                <w:sz w:val="20"/>
                <w:szCs w:val="20"/>
                <w:color w:val="auto"/>
              </w:rPr>
            </w:pPr>
            <w:r>
              <w:rPr>
                <w:rFonts w:ascii="Arial" w:cs="Arial" w:eastAsia="Arial" w:hAnsi="Arial"/>
                <w:sz w:val="13"/>
                <w:szCs w:val="13"/>
                <w:color w:val="auto"/>
              </w:rPr>
              <w:t>Crossroads</w:t>
            </w:r>
          </w:p>
        </w:tc>
        <w:tc>
          <w:tcPr>
            <w:tcW w:w="44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Chicago, IL</w:t>
            </w:r>
          </w:p>
        </w:tc>
        <w:tc>
          <w:tcPr>
            <w:tcW w:w="60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32,125</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168,000</w:t>
            </w:r>
          </w:p>
        </w:tc>
        <w:tc>
          <w:tcPr>
            <w:tcW w:w="500" w:type="dxa"/>
            <w:vAlign w:val="bottom"/>
          </w:tcPr>
          <w:p>
            <w:pPr>
              <w:jc w:val="right"/>
              <w:spacing w:after="0"/>
              <w:rPr>
                <w:sz w:val="20"/>
                <w:szCs w:val="20"/>
                <w:color w:val="auto"/>
              </w:rPr>
            </w:pPr>
            <w:r>
              <w:rPr>
                <w:rFonts w:ascii="Arial" w:cs="Arial" w:eastAsia="Arial" w:hAnsi="Arial"/>
                <w:sz w:val="13"/>
                <w:szCs w:val="13"/>
                <w:color w:val="auto"/>
              </w:rPr>
              <w:t>88%</w:t>
            </w:r>
          </w:p>
        </w:tc>
        <w:tc>
          <w:tcPr>
            <w:tcW w:w="580" w:type="dxa"/>
            <w:vAlign w:val="bottom"/>
          </w:tcPr>
          <w:p>
            <w:pPr>
              <w:jc w:val="right"/>
              <w:spacing w:after="0"/>
              <w:rPr>
                <w:sz w:val="20"/>
                <w:szCs w:val="20"/>
                <w:color w:val="auto"/>
              </w:rPr>
            </w:pPr>
            <w:r>
              <w:rPr>
                <w:rFonts w:ascii="Arial" w:cs="Arial" w:eastAsia="Arial" w:hAnsi="Arial"/>
                <w:sz w:val="13"/>
                <w:szCs w:val="13"/>
                <w:color w:val="auto"/>
              </w:rPr>
              <w:t>88%</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22.14</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20" w:type="dxa"/>
            <w:vAlign w:val="bottom"/>
          </w:tcPr>
          <w:p>
            <w:pPr>
              <w:ind w:left="60"/>
              <w:spacing w:after="0"/>
              <w:rPr>
                <w:sz w:val="20"/>
                <w:szCs w:val="20"/>
                <w:color w:val="auto"/>
              </w:rPr>
            </w:pPr>
            <w:r>
              <w:rPr>
                <w:rFonts w:ascii="Arial" w:cs="Arial" w:eastAsia="Arial" w:hAnsi="Arial"/>
                <w:sz w:val="13"/>
                <w:szCs w:val="13"/>
                <w:color w:val="auto"/>
              </w:rPr>
              <w:t>Binny's / Guitar Center / L.A. Fitness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20" w:type="dxa"/>
            <w:vAlign w:val="bottom"/>
          </w:tcPr>
          <w:p>
            <w:pPr>
              <w:spacing w:after="0"/>
              <w:rPr>
                <w:sz w:val="8"/>
                <w:szCs w:val="8"/>
                <w:color w:val="auto"/>
              </w:rPr>
            </w:pPr>
          </w:p>
        </w:tc>
      </w:tr>
      <w:tr>
        <w:trPr>
          <w:trHeight w:val="148"/>
        </w:trPr>
        <w:tc>
          <w:tcPr>
            <w:tcW w:w="134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3"/>
                <w:szCs w:val="13"/>
                <w:color w:val="auto"/>
              </w:rPr>
              <w:t>Finley Square</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Chicago, IL</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36,791</w:t>
            </w: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316,000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12.67</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0"/>
              </w:rPr>
              <w:t>Bed, Bath &amp; Beyond / Buy Buy Baby / Petsmart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Michaels</w:t>
            </w:r>
          </w:p>
        </w:tc>
      </w:tr>
      <w:tr>
        <w:trPr>
          <w:trHeight w:val="148"/>
        </w:trPr>
        <w:tc>
          <w:tcPr>
            <w:tcW w:w="13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Garden Market</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Chicago, IL</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13,595</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12.85</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Mariano's</w:t>
            </w:r>
          </w:p>
        </w:tc>
        <w:tc>
          <w:tcPr>
            <w:tcW w:w="2620" w:type="dxa"/>
            <w:vAlign w:val="bottom"/>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w w:val="93"/>
              </w:rPr>
              <w:t>Fresh Market</w:t>
            </w:r>
          </w:p>
        </w:tc>
        <w:tc>
          <w:tcPr>
            <w:tcW w:w="2620" w:type="dxa"/>
            <w:vAlign w:val="bottom"/>
          </w:tcPr>
          <w:p>
            <w:pPr>
              <w:spacing w:after="0"/>
              <w:rPr>
                <w:sz w:val="14"/>
                <w:szCs w:val="14"/>
                <w:color w:val="auto"/>
              </w:rPr>
            </w:pPr>
          </w:p>
        </w:tc>
      </w:tr>
      <w:tr>
        <w:trPr>
          <w:trHeight w:val="181"/>
        </w:trPr>
        <w:tc>
          <w:tcPr>
            <w:tcW w:w="13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North Lake Commons</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Chicago, IL</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17,024</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77,000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Jewel Osco</w:t>
            </w:r>
          </w:p>
        </w:tc>
        <w:tc>
          <w:tcPr>
            <w:tcW w:w="26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62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3"/>
                <w:szCs w:val="13"/>
                <w:b w:val="1"/>
                <w:bCs w:val="1"/>
                <w:color w:val="auto"/>
              </w:rPr>
              <w:t>Total Chicago</w:t>
            </w:r>
          </w:p>
        </w:tc>
        <w:tc>
          <w:tcPr>
            <w:tcW w:w="60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99,535</w:t>
            </w:r>
          </w:p>
        </w:tc>
        <w:tc>
          <w:tcPr>
            <w:tcW w:w="6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753,000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14.55</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20" w:type="dxa"/>
            <w:vAlign w:val="bottom"/>
          </w:tcPr>
          <w:p>
            <w:pPr>
              <w:spacing w:after="0"/>
              <w:rPr>
                <w:sz w:val="7"/>
                <w:szCs w:val="7"/>
                <w:color w:val="auto"/>
              </w:rPr>
            </w:pPr>
          </w:p>
        </w:tc>
      </w:tr>
      <w:tr>
        <w:trPr>
          <w:trHeight w:val="122"/>
        </w:trPr>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r>
      <w:tr>
        <w:trPr>
          <w:trHeight w:val="149"/>
        </w:trPr>
        <w:tc>
          <w:tcPr>
            <w:tcW w:w="40" w:type="dxa"/>
            <w:vAlign w:val="bottom"/>
          </w:tcPr>
          <w:p>
            <w:pPr>
              <w:spacing w:after="0"/>
              <w:rPr>
                <w:sz w:val="12"/>
                <w:szCs w:val="12"/>
                <w:color w:val="auto"/>
              </w:rPr>
            </w:pPr>
          </w:p>
        </w:tc>
        <w:tc>
          <w:tcPr>
            <w:tcW w:w="1300" w:type="dxa"/>
            <w:vAlign w:val="bottom"/>
            <w:gridSpan w:val="6"/>
          </w:tcPr>
          <w:p>
            <w:pPr>
              <w:ind w:left="60"/>
              <w:spacing w:after="0"/>
              <w:rPr>
                <w:sz w:val="20"/>
                <w:szCs w:val="20"/>
                <w:color w:val="auto"/>
              </w:rPr>
            </w:pPr>
            <w:r>
              <w:rPr>
                <w:rFonts w:ascii="Arial" w:cs="Arial" w:eastAsia="Arial" w:hAnsi="Arial"/>
                <w:sz w:val="13"/>
                <w:szCs w:val="13"/>
                <w:b w:val="1"/>
                <w:bCs w:val="1"/>
                <w:color w:val="auto"/>
              </w:rPr>
              <w:t>Other</w:t>
            </w: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20" w:type="dxa"/>
            <w:vAlign w:val="bottom"/>
          </w:tcPr>
          <w:p>
            <w:pPr>
              <w:spacing w:after="0"/>
              <w:rPr>
                <w:sz w:val="8"/>
                <w:szCs w:val="8"/>
                <w:color w:val="auto"/>
              </w:rPr>
            </w:pPr>
          </w:p>
        </w:tc>
      </w:tr>
      <w:tr>
        <w:trPr>
          <w:trHeight w:val="148"/>
        </w:trPr>
        <w:tc>
          <w:tcPr>
            <w:tcW w:w="134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3"/>
                <w:szCs w:val="13"/>
                <w:color w:val="auto"/>
              </w:rPr>
              <w:t>Barracks Road</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Charlottesville, VA</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63,800</w:t>
            </w: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498,000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26.36</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344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92"/>
              </w:rPr>
              <w:t>Harris Teeter / Anthropologie / Bed, Bath &amp; Beyond / Barnes &amp;</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Noble / Old Navy / Michaels / Ulta / Nike</w:t>
            </w:r>
          </w:p>
        </w:tc>
      </w:tr>
      <w:tr>
        <w:trPr>
          <w:trHeight w:val="173"/>
        </w:trPr>
        <w:tc>
          <w:tcPr>
            <w:tcW w:w="1340" w:type="dxa"/>
            <w:vAlign w:val="bottom"/>
            <w:gridSpan w:val="7"/>
          </w:tcPr>
          <w:p>
            <w:pPr>
              <w:ind w:left="40"/>
              <w:spacing w:after="0"/>
              <w:rPr>
                <w:sz w:val="20"/>
                <w:szCs w:val="20"/>
                <w:color w:val="auto"/>
              </w:rPr>
            </w:pPr>
            <w:r>
              <w:rPr>
                <w:rFonts w:ascii="Arial" w:cs="Arial" w:eastAsia="Arial" w:hAnsi="Arial"/>
                <w:sz w:val="13"/>
                <w:szCs w:val="13"/>
                <w:color w:val="auto"/>
              </w:rPr>
              <w:t>Bristol Plaza</w:t>
            </w:r>
          </w:p>
        </w:tc>
        <w:tc>
          <w:tcPr>
            <w:tcW w:w="44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Hartford, CT</w:t>
            </w:r>
          </w:p>
        </w:tc>
        <w:tc>
          <w:tcPr>
            <w:tcW w:w="60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30,778</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266,000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13.36</w:t>
            </w:r>
          </w:p>
        </w:tc>
        <w:tc>
          <w:tcPr>
            <w:tcW w:w="600" w:type="dxa"/>
            <w:vAlign w:val="bottom"/>
          </w:tcPr>
          <w:p>
            <w:pPr>
              <w:ind w:left="60"/>
              <w:spacing w:after="0"/>
              <w:rPr>
                <w:sz w:val="20"/>
                <w:szCs w:val="20"/>
                <w:color w:val="auto"/>
              </w:rPr>
            </w:pPr>
            <w:r>
              <w:rPr>
                <w:rFonts w:ascii="Arial" w:cs="Arial" w:eastAsia="Arial" w:hAnsi="Arial"/>
                <w:sz w:val="13"/>
                <w:szCs w:val="13"/>
                <w:color w:val="auto"/>
              </w:rPr>
              <w:t>74,000</w:t>
            </w:r>
          </w:p>
        </w:tc>
        <w:tc>
          <w:tcPr>
            <w:tcW w:w="820" w:type="dxa"/>
            <w:vAlign w:val="bottom"/>
          </w:tcPr>
          <w:p>
            <w:pPr>
              <w:ind w:left="80"/>
              <w:spacing w:after="0"/>
              <w:rPr>
                <w:sz w:val="20"/>
                <w:szCs w:val="20"/>
                <w:color w:val="auto"/>
              </w:rPr>
            </w:pPr>
            <w:r>
              <w:rPr>
                <w:rFonts w:ascii="Arial" w:cs="Arial" w:eastAsia="Arial" w:hAnsi="Arial"/>
                <w:sz w:val="13"/>
                <w:szCs w:val="13"/>
                <w:color w:val="auto"/>
                <w:w w:val="98"/>
              </w:rPr>
              <w:t>Stop &amp; Shop</w:t>
            </w:r>
          </w:p>
        </w:tc>
        <w:tc>
          <w:tcPr>
            <w:tcW w:w="2620" w:type="dxa"/>
            <w:vAlign w:val="bottom"/>
          </w:tcPr>
          <w:p>
            <w:pPr>
              <w:ind w:left="60"/>
              <w:spacing w:after="0"/>
              <w:rPr>
                <w:sz w:val="20"/>
                <w:szCs w:val="20"/>
                <w:color w:val="auto"/>
              </w:rPr>
            </w:pPr>
            <w:r>
              <w:rPr>
                <w:rFonts w:ascii="Arial" w:cs="Arial" w:eastAsia="Arial" w:hAnsi="Arial"/>
                <w:sz w:val="13"/>
                <w:szCs w:val="13"/>
                <w:color w:val="auto"/>
              </w:rPr>
              <w:t>TJ Maxx</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47" w:right="23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135"/>
        </w:trPr>
        <w:tc>
          <w:tcPr>
            <w:tcW w:w="1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35"/>
        </w:trPr>
        <w:tc>
          <w:tcPr>
            <w:tcW w:w="1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35"/>
        </w:trPr>
        <w:tc>
          <w:tcPr>
            <w:tcW w:w="1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7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35"/>
        </w:trPr>
        <w:tc>
          <w:tcPr>
            <w:tcW w:w="1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8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Rent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78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580" w:type="dxa"/>
            <w:vAlign w:val="bottom"/>
          </w:tcPr>
          <w:p>
            <w:pPr>
              <w:spacing w:after="0"/>
              <w:rPr>
                <w:sz w:val="11"/>
                <w:szCs w:val="11"/>
                <w:color w:val="auto"/>
              </w:rPr>
            </w:pPr>
          </w:p>
        </w:tc>
      </w:tr>
      <w:tr>
        <w:trPr>
          <w:trHeight w:val="174"/>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Property Name</w:t>
            </w:r>
          </w:p>
        </w:tc>
        <w:tc>
          <w:tcPr>
            <w:tcW w:w="194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Occupied</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5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1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36"/>
        </w:trPr>
        <w:tc>
          <w:tcPr>
            <w:tcW w:w="1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22"/>
        </w:trPr>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48"/>
        </w:trPr>
        <w:tc>
          <w:tcPr>
            <w:tcW w:w="1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Eastgate Crossing</w:t>
            </w:r>
          </w:p>
        </w:tc>
        <w:tc>
          <w:tcPr>
            <w:tcW w:w="1940" w:type="dxa"/>
            <w:vAlign w:val="bottom"/>
            <w:shd w:val="clear" w:color="auto" w:fill="CCEEFF"/>
          </w:tcPr>
          <w:p>
            <w:pPr>
              <w:ind w:left="560"/>
              <w:spacing w:after="0" w:line="148" w:lineRule="exact"/>
              <w:rPr>
                <w:sz w:val="20"/>
                <w:szCs w:val="20"/>
                <w:color w:val="auto"/>
              </w:rPr>
            </w:pPr>
            <w:r>
              <w:rPr>
                <w:rFonts w:ascii="Arial" w:cs="Arial" w:eastAsia="Arial" w:hAnsi="Arial"/>
                <w:sz w:val="13"/>
                <w:szCs w:val="13"/>
                <w:color w:val="auto"/>
                <w:w w:val="97"/>
              </w:rPr>
              <w:t>Raleigh-Durham-Chapel</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31,030</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24.25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7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4"/>
              </w:rPr>
              <w:t>Trader Joe's</w:t>
            </w:r>
          </w:p>
        </w:tc>
        <w:tc>
          <w:tcPr>
            <w:tcW w:w="25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Stein Mart / Ulta</w:t>
            </w:r>
          </w:p>
        </w:tc>
      </w:tr>
      <w:tr>
        <w:trPr>
          <w:trHeight w:val="176"/>
        </w:trPr>
        <w:tc>
          <w:tcPr>
            <w:tcW w:w="1200" w:type="dxa"/>
            <w:vAlign w:val="bottom"/>
            <w:shd w:val="clear" w:color="auto" w:fill="CCEEFF"/>
          </w:tcPr>
          <w:p>
            <w:pPr>
              <w:spacing w:after="0"/>
              <w:rPr>
                <w:sz w:val="15"/>
                <w:szCs w:val="15"/>
                <w:color w:val="auto"/>
              </w:rPr>
            </w:pPr>
          </w:p>
        </w:tc>
        <w:tc>
          <w:tcPr>
            <w:tcW w:w="1940" w:type="dxa"/>
            <w:vAlign w:val="bottom"/>
            <w:shd w:val="clear" w:color="auto" w:fill="CCEEFF"/>
          </w:tcPr>
          <w:p>
            <w:pPr>
              <w:ind w:left="560"/>
              <w:spacing w:after="0"/>
              <w:rPr>
                <w:sz w:val="20"/>
                <w:szCs w:val="20"/>
                <w:color w:val="auto"/>
              </w:rPr>
            </w:pPr>
            <w:r>
              <w:rPr>
                <w:rFonts w:ascii="Arial" w:cs="Arial" w:eastAsia="Arial" w:hAnsi="Arial"/>
                <w:sz w:val="13"/>
                <w:szCs w:val="13"/>
                <w:color w:val="auto"/>
              </w:rPr>
              <w:t>Hill, NC</w:t>
            </w:r>
          </w:p>
        </w:tc>
        <w:tc>
          <w:tcPr>
            <w:tcW w:w="6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r>
      <w:tr>
        <w:trPr>
          <w:trHeight w:val="173"/>
        </w:trPr>
        <w:tc>
          <w:tcPr>
            <w:tcW w:w="1200" w:type="dxa"/>
            <w:vAlign w:val="bottom"/>
          </w:tcPr>
          <w:p>
            <w:pPr>
              <w:ind w:left="40"/>
              <w:spacing w:after="0"/>
              <w:rPr>
                <w:sz w:val="20"/>
                <w:szCs w:val="20"/>
                <w:color w:val="auto"/>
              </w:rPr>
            </w:pPr>
            <w:r>
              <w:rPr>
                <w:rFonts w:ascii="Arial" w:cs="Arial" w:eastAsia="Arial" w:hAnsi="Arial"/>
                <w:sz w:val="13"/>
                <w:szCs w:val="13"/>
                <w:color w:val="auto"/>
              </w:rPr>
              <w:t>Gratiot Plaza</w:t>
            </w:r>
          </w:p>
        </w:tc>
        <w:tc>
          <w:tcPr>
            <w:tcW w:w="1940" w:type="dxa"/>
            <w:vAlign w:val="bottom"/>
          </w:tcPr>
          <w:p>
            <w:pPr>
              <w:ind w:left="560"/>
              <w:spacing w:after="0"/>
              <w:rPr>
                <w:sz w:val="20"/>
                <w:szCs w:val="20"/>
                <w:color w:val="auto"/>
              </w:rPr>
            </w:pPr>
            <w:r>
              <w:rPr>
                <w:rFonts w:ascii="Arial" w:cs="Arial" w:eastAsia="Arial" w:hAnsi="Arial"/>
                <w:sz w:val="13"/>
                <w:szCs w:val="13"/>
                <w:color w:val="auto"/>
              </w:rPr>
              <w:t>Detroit, MI</w:t>
            </w:r>
          </w:p>
        </w:tc>
        <w:tc>
          <w:tcPr>
            <w:tcW w:w="600" w:type="dxa"/>
            <w:vAlign w:val="bottom"/>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19,820</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217,000</w:t>
            </w:r>
          </w:p>
        </w:tc>
        <w:tc>
          <w:tcPr>
            <w:tcW w:w="54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right"/>
              <w:spacing w:after="0"/>
              <w:rPr>
                <w:sz w:val="20"/>
                <w:szCs w:val="20"/>
                <w:color w:val="auto"/>
              </w:rPr>
            </w:pPr>
            <w:r>
              <w:rPr>
                <w:rFonts w:ascii="Arial" w:cs="Arial" w:eastAsia="Arial" w:hAnsi="Arial"/>
                <w:sz w:val="13"/>
                <w:szCs w:val="13"/>
                <w:color w:val="auto"/>
              </w:rPr>
              <w:t>100%</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12.04</w:t>
            </w:r>
          </w:p>
        </w:tc>
        <w:tc>
          <w:tcPr>
            <w:tcW w:w="600" w:type="dxa"/>
            <w:vAlign w:val="bottom"/>
          </w:tcPr>
          <w:p>
            <w:pPr>
              <w:ind w:left="60"/>
              <w:spacing w:after="0"/>
              <w:rPr>
                <w:sz w:val="20"/>
                <w:szCs w:val="20"/>
                <w:color w:val="auto"/>
              </w:rPr>
            </w:pPr>
            <w:r>
              <w:rPr>
                <w:rFonts w:ascii="Arial" w:cs="Arial" w:eastAsia="Arial" w:hAnsi="Arial"/>
                <w:sz w:val="13"/>
                <w:szCs w:val="13"/>
                <w:color w:val="auto"/>
              </w:rPr>
              <w:t>69,000</w:t>
            </w:r>
          </w:p>
        </w:tc>
        <w:tc>
          <w:tcPr>
            <w:tcW w:w="780" w:type="dxa"/>
            <w:vAlign w:val="bottom"/>
          </w:tcPr>
          <w:p>
            <w:pPr>
              <w:ind w:left="80"/>
              <w:spacing w:after="0"/>
              <w:rPr>
                <w:sz w:val="20"/>
                <w:szCs w:val="20"/>
                <w:color w:val="auto"/>
              </w:rPr>
            </w:pPr>
            <w:r>
              <w:rPr>
                <w:rFonts w:ascii="Arial" w:cs="Arial" w:eastAsia="Arial" w:hAnsi="Arial"/>
                <w:sz w:val="13"/>
                <w:szCs w:val="13"/>
                <w:color w:val="auto"/>
              </w:rPr>
              <w:t>Kroger</w:t>
            </w:r>
          </w:p>
        </w:tc>
        <w:tc>
          <w:tcPr>
            <w:tcW w:w="2580" w:type="dxa"/>
            <w:vAlign w:val="bottom"/>
          </w:tcPr>
          <w:p>
            <w:pPr>
              <w:ind w:left="80"/>
              <w:spacing w:after="0"/>
              <w:rPr>
                <w:sz w:val="20"/>
                <w:szCs w:val="20"/>
                <w:color w:val="auto"/>
              </w:rPr>
            </w:pPr>
            <w:r>
              <w:rPr>
                <w:rFonts w:ascii="Arial" w:cs="Arial" w:eastAsia="Arial" w:hAnsi="Arial"/>
                <w:sz w:val="13"/>
                <w:szCs w:val="13"/>
                <w:color w:val="auto"/>
              </w:rPr>
              <w:t>Bed, Bath &amp; Beyond / Best Buy / DSW</w:t>
            </w:r>
          </w:p>
        </w:tc>
      </w:tr>
      <w:tr>
        <w:trPr>
          <w:trHeight w:val="97"/>
        </w:trPr>
        <w:tc>
          <w:tcPr>
            <w:tcW w:w="12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580" w:type="dxa"/>
            <w:vAlign w:val="bottom"/>
          </w:tcPr>
          <w:p>
            <w:pPr>
              <w:spacing w:after="0"/>
              <w:rPr>
                <w:sz w:val="8"/>
                <w:szCs w:val="8"/>
                <w:color w:val="auto"/>
              </w:rPr>
            </w:pPr>
          </w:p>
        </w:tc>
      </w:tr>
      <w:tr>
        <w:trPr>
          <w:trHeight w:val="173"/>
        </w:trPr>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Lancaster</w:t>
            </w:r>
          </w:p>
        </w:tc>
        <w:tc>
          <w:tcPr>
            <w:tcW w:w="1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(7)   Lancaster, PA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13,862</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4,907</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127,000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17.82</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Michaels</w:t>
            </w:r>
          </w:p>
        </w:tc>
      </w:tr>
      <w:tr>
        <w:trPr>
          <w:trHeight w:val="97"/>
        </w:trPr>
        <w:tc>
          <w:tcPr>
            <w:tcW w:w="12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580" w:type="dxa"/>
            <w:vAlign w:val="bottom"/>
            <w:shd w:val="clear" w:color="auto" w:fill="CCEEFF"/>
          </w:tcPr>
          <w:p>
            <w:pPr>
              <w:spacing w:after="0"/>
              <w:rPr>
                <w:sz w:val="8"/>
                <w:szCs w:val="8"/>
                <w:color w:val="auto"/>
              </w:rPr>
            </w:pPr>
          </w:p>
        </w:tc>
      </w:tr>
      <w:tr>
        <w:trPr>
          <w:trHeight w:val="173"/>
        </w:trPr>
        <w:tc>
          <w:tcPr>
            <w:tcW w:w="1200" w:type="dxa"/>
            <w:vAlign w:val="bottom"/>
          </w:tcPr>
          <w:p>
            <w:pPr>
              <w:ind w:left="40"/>
              <w:spacing w:after="0"/>
              <w:rPr>
                <w:sz w:val="20"/>
                <w:szCs w:val="20"/>
                <w:color w:val="auto"/>
              </w:rPr>
            </w:pPr>
            <w:r>
              <w:rPr>
                <w:rFonts w:ascii="Arial" w:cs="Arial" w:eastAsia="Arial" w:hAnsi="Arial"/>
                <w:sz w:val="13"/>
                <w:szCs w:val="13"/>
                <w:color w:val="auto"/>
              </w:rPr>
              <w:t>29th Place</w:t>
            </w:r>
          </w:p>
        </w:tc>
        <w:tc>
          <w:tcPr>
            <w:tcW w:w="1940" w:type="dxa"/>
            <w:vAlign w:val="bottom"/>
          </w:tcPr>
          <w:p>
            <w:pPr>
              <w:ind w:left="560"/>
              <w:spacing w:after="0"/>
              <w:rPr>
                <w:sz w:val="20"/>
                <w:szCs w:val="20"/>
                <w:color w:val="auto"/>
              </w:rPr>
            </w:pPr>
            <w:r>
              <w:rPr>
                <w:rFonts w:ascii="Arial" w:cs="Arial" w:eastAsia="Arial" w:hAnsi="Arial"/>
                <w:sz w:val="13"/>
                <w:szCs w:val="13"/>
                <w:color w:val="auto"/>
              </w:rPr>
              <w:t>Charlottesville, VA</w:t>
            </w:r>
          </w:p>
        </w:tc>
        <w:tc>
          <w:tcPr>
            <w:tcW w:w="60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40,804</w:t>
            </w: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4,553</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169,000</w:t>
            </w:r>
          </w:p>
        </w:tc>
        <w:tc>
          <w:tcPr>
            <w:tcW w:w="54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spacing w:after="0"/>
              <w:rPr>
                <w:sz w:val="20"/>
                <w:szCs w:val="20"/>
                <w:color w:val="auto"/>
              </w:rPr>
            </w:pPr>
            <w:r>
              <w:rPr>
                <w:rFonts w:ascii="Arial" w:cs="Arial" w:eastAsia="Arial" w:hAnsi="Arial"/>
                <w:sz w:val="13"/>
                <w:szCs w:val="13"/>
                <w:color w:val="auto"/>
              </w:rPr>
              <w:t>97%</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17.80</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580" w:type="dxa"/>
            <w:vAlign w:val="bottom"/>
          </w:tcPr>
          <w:p>
            <w:pPr>
              <w:ind w:left="80"/>
              <w:spacing w:after="0"/>
              <w:rPr>
                <w:sz w:val="20"/>
                <w:szCs w:val="20"/>
                <w:color w:val="auto"/>
              </w:rPr>
            </w:pPr>
            <w:r>
              <w:rPr>
                <w:rFonts w:ascii="Arial" w:cs="Arial" w:eastAsia="Arial" w:hAnsi="Arial"/>
                <w:sz w:val="13"/>
                <w:szCs w:val="13"/>
                <w:color w:val="auto"/>
              </w:rPr>
              <w:t>DSW / HomeGoods / Staples / Stein Mart</w:t>
            </w:r>
          </w:p>
        </w:tc>
      </w:tr>
      <w:tr>
        <w:trPr>
          <w:trHeight w:val="97"/>
        </w:trPr>
        <w:tc>
          <w:tcPr>
            <w:tcW w:w="12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580" w:type="dxa"/>
            <w:vAlign w:val="bottom"/>
          </w:tcPr>
          <w:p>
            <w:pPr>
              <w:spacing w:after="0"/>
              <w:rPr>
                <w:sz w:val="8"/>
                <w:szCs w:val="8"/>
                <w:color w:val="auto"/>
              </w:rPr>
            </w:pPr>
          </w:p>
        </w:tc>
      </w:tr>
      <w:tr>
        <w:trPr>
          <w:trHeight w:val="173"/>
        </w:trPr>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Willow Lawn</w:t>
            </w:r>
          </w:p>
        </w:tc>
        <w:tc>
          <w:tcPr>
            <w:tcW w:w="1940" w:type="dxa"/>
            <w:vAlign w:val="bottom"/>
            <w:shd w:val="clear" w:color="auto" w:fill="CCEEFF"/>
          </w:tcPr>
          <w:p>
            <w:pPr>
              <w:ind w:left="560"/>
              <w:spacing w:after="0"/>
              <w:rPr>
                <w:sz w:val="20"/>
                <w:szCs w:val="20"/>
                <w:color w:val="auto"/>
              </w:rPr>
            </w:pPr>
            <w:r>
              <w:rPr>
                <w:rFonts w:ascii="Arial" w:cs="Arial" w:eastAsia="Arial" w:hAnsi="Arial"/>
                <w:sz w:val="13"/>
                <w:szCs w:val="13"/>
                <w:color w:val="auto"/>
                <w:w w:val="90"/>
              </w:rPr>
              <w:t>Richmond-Petersburg, VA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93,394</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462,000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18.64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w w:val="88"/>
              </w:rPr>
              <w:t>DSW / Old Navy / Staples / Ross Dress For Less</w:t>
            </w:r>
          </w:p>
        </w:tc>
      </w:tr>
      <w:tr>
        <w:trPr>
          <w:trHeight w:val="97"/>
        </w:trPr>
        <w:tc>
          <w:tcPr>
            <w:tcW w:w="12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580" w:type="dxa"/>
            <w:vAlign w:val="bottom"/>
            <w:shd w:val="clear" w:color="auto" w:fill="CCEEFF"/>
          </w:tcPr>
          <w:p>
            <w:pPr>
              <w:spacing w:after="0"/>
              <w:rPr>
                <w:sz w:val="8"/>
                <w:szCs w:val="8"/>
                <w:color w:val="auto"/>
              </w:rPr>
            </w:pPr>
          </w:p>
        </w:tc>
      </w:tr>
      <w:tr>
        <w:trPr>
          <w:trHeight w:val="167"/>
        </w:trPr>
        <w:tc>
          <w:tcPr>
            <w:tcW w:w="1200" w:type="dxa"/>
            <w:vAlign w:val="bottom"/>
          </w:tcPr>
          <w:p>
            <w:pPr>
              <w:spacing w:after="0"/>
              <w:rPr>
                <w:sz w:val="14"/>
                <w:szCs w:val="14"/>
                <w:color w:val="auto"/>
              </w:rPr>
            </w:pPr>
          </w:p>
        </w:tc>
        <w:tc>
          <w:tcPr>
            <w:tcW w:w="1940" w:type="dxa"/>
            <w:vAlign w:val="bottom"/>
          </w:tcPr>
          <w:p>
            <w:pPr>
              <w:ind w:left="560"/>
              <w:spacing w:after="0"/>
              <w:rPr>
                <w:sz w:val="20"/>
                <w:szCs w:val="20"/>
                <w:color w:val="auto"/>
              </w:rPr>
            </w:pPr>
            <w:r>
              <w:rPr>
                <w:rFonts w:ascii="Arial" w:cs="Arial" w:eastAsia="Arial" w:hAnsi="Arial"/>
                <w:sz w:val="13"/>
                <w:szCs w:val="13"/>
                <w:b w:val="1"/>
                <w:bCs w:val="1"/>
                <w:color w:val="auto"/>
              </w:rPr>
              <w:t>Total Other</w:t>
            </w:r>
          </w:p>
        </w:tc>
        <w:tc>
          <w:tcPr>
            <w:tcW w:w="600" w:type="dxa"/>
            <w:vAlign w:val="bottom"/>
          </w:tcPr>
          <w:p>
            <w:pPr>
              <w:spacing w:after="0"/>
              <w:rPr>
                <w:sz w:val="14"/>
                <w:szCs w:val="1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293,488</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1,892,000</w:t>
            </w:r>
          </w:p>
        </w:tc>
        <w:tc>
          <w:tcPr>
            <w:tcW w:w="54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jc w:val="right"/>
              <w:spacing w:after="0"/>
              <w:rPr>
                <w:sz w:val="20"/>
                <w:szCs w:val="20"/>
                <w:color w:val="auto"/>
              </w:rPr>
            </w:pPr>
            <w:r>
              <w:rPr>
                <w:rFonts w:ascii="Arial" w:cs="Arial" w:eastAsia="Arial" w:hAnsi="Arial"/>
                <w:sz w:val="13"/>
                <w:szCs w:val="13"/>
                <w:color w:val="auto"/>
              </w:rPr>
              <w:t>95%</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19.46</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84"/>
        </w:trPr>
        <w:tc>
          <w:tcPr>
            <w:tcW w:w="12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580" w:type="dxa"/>
            <w:vAlign w:val="bottom"/>
          </w:tcPr>
          <w:p>
            <w:pPr>
              <w:spacing w:after="0"/>
              <w:rPr>
                <w:sz w:val="7"/>
                <w:szCs w:val="7"/>
                <w:color w:val="auto"/>
              </w:rPr>
            </w:pPr>
          </w:p>
        </w:tc>
      </w:tr>
      <w:tr>
        <w:trPr>
          <w:trHeight w:val="176"/>
        </w:trPr>
        <w:tc>
          <w:tcPr>
            <w:tcW w:w="120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580" w:type="dxa"/>
            <w:vAlign w:val="bottom"/>
            <w:tcBorders>
              <w:bottom w:val="single" w:sz="8" w:color="auto"/>
            </w:tcBorders>
            <w:shd w:val="clear" w:color="auto" w:fill="CCEEFF"/>
          </w:tcPr>
          <w:p>
            <w:pPr>
              <w:spacing w:after="0"/>
              <w:rPr>
                <w:sz w:val="15"/>
                <w:szCs w:val="15"/>
                <w:color w:val="auto"/>
              </w:rPr>
            </w:pPr>
          </w:p>
        </w:tc>
      </w:tr>
      <w:tr>
        <w:trPr>
          <w:trHeight w:val="167"/>
        </w:trPr>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Grand Total</w:t>
            </w:r>
          </w:p>
        </w:tc>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b w:val="1"/>
                <w:bCs w:val="1"/>
                <w:color w:val="auto"/>
                <w:w w:val="87"/>
              </w:rPr>
              <w:t>$ 6,759,073</w:t>
            </w:r>
          </w:p>
        </w:tc>
        <w:tc>
          <w:tcPr>
            <w:tcW w:w="660" w:type="dxa"/>
            <w:vAlign w:val="bottom"/>
          </w:tcPr>
          <w:p>
            <w:pPr>
              <w:jc w:val="right"/>
              <w:ind w:right="39"/>
              <w:spacing w:after="0"/>
              <w:rPr>
                <w:sz w:val="20"/>
                <w:szCs w:val="20"/>
                <w:color w:val="auto"/>
              </w:rPr>
            </w:pPr>
            <w:r>
              <w:rPr>
                <w:rFonts w:ascii="Arial" w:cs="Arial" w:eastAsia="Arial" w:hAnsi="Arial"/>
                <w:sz w:val="13"/>
                <w:szCs w:val="13"/>
                <w:b w:val="1"/>
                <w:bCs w:val="1"/>
                <w:color w:val="auto"/>
                <w:w w:val="93"/>
              </w:rPr>
              <w:t>$ 537,895</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22,630,000</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94%</w:t>
            </w:r>
          </w:p>
        </w:tc>
        <w:tc>
          <w:tcPr>
            <w:tcW w:w="112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93% $ 26.91</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97"/>
        </w:trPr>
        <w:tc>
          <w:tcPr>
            <w:tcW w:w="120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340" w:right="240" w:hanging="1305"/>
        <w:spacing w:after="0" w:line="237" w:lineRule="auto"/>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mortgage or capital lease obligations differ from the total reported on the consolidated balance sheet due to the unamortized discount, premium, and/or debt issuance costs on certain mortgage payables.</w:t>
      </w:r>
    </w:p>
    <w:p>
      <w:pPr>
        <w:spacing w:after="0" w:line="28" w:lineRule="exact"/>
        <w:rPr>
          <w:rFonts w:ascii="Arial" w:cs="Arial" w:eastAsia="Arial" w:hAnsi="Arial"/>
          <w:sz w:val="13"/>
          <w:szCs w:val="13"/>
          <w:color w:val="auto"/>
        </w:rPr>
      </w:pPr>
    </w:p>
    <w:p>
      <w:pPr>
        <w:ind w:left="1340" w:hanging="1305"/>
        <w:spacing w:after="0"/>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spacing w:after="0" w:line="39" w:lineRule="exact"/>
        <w:rPr>
          <w:rFonts w:ascii="Arial" w:cs="Arial" w:eastAsia="Arial" w:hAnsi="Arial"/>
          <w:sz w:val="13"/>
          <w:szCs w:val="13"/>
          <w:color w:val="auto"/>
        </w:rPr>
      </w:pPr>
    </w:p>
    <w:p>
      <w:pPr>
        <w:ind w:left="1340" w:right="260" w:hanging="1305"/>
        <w:spacing w:after="0" w:line="237" w:lineRule="auto"/>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Calculated as the aggregate, annualized in-place contractual (defined as cash-basis excluding rent abatements) minimum rent for all occupied spaces divided by the aggregate GLA of all occupied spaces.</w:t>
      </w:r>
    </w:p>
    <w:p>
      <w:pPr>
        <w:spacing w:after="0" w:line="28" w:lineRule="exact"/>
        <w:rPr>
          <w:rFonts w:ascii="Arial" w:cs="Arial" w:eastAsia="Arial" w:hAnsi="Arial"/>
          <w:sz w:val="13"/>
          <w:szCs w:val="13"/>
          <w:color w:val="auto"/>
        </w:rPr>
      </w:pPr>
    </w:p>
    <w:p>
      <w:pPr>
        <w:ind w:left="1340" w:hanging="1305"/>
        <w:spacing w:after="0"/>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340" w:hanging="1305"/>
        <w:spacing w:after="0"/>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the Pike &amp; Rose and Assembly Row schedule.</w:t>
      </w:r>
    </w:p>
    <w:p>
      <w:pPr>
        <w:spacing w:after="0" w:line="39" w:lineRule="exact"/>
        <w:rPr>
          <w:rFonts w:ascii="Arial" w:cs="Arial" w:eastAsia="Arial" w:hAnsi="Arial"/>
          <w:sz w:val="13"/>
          <w:szCs w:val="13"/>
          <w:color w:val="auto"/>
        </w:rPr>
      </w:pPr>
    </w:p>
    <w:p>
      <w:pPr>
        <w:ind w:left="1340" w:right="500" w:hanging="1305"/>
        <w:spacing w:after="0" w:line="237" w:lineRule="auto"/>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340" w:hanging="1305"/>
        <w:spacing w:after="0"/>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All or a portion of property subject to capital lease obligation.</w:t>
      </w:r>
    </w:p>
    <w:p>
      <w:pPr>
        <w:spacing w:after="0" w:line="39" w:lineRule="exact"/>
        <w:rPr>
          <w:rFonts w:ascii="Arial" w:cs="Arial" w:eastAsia="Arial" w:hAnsi="Arial"/>
          <w:sz w:val="13"/>
          <w:szCs w:val="13"/>
          <w:color w:val="auto"/>
        </w:rPr>
      </w:pPr>
    </w:p>
    <w:p>
      <w:pPr>
        <w:ind w:left="1340" w:hanging="1305"/>
        <w:spacing w:after="0"/>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This property includes partial interests in eight buildings in addition to our initial acquisition.</w:t>
      </w:r>
    </w:p>
    <w:p>
      <w:pPr>
        <w:spacing w:after="0" w:line="39" w:lineRule="exact"/>
        <w:rPr>
          <w:rFonts w:ascii="Arial" w:cs="Arial" w:eastAsia="Arial" w:hAnsi="Arial"/>
          <w:sz w:val="13"/>
          <w:szCs w:val="13"/>
          <w:color w:val="auto"/>
        </w:rPr>
      </w:pPr>
    </w:p>
    <w:p>
      <w:pPr>
        <w:ind w:left="1340" w:right="320" w:hanging="1305"/>
        <w:spacing w:after="0" w:line="237" w:lineRule="auto"/>
        <w:tabs>
          <w:tab w:leader="none" w:pos="1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January 13, 2016, we acquired the 70% controlling interest in these properties and now own the properties 100%. The year acquired reflects the year we first acquired an equity interest in the property.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7"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2016</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2016</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274,622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37.10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1,325,040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9,874,657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35.96</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2016</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427,021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31.25</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$ 27.40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1,641,966</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15,287,078</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35.80</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2016</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372,778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38.21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$ 34.13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1,522,734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8,100,475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21.73</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2016</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398,820</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33.53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$ 29.67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1,541,181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12,405,156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31.10</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1,473,241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34.72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$ 30.63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6,030,921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45,667,366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31.00</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120" w:type="dxa"/>
            <w:vAlign w:val="bottom"/>
            <w:gridSpan w:val="8"/>
            <w:shd w:val="clear" w:color="auto" w:fill="CCEEFF"/>
          </w:tcPr>
          <w:p>
            <w:pPr>
              <w:spacing w:after="0"/>
              <w:rPr>
                <w:sz w:val="20"/>
                <w:szCs w:val="20"/>
                <w:color w:val="auto"/>
              </w:rPr>
            </w:pPr>
            <w:r>
              <w:rPr>
                <w:rFonts w:ascii="Arial" w:cs="Arial" w:eastAsia="Arial" w:hAnsi="Arial"/>
                <w:sz w:val="14"/>
                <w:szCs w:val="14"/>
                <w:b w:val="1"/>
                <w:bCs w:val="1"/>
                <w:color w:val="auto"/>
              </w:rPr>
              <w:t>New Lease Summary - Comparable (2)</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tcBorders>
              <w:top w:val="single" w:sz="8" w:color="CCEEFF"/>
            </w:tcBorders>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2016</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115,640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45.50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$ 34.45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1,278,167</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9,592,450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82.95</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2016</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168,213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35.12</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$ 28.99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1,030,672</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10,692,617</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63.57</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2016</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105,307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43.13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$ 34.97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858,882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7,235,818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68.71</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2016</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154,121</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31.02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$ 25.57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838,752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8,590,661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55.74</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543,281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37.72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$ 30.34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4,006,473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36,111,546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66.47</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120" w:type="dxa"/>
            <w:vAlign w:val="bottom"/>
            <w:gridSpan w:val="8"/>
            <w:shd w:val="clear" w:color="auto" w:fill="CCEEFF"/>
          </w:tcPr>
          <w:p>
            <w:pPr>
              <w:spacing w:after="0"/>
              <w:rPr>
                <w:sz w:val="20"/>
                <w:szCs w:val="20"/>
                <w:color w:val="auto"/>
              </w:rPr>
            </w:pPr>
            <w:r>
              <w:rPr>
                <w:rFonts w:ascii="Arial" w:cs="Arial" w:eastAsia="Arial" w:hAnsi="Arial"/>
                <w:sz w:val="14"/>
                <w:szCs w:val="14"/>
                <w:b w:val="1"/>
                <w:bCs w:val="1"/>
                <w:color w:val="auto"/>
              </w:rPr>
              <w:t>Renewal Lease Summary - Comparable (2) (8)</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tcBorders>
              <w:top w:val="single" w:sz="8" w:color="CCEEFF"/>
            </w:tcBorders>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2016</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158,982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30.99</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282,207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1.78</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2016</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258,808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28.74</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$ 26.37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611,294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4,594,461</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17.75</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2016</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267,471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36.28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663,852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864,657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3.23</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2016</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244,699</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35.12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$ 32.25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702,429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3,814,495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15.59</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929,960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32.97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$ 30.79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2,024,448</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9,555,820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10.28</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060" w:type="dxa"/>
            <w:vAlign w:val="bottom"/>
            <w:gridSpan w:val="11"/>
            <w:shd w:val="clear" w:color="auto" w:fill="CCEEFF"/>
          </w:tcPr>
          <w:p>
            <w:pPr>
              <w:spacing w:after="0"/>
              <w:rPr>
                <w:sz w:val="20"/>
                <w:szCs w:val="20"/>
                <w:color w:val="auto"/>
              </w:rPr>
            </w:pPr>
            <w:r>
              <w:rPr>
                <w:rFonts w:ascii="Arial" w:cs="Arial" w:eastAsia="Arial" w:hAnsi="Arial"/>
                <w:sz w:val="14"/>
                <w:szCs w:val="14"/>
                <w:b w:val="1"/>
                <w:bCs w:val="1"/>
                <w:color w:val="auto"/>
                <w:w w:val="95"/>
              </w:rPr>
              <w:t>Total Lease Summary - Comparable and Non-comparable (2) (9)</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560" w:type="dxa"/>
            <w:vAlign w:val="bottom"/>
            <w:gridSpan w:val="5"/>
          </w:tcPr>
          <w:p>
            <w:pPr>
              <w:ind w:left="38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2016</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347,604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38.25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11,290,441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32.48</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2016</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452,836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32.06</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17,575,645</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38.81</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2016</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467,364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35.66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9,864,863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21.11</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2016</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419,781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33.45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14,483,247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34.50</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3"/>
              </w:rPr>
              <w:t>1,687,585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34.68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53,214,196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31.53</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vMerge w:val="restart"/>
          </w:tcPr>
          <w:p>
            <w:pPr>
              <w:spacing w:after="0"/>
              <w:rPr>
                <w:sz w:val="20"/>
                <w:szCs w:val="20"/>
                <w:color w:val="auto"/>
              </w:rPr>
            </w:pPr>
            <w:r>
              <w:rPr>
                <w:rFonts w:ascii="Arial" w:cs="Arial" w:eastAsia="Arial" w:hAnsi="Arial"/>
                <w:sz w:val="14"/>
                <w:szCs w:val="14"/>
                <w:color w:val="auto"/>
                <w:w w:val="88"/>
              </w:rPr>
              <w:t>Notes:</w:t>
            </w:r>
          </w:p>
        </w:tc>
        <w:tc>
          <w:tcPr>
            <w:tcW w:w="10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0" w:type="dxa"/>
            <w:vAlign w:val="bottom"/>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1080" w:type="dxa"/>
            <w:vAlign w:val="bottom"/>
          </w:tcPr>
          <w:p>
            <w:pPr>
              <w:spacing w:after="0"/>
              <w:rPr>
                <w:sz w:val="18"/>
                <w:szCs w:val="18"/>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8"/>
              </w:rPr>
              <w:t>Leases on this report represent retail activity only; office and residential leases are not included.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(2)</w:t>
            </w:r>
          </w:p>
        </w:tc>
        <w:tc>
          <w:tcPr>
            <w:tcW w:w="1080" w:type="dxa"/>
            <w:vAlign w:val="bottom"/>
          </w:tcPr>
          <w:p>
            <w:pPr>
              <w:spacing w:after="0"/>
              <w:rPr>
                <w:sz w:val="17"/>
                <w:szCs w:val="17"/>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6"/>
              </w:rPr>
              <w:t>Comparable leases represent those leases signed on spaces for which there was a former tenant.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(3)</w:t>
            </w:r>
          </w:p>
        </w:tc>
        <w:tc>
          <w:tcPr>
            <w:tcW w:w="1080" w:type="dxa"/>
            <w:vAlign w:val="bottom"/>
          </w:tcPr>
          <w:p>
            <w:pPr>
              <w:spacing w:after="0"/>
              <w:rPr>
                <w:sz w:val="17"/>
                <w:szCs w:val="17"/>
                <w:color w:val="auto"/>
              </w:rPr>
            </w:pPr>
          </w:p>
        </w:tc>
        <w:tc>
          <w:tcPr>
            <w:tcW w:w="6780" w:type="dxa"/>
            <w:vAlign w:val="bottom"/>
            <w:gridSpan w:val="23"/>
          </w:tcPr>
          <w:p>
            <w:pPr>
              <w:ind w:left="20"/>
              <w:spacing w:after="0"/>
              <w:rPr>
                <w:sz w:val="20"/>
                <w:szCs w:val="20"/>
                <w:color w:val="auto"/>
              </w:rPr>
            </w:pPr>
            <w:r>
              <w:rPr>
                <w:rFonts w:ascii="Arial" w:cs="Arial" w:eastAsia="Arial" w:hAnsi="Arial"/>
                <w:sz w:val="14"/>
                <w:szCs w:val="14"/>
                <w:color w:val="auto"/>
                <w:w w:val="99"/>
              </w:rPr>
              <w:t>Contractual rent represents contractual minimum rent under the new lease for the first 12 months of the term.</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(4)</w:t>
            </w:r>
          </w:p>
        </w:tc>
        <w:tc>
          <w:tcPr>
            <w:tcW w:w="1080" w:type="dxa"/>
            <w:vAlign w:val="bottom"/>
          </w:tcPr>
          <w:p>
            <w:pPr>
              <w:spacing w:after="0"/>
              <w:rPr>
                <w:sz w:val="17"/>
                <w:szCs w:val="17"/>
                <w:color w:val="auto"/>
              </w:rPr>
            </w:pPr>
          </w:p>
        </w:tc>
        <w:tc>
          <w:tcPr>
            <w:tcW w:w="7580" w:type="dxa"/>
            <w:vAlign w:val="bottom"/>
            <w:gridSpan w:val="25"/>
          </w:tcPr>
          <w:p>
            <w:pPr>
              <w:ind w:left="20"/>
              <w:spacing w:after="0"/>
              <w:rPr>
                <w:sz w:val="20"/>
                <w:szCs w:val="20"/>
                <w:color w:val="auto"/>
              </w:rPr>
            </w:pPr>
            <w:r>
              <w:rPr>
                <w:rFonts w:ascii="Arial" w:cs="Arial" w:eastAsia="Arial" w:hAnsi="Arial"/>
                <w:sz w:val="14"/>
                <w:szCs w:val="14"/>
                <w:color w:val="auto"/>
              </w:rPr>
              <w:t>Prior rent represents minimum rent and percentage rent, if any, paid by the prior tenant in the final 12 months of the term.</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(5)</w:t>
            </w:r>
          </w:p>
        </w:tc>
        <w:tc>
          <w:tcPr>
            <w:tcW w:w="1080" w:type="dxa"/>
            <w:vAlign w:val="bottom"/>
          </w:tcPr>
          <w:p>
            <w:pPr>
              <w:spacing w:after="0"/>
              <w:rPr>
                <w:sz w:val="17"/>
                <w:szCs w:val="17"/>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5"/>
              </w:rPr>
              <w:t>Weighted average is determined on the basis of contractual rent for the first 12 months of the term.</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(6)</w:t>
            </w:r>
          </w:p>
        </w:tc>
        <w:tc>
          <w:tcPr>
            <w:tcW w:w="1080" w:type="dxa"/>
            <w:vAlign w:val="bottom"/>
          </w:tcPr>
          <w:p>
            <w:pPr>
              <w:spacing w:after="0"/>
              <w:rPr>
                <w:sz w:val="17"/>
                <w:szCs w:val="17"/>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color w:val="auto"/>
              </w:rPr>
              <w:t>See Glossary of Terms.</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(7)</w:t>
            </w:r>
          </w:p>
        </w:tc>
        <w:tc>
          <w:tcPr>
            <w:tcW w:w="1080" w:type="dxa"/>
            <w:vAlign w:val="bottom"/>
          </w:tcPr>
          <w:p>
            <w:pPr>
              <w:spacing w:after="0"/>
              <w:rPr>
                <w:sz w:val="14"/>
                <w:szCs w:val="14"/>
                <w:color w:val="auto"/>
              </w:rPr>
            </w:pPr>
          </w:p>
        </w:tc>
        <w:tc>
          <w:tcPr>
            <w:tcW w:w="9580" w:type="dxa"/>
            <w:vAlign w:val="bottom"/>
            <w:gridSpan w:val="30"/>
          </w:tcPr>
          <w:p>
            <w:pPr>
              <w:ind w:left="20"/>
              <w:spacing w:after="0"/>
              <w:rPr>
                <w:sz w:val="20"/>
                <w:szCs w:val="20"/>
                <w:color w:val="auto"/>
              </w:rPr>
            </w:pPr>
            <w:r>
              <w:rPr>
                <w:rFonts w:ascii="Arial" w:cs="Arial" w:eastAsia="Arial" w:hAnsi="Arial"/>
                <w:sz w:val="14"/>
                <w:szCs w:val="14"/>
                <w:color w:val="auto"/>
                <w:w w:val="95"/>
              </w:rPr>
              <w:t>Approximately $0.3 million ($0.74 per square foot) in 4th Quarter 2016 and $5.2 million ($8.22 per square foot) in 1st Quarter 2016 of the Tenant Improvements &amp;</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4"/>
              </w:rPr>
              <w:t>Incentives are for properties under active redevelopment (e.g. Del Mar Village, Melville Mall, Montrose Crossing) and are included in the Projected Cost for those projects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500" w:type="dxa"/>
            <w:vAlign w:val="bottom"/>
            <w:gridSpan w:val="12"/>
          </w:tcPr>
          <w:p>
            <w:pPr>
              <w:ind w:left="20"/>
              <w:spacing w:after="0"/>
              <w:rPr>
                <w:sz w:val="20"/>
                <w:szCs w:val="20"/>
                <w:color w:val="auto"/>
              </w:rPr>
            </w:pPr>
            <w:r>
              <w:rPr>
                <w:rFonts w:ascii="Arial" w:cs="Arial" w:eastAsia="Arial" w:hAnsi="Arial"/>
                <w:sz w:val="14"/>
                <w:szCs w:val="14"/>
                <w:color w:val="auto"/>
              </w:rPr>
              <w:t>on the Summary of Redevelopment Opportunities.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(8)</w:t>
            </w:r>
          </w:p>
        </w:tc>
        <w:tc>
          <w:tcPr>
            <w:tcW w:w="1080" w:type="dxa"/>
            <w:vAlign w:val="bottom"/>
          </w:tcPr>
          <w:p>
            <w:pPr>
              <w:spacing w:after="0"/>
              <w:rPr>
                <w:sz w:val="17"/>
                <w:szCs w:val="17"/>
                <w:color w:val="auto"/>
              </w:rPr>
            </w:pPr>
          </w:p>
        </w:tc>
        <w:tc>
          <w:tcPr>
            <w:tcW w:w="8700" w:type="dxa"/>
            <w:vAlign w:val="bottom"/>
            <w:gridSpan w:val="28"/>
          </w:tcPr>
          <w:p>
            <w:pPr>
              <w:ind w:left="20"/>
              <w:spacing w:after="0"/>
              <w:rPr>
                <w:sz w:val="20"/>
                <w:szCs w:val="20"/>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(9)</w:t>
            </w:r>
          </w:p>
        </w:tc>
        <w:tc>
          <w:tcPr>
            <w:tcW w:w="1080" w:type="dxa"/>
            <w:vAlign w:val="bottom"/>
          </w:tcPr>
          <w:p>
            <w:pPr>
              <w:spacing w:after="0"/>
              <w:rPr>
                <w:sz w:val="14"/>
                <w:szCs w:val="14"/>
                <w:color w:val="auto"/>
              </w:rPr>
            </w:pPr>
          </w:p>
        </w:tc>
        <w:tc>
          <w:tcPr>
            <w:tcW w:w="9920" w:type="dxa"/>
            <w:vAlign w:val="bottom"/>
            <w:gridSpan w:val="31"/>
          </w:tcPr>
          <w:p>
            <w:pPr>
              <w:ind w:left="20"/>
              <w:spacing w:after="0"/>
              <w:rPr>
                <w:sz w:val="20"/>
                <w:szCs w:val="20"/>
                <w:color w:val="auto"/>
              </w:rPr>
            </w:pPr>
            <w:r>
              <w:rPr>
                <w:rFonts w:ascii="Arial" w:cs="Arial" w:eastAsia="Arial" w:hAnsi="Arial"/>
                <w:sz w:val="14"/>
                <w:szCs w:val="14"/>
                <w:color w:val="auto"/>
                <w:w w:val="92"/>
              </w:rPr>
              <w:t>The Number of Leases Signed, GLA Signed, Contractual Rent Per Sq Ft and Weighted Average Lease Term columns include information for leases signed at our Assembly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3"/>
              </w:rPr>
              <w:t>Row and Pike &amp; Rose projects. The Tenant Improvements &amp; Incentives and Tenant Improvements &amp; Incentives Per Sq Ft columns do not include the tenant improvements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2"/>
              </w:rPr>
              <w:t>and incentives on leases signed for those projects; these amounts for leases signed for Assembly Row and Pike &amp; Rose are included in the Projected Cost column for those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60" w:type="dxa"/>
            <w:vAlign w:val="bottom"/>
            <w:gridSpan w:val="14"/>
          </w:tcPr>
          <w:p>
            <w:pPr>
              <w:ind w:left="20"/>
              <w:spacing w:after="0"/>
              <w:rPr>
                <w:sz w:val="20"/>
                <w:szCs w:val="20"/>
                <w:color w:val="auto"/>
              </w:rPr>
            </w:pPr>
            <w:r>
              <w:rPr>
                <w:rFonts w:ascii="Arial" w:cs="Arial" w:eastAsia="Arial" w:hAnsi="Arial"/>
                <w:sz w:val="14"/>
                <w:szCs w:val="14"/>
                <w:color w:val="auto"/>
              </w:rPr>
              <w:t>projects shown on the Pike &amp; Rose and Assembly Row schedule.</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60" w:right="239"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912,000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1,365,000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1,686,000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15.69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1,103,000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38.92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2,789,000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24.88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1,181,000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16.43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1,027,000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38.30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2,209,000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26.60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1,607,000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16.57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869,000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36.87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2,476,000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582,000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18.94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530,000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42.44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1,111,000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490,000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26.62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353,000</w:t>
            </w: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42.49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843,000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22.50</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43.07</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12,703,000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19.16</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8,348,000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38.69</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21,051,000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693,000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784,000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378,000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17.88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651,000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40.71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1,029,000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32.33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184,000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599,000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38.07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782,000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33.88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194,000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29.57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616,000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35.35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810,000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447,000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18.19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437,000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41.90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884,000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367,000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25.87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435,000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39.18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801,000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9,616,000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2,736,000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12,353,000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12,703,000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19.16</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8,348,000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38.69</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21,051,000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December 31, 2016.</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occupied square footage as of December 31, 2016.</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9" w:name="page30"/>
    <w:bookmarkEnd w:id="29"/>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December 31, 2016</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(4)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2016</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2015</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22,630,000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21,356,000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21,379,000</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20,165,000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94.3%</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1,867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1,792</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96.0%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1,715</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1,535</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89.5%</w:t>
            </w:r>
          </w:p>
        </w:tc>
      </w:tr>
      <w:tr>
        <w:trPr>
          <w:trHeight w:val="864"/>
        </w:trPr>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2016</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2015</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2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16,827,000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16,106,000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95.7%</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16,813,000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16,128,000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w:t>
            </w:r>
          </w:p>
        </w:tc>
      </w:tr>
      <w:tr>
        <w:trPr>
          <w:trHeight w:val="270"/>
        </w:trPr>
        <w:tc>
          <w:tcPr>
            <w:tcW w:w="34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 (5)</w:t>
            </w:r>
          </w:p>
        </w:tc>
        <w:tc>
          <w:tcPr>
            <w:tcW w:w="2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1,326</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1,270</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95.8%</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1,326</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1,252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r>
      <w:tr>
        <w:trPr>
          <w:trHeight w:val="33"/>
        </w:trPr>
        <w:tc>
          <w:tcPr>
            <w:tcW w:w="34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December 31, 2016 leased percentage was 97.1% for anchor tenants and 90.5% for small shop tenants.</w:t>
      </w:r>
    </w:p>
    <w:p>
      <w:pPr>
        <w:spacing w:after="0" w:line="72" w:lineRule="exact"/>
        <w:rPr>
          <w:rFonts w:ascii="Arial" w:cs="Arial" w:eastAsia="Arial" w:hAnsi="Arial"/>
          <w:sz w:val="16"/>
          <w:szCs w:val="16"/>
          <w:color w:val="auto"/>
        </w:rPr>
      </w:pPr>
    </w:p>
    <w:p>
      <w:pPr>
        <w:ind w:left="700" w:right="60" w:hanging="665"/>
        <w:spacing w:after="0" w:line="293"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Occupied percentage was 93.3% and 93.5% at December 31, 2016 and 2015, respectively, and same center occupied percentage was 95.2% and 95.3% at December 31, 2016 and 2015, respectively.</w:t>
      </w:r>
    </w:p>
    <w:p>
      <w:pPr>
        <w:spacing w:after="0" w:line="9" w:lineRule="exact"/>
        <w:rPr>
          <w:rFonts w:ascii="Arial" w:cs="Arial" w:eastAsia="Arial" w:hAnsi="Arial"/>
          <w:sz w:val="16"/>
          <w:szCs w:val="16"/>
          <w:color w:val="auto"/>
        </w:rPr>
      </w:pPr>
    </w:p>
    <w:p>
      <w:pPr>
        <w:ind w:left="700" w:right="160" w:hanging="665"/>
        <w:spacing w:after="0" w:line="293"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 Excludes the six properties discussed on page 20 under significant acquisitions as we did not consolidate the properties in 2015.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1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Annualized Base</w:t>
            </w:r>
          </w:p>
        </w:tc>
        <w:tc>
          <w:tcPr>
            <w:tcW w:w="146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Percentage of Total</w:t>
            </w:r>
          </w:p>
        </w:tc>
        <w:tc>
          <w:tcPr>
            <w:tcW w:w="1180" w:type="dxa"/>
            <w:vAlign w:val="bottom"/>
          </w:tcPr>
          <w:p>
            <w:pPr>
              <w:spacing w:after="0"/>
              <w:rPr>
                <w:sz w:val="14"/>
                <w:szCs w:val="14"/>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Percentage of</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Rank</w:t>
            </w:r>
          </w:p>
        </w:tc>
        <w:tc>
          <w:tcPr>
            <w:tcW w:w="3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3120" w:type="dxa"/>
            <w:vAlign w:val="bottom"/>
            <w:vMerge w:val="continue"/>
          </w:tcPr>
          <w:p>
            <w:pPr>
              <w:spacing w:after="0"/>
              <w:rPr>
                <w:sz w:val="12"/>
                <w:szCs w:val="12"/>
                <w:color w:val="auto"/>
              </w:rPr>
            </w:pPr>
          </w:p>
        </w:tc>
        <w:tc>
          <w:tcPr>
            <w:tcW w:w="14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Annualized Base</w:t>
            </w: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Tenant GLA</w:t>
            </w:r>
          </w:p>
        </w:tc>
        <w:tc>
          <w:tcPr>
            <w:tcW w:w="1200" w:type="dxa"/>
            <w:vAlign w:val="bottom"/>
            <w:vMerge w:val="continue"/>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vMerge w:val="continue"/>
          </w:tcPr>
          <w:p>
            <w:pPr>
              <w:spacing w:after="0"/>
              <w:rPr>
                <w:sz w:val="16"/>
                <w:szCs w:val="16"/>
                <w:color w:val="auto"/>
              </w:rPr>
            </w:pPr>
          </w:p>
        </w:tc>
        <w:tc>
          <w:tcPr>
            <w:tcW w:w="3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Rent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Rent (3)</w:t>
            </w:r>
          </w:p>
        </w:tc>
        <w:tc>
          <w:tcPr>
            <w:tcW w:w="11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Total GLA (3)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p>
      <w:pPr>
        <w:spacing w:after="0" w:line="301"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1</w:t>
            </w:r>
          </w:p>
        </w:tc>
        <w:tc>
          <w:tcPr>
            <w:tcW w:w="3500" w:type="dxa"/>
            <w:vAlign w:val="bottom"/>
          </w:tcPr>
          <w:p>
            <w:pPr>
              <w:ind w:left="180"/>
              <w:spacing w:after="0"/>
              <w:rPr>
                <w:sz w:val="20"/>
                <w:szCs w:val="20"/>
                <w:color w:val="auto"/>
              </w:rPr>
            </w:pPr>
            <w:r>
              <w:rPr>
                <w:rFonts w:ascii="Arial" w:cs="Arial" w:eastAsia="Arial" w:hAnsi="Arial"/>
                <w:sz w:val="16"/>
                <w:szCs w:val="16"/>
                <w:color w:val="auto"/>
              </w:rPr>
              <w:t>Ahold USA, Inc.</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2</w:t>
            </w:r>
          </w:p>
        </w:tc>
        <w:tc>
          <w:tcPr>
            <w:tcW w:w="3500" w:type="dxa"/>
            <w:vAlign w:val="bottom"/>
          </w:tcPr>
          <w:p>
            <w:pPr>
              <w:ind w:left="180"/>
              <w:spacing w:after="0"/>
              <w:rPr>
                <w:sz w:val="20"/>
                <w:szCs w:val="20"/>
                <w:color w:val="auto"/>
              </w:rPr>
            </w:pPr>
            <w:r>
              <w:rPr>
                <w:rFonts w:ascii="Arial" w:cs="Arial" w:eastAsia="Arial" w:hAnsi="Arial"/>
                <w:sz w:val="16"/>
                <w:szCs w:val="16"/>
                <w:color w:val="auto"/>
              </w:rPr>
              <w:t>TJX Companies, The</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3</w:t>
            </w:r>
          </w:p>
        </w:tc>
        <w:tc>
          <w:tcPr>
            <w:tcW w:w="350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4</w:t>
            </w:r>
          </w:p>
        </w:tc>
        <w:tc>
          <w:tcPr>
            <w:tcW w:w="3500" w:type="dxa"/>
            <w:vAlign w:val="bottom"/>
          </w:tcPr>
          <w:p>
            <w:pPr>
              <w:ind w:left="180"/>
              <w:spacing w:after="0"/>
              <w:rPr>
                <w:sz w:val="20"/>
                <w:szCs w:val="20"/>
                <w:color w:val="auto"/>
              </w:rPr>
            </w:pPr>
            <w:r>
              <w:rPr>
                <w:rFonts w:ascii="Arial" w:cs="Arial" w:eastAsia="Arial" w:hAnsi="Arial"/>
                <w:sz w:val="16"/>
                <w:szCs w:val="16"/>
                <w:color w:val="auto"/>
              </w:rPr>
              <w:t>Gap, Inc., The</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5</w:t>
            </w:r>
          </w:p>
        </w:tc>
        <w:tc>
          <w:tcPr>
            <w:tcW w:w="3500" w:type="dxa"/>
            <w:vAlign w:val="bottom"/>
          </w:tcPr>
          <w:p>
            <w:pPr>
              <w:ind w:left="180"/>
              <w:spacing w:after="0"/>
              <w:rPr>
                <w:sz w:val="20"/>
                <w:szCs w:val="20"/>
                <w:color w:val="auto"/>
              </w:rPr>
            </w:pPr>
            <w:r>
              <w:rPr>
                <w:rFonts w:ascii="Arial" w:cs="Arial" w:eastAsia="Arial" w:hAnsi="Arial"/>
                <w:sz w:val="16"/>
                <w:szCs w:val="16"/>
                <w:color w:val="auto"/>
              </w:rPr>
              <w:t>Splunk, Inc.</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6</w:t>
            </w:r>
          </w:p>
        </w:tc>
        <w:tc>
          <w:tcPr>
            <w:tcW w:w="350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7</w:t>
            </w:r>
          </w:p>
        </w:tc>
        <w:tc>
          <w:tcPr>
            <w:tcW w:w="350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50" w:lineRule="exact"/>
        <w:rPr>
          <w:sz w:val="20"/>
          <w:szCs w:val="20"/>
          <w:color w:val="auto"/>
        </w:rPr>
      </w:pPr>
    </w:p>
    <w:p>
      <w:pPr>
        <w:ind w:left="720" w:hanging="428"/>
        <w:spacing w:after="0" w:line="293"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Ascena Retail Group, Inc. (Dress Barn, Loft, Lou &amp; Grey, Ann Taylor, $ Catherine's, Justice, Lane Bryant)</w:t>
      </w:r>
    </w:p>
    <w:p>
      <w:pPr>
        <w:spacing w:after="0" w:line="23"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32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3760" w:type="dxa"/>
            <w:vAlign w:val="bottom"/>
          </w:tcPr>
          <w:p>
            <w:pPr>
              <w:ind w:left="180"/>
              <w:spacing w:after="0"/>
              <w:rPr>
                <w:sz w:val="20"/>
                <w:szCs w:val="20"/>
                <w:color w:val="auto"/>
              </w:rPr>
            </w:pPr>
            <w:r>
              <w:rPr>
                <w:rFonts w:ascii="Arial" w:cs="Arial" w:eastAsia="Arial" w:hAnsi="Arial"/>
                <w:sz w:val="16"/>
                <w:szCs w:val="16"/>
                <w:color w:val="auto"/>
              </w:rPr>
              <w:t>AMC Entertainment Inc.</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10</w:t>
            </w:r>
          </w:p>
        </w:tc>
        <w:tc>
          <w:tcPr>
            <w:tcW w:w="3760" w:type="dxa"/>
            <w:vAlign w:val="bottom"/>
          </w:tcPr>
          <w:p>
            <w:pPr>
              <w:ind w:left="180"/>
              <w:spacing w:after="0"/>
              <w:rPr>
                <w:sz w:val="20"/>
                <w:szCs w:val="20"/>
                <w:color w:val="auto"/>
              </w:rPr>
            </w:pPr>
            <w:r>
              <w:rPr>
                <w:rFonts w:ascii="Arial" w:cs="Arial" w:eastAsia="Arial" w:hAnsi="Arial"/>
                <w:sz w:val="16"/>
                <w:szCs w:val="16"/>
                <w:color w:val="auto"/>
              </w:rPr>
              <w:t>DSW, Inc.</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11</w:t>
            </w:r>
          </w:p>
        </w:tc>
        <w:tc>
          <w:tcPr>
            <w:tcW w:w="3760" w:type="dxa"/>
            <w:vAlign w:val="bottom"/>
          </w:tcPr>
          <w:p>
            <w:pPr>
              <w:ind w:left="180"/>
              <w:spacing w:after="0"/>
              <w:rPr>
                <w:sz w:val="20"/>
                <w:szCs w:val="20"/>
                <w:color w:val="auto"/>
              </w:rPr>
            </w:pPr>
            <w:r>
              <w:rPr>
                <w:rFonts w:ascii="Arial" w:cs="Arial" w:eastAsia="Arial" w:hAnsi="Arial"/>
                <w:sz w:val="16"/>
                <w:szCs w:val="16"/>
                <w:color w:val="auto"/>
              </w:rPr>
              <w:t>Dick's Sporting Goods, Inc.</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12</w:t>
            </w:r>
          </w:p>
        </w:tc>
        <w:tc>
          <w:tcPr>
            <w:tcW w:w="3760" w:type="dxa"/>
            <w:vAlign w:val="bottom"/>
          </w:tcPr>
          <w:p>
            <w:pPr>
              <w:ind w:left="180"/>
              <w:spacing w:after="0"/>
              <w:rPr>
                <w:sz w:val="20"/>
                <w:szCs w:val="20"/>
                <w:color w:val="auto"/>
              </w:rPr>
            </w:pPr>
            <w:r>
              <w:rPr>
                <w:rFonts w:ascii="Arial" w:cs="Arial" w:eastAsia="Arial" w:hAnsi="Arial"/>
                <w:sz w:val="16"/>
                <w:szCs w:val="16"/>
                <w:color w:val="auto"/>
              </w:rPr>
              <w:t>Home Depot, Inc.</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13</w:t>
            </w:r>
          </w:p>
        </w:tc>
        <w:tc>
          <w:tcPr>
            <w:tcW w:w="3760" w:type="dxa"/>
            <w:vAlign w:val="bottom"/>
          </w:tcPr>
          <w:p>
            <w:pPr>
              <w:ind w:left="180"/>
              <w:spacing w:after="0"/>
              <w:rPr>
                <w:sz w:val="20"/>
                <w:szCs w:val="20"/>
                <w:color w:val="auto"/>
              </w:rPr>
            </w:pPr>
            <w:r>
              <w:rPr>
                <w:rFonts w:ascii="Arial" w:cs="Arial" w:eastAsia="Arial" w:hAnsi="Arial"/>
                <w:sz w:val="16"/>
                <w:szCs w:val="16"/>
                <w:color w:val="auto"/>
              </w:rPr>
              <w:t>Barnes &amp; Noble, Inc.</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14</w:t>
            </w:r>
          </w:p>
        </w:tc>
        <w:tc>
          <w:tcPr>
            <w:tcW w:w="3760" w:type="dxa"/>
            <w:vAlign w:val="bottom"/>
          </w:tcPr>
          <w:p>
            <w:pPr>
              <w:ind w:left="180"/>
              <w:spacing w:after="0"/>
              <w:rPr>
                <w:sz w:val="20"/>
                <w:szCs w:val="20"/>
                <w:color w:val="auto"/>
              </w:rPr>
            </w:pPr>
            <w:r>
              <w:rPr>
                <w:rFonts w:ascii="Arial" w:cs="Arial" w:eastAsia="Arial" w:hAnsi="Arial"/>
                <w:sz w:val="16"/>
                <w:szCs w:val="16"/>
                <w:color w:val="auto"/>
              </w:rPr>
              <w:t>Best Buy Stores, L.P.</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15</w:t>
            </w:r>
          </w:p>
        </w:tc>
        <w:tc>
          <w:tcPr>
            <w:tcW w:w="3760" w:type="dxa"/>
            <w:vAlign w:val="bottom"/>
          </w:tcPr>
          <w:p>
            <w:pPr>
              <w:ind w:left="180"/>
              <w:spacing w:after="0"/>
              <w:rPr>
                <w:sz w:val="20"/>
                <w:szCs w:val="20"/>
                <w:color w:val="auto"/>
              </w:rPr>
            </w:pPr>
            <w:r>
              <w:rPr>
                <w:rFonts w:ascii="Arial" w:cs="Arial" w:eastAsia="Arial" w:hAnsi="Arial"/>
                <w:sz w:val="16"/>
                <w:szCs w:val="16"/>
                <w:color w:val="auto"/>
              </w:rPr>
              <w:t>Michaels Stores, Inc.</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16</w:t>
            </w:r>
          </w:p>
        </w:tc>
        <w:tc>
          <w:tcPr>
            <w:tcW w:w="3760" w:type="dxa"/>
            <w:vAlign w:val="bottom"/>
          </w:tcPr>
          <w:p>
            <w:pPr>
              <w:ind w:left="180"/>
              <w:spacing w:after="0"/>
              <w:rPr>
                <w:sz w:val="20"/>
                <w:szCs w:val="20"/>
                <w:color w:val="auto"/>
              </w:rPr>
            </w:pPr>
            <w:r>
              <w:rPr>
                <w:rFonts w:ascii="Arial" w:cs="Arial" w:eastAsia="Arial" w:hAnsi="Arial"/>
                <w:sz w:val="16"/>
                <w:szCs w:val="16"/>
                <w:color w:val="auto"/>
              </w:rPr>
              <w:t>Bank of America, N.A.</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17</w:t>
            </w:r>
          </w:p>
        </w:tc>
        <w:tc>
          <w:tcPr>
            <w:tcW w:w="3760" w:type="dxa"/>
            <w:vAlign w:val="bottom"/>
          </w:tcPr>
          <w:p>
            <w:pPr>
              <w:ind w:left="180"/>
              <w:spacing w:after="0"/>
              <w:rPr>
                <w:sz w:val="20"/>
                <w:szCs w:val="20"/>
                <w:color w:val="auto"/>
              </w:rPr>
            </w:pPr>
            <w:r>
              <w:rPr>
                <w:rFonts w:ascii="Arial" w:cs="Arial" w:eastAsia="Arial" w:hAnsi="Arial"/>
                <w:sz w:val="16"/>
                <w:szCs w:val="16"/>
                <w:color w:val="auto"/>
              </w:rPr>
              <w:t>Nordstrom, Inc.</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18</w:t>
            </w:r>
          </w:p>
        </w:tc>
        <w:tc>
          <w:tcPr>
            <w:tcW w:w="376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19</w:t>
            </w:r>
          </w:p>
        </w:tc>
        <w:tc>
          <w:tcPr>
            <w:tcW w:w="3760" w:type="dxa"/>
            <w:vAlign w:val="bottom"/>
          </w:tcPr>
          <w:p>
            <w:pPr>
              <w:ind w:left="180"/>
              <w:spacing w:after="0"/>
              <w:rPr>
                <w:sz w:val="20"/>
                <w:szCs w:val="20"/>
                <w:color w:val="auto"/>
              </w:rPr>
            </w:pPr>
            <w:r>
              <w:rPr>
                <w:rFonts w:ascii="Arial" w:cs="Arial" w:eastAsia="Arial" w:hAnsi="Arial"/>
                <w:sz w:val="16"/>
                <w:szCs w:val="16"/>
                <w:color w:val="auto"/>
              </w:rPr>
              <w:t>Kroger Co., The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20</w:t>
            </w:r>
          </w:p>
        </w:tc>
        <w:tc>
          <w:tcPr>
            <w:tcW w:w="3760" w:type="dxa"/>
            <w:vAlign w:val="bottom"/>
          </w:tcPr>
          <w:p>
            <w:pPr>
              <w:ind w:left="180"/>
              <w:spacing w:after="0"/>
              <w:rPr>
                <w:sz w:val="20"/>
                <w:szCs w:val="20"/>
                <w:color w:val="auto"/>
              </w:rPr>
            </w:pPr>
            <w:r>
              <w:rPr>
                <w:rFonts w:ascii="Arial" w:cs="Arial" w:eastAsia="Arial" w:hAnsi="Arial"/>
                <w:sz w:val="16"/>
                <w:szCs w:val="16"/>
                <w:color w:val="auto"/>
              </w:rPr>
              <w:t>Ross Stores, Inc.</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21</w:t>
            </w:r>
          </w:p>
        </w:tc>
        <w:tc>
          <w:tcPr>
            <w:tcW w:w="3760" w:type="dxa"/>
            <w:vAlign w:val="bottom"/>
          </w:tcPr>
          <w:p>
            <w:pPr>
              <w:ind w:left="180"/>
              <w:spacing w:after="0"/>
              <w:rPr>
                <w:sz w:val="20"/>
                <w:szCs w:val="20"/>
                <w:color w:val="auto"/>
              </w:rPr>
            </w:pPr>
            <w:r>
              <w:rPr>
                <w:rFonts w:ascii="Arial" w:cs="Arial" w:eastAsia="Arial" w:hAnsi="Arial"/>
                <w:sz w:val="16"/>
                <w:szCs w:val="16"/>
                <w:color w:val="auto"/>
              </w:rPr>
              <w:t>Saks &amp; Company</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22</w:t>
            </w:r>
          </w:p>
        </w:tc>
        <w:tc>
          <w:tcPr>
            <w:tcW w:w="376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23</w:t>
            </w:r>
          </w:p>
        </w:tc>
        <w:tc>
          <w:tcPr>
            <w:tcW w:w="3760" w:type="dxa"/>
            <w:vAlign w:val="bottom"/>
          </w:tcPr>
          <w:p>
            <w:pPr>
              <w:ind w:left="180"/>
              <w:spacing w:after="0"/>
              <w:rPr>
                <w:sz w:val="20"/>
                <w:szCs w:val="20"/>
                <w:color w:val="auto"/>
              </w:rPr>
            </w:pPr>
            <w:r>
              <w:rPr>
                <w:rFonts w:ascii="Arial" w:cs="Arial" w:eastAsia="Arial" w:hAnsi="Arial"/>
                <w:sz w:val="16"/>
                <w:szCs w:val="16"/>
                <w:color w:val="auto"/>
              </w:rPr>
              <w:t>AB Acquisition LLC (Acme, Safeway)</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24</w:t>
            </w:r>
          </w:p>
        </w:tc>
        <w:tc>
          <w:tcPr>
            <w:tcW w:w="3760" w:type="dxa"/>
            <w:vAlign w:val="bottom"/>
          </w:tcPr>
          <w:p>
            <w:pPr>
              <w:ind w:left="180"/>
              <w:spacing w:after="0"/>
              <w:rPr>
                <w:sz w:val="20"/>
                <w:szCs w:val="20"/>
                <w:color w:val="auto"/>
              </w:rPr>
            </w:pPr>
            <w:r>
              <w:rPr>
                <w:rFonts w:ascii="Arial" w:cs="Arial" w:eastAsia="Arial" w:hAnsi="Arial"/>
                <w:sz w:val="16"/>
                <w:szCs w:val="16"/>
                <w:color w:val="auto"/>
              </w:rPr>
              <w:t>Wells Fargo Bank, N.A.</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jc w:val="right"/>
              <w:ind w:right="79"/>
              <w:spacing w:after="0"/>
              <w:rPr>
                <w:sz w:val="20"/>
                <w:szCs w:val="20"/>
                <w:color w:val="auto"/>
              </w:rPr>
            </w:pPr>
            <w:r>
              <w:rPr>
                <w:rFonts w:ascii="Arial" w:cs="Arial" w:eastAsia="Arial" w:hAnsi="Arial"/>
                <w:sz w:val="16"/>
                <w:szCs w:val="16"/>
                <w:color w:val="auto"/>
                <w:w w:val="78"/>
              </w:rPr>
              <w:t>25</w:t>
            </w:r>
          </w:p>
        </w:tc>
        <w:tc>
          <w:tcPr>
            <w:tcW w:w="3760" w:type="dxa"/>
            <w:vAlign w:val="bottom"/>
          </w:tcPr>
          <w:p>
            <w:pPr>
              <w:ind w:left="180"/>
              <w:spacing w:after="0"/>
              <w:rPr>
                <w:sz w:val="20"/>
                <w:szCs w:val="20"/>
                <w:color w:val="auto"/>
              </w:rPr>
            </w:pPr>
            <w:r>
              <w:rPr>
                <w:rFonts w:ascii="Arial" w:cs="Arial" w:eastAsia="Arial" w:hAnsi="Arial"/>
                <w:sz w:val="16"/>
                <w:szCs w:val="16"/>
                <w:color w:val="auto"/>
              </w:rPr>
              <w:t>Starbucks Corporation</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32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Totals - Top 25 Tenants</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Pr>
          <w:p>
            <w:pPr>
              <w:jc w:val="right"/>
              <w:ind w:right="399"/>
              <w:spacing w:after="0"/>
              <w:rPr>
                <w:sz w:val="20"/>
                <w:szCs w:val="20"/>
                <w:color w:val="auto"/>
              </w:rPr>
            </w:pPr>
            <w:r>
              <w:rPr>
                <w:rFonts w:ascii="Arial" w:cs="Arial" w:eastAsia="Arial" w:hAnsi="Arial"/>
                <w:sz w:val="16"/>
                <w:szCs w:val="16"/>
                <w:color w:val="auto"/>
                <w:w w:val="99"/>
              </w:rPr>
              <w:t>17,353,000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3.06%</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1,036,000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4.58%</w:t>
            </w: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w w:val="99"/>
              </w:rPr>
              <w:t>14,228,000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2.51%</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816,000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3.61%</w:t>
            </w: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w w:val="99"/>
              </w:rPr>
              <w:t>13,265,000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2.34%</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736,000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3.25%</w:t>
            </w: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w w:val="99"/>
              </w:rPr>
              <w:t>12,808,000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2.26%</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354,000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1.56%</w:t>
            </w: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w w:val="99"/>
              </w:rPr>
              <w:t>10,276,000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1.81%</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235,000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1.04%</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8,662,000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1.53%</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389,000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1.72%</w:t>
            </w: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7,994,000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1.41%</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194,000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0.86%</w:t>
            </w: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57"/>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6,656,000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1.17%</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218,000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0.96%</w:t>
            </w: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473"/>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6,572,000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317,000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1.40%</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6,390,000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1.13%</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229,000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1.01%</w:t>
            </w: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6,185,000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257,000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1.14%</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5,667,000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438,000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1.94%</w:t>
            </w: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5,417,000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0.96%</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244,000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1.08%</w:t>
            </w: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7"/>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5,410,000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0.95%</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186,000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0.82%</w:t>
            </w: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5,331,000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0.94%</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286,000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1.26%</w:t>
            </w: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4"/>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5,043,000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0.89%</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97,000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0.43%</w:t>
            </w: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4,913,000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0.87%</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195,000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0.86%</w:t>
            </w: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4,425,000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0.78%</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167,000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0.74%</w:t>
            </w: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4,194,000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0.74%</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356,000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1.57%</w:t>
            </w: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4,193,000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0.74%</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238,000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1.05%</w:t>
            </w: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4,090,000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0.72%</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100,000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0.44%</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3,884,000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0.69%</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171,000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0.76%</w:t>
            </w: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3,790,000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0.67%</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404,000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1.79%</w:t>
            </w: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3,750,000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0.66%</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48,000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0.21%</w:t>
            </w: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rPr>
              <w:t>3,712,000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0.66%</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64,000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0.28%</w:t>
            </w:r>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1300" w:type="dxa"/>
            <w:vAlign w:val="bottom"/>
          </w:tcPr>
          <w:p>
            <w:pPr>
              <w:jc w:val="right"/>
              <w:ind w:right="399"/>
              <w:spacing w:after="0"/>
              <w:rPr>
                <w:sz w:val="20"/>
                <w:szCs w:val="20"/>
                <w:color w:val="auto"/>
              </w:rPr>
            </w:pPr>
            <w:r>
              <w:rPr>
                <w:rFonts w:ascii="Arial" w:cs="Arial" w:eastAsia="Arial" w:hAnsi="Arial"/>
                <w:sz w:val="16"/>
                <w:szCs w:val="16"/>
                <w:color w:val="auto"/>
                <w:w w:val="89"/>
              </w:rPr>
              <w:t>174,208,000</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30.74%</w:t>
            </w: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7,775,000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34.36%</w:t>
            </w:r>
          </w:p>
        </w:tc>
        <w:tc>
          <w:tcPr>
            <w:tcW w:w="540" w:type="dxa"/>
            <w:vAlign w:val="bottom"/>
          </w:tcPr>
          <w:p>
            <w:pPr>
              <w:jc w:val="right"/>
              <w:spacing w:after="0"/>
              <w:rPr>
                <w:sz w:val="20"/>
                <w:szCs w:val="20"/>
                <w:color w:val="auto"/>
              </w:rPr>
            </w:pPr>
            <w:r>
              <w:rPr>
                <w:rFonts w:ascii="Arial" w:cs="Arial" w:eastAsia="Arial" w:hAnsi="Arial"/>
                <w:sz w:val="16"/>
                <w:szCs w:val="16"/>
                <w:color w:val="auto"/>
              </w:rPr>
              <w:t>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-4215130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-3871595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-3528695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-3065780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-2722880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-2379345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-2036445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-1693545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-1350645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-1007745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-664210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-321310</wp:posOffset>
            </wp:positionV>
            <wp:extent cx="7246620" cy="540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440" w:space="320"/>
            <w:col w:w="5660"/>
          </w:cols>
          <w:pgMar w:left="240" w:top="742" w:right="239" w:bottom="1440" w:gutter="0" w:footer="0" w:header="0"/>
          <w:type w:val="continuous"/>
        </w:sectPr>
      </w:pPr>
    </w:p>
    <w:p>
      <w:pPr>
        <w:spacing w:after="0" w:line="161" w:lineRule="exact"/>
        <w:rPr>
          <w:sz w:val="20"/>
          <w:szCs w:val="20"/>
          <w:color w:val="auto"/>
        </w:rPr>
      </w:pPr>
    </w:p>
    <w:p>
      <w:pPr>
        <w:ind w:left="720"/>
        <w:spacing w:after="0"/>
        <w:tabs>
          <w:tab w:leader="none" w:pos="5340" w:val="left"/>
          <w:tab w:leader="none" w:pos="5740" w:val="left"/>
          <w:tab w:leader="none" w:pos="6680" w:val="left"/>
          <w:tab w:leader="none" w:pos="8360" w:val="left"/>
          <w:tab w:leader="none" w:pos="9220" w:val="left"/>
          <w:tab w:leader="none" w:pos="1092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566,672,000</w:t>
        <w:tab/>
        <w:t>(1)</w:t>
      </w:r>
      <w:r>
        <w:rPr>
          <w:sz w:val="20"/>
          <w:szCs w:val="20"/>
          <w:color w:val="auto"/>
        </w:rPr>
        <w:tab/>
      </w:r>
      <w:r>
        <w:rPr>
          <w:rFonts w:ascii="Arial" w:cs="Arial" w:eastAsia="Arial" w:hAnsi="Arial"/>
          <w:sz w:val="16"/>
          <w:szCs w:val="16"/>
          <w:color w:val="auto"/>
        </w:rPr>
        <w:t>22,630,000</w:t>
        <w:tab/>
        <w:t>(2)</w:t>
      </w:r>
      <w:r>
        <w:rPr>
          <w:sz w:val="20"/>
          <w:szCs w:val="20"/>
          <w:color w:val="auto"/>
        </w:rPr>
        <w:tab/>
      </w:r>
      <w:r>
        <w:rPr>
          <w:rFonts w:ascii="Arial" w:cs="Arial" w:eastAsia="Arial" w:hAnsi="Arial"/>
          <w:sz w:val="15"/>
          <w:szCs w:val="15"/>
          <w:color w:val="auto"/>
        </w:rPr>
        <w:t>2,856</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right="360" w:hanging="482"/>
        <w:spacing w:after="0" w:line="293"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excluding rent abatements) minimum rent for all occupied spaces as of December 31, 2016.</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2017.</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Estimates do not include the impact from potential acquisitions, potential dispositions, or land sale gains which have not closed as of 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191770</wp:posOffset>
            </wp:positionV>
            <wp:extent cx="17322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04" w:lineRule="exact"/>
        <w:rPr>
          <w:sz w:val="20"/>
          <w:szCs w:val="20"/>
          <w:color w:val="auto"/>
        </w:rPr>
      </w:pPr>
    </w:p>
    <w:p>
      <w:pPr>
        <w:ind w:left="8840"/>
        <w:spacing w:after="0"/>
        <w:rPr>
          <w:sz w:val="20"/>
          <w:szCs w:val="20"/>
          <w:color w:val="auto"/>
        </w:rPr>
      </w:pPr>
      <w:r>
        <w:rPr>
          <w:rFonts w:ascii="Arial" w:cs="Arial" w:eastAsia="Arial" w:hAnsi="Arial"/>
          <w:sz w:val="17"/>
          <w:szCs w:val="17"/>
          <w:b w:val="1"/>
          <w:bCs w:val="1"/>
          <w:color w:val="auto"/>
        </w:rPr>
        <w:t>Full Year 2017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41910</wp:posOffset>
            </wp:positionV>
            <wp:extent cx="17322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Low</w:t>
            </w:r>
          </w:p>
        </w:tc>
        <w:tc>
          <w:tcPr>
            <w:tcW w:w="44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High</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3.13</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8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depreciation and amortization of real estate</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2.46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8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of initial direct costs of leases</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0.24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Estimated FFO per diluted share</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5.83</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5.93</w:t>
            </w:r>
          </w:p>
        </w:tc>
      </w:tr>
      <w:tr>
        <w:trPr>
          <w:trHeight w:val="20"/>
        </w:trPr>
        <w:tc>
          <w:tcPr>
            <w:tcW w:w="8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and year ended December 31, 2016 and 2015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59,724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69,998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258,883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218,424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48,448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46,423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193,585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174,796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94,994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92,553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19,072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131,934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139,588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547,088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504,696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r>
      <w:tr>
        <w:trPr>
          <w:trHeight w:val="257"/>
        </w:trPr>
        <w:tc>
          <w:tcPr>
            <w:tcW w:w="562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131,934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122,767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514,630</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476,366</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and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operated, and consolidated for the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of both periods being compared, excludes properties that were redeveloped, expanded or under development and properties purchased or sold at any time during the periods being compared. Same center growth statistics are calculated on a GAAP basis.</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8"/>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2019-12-29T07:58:18Z</dcterms:created>
  <dcterms:modified xsi:type="dcterms:W3CDTF">2019-12-29T07:58:18Z</dcterms:modified>
</cp:coreProperties>
</file>