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333-239351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8" w:lineRule="exact"/>
        <w:rPr>
          <w:sz w:val="24"/>
          <w:szCs w:val="24"/>
          <w:color w:val="auto"/>
        </w:rPr>
      </w:pPr>
    </w:p>
    <w:p>
      <w:pPr>
        <w:ind w:left="1580"/>
        <w:spacing w:after="0"/>
        <w:rPr>
          <w:sz w:val="20"/>
          <w:szCs w:val="20"/>
          <w:color w:val="auto"/>
        </w:rPr>
      </w:pPr>
      <w:r>
        <w:rPr>
          <w:rFonts w:ascii="Arial" w:cs="Arial" w:eastAsia="Arial" w:hAnsi="Arial"/>
          <w:sz w:val="22"/>
          <w:szCs w:val="22"/>
          <w:b w:val="1"/>
          <w:bCs w:val="1"/>
          <w:color w:val="auto"/>
        </w:rPr>
        <w:t>Post-Effective Amendment No. 1 to Registration Statement on Form S-8 (333-239351)</w:t>
      </w:r>
    </w:p>
    <w:p>
      <w:pPr>
        <w:spacing w:after="0" w:line="14" w:lineRule="exact"/>
        <w:rPr>
          <w:sz w:val="24"/>
          <w:szCs w:val="24"/>
          <w:color w:val="auto"/>
        </w:rPr>
      </w:pPr>
    </w:p>
    <w:p>
      <w:pPr>
        <w:ind w:left="1560"/>
        <w:spacing w:after="0"/>
        <w:rPr>
          <w:sz w:val="20"/>
          <w:szCs w:val="20"/>
          <w:color w:val="auto"/>
        </w:rPr>
      </w:pPr>
      <w:r>
        <w:rPr>
          <w:rFonts w:ascii="Arial" w:cs="Arial" w:eastAsia="Arial" w:hAnsi="Arial"/>
          <w:sz w:val="22"/>
          <w:szCs w:val="22"/>
          <w:b w:val="1"/>
          <w:bCs w:val="1"/>
          <w:color w:val="auto"/>
        </w:rPr>
        <w:t>Post-Effective Amendment No. 1 to Registration Statement on Form S-8 (333-147081)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2020 Performance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2007 Employee Share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6"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60" w:firstLine="440"/>
        <w:spacing w:after="0" w:line="259" w:lineRule="auto"/>
        <w:rPr>
          <w:sz w:val="20"/>
          <w:szCs w:val="20"/>
          <w:color w:val="auto"/>
        </w:rPr>
      </w:pPr>
      <w:r>
        <w:rPr>
          <w:rFonts w:ascii="Arial" w:cs="Arial" w:eastAsia="Arial" w:hAnsi="Arial"/>
          <w:sz w:val="18"/>
          <w:szCs w:val="18"/>
          <w:color w:val="auto"/>
        </w:rPr>
        <w:t>Federal Realty Investment Trust, a Maryland real estate investment trust (the “Company” or the “Registrant”), files these Post-Effective Amendments to the Registration Statements on Form S-8 filed with the Securities and Exchange Commission on June 22, 2020 (Registration No. 333-239351) and November 1, 2007 (Registration No. 333-147081) (the “Initial Registration Statements”) as the successor registrant to the Predecessor (as defined below).</w:t>
      </w:r>
    </w:p>
    <w:p>
      <w:pPr>
        <w:spacing w:after="0" w:line="18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On December 2, 2021, the Predecessor, which was at that time named Federal Realty Investment Trust, announced that it intended to implement a corporate reorganization into a new holding company structure commonly referred to as an Umbrella Partnership Real Estate Investment Trust, or UPREIT (the “Reorganization”). Also on December 2, 2021, in connection with such intended Reorganization, the Predecessor entered into a Merger Agreement and Plan of Reorganization (the “Merger Agreement”) with the Registrant, which was at that time named FRT Holdco REIT and was a wholly-owned subsidiary of the Predecessor, and FRT Merger Sub REIT (“Merger Sub”), which was at that time a wholly-owned subsidiary of the Registrant. Effective as of 12:00 a.m. on January 1, 2022, pursuant to the terms of the Merger Agreement, Merger Sub merged with and into the Predecessor, with the Predecessor being the surviving entity and becoming a wholly-owned subsidiary of the Registrant (the “Merger”). At the effective time of the Merger, each outstanding capital share of the Predecessor was converted on a one-for-one basis into an equivalent capital share of the Registrant. In connection with the Merger, the Registrant changed its name to Federal Realty Investment Trust, the former name of the Predecessor.</w:t>
      </w:r>
    </w:p>
    <w:p>
      <w:pPr>
        <w:spacing w:after="0" w:line="16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Following the Merger, the Registrant is the successor issuer to the Predecessor pursuant to Rule 414 under the Securities Act of 1933, as amended (the “Securities Act”), and Rule 12g-3(a) under the Securities Exchange Act of 1934, as amended (the “Exchange Act”). Accordingly, the Registrant’s common shares of beneficial interest, par value $.01 per share (the “Common Shares”), are deemed to be registered under Section 12(b) of the Exchange Act and will trade on the New York Stock Exchange under the symbol “FRT.” In connection with the Reorganization, the Registrant assumed the Predecessor’s obligations under the Federal Realty Investment Trust 2020 Performance Incentive Plan (the “2020 Plan”) and the Federal Realty Investment Trust 2007 Employee Share Purchase Plan (the “2007 ESPP”).</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accordance with paragraph (d) of Rule 414 under the Securities Act, the Company hereby expressly adopts the Initial Registration Statements as its own registration statements (except as specifically amended by these Post-Effective Amendments) for all purposes of the Securities Act and the Exchange Act. The information contained in these Post-Effective Amendments sets forth additional information necessary to reflect any material changes made in connection with or resulting from the Reorganization, or necessary to keep the Initial Registration Statements from being misleading in any material respect.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The information specified in Item 1 and Item 2 of Part I of the Initial Registration Statements is omitted from this filing in accordance with the provisions of Rule 428 under the Securities Act, and the introductory note to Part I of the Initial Registration Statements. The information required by Part I is included in documents sent or given to participants in the 2020 Plan and the 2007 ESPP pursuant to Rule 428(b)(1) under the Securities Act.</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Exchange Act, and in accordance therewith files reports, proxy statements and other information with the Securities and Exchange Commission (the “Commission”). The following documents, which are on file with the Commission, are incorporated herein by reference:</w:t>
      </w:r>
    </w:p>
    <w:p>
      <w:pPr>
        <w:spacing w:after="0" w:line="76" w:lineRule="exact"/>
        <w:rPr>
          <w:sz w:val="20"/>
          <w:szCs w:val="20"/>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(a) the Predecessor’s Annual Report on </w:t>
      </w:r>
      <w:hyperlink r:id="rId1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2020, filed with the Commission on February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(b) the Predecessor’s </w:t>
      </w:r>
      <w:hyperlink r:id="rId19">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its 2021 Annual Meeting of Shareholders, filed with the Commission on March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right="260" w:firstLine="987"/>
        <w:spacing w:after="0" w:line="277" w:lineRule="auto"/>
        <w:tabs>
          <w:tab w:leader="none" w:pos="123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Predecessor’s Quarterly Reports on Form 10-Q for the fiscal quarters ended March 31, 2021, June 30, 2021 and September 30, 2021, filed with the Commission on </w:t>
      </w:r>
      <w:hyperlink r:id="rId20">
        <w:r>
          <w:rPr>
            <w:rFonts w:ascii="Arial" w:cs="Arial" w:eastAsia="Arial" w:hAnsi="Arial"/>
            <w:sz w:val="18"/>
            <w:szCs w:val="18"/>
            <w:u w:val="single" w:color="auto"/>
            <w:color w:val="0000EE"/>
          </w:rPr>
          <w:t>May 5,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August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November 4, 2021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1"/>
        </w:numPr>
        <w:rPr>
          <w:rFonts w:ascii="Arial" w:cs="Arial" w:eastAsia="Arial" w:hAnsi="Arial"/>
          <w:sz w:val="18"/>
          <w:szCs w:val="18"/>
          <w:color w:val="0000EE"/>
        </w:rPr>
      </w:pPr>
      <w:hyperlink r:id="rId23">
        <w:r>
          <w:rPr>
            <w:rFonts w:ascii="Arial" w:cs="Arial" w:eastAsia="Arial" w:hAnsi="Arial"/>
            <w:sz w:val="18"/>
            <w:szCs w:val="18"/>
            <w:color w:val="auto"/>
          </w:rPr>
          <w:t xml:space="preserve">the Predecessor’s Current Reports on Form 8-K filed with the Commission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May 6, 2021</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May 7, 2021</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August 5, 2021</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 xml:space="preserve">December 2, 2021 </w:t>
        </w:r>
      </w:hyperlink>
      <w:hyperlink r:id="rId23">
        <w:r>
          <w:rPr>
            <w:rFonts w:ascii="Arial" w:cs="Arial" w:eastAsia="Arial" w:hAnsi="Arial"/>
            <w:sz w:val="18"/>
            <w:szCs w:val="18"/>
            <w:color w:val="000000"/>
          </w:rPr>
          <w:t>and January 3, 2022; and</w:t>
        </w:r>
      </w:hyperlink>
    </w:p>
    <w:p>
      <w:pPr>
        <w:spacing w:after="0" w:line="62" w:lineRule="exact"/>
        <w:rPr>
          <w:rFonts w:ascii="Arial" w:cs="Arial" w:eastAsia="Arial" w:hAnsi="Arial"/>
          <w:sz w:val="18"/>
          <w:szCs w:val="18"/>
          <w:color w:val="0000EE"/>
        </w:rPr>
      </w:pPr>
    </w:p>
    <w:p>
      <w:pPr>
        <w:ind w:right="480" w:firstLine="987"/>
        <w:spacing w:after="0" w:line="277" w:lineRule="auto"/>
        <w:tabs>
          <w:tab w:leader="none" w:pos="123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Common Shares contained in </w:t>
      </w:r>
      <w:hyperlink r:id="rId28">
        <w:r>
          <w:rPr>
            <w:rFonts w:ascii="Arial" w:cs="Arial" w:eastAsia="Arial" w:hAnsi="Arial"/>
            <w:sz w:val="18"/>
            <w:szCs w:val="18"/>
            <w:u w:val="single" w:color="auto"/>
            <w:color w:val="0000EE"/>
          </w:rPr>
          <w:t>Exhibit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with the Commission on February 10, 2020.</w:t>
      </w:r>
    </w:p>
    <w:p>
      <w:pPr>
        <w:spacing w:after="0" w:line="170" w:lineRule="exact"/>
        <w:rPr>
          <w:rFonts w:ascii="Arial" w:cs="Arial" w:eastAsia="Arial" w:hAnsi="Arial"/>
          <w:sz w:val="18"/>
          <w:szCs w:val="18"/>
          <w:color w:val="0000EE"/>
        </w:rPr>
      </w:pPr>
    </w:p>
    <w:p>
      <w:pPr>
        <w:ind w:firstLine="440"/>
        <w:spacing w:after="0" w:line="286"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Common Shares offered hereby have been sold or which deregisters all Common Shares then remaining unsold, shall be deemed to be incorporated herein by reference and to be a part hereof from the date of filing of such documents; except as to any portion of any future annual or quarterly report to stockholders or document or current report furnished under current Items 2.02 or 7.01</w:t>
      </w:r>
    </w:p>
    <w:p>
      <w:pPr>
        <w:spacing w:after="0" w:line="1" w:lineRule="exact"/>
        <w:rPr>
          <w:rFonts w:ascii="Arial" w:cs="Arial" w:eastAsia="Arial" w:hAnsi="Arial"/>
          <w:sz w:val="18"/>
          <w:szCs w:val="18"/>
          <w:color w:val="0000EE"/>
        </w:rPr>
      </w:pPr>
    </w:p>
    <w:p>
      <w:pPr>
        <w:ind w:right="40"/>
        <w:spacing w:after="0" w:line="253" w:lineRule="auto"/>
        <w:rPr>
          <w:sz w:val="20"/>
          <w:szCs w:val="20"/>
          <w:color w:val="auto"/>
        </w:rPr>
      </w:pPr>
      <w:r>
        <w:rPr>
          <w:rFonts w:ascii="Arial" w:cs="Arial" w:eastAsia="Arial" w:hAnsi="Arial"/>
          <w:sz w:val="18"/>
          <w:szCs w:val="18"/>
          <w:color w:val="auto"/>
        </w:rPr>
        <w:t>of Form 8-K that is not deemed filed under such provisions. Any statement contained in a document incorporated or deemed to be incorporated by reference herein shall be deemed to be modified or superseded for the purposes of these Registration Statements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these Registration Statements.</w:t>
      </w:r>
    </w:p>
    <w:p>
      <w:pPr>
        <w:spacing w:after="0" w:line="295"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0000EE"/>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Trustees and Officers.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724" w:right="200" w:hanging="71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1">
        <w:r>
          <w:rPr>
            <w:rFonts w:ascii="Arial" w:cs="Arial" w:eastAsia="Arial" w:hAnsi="Arial"/>
            <w:sz w:val="18"/>
            <w:szCs w:val="18"/>
            <w:u w:val="single" w:color="auto"/>
            <w:color w:val="0000EE"/>
          </w:rPr>
          <w:t>Amended and Restated Declaration of Trust of Federal Realty Investment Trust effective January 1, 2022 (previously filed as Exhibit 3.1 to</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the Current Report on Form 8-K filed by the Registrant on January 3, 2022 and incorporated herein by reference)</w:t>
        </w:r>
      </w:hyperlink>
    </w:p>
    <w:p>
      <w:pPr>
        <w:spacing w:after="0" w:line="62" w:lineRule="exact"/>
        <w:rPr>
          <w:sz w:val="20"/>
          <w:szCs w:val="20"/>
          <w:color w:val="auto"/>
        </w:rPr>
      </w:pPr>
    </w:p>
    <w:p>
      <w:pPr>
        <w:ind w:left="724" w:right="480" w:hanging="714"/>
        <w:spacing w:after="0" w:line="263"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2">
        <w:r>
          <w:rPr>
            <w:rFonts w:ascii="Arial" w:cs="Arial" w:eastAsia="Arial" w:hAnsi="Arial"/>
            <w:sz w:val="18"/>
            <w:szCs w:val="18"/>
            <w:u w:val="single" w:color="auto"/>
            <w:color w:val="0000EE"/>
          </w:rPr>
          <w:t>Articles of Amendment to Amended and Restated Declaration of Trust of Federal Realty Investment Trust effective January 1, 2022</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(previously filed as Exhibit 3.2 to the Current Report on Form 8-K filed by the Company on January 3, 2022 and incorporated herein by</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reference)</w:t>
        </w:r>
      </w:hyperlink>
    </w:p>
    <w:p>
      <w:pPr>
        <w:spacing w:after="0" w:line="76" w:lineRule="exact"/>
        <w:rPr>
          <w:rFonts w:ascii="Arial" w:cs="Arial" w:eastAsia="Arial" w:hAnsi="Arial"/>
          <w:sz w:val="18"/>
          <w:szCs w:val="18"/>
          <w:u w:val="single" w:color="auto"/>
          <w:color w:val="0000EE"/>
        </w:rPr>
      </w:pPr>
    </w:p>
    <w:p>
      <w:pPr>
        <w:ind w:left="724" w:right="120" w:hanging="71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33">
        <w:r>
          <w:rPr>
            <w:rFonts w:ascii="Arial" w:cs="Arial" w:eastAsia="Arial" w:hAnsi="Arial"/>
            <w:sz w:val="18"/>
            <w:szCs w:val="18"/>
            <w:u w:val="single" w:color="auto"/>
            <w:color w:val="0000EE"/>
          </w:rPr>
          <w:t>Bylaws of Federal Realty Investment Trust effective January 1, 2022 (previously filed as Exhibit 3.3 to the Current Report on Form 8-K filed</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by the Company on January 3, 2022 and incorporated herein by reference)</w:t>
        </w:r>
      </w:hyperlink>
    </w:p>
    <w:p>
      <w:pPr>
        <w:spacing w:after="0" w:line="62"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8">
        <w:r>
          <w:rPr>
            <w:rFonts w:ascii="Arial" w:cs="Arial" w:eastAsia="Arial" w:hAnsi="Arial"/>
            <w:sz w:val="16"/>
            <w:szCs w:val="16"/>
            <w:u w:val="single" w:color="auto"/>
            <w:color w:val="0000EE"/>
          </w:rPr>
          <w:t>Opinion of Pillsbury Winthrop Shaw Pittman LLP regarding the legality of the securities being registered</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
        <w:r>
          <w:rPr>
            <w:rFonts w:ascii="Arial" w:cs="Arial" w:eastAsia="Arial" w:hAnsi="Arial"/>
            <w:sz w:val="16"/>
            <w:szCs w:val="16"/>
            <w:u w:val="single" w:color="auto"/>
            <w:color w:val="0000EE"/>
          </w:rPr>
          <w:t>Consent of Grant Thornton LLP</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8">
        <w:r>
          <w:rPr>
            <w:rFonts w:ascii="Arial" w:cs="Arial" w:eastAsia="Arial" w:hAnsi="Arial"/>
            <w:sz w:val="16"/>
            <w:szCs w:val="16"/>
            <w:u w:val="single" w:color="auto"/>
            <w:color w:val="0000EE"/>
          </w:rPr>
          <w:t>Consent of Pillsbury Winthrop Shaw Pittman LLP (included in Exhibit 5.1)</w:t>
        </w:r>
      </w:hyperlink>
    </w:p>
    <w:p>
      <w:pPr>
        <w:spacing w:after="0" w:line="117"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(previously filed as Exhibit 24.1 to the Initial Registration Statements filed with respect to the 2020 Plan (Registration No.</w:t>
      </w:r>
    </w:p>
    <w:p>
      <w:pPr>
        <w:spacing w:after="0" w:line="23" w:lineRule="exact"/>
        <w:rPr>
          <w:sz w:val="20"/>
          <w:szCs w:val="20"/>
          <w:color w:val="auto"/>
        </w:rPr>
      </w:pPr>
    </w:p>
    <w:p>
      <w:pPr>
        <w:ind w:left="724"/>
        <w:spacing w:after="0"/>
        <w:rPr>
          <w:rFonts w:ascii="Arial" w:cs="Arial" w:eastAsia="Arial" w:hAnsi="Arial"/>
          <w:sz w:val="18"/>
          <w:szCs w:val="18"/>
          <w:color w:val="0000EE"/>
        </w:rPr>
      </w:pPr>
      <w:hyperlink r:id="rId34">
        <w:r>
          <w:rPr>
            <w:rFonts w:ascii="Arial" w:cs="Arial" w:eastAsia="Arial" w:hAnsi="Arial"/>
            <w:sz w:val="18"/>
            <w:szCs w:val="18"/>
            <w:u w:val="single" w:color="auto"/>
            <w:color w:val="0000EE"/>
          </w:rPr>
          <w:t>333-239351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the 2007 ESPP (Registration No.</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333-147081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incorporated herein by reference).</w:t>
      </w:r>
    </w:p>
    <w:p>
      <w:pPr>
        <w:spacing w:after="0" w:line="211" w:lineRule="exact"/>
        <w:rPr>
          <w:sz w:val="20"/>
          <w:szCs w:val="20"/>
          <w:color w:val="auto"/>
        </w:rPr>
      </w:pPr>
    </w:p>
    <w:p>
      <w:pPr>
        <w:ind w:left="724" w:hanging="724"/>
        <w:spacing w:after="0"/>
        <w:tabs>
          <w:tab w:leader="none" w:pos="7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Included with this filing.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684" w:hanging="244"/>
        <w:spacing w:after="0"/>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4" w:hanging="212"/>
        <w:spacing w:after="0"/>
        <w:tabs>
          <w:tab w:leader="none" w:pos="160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 w:name="page6"/>
    <w:bookmarkEnd w:id="5"/>
    <w:p>
      <w:pPr>
        <w:ind w:left="940" w:firstLine="408"/>
        <w:spacing w:after="0" w:line="272" w:lineRule="auto"/>
        <w:tabs>
          <w:tab w:leader="none" w:pos="1606"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40" w:right="720" w:firstLine="408"/>
        <w:spacing w:after="0" w:line="277" w:lineRule="auto"/>
        <w:tabs>
          <w:tab w:leader="none" w:pos="1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400" w:right="40"/>
        <w:spacing w:after="0" w:line="263"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76" w:lineRule="exact"/>
        <w:rPr>
          <w:sz w:val="20"/>
          <w:szCs w:val="20"/>
          <w:color w:val="auto"/>
        </w:rPr>
      </w:pPr>
    </w:p>
    <w:p>
      <w:pPr>
        <w:ind w:left="400" w:right="120" w:firstLine="419"/>
        <w:spacing w:after="0" w:line="263" w:lineRule="auto"/>
        <w:tabs>
          <w:tab w:leader="none" w:pos="1078"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400" w:right="180" w:firstLine="419"/>
        <w:spacing w:after="0" w:line="277" w:lineRule="auto"/>
        <w:tabs>
          <w:tab w:leader="none" w:pos="107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0" w:right="160" w:firstLine="436"/>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left="-40" w:right="40" w:firstLine="436"/>
        <w:spacing w:after="0" w:line="271" w:lineRule="auto"/>
        <w:tabs>
          <w:tab w:leader="none" w:pos="64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North Bethesda, State of Maryland, on January 3,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right"/>
              <w:ind w:right="26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04"/>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5"/>
              </w:rPr>
              <w:t>Chief Executive Officer of the Company (principal executive officer) and 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of the Company</w:t>
            </w: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5"/>
              </w:rPr>
              <w:t>Executive Vice President-Chief Financial Officer and Treasurer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and Non-Executive Chairman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58"/>
        </w:trPr>
        <w:tc>
          <w:tcPr>
            <w:tcW w:w="3080" w:type="dxa"/>
            <w:vAlign w:val="bottom"/>
            <w:gridSpan w:val="2"/>
          </w:tcPr>
          <w:p>
            <w:pPr>
              <w:spacing w:after="0"/>
              <w:rPr>
                <w:sz w:val="20"/>
                <w:szCs w:val="20"/>
                <w:color w:val="auto"/>
              </w:rPr>
            </w:pPr>
            <w:r>
              <w:rPr>
                <w:rFonts w:ascii="Arial" w:cs="Arial" w:eastAsia="Arial" w:hAnsi="Arial"/>
                <w:sz w:val="18"/>
                <w:szCs w:val="18"/>
                <w:color w:val="auto"/>
              </w:rPr>
              <w:t>*By:  /s/ Dawn M. Becker</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5"/>
        </w:trPr>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60" w:type="dxa"/>
            <w:vAlign w:val="bottom"/>
            <w:gridSpan w:val="3"/>
          </w:tcPr>
          <w:p>
            <w:pPr>
              <w:jc w:val="right"/>
              <w:ind w:right="352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1200 Seventeenth Street, NW, Washington, DC 20036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formerly known as FRT Holdco REIT before January 1, 2022 (the “Company”), in connection with its filing of Post-Effective Amendment No. 1 (the “Post Effective Amendments”) to the Registration Statements on Form S-8 filed with the Securities and Exchange Commission under the Securities Act of 1933, as amended (the “Act”), by Federal Realty Interim Real Estate Investment Trust, a Maryland real estate investment trust formerly known as Federal Realty Investment Trust before January 1, 2022 (the “Predecessor”) on June 22, 2020 (Registration No. 333-239351) and November 1, 2007 (Registration No. 333-147081) (collectively, the “Registration Statements”). The Company is filing the Post-Effective Amendments to adopt the Registration Statements pursuant to Rule 414(d) under the Act as the successor issuer to the Predecessor. The Registration Statements, as amended by the Post-Effective Amendments, relate to the offering of common shares of beneficial interest, par value $.01 per share (the “Common Shares”), of the Company that may be offered from time to time pursuant to the Company’s 2020 Performance Incentive Plan or the Company’s 2007 Employee Share Purchase Plan (collectively, the “Plans”).</w:t>
      </w:r>
    </w:p>
    <w:p>
      <w:pPr>
        <w:spacing w:after="0" w:line="166"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For purposes of giving the opinions hereinafter set forth, our examination of documents has been limited to examination of copies of the following (each, a “Document,” and collectively, the “Documents”):</w:t>
      </w:r>
    </w:p>
    <w:p>
      <w:pPr>
        <w:spacing w:after="0" w:line="76" w:lineRule="exact"/>
        <w:rPr>
          <w:sz w:val="20"/>
          <w:szCs w:val="20"/>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as of the date hereof;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bylaws of the Company, as amended as of the date hereof;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Registration Statements and the Post-Effective Amendments;</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on December 2, 2021 in the form certified to us by an officer of the Company on the date hereof; and</w:t>
      </w:r>
    </w:p>
    <w:p>
      <w:pPr>
        <w:spacing w:after="0" w:line="76"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Based upon the foregoing and subject to the assumptions, qualifications, limitations, and exceptions set forth below, we are of the opinion that the Common Shares have been duly authorized, and the Common Shares, when issued and delivered by the Company and, as applicable paid for, in the manner described in the Registration Statements and the Plans and in accordance with the resolutions adopted by the Board of Trustees of the Company, will be validly issued, fully paid and nonassessable.</w:t>
      </w:r>
    </w:p>
    <w:p>
      <w:pPr>
        <w:spacing w:after="0" w:line="187"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For purposes of this opinion, we have not reviewed any documents other than the Documents. In particular, we have not reviewed any document (other than the Documents) that is referred to in or incorporated by reference into any Document reviewed by us. We have assumed that no provision exists in any document that we have not reviewed that is inconsistent with the opinions stated herein.</w:t>
      </w:r>
    </w:p>
    <w:p>
      <w:pPr>
        <w:spacing w:after="0" w:line="18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In connection with this opinion, we have considered such matters of law and fact as we, in our professional judgment, have deemed necessary or appropriate to render the opinions contained herein. In rendering this opinion letter, we have assumed without independent investigation: (i) the completeness of all Documents; (ii) the genuineness of all signatures; (iii) the legal capacity of all individuals who have executed any of the Documents;</w:t>
      </w:r>
    </w:p>
    <w:p>
      <w:pPr>
        <w:spacing w:after="0" w:line="2" w:lineRule="exact"/>
        <w:rPr>
          <w:sz w:val="20"/>
          <w:szCs w:val="20"/>
          <w:color w:val="auto"/>
        </w:rPr>
      </w:pPr>
    </w:p>
    <w:p>
      <w:pPr>
        <w:jc w:val="both"/>
        <w:ind w:left="4" w:right="360" w:hanging="4"/>
        <w:spacing w:after="0" w:line="281" w:lineRule="auto"/>
        <w:tabs>
          <w:tab w:leader="none" w:pos="30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authenticity of all Documents submitted to us as originals; (v) the conformity to the original documents of all Documents submitted to us as certified, photostatic, reproduced, facsimile or conformed copies of valid existing agreements; (vi) the authenticity of all such latter Documents; and</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statements regarding matters of fact</w:t>
      </w:r>
    </w:p>
    <w:p>
      <w:pPr>
        <w:sectPr>
          <w:pgSz w:w="11900" w:h="16838" w:orient="portrait"/>
          <w:cols w:equalWidth="0" w:num="1">
            <w:col w:w="11024"/>
          </w:cols>
          <w:pgMar w:left="436" w:top="121" w:right="439" w:bottom="1440" w:gutter="0" w:footer="0" w:header="0"/>
        </w:sectPr>
      </w:pPr>
    </w:p>
    <w:bookmarkStart w:id="8" w:name="page9"/>
    <w:bookmarkEnd w:id="8"/>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of the Documents that we have examined are accurate and complete. We have further assumed that there are no oral or written modifications or amendments to any of the Documents, and that the executed versions of the Documents are identical to any unexecuted forms or versions that we may have reviewed.</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Our opinions expressed above are limited in all respects and for all purposes to the laws of the State of Maryland (excluding the securities laws and blue sky laws of the State of Maryland), and we express no opinion on the laws of any other jurisdiction, including federal laws and rules and regulations relating thereto. Our opinions are rendered only with respect to Maryland laws and rules, regulations and orders thereunder that are currently in effect. In rendering the opinions set forth herein, we express no opinion concerning (i) the creation, attachment, perfection or priority of any security interest, lien or other encumbrance, or (ii) the nature or validity of title to any property. The opinions set forth in this letter are limited to the matters and the transaction expressly addressed herein and no opinion is to be implied or may be inferred beyond the opinions expressly stated in this letter.</w:t>
      </w:r>
    </w:p>
    <w:p>
      <w:pPr>
        <w:spacing w:after="0" w:line="164"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Amendments. The giving of this consent, however, does not constitute an admission that we are within the category of persons whose consent is required by Section 7 of the Act.</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0980"/>
          </w:cols>
          <w:pgMar w:left="44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schedules,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1"/>
      <w:numFmt w:val="lowerLetter"/>
      <w:start w:val="1"/>
    </w:lvl>
    <w:lvl w:ilvl="1">
      <w:lvlJc w:val="left"/>
      <w:lvlText w:val="(%2)"/>
      <w:numFmt w:val="decimal"/>
      <w:start w:val="2"/>
    </w:lvl>
  </w:abstractNum>
  <w:abstractNum w:abstractNumId="5">
    <w:nsid w:val="7545E146"/>
    <w:multiLevelType w:val="hybridMultilevel"/>
    <w:lvl w:ilvl="0">
      <w:lvlJc w:val="left"/>
      <w:lvlText w:val="(%1)"/>
      <w:numFmt w:val="lowerLetter"/>
      <w:start w:val="2"/>
    </w:lvl>
    <w:lvl w:ilvl="1">
      <w:lvlJc w:val="left"/>
      <w:lvlText w:val="%2"/>
      <w:numFmt w:val="decimal"/>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9"/>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18" Type="http://schemas.openxmlformats.org/officeDocument/2006/relationships/hyperlink" Target="http://www.sec.gov/ix?doc=/Archives/edgar/data/34903/000003490321000020/frt-20201231.htm" TargetMode="External"/><Relationship Id="rId19" Type="http://schemas.openxmlformats.org/officeDocument/2006/relationships/hyperlink" Target="http://www.sec.gov/Archives/edgar/data/34903/000119312521093583/d112637ddef14a.htm" TargetMode="External"/><Relationship Id="rId20" Type="http://schemas.openxmlformats.org/officeDocument/2006/relationships/hyperlink" Target="http://www.sec.gov/ix?doc=/Archives/edgar/data/34903/000003490321000049/frt-20210331.htm" TargetMode="External"/><Relationship Id="rId21" Type="http://schemas.openxmlformats.org/officeDocument/2006/relationships/hyperlink" Target="http://www.sec.gov/ix?doc=/Archives/edgar/data/34903/000003490321000060/frt-20210630.htm" TargetMode="External"/><Relationship Id="rId22" Type="http://schemas.openxmlformats.org/officeDocument/2006/relationships/hyperlink" Target="http://www.sec.gov/ix?doc=/Archives/edgar/data/34903/000003490321000076/frt-20210930.htm" TargetMode="External"/><Relationship Id="rId23" Type="http://schemas.openxmlformats.org/officeDocument/2006/relationships/hyperlink" Target="http://www.sec.gov/ix?doc=/Archives/edgar/data/34903/000119312521121313/d126788d8k.htm" TargetMode="External"/><Relationship Id="rId24" Type="http://schemas.openxmlformats.org/officeDocument/2006/relationships/hyperlink" Target="http://www.sec.gov/ix?doc=/Archives/edgar/data/34903/000003490321000051/frt-20210505.htm" TargetMode="External"/><Relationship Id="rId25" Type="http://schemas.openxmlformats.org/officeDocument/2006/relationships/hyperlink" Target="http://www.sec.gov/ix?doc=/Archives/edgar/data/34903/000119312521154127/d415709d8k.htm" TargetMode="External"/><Relationship Id="rId26" Type="http://schemas.openxmlformats.org/officeDocument/2006/relationships/hyperlink" Target="http://www.sec.gov/ix?doc=/Archives/edgar/data/34903/000003490321000066/frt-20210803.htm" TargetMode="External"/><Relationship Id="rId27" Type="http://schemas.openxmlformats.org/officeDocument/2006/relationships/hyperlink" Target="http://www.sec.gov/ix?doc=/Archives/edgar/data/34903/000003490321000080/frt-20211202.htm" TargetMode="External"/><Relationship Id="rId28" Type="http://schemas.openxmlformats.org/officeDocument/2006/relationships/hyperlink" Target="http://www.sec.gov/Archives/edgar/data/34903/000003490320000008/frt-12312019xex48.htm" TargetMode="External"/><Relationship Id="rId31" Type="http://schemas.openxmlformats.org/officeDocument/2006/relationships/hyperlink" Target="http://www.sec.gov/Archives/edgar/data/34903/000119312522000302/d231372dex31.htm" TargetMode="External"/><Relationship Id="rId32" Type="http://schemas.openxmlformats.org/officeDocument/2006/relationships/hyperlink" Target="http://www.sec.gov/Archives/edgar/data/34903/000119312522000302/d231372dex32.htm" TargetMode="External"/><Relationship Id="rId33" Type="http://schemas.openxmlformats.org/officeDocument/2006/relationships/hyperlink" Target="http://www.sec.gov/Archives/edgar/data/34903/000119312522000302/d231372dex33.htm" TargetMode="External"/><Relationship Id="rId34" Type="http://schemas.openxmlformats.org/officeDocument/2006/relationships/hyperlink" Target="http://www.sec.gov/Archives/edgar/data/34903/000119312520175576/d949369ds8.htm#sig" TargetMode="External"/><Relationship Id="rId35" Type="http://schemas.openxmlformats.org/officeDocument/2006/relationships/hyperlink" Target="http://www.sec.gov/Archives/edgar/data/34903/000119312507232339/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2022-01-03T08:03:45Z</dcterms:created>
  <dcterms:modified xsi:type="dcterms:W3CDTF">2022-01-03T08:03:45Z</dcterms:modified>
</cp:coreProperties>
</file>