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March 31, 2017</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rFonts w:ascii="MS PGothic" w:cs="MS PGothic" w:eastAsia="MS PGothic" w:hAnsi="MS PGothic"/>
          <w:sz w:val="18"/>
          <w:szCs w:val="18"/>
          <w:color w:val="auto"/>
        </w:rPr>
      </w:pPr>
    </w:p>
    <w:p>
      <w:pPr>
        <w:ind w:left="900" w:right="260" w:hanging="440"/>
        <w:spacing w:after="0" w:line="308" w:lineRule="auto"/>
        <w:tabs>
          <w:tab w:leader="none" w:pos="9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line="308" w:lineRule="auto"/>
        <w:tabs>
          <w:tab w:leader="none" w:pos="900" w:val="left"/>
        </w:tabs>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22"/>
          <w:szCs w:val="22"/>
          <w:color w:val="auto"/>
        </w:rPr>
        <w:t>On May 3, 2017, Federal Realty Investment Trust issued supplemental data pertaining to its operations, as well as a press release, to report its financial results for the quarter ended March 31, 2017.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March 31, 2017 (including press release dated May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1120"/>
        <w:spacing w:after="0"/>
        <w:tabs>
          <w:tab w:leader="none" w:pos="1780" w:val="left"/>
          <w:tab w:leader="none" w:pos="4960" w:val="left"/>
        </w:tabs>
        <w:rPr>
          <w:sz w:val="20"/>
          <w:szCs w:val="20"/>
          <w:color w:val="auto"/>
        </w:rPr>
      </w:pPr>
      <w:r>
        <w:rPr>
          <w:rFonts w:ascii="Arial" w:cs="Arial" w:eastAsia="Arial" w:hAnsi="Arial"/>
          <w:sz w:val="22"/>
          <w:szCs w:val="22"/>
          <w:color w:val="auto"/>
        </w:rPr>
        <w:t>Date:</w:t>
        <w:tab/>
        <w:t>May 3, 2017</w:t>
      </w:r>
      <w:r>
        <w:rPr>
          <w:sz w:val="20"/>
          <w:szCs w:val="20"/>
          <w:color w:val="auto"/>
        </w:rPr>
        <w:tab/>
      </w:r>
      <w:r>
        <w:rPr>
          <w:rFonts w:ascii="Arial" w:cs="Arial" w:eastAsia="Arial" w:hAnsi="Arial"/>
          <w:sz w:val="19"/>
          <w:szCs w:val="19"/>
          <w:u w:val="single" w:color="auto"/>
          <w:color w:val="auto"/>
        </w:rPr>
        <w:t>/s/ Daniel Guglielmone</w:t>
      </w:r>
    </w:p>
    <w:p>
      <w:pPr>
        <w:spacing w:after="0" w:line="36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Daniel Guglielmone</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March 31, 2017</w:t>
      </w:r>
    </w:p>
    <w:p>
      <w:pPr>
        <w:sectPr>
          <w:pgSz w:w="11900" w:h="16838" w:orient="portrait"/>
          <w:cols w:equalWidth="0" w:num="1">
            <w:col w:w="10219"/>
          </w:cols>
          <w:pgMar w:left="240" w:top="591"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2017</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First Quarter 2017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Consolidated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Consolidated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12</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Assembly Row, Pike &amp; Rose, and Santana Row</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Future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19</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2017 Significant Acquisitions and Disposition</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20</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21</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Reconciliation of FFO Guidance</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29</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30</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460"/>
          </w:cols>
          <w:pgMar w:left="1220" w:top="742" w:right="12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2017,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13, 2017.</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6" w:name="page7"/>
    <w:bookmarkEnd w:id="6"/>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2687320</wp:posOffset>
            </wp:positionH>
            <wp:positionV relativeFrom="page">
              <wp:posOffset>243205</wp:posOffset>
            </wp:positionV>
            <wp:extent cx="219519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95195" cy="6261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9"/>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NEWS RELEASE</w:t>
            </w:r>
          </w:p>
        </w:tc>
        <w:tc>
          <w:tcPr>
            <w:tcW w:w="5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www.federalrealty.com</w:t>
            </w:r>
          </w:p>
        </w:tc>
      </w:tr>
      <w:tr>
        <w:trPr>
          <w:trHeight w:val="419"/>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FOR IMMEDIATE RELEASE</w:t>
            </w:r>
          </w:p>
        </w:tc>
        <w:tc>
          <w:tcPr>
            <w:tcW w:w="5480" w:type="dxa"/>
            <w:vAlign w:val="bottom"/>
          </w:tcPr>
          <w:p>
            <w:pPr>
              <w:spacing w:after="0"/>
              <w:rPr>
                <w:sz w:val="24"/>
                <w:szCs w:val="24"/>
                <w:color w:val="auto"/>
              </w:rPr>
            </w:pPr>
          </w:p>
        </w:tc>
      </w:tr>
      <w:tr>
        <w:trPr>
          <w:trHeight w:val="486"/>
        </w:trPr>
        <w:tc>
          <w:tcPr>
            <w:tcW w:w="5480" w:type="dxa"/>
            <w:vAlign w:val="bottom"/>
          </w:tcPr>
          <w:p>
            <w:pPr>
              <w:ind w:left="40"/>
              <w:spacing w:after="0"/>
              <w:rPr>
                <w:sz w:val="20"/>
                <w:szCs w:val="20"/>
                <w:color w:val="auto"/>
              </w:rPr>
            </w:pPr>
            <w:r>
              <w:rPr>
                <w:rFonts w:ascii="Arial" w:cs="Arial" w:eastAsia="Arial" w:hAnsi="Arial"/>
                <w:sz w:val="18"/>
                <w:szCs w:val="18"/>
                <w:i w:val="1"/>
                <w:iCs w:val="1"/>
                <w:color w:val="auto"/>
              </w:rPr>
              <w:t>Investor Inquiries:</w:t>
            </w:r>
          </w:p>
        </w:tc>
        <w:tc>
          <w:tcPr>
            <w:tcW w:w="548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color w:val="auto"/>
              </w:rPr>
              <w:t>Leah Andress</w:t>
            </w:r>
          </w:p>
        </w:tc>
        <w:tc>
          <w:tcPr>
            <w:tcW w:w="5480" w:type="dxa"/>
            <w:vAlign w:val="bottom"/>
          </w:tcPr>
          <w:p>
            <w:pPr>
              <w:jc w:val="right"/>
              <w:spacing w:after="0"/>
              <w:rPr>
                <w:sz w:val="20"/>
                <w:szCs w:val="20"/>
                <w:color w:val="auto"/>
              </w:rPr>
            </w:pPr>
            <w:r>
              <w:rPr>
                <w:rFonts w:ascii="Arial" w:cs="Arial" w:eastAsia="Arial" w:hAnsi="Arial"/>
                <w:sz w:val="18"/>
                <w:szCs w:val="18"/>
                <w:color w:val="auto"/>
              </w:rPr>
              <w:t>Andrea Simpson</w:t>
            </w: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color w:val="auto"/>
              </w:rPr>
              <w:t>Investor Relations Associate</w:t>
            </w:r>
          </w:p>
        </w:tc>
        <w:tc>
          <w:tcPr>
            <w:tcW w:w="5480" w:type="dxa"/>
            <w:vAlign w:val="bottom"/>
          </w:tcPr>
          <w:p>
            <w:pPr>
              <w:jc w:val="right"/>
              <w:spacing w:after="0"/>
              <w:rPr>
                <w:sz w:val="20"/>
                <w:szCs w:val="20"/>
                <w:color w:val="auto"/>
              </w:rPr>
            </w:pPr>
            <w:r>
              <w:rPr>
                <w:rFonts w:ascii="Arial" w:cs="Arial" w:eastAsia="Arial" w:hAnsi="Arial"/>
                <w:sz w:val="18"/>
                <w:szCs w:val="18"/>
                <w:color w:val="auto"/>
              </w:rPr>
              <w:t>Vice President, Marketing</w:t>
            </w: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color w:val="auto"/>
              </w:rPr>
              <w:t>301.998.8265</w:t>
            </w:r>
          </w:p>
        </w:tc>
        <w:tc>
          <w:tcPr>
            <w:tcW w:w="5480" w:type="dxa"/>
            <w:vAlign w:val="bottom"/>
          </w:tcPr>
          <w:p>
            <w:pPr>
              <w:jc w:val="right"/>
              <w:spacing w:after="0"/>
              <w:rPr>
                <w:sz w:val="20"/>
                <w:szCs w:val="20"/>
                <w:color w:val="auto"/>
              </w:rPr>
            </w:pPr>
            <w:r>
              <w:rPr>
                <w:rFonts w:ascii="Arial" w:cs="Arial" w:eastAsia="Arial" w:hAnsi="Arial"/>
                <w:sz w:val="18"/>
                <w:szCs w:val="18"/>
                <w:color w:val="auto"/>
              </w:rPr>
              <w:t>617.684.1511</w:t>
            </w: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i w:val="1"/>
                <w:iCs w:val="1"/>
                <w:color w:val="auto"/>
              </w:rPr>
              <w:t>landress@federalrealty.com</w:t>
            </w:r>
          </w:p>
        </w:tc>
        <w:tc>
          <w:tcPr>
            <w:tcW w:w="5480" w:type="dxa"/>
            <w:vAlign w:val="bottom"/>
          </w:tcPr>
          <w:p>
            <w:pPr>
              <w:jc w:val="right"/>
              <w:spacing w:after="0"/>
              <w:rPr>
                <w:sz w:val="20"/>
                <w:szCs w:val="20"/>
                <w:color w:val="auto"/>
              </w:rPr>
            </w:pPr>
            <w:r>
              <w:rPr>
                <w:rFonts w:ascii="Arial" w:cs="Arial" w:eastAsia="Arial" w:hAnsi="Arial"/>
                <w:sz w:val="18"/>
                <w:szCs w:val="18"/>
                <w:i w:val="1"/>
                <w:iCs w:val="1"/>
                <w:color w:val="auto"/>
              </w:rPr>
              <w:t>asimpson@federalrealty.com</w:t>
            </w:r>
          </w:p>
        </w:tc>
      </w:tr>
    </w:tbl>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Announces First Quarter 2017 Operating Results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ROCKVILLE, Md. (May 3, 2017) - Federal Realty Investment Trust (NYSE:FRT) today reported operating results for its first quarter ended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March 31, 2017. Highlights of the quarter include:</w:t>
      </w:r>
    </w:p>
    <w:p>
      <w:pPr>
        <w:spacing w:after="0" w:line="239" w:lineRule="exact"/>
        <w:rPr>
          <w:sz w:val="20"/>
          <w:szCs w:val="20"/>
          <w:color w:val="auto"/>
        </w:rPr>
      </w:pPr>
    </w:p>
    <w:p>
      <w:pPr>
        <w:ind w:left="660" w:right="2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earnings per diluted share of $0.78 for the quarter compared to $1.10 in first quarter 2016 which included a $0.37 gain on change in control of interests.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FFO per diluted share of $1.45 for the quarter compared to $1.38 in first quarter 2016, representing growth of 5.1%.</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same center property operating income growth of 4.3% for the first quarter.</w:t>
      </w:r>
    </w:p>
    <w:p>
      <w:pPr>
        <w:spacing w:after="0" w:line="103" w:lineRule="exact"/>
        <w:rPr>
          <w:rFonts w:ascii="Arial" w:cs="Arial" w:eastAsia="Arial" w:hAnsi="Arial"/>
          <w:sz w:val="18"/>
          <w:szCs w:val="18"/>
          <w:color w:val="auto"/>
        </w:rPr>
      </w:pPr>
    </w:p>
    <w:p>
      <w:pPr>
        <w:ind w:left="660" w:right="2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leases for 523,869 sf of comparable space (591,765 sf total) in the first quarter at an average rent of $34.91 psf and achieved cash basis rollover growth on those comparable spaces of 11%.</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Riverpoint Center, 211,000 sf shopping center on 17 acres of land in Chicago, Illinois for $107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our 2017 FFO per diluted share guidance range to $5.85 - $5.93</w:t>
      </w:r>
    </w:p>
    <w:p>
      <w:pPr>
        <w:spacing w:after="0" w:line="200" w:lineRule="exact"/>
        <w:rPr>
          <w:sz w:val="20"/>
          <w:szCs w:val="20"/>
          <w:color w:val="auto"/>
        </w:rPr>
      </w:pPr>
    </w:p>
    <w:p>
      <w:pPr>
        <w:spacing w:after="0" w:line="214"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“We’re very pleased to deliver another quarter of record bottom line results to our shareholders,” said Donald C. Wood, President and Chief Executive Office of Federal Realty. “Our team remains focused on uncovering value creative opportunities throughout our existing portfolio - whether it be through redevelopment or remerchandising - in order to keep our centers relevant for years to come. We also continue to identify potential infill acquisitions in order to re-stock our redevelopment pipeline and drive future growth opportunities. Our record results reflect the broad base of our balanced business plan as we continue to position our portfolio to meet the needs of the changing retail environment.”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61"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Net income available for common shareholders was $56.1 million and earnings per diluted share was $0.78 for first quarter 2017 versus $76.8 million and $1.10, respectively, for first quarter 2016 which included a $0.37 gain on change in control of interests.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7" w:name="page8"/>
    <w:bookmarkEnd w:id="7"/>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6014720</wp:posOffset>
            </wp:positionH>
            <wp:positionV relativeFrom="page">
              <wp:posOffset>517525</wp:posOffset>
            </wp:positionV>
            <wp:extent cx="1389380"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89380" cy="411480"/>
                    </a:xfrm>
                    <a:prstGeom prst="rect">
                      <a:avLst/>
                    </a:prstGeom>
                    <a:noFill/>
                  </pic:spPr>
                </pic:pic>
              </a:graphicData>
            </a:graphic>
          </wp:anchor>
        </w:drawing>
      </w:r>
    </w:p>
    <w:p>
      <w:pPr>
        <w:jc w:val="both"/>
        <w:spacing w:after="0" w:line="371" w:lineRule="auto"/>
        <w:rPr>
          <w:sz w:val="20"/>
          <w:szCs w:val="20"/>
          <w:color w:val="auto"/>
        </w:rPr>
      </w:pPr>
      <w:r>
        <w:rPr>
          <w:rFonts w:ascii="Arial" w:cs="Arial" w:eastAsia="Arial" w:hAnsi="Arial"/>
          <w:sz w:val="18"/>
          <w:szCs w:val="18"/>
          <w:color w:val="auto"/>
        </w:rPr>
        <w:t>In the first quarter 2017, Federal Realty generated funds from operations available for common shareholders (FFO) of $105.8 million, or $1.45 per diluted share. This compares to FFO of $97.6 million, or $1.38 per diluted share, in first quarter 2016.</w:t>
      </w:r>
    </w:p>
    <w:p>
      <w:pPr>
        <w:spacing w:after="0" w:line="116"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Results</w:t>
      </w:r>
    </w:p>
    <w:p>
      <w:pPr>
        <w:spacing w:after="0" w:line="261"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In first quarter 2017, same-center property operating income increased 4.3% when including properties that are being redeveloped and 1.0% when excluding those properties. Our proactive anchor releasing efforts to reposition our properties for the future continued to negatively impact our same-store quarterly results.</w:t>
      </w:r>
    </w:p>
    <w:p>
      <w:pPr>
        <w:spacing w:after="0" w:line="123"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The overall portfolio was 94.6% leased as of March 31, 2017, compared to 94.4% on December 31, 2016 and 94.1% on March 31, 2016. Federal Realty’s same center portfolio was 95.8% leased on March 31, 2017, compared to 95.7% on December 31, 2016 and 95.9% on March 31, 2016.</w:t>
      </w:r>
    </w:p>
    <w:p>
      <w:pPr>
        <w:spacing w:after="0" w:line="123"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During first quarter 2017, Federal Realty signed 114 leases for 591,765 square feet of retail space. On a comparable space basis (i.e., spaces for which there was a former tenant), Federal Realty leased 523,869 square feet at an average cash basis contractual rent increase (i.e., excluding the impact of straight-line rents) of 11%. The average contractual rent on this comparable space for the first year of the new leases is $34.91 per square foot compared to the average contractual rent of $31.31 per square foot for the last year of the prior leases. The previous average contractual rent was calculated by including both the minimum rent and any percentage rent actually paid during the last year of the lease term for the re-leased space. On a straight-line basis, rent increases for comparable retail space averaged 23% for first quarter 2017.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Regular Quarterly Dividends</w:t>
      </w:r>
    </w:p>
    <w:p>
      <w:pPr>
        <w:spacing w:after="0" w:line="261" w:lineRule="exact"/>
        <w:rPr>
          <w:sz w:val="20"/>
          <w:szCs w:val="20"/>
          <w:color w:val="auto"/>
        </w:rPr>
      </w:pPr>
    </w:p>
    <w:p>
      <w:pPr>
        <w:jc w:val="both"/>
        <w:ind w:right="20"/>
        <w:spacing w:after="0" w:line="365" w:lineRule="auto"/>
        <w:rPr>
          <w:sz w:val="20"/>
          <w:szCs w:val="20"/>
          <w:color w:val="auto"/>
        </w:rPr>
      </w:pPr>
      <w:r>
        <w:rPr>
          <w:rFonts w:ascii="Arial" w:cs="Arial" w:eastAsia="Arial" w:hAnsi="Arial"/>
          <w:sz w:val="18"/>
          <w:szCs w:val="18"/>
          <w:color w:val="auto"/>
        </w:rPr>
        <w:t>Federal Realty also announced today that its Board of Trustees declared a regular quarterly cash dividend of $0.98 per common share, resulting in an indicated annual rate of $3.92 per common share. The regular common dividend will be payable on July 17, 2017 to common shareholders of record as of June 22, 2017.</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Other Quarterly Activities and Recent Developments</w:t>
      </w:r>
    </w:p>
    <w:p>
      <w:pPr>
        <w:spacing w:after="0" w:line="261" w:lineRule="exact"/>
        <w:rPr>
          <w:sz w:val="20"/>
          <w:szCs w:val="20"/>
          <w:color w:val="auto"/>
        </w:rPr>
      </w:pPr>
    </w:p>
    <w:p>
      <w:pPr>
        <w:jc w:val="both"/>
        <w:ind w:left="660" w:right="20" w:hanging="328"/>
        <w:spacing w:after="0" w:line="36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March 31, 2017 - Federal Realty acquired Riverpoint Center, a 211,000 square foot grocery anchored community shopping center with surface parking on 17 acres of land in Chicago, Illinois. The property is located in affluent Lincoln Park and is 3.5 miles northwest of downtown Chicago. The Trust sourced the acquisition off-market for $107 million cash.</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40" w:right="239" w:bottom="1440" w:gutter="0" w:footer="0" w:header="0"/>
        </w:sectPr>
      </w:pPr>
    </w:p>
    <w:bookmarkStart w:id="8" w:name="page9"/>
    <w:bookmarkEnd w:id="8"/>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6014720</wp:posOffset>
            </wp:positionH>
            <wp:positionV relativeFrom="page">
              <wp:posOffset>517525</wp:posOffset>
            </wp:positionV>
            <wp:extent cx="138938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89380" cy="411480"/>
                    </a:xfrm>
                    <a:prstGeom prst="rect">
                      <a:avLst/>
                    </a:prstGeom>
                    <a:noFill/>
                  </pic:spPr>
                </pic:pic>
              </a:graphicData>
            </a:graphic>
          </wp:anchor>
        </w:drawing>
      </w:r>
    </w:p>
    <w:p>
      <w:pPr>
        <w:ind w:left="660" w:hanging="328"/>
        <w:spacing w:after="0" w:line="3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March 28, 2017 - Federal Realty announced its exclusive partnership with Freight Farms, a Boston-based company that retrofits shipping containers with vertical farming technology capable of growing acres' worth of</w:t>
      </w:r>
    </w:p>
    <w:p>
      <w:pPr>
        <w:jc w:val="both"/>
        <w:ind w:left="660"/>
        <w:spacing w:after="0" w:line="365" w:lineRule="auto"/>
        <w:rPr>
          <w:rFonts w:ascii="Arial" w:cs="Arial" w:eastAsia="Arial" w:hAnsi="Arial"/>
          <w:sz w:val="18"/>
          <w:szCs w:val="18"/>
          <w:color w:val="auto"/>
        </w:rPr>
      </w:pPr>
      <w:r>
        <w:rPr>
          <w:rFonts w:ascii="Arial" w:cs="Arial" w:eastAsia="Arial" w:hAnsi="Arial"/>
          <w:sz w:val="18"/>
          <w:szCs w:val="18"/>
          <w:color w:val="auto"/>
        </w:rPr>
        <w:t>produce in a fraction of the space of traditional farms. The partnership empowers anyone to use this technology while repurposing Federal Realty's unused parking spaces as a place to locally and sustainably produce food that benefits the shopping centers' tenants, customers and community.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w:t>
      </w:r>
    </w:p>
    <w:p>
      <w:pPr>
        <w:spacing w:after="0" w:line="261"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Federal Realty increased its 2017 guidance for FFO per diluted share to $5.85 to $5.93 and 2017 earnings per diluted share guidance to $3.35 to $3.43.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61" w:lineRule="exact"/>
        <w:rPr>
          <w:sz w:val="20"/>
          <w:szCs w:val="20"/>
          <w:color w:val="auto"/>
        </w:rPr>
      </w:pPr>
    </w:p>
    <w:p>
      <w:pPr>
        <w:ind w:right="20"/>
        <w:spacing w:after="0" w:line="363"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first quarter 2017 earnings conference call, which is scheduled for Thursday, May 4, 2017 at 11:00AM ET. To participate, please call 877.445.3230 five to ten minutes prior to the call start time and use the passcode 94377266 (required). A replay of the webcast will be available on Federal Realty’s website www.federalrealty.com, which will remain available for 30 days following the call. A telephonic replay of the conference call will also be available through May 11, 2017 by dialing 855.859.2056; Passcode: 94377266.</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Federal Realty</w:t>
      </w:r>
    </w:p>
    <w:p>
      <w:pPr>
        <w:spacing w:after="0" w:line="261"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our mission is to deliver long term, sustainable growth through investing in densely populated, affluent communities where retail demand exceeds supply. Our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98 properties include over 2,800 tenants, in approximately 23 million square feet, and over 1,800 residential units.</w:t>
      </w:r>
    </w:p>
    <w:p>
      <w:pPr>
        <w:spacing w:after="0" w:line="12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 has paid quarterly dividends to its shareholders continuously since its founding in 1962, and has increased its dividend rate for 49 consecutive years, the longest record in the REIT industry. Federal Realty shares are traded on the NYSE under the symbol FRT. For additional information about Federal Realty and its properties, visit www.FederalRealty.com.</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40" w:right="239" w:bottom="1440" w:gutter="0" w:footer="0" w:header="0"/>
        </w:sectPr>
      </w:pPr>
    </w:p>
    <w:bookmarkStart w:id="9" w:name="page10"/>
    <w:bookmarkEnd w:id="9"/>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6014720</wp:posOffset>
            </wp:positionH>
            <wp:positionV relativeFrom="page">
              <wp:posOffset>517525</wp:posOffset>
            </wp:positionV>
            <wp:extent cx="138938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89380"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Safe Harbor Language</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2017, and include the following:</w:t>
      </w:r>
    </w:p>
    <w:p>
      <w:pPr>
        <w:spacing w:after="0" w:line="125" w:lineRule="exact"/>
        <w:rPr>
          <w:sz w:val="20"/>
          <w:szCs w:val="20"/>
          <w:color w:val="auto"/>
        </w:rPr>
      </w:pPr>
    </w:p>
    <w:p>
      <w:pPr>
        <w:ind w:left="66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0"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 projects that we do pursue may cost more, take more time to complete, or fail to perform as expected;</w:t>
      </w:r>
    </w:p>
    <w:p>
      <w:pPr>
        <w:spacing w:after="0" w:line="30" w:lineRule="exact"/>
        <w:rPr>
          <w:rFonts w:ascii="Arial" w:cs="Arial" w:eastAsia="Arial" w:hAnsi="Arial"/>
          <w:sz w:val="18"/>
          <w:szCs w:val="18"/>
          <w:color w:val="auto"/>
        </w:rPr>
      </w:pPr>
    </w:p>
    <w:p>
      <w:pPr>
        <w:jc w:val="both"/>
        <w:ind w:left="660" w:hanging="328"/>
        <w:spacing w:after="0" w:line="28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31" w:lineRule="exact"/>
        <w:rPr>
          <w:rFonts w:ascii="Arial" w:cs="Arial" w:eastAsia="Arial" w:hAnsi="Arial"/>
          <w:sz w:val="18"/>
          <w:szCs w:val="18"/>
          <w:color w:val="auto"/>
        </w:rPr>
      </w:pPr>
    </w:p>
    <w:p>
      <w:pPr>
        <w:jc w:val="both"/>
        <w:ind w:left="660" w:hanging="328"/>
        <w:spacing w:after="0" w:line="29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328"/>
        <w:spacing w:after="0" w:line="28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1" w:lineRule="exact"/>
        <w:rPr>
          <w:rFonts w:ascii="Arial" w:cs="Arial" w:eastAsia="Arial" w:hAnsi="Arial"/>
          <w:sz w:val="18"/>
          <w:szCs w:val="18"/>
          <w:color w:val="auto"/>
        </w:rPr>
      </w:pPr>
    </w:p>
    <w:p>
      <w:pPr>
        <w:jc w:val="both"/>
        <w:ind w:left="660" w:right="20" w:hanging="328"/>
        <w:spacing w:after="0" w:line="29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40"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76"/>
        </w:trPr>
        <w:tc>
          <w:tcPr>
            <w:tcW w:w="5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673"/>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4"/>
        </w:trPr>
        <w:tc>
          <w:tcPr>
            <w:tcW w:w="52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1"/>
              </w:rPr>
              <w:t>(in thousands, except per share data)</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gridSpan w:val="3"/>
          </w:tcPr>
          <w:p>
            <w:pPr>
              <w:jc w:val="center"/>
              <w:ind w:left="693"/>
              <w:spacing w:after="0"/>
              <w:rPr>
                <w:sz w:val="20"/>
                <w:szCs w:val="20"/>
                <w:color w:val="auto"/>
              </w:rPr>
            </w:pPr>
            <w:r>
              <w:rPr>
                <w:rFonts w:ascii="Arial" w:cs="Arial" w:eastAsia="Arial" w:hAnsi="Arial"/>
                <w:sz w:val="14"/>
                <w:szCs w:val="14"/>
                <w:b w:val="1"/>
                <w:bCs w:val="1"/>
                <w:color w:val="auto"/>
                <w:w w:val="94"/>
              </w:rPr>
              <w:t>(unaudited)</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280" w:type="dxa"/>
            <w:vAlign w:val="bottom"/>
          </w:tcPr>
          <w:p>
            <w:pPr>
              <w:ind w:left="40"/>
              <w:spacing w:after="0"/>
              <w:rPr>
                <w:sz w:val="20"/>
                <w:szCs w:val="20"/>
                <w:color w:val="auto"/>
              </w:rPr>
            </w:pPr>
            <w:r>
              <w:rPr>
                <w:rFonts w:ascii="Arial" w:cs="Arial" w:eastAsia="Arial" w:hAnsi="Arial"/>
                <w:sz w:val="18"/>
                <w:szCs w:val="18"/>
                <w:color w:val="auto"/>
              </w:rPr>
              <w:t>REVENUE</w:t>
            </w:r>
          </w:p>
        </w:tc>
        <w:tc>
          <w:tcPr>
            <w:tcW w:w="3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income</w:t>
            </w:r>
          </w:p>
        </w:tc>
        <w:tc>
          <w:tcPr>
            <w:tcW w:w="33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204,447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195,308</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Other property income</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 interest income</w:t>
            </w:r>
          </w:p>
        </w:tc>
        <w:tc>
          <w:tcPr>
            <w:tcW w:w="30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37"/>
        </w:trPr>
        <w:tc>
          <w:tcPr>
            <w:tcW w:w="528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0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207,389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198,344</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Rental expenses</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41,109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42,819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taxes</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22,794</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8,267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8,010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0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51,379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47,799</w:t>
            </w:r>
          </w:p>
        </w:tc>
        <w:tc>
          <w:tcPr>
            <w:tcW w:w="0" w:type="dxa"/>
            <w:vAlign w:val="bottom"/>
          </w:tcPr>
          <w:p>
            <w:pPr>
              <w:spacing w:after="0"/>
              <w:rPr>
                <w:sz w:val="1"/>
                <w:szCs w:val="1"/>
                <w:color w:val="auto"/>
              </w:rPr>
            </w:pPr>
          </w:p>
        </w:tc>
      </w:tr>
      <w:tr>
        <w:trPr>
          <w:trHeight w:val="237"/>
        </w:trPr>
        <w:tc>
          <w:tcPr>
            <w:tcW w:w="528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0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125,845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121,422</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81,544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76,922</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Other interest income</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(23,729)</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Income from real estate partnerships</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53,337</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Gain on sale of real estate and change in control of interests</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25,726</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58,070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79,063</w:t>
            </w:r>
          </w:p>
        </w:tc>
        <w:tc>
          <w:tcPr>
            <w:tcW w:w="0" w:type="dxa"/>
            <w:vAlign w:val="bottom"/>
          </w:tcPr>
          <w:p>
            <w:pPr>
              <w:spacing w:after="0"/>
              <w:rPr>
                <w:sz w:val="1"/>
                <w:szCs w:val="1"/>
                <w:color w:val="auto"/>
              </w:rPr>
            </w:pPr>
          </w:p>
        </w:tc>
      </w:tr>
      <w:tr>
        <w:trPr>
          <w:trHeight w:val="243"/>
        </w:trPr>
        <w:tc>
          <w:tcPr>
            <w:tcW w:w="5280" w:type="dxa"/>
            <w:vAlign w:val="bottom"/>
          </w:tcPr>
          <w:p>
            <w:pPr>
              <w:ind w:left="300"/>
              <w:spacing w:after="0"/>
              <w:rPr>
                <w:sz w:val="20"/>
                <w:szCs w:val="20"/>
                <w:color w:val="auto"/>
              </w:rPr>
            </w:pPr>
            <w:r>
              <w:rPr>
                <w:rFonts w:ascii="Arial" w:cs="Arial" w:eastAsia="Arial" w:hAnsi="Arial"/>
                <w:sz w:val="18"/>
                <w:szCs w:val="18"/>
                <w:color w:val="auto"/>
              </w:rPr>
              <w:t>Net income attributable to noncontrolling interests</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56,190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76,955</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56,055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76,820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3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33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w w:val="96"/>
              </w:rPr>
              <w:t>Gain on sale of real estate and change in control of interests, net</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8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30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71,862</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69,771</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DILUTED</w:t>
            </w:r>
          </w:p>
        </w:tc>
        <w:tc>
          <w:tcPr>
            <w:tcW w:w="30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3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Gain on sale of real estate and change in control of interests, net</w:t>
            </w:r>
          </w:p>
        </w:tc>
        <w:tc>
          <w:tcPr>
            <w:tcW w:w="30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67"/>
        </w:trPr>
        <w:tc>
          <w:tcPr>
            <w:tcW w:w="5280" w:type="dxa"/>
            <w:vAlign w:val="bottom"/>
            <w:tcBorders>
              <w:bottom w:val="single" w:sz="8" w:color="CCEEFF"/>
            </w:tcBorders>
          </w:tcPr>
          <w:p>
            <w:pPr>
              <w:spacing w:after="0"/>
              <w:rPr>
                <w:sz w:val="5"/>
                <w:szCs w:val="5"/>
                <w:color w:val="auto"/>
              </w:rPr>
            </w:pPr>
          </w:p>
        </w:tc>
        <w:tc>
          <w:tcPr>
            <w:tcW w:w="30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72,005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69,957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060" w:type="dxa"/>
            <w:vAlign w:val="bottom"/>
            <w:vMerge w:val="restart"/>
          </w:tcPr>
          <w:p>
            <w:pPr>
              <w:jc w:val="right"/>
              <w:ind w:right="2490"/>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00" w:type="dxa"/>
            <w:vAlign w:val="bottom"/>
            <w:gridSpan w:val="4"/>
          </w:tcPr>
          <w:p>
            <w:pPr>
              <w:jc w:val="right"/>
              <w:ind w:right="51"/>
              <w:spacing w:after="0" w:line="153" w:lineRule="exact"/>
              <w:rPr>
                <w:sz w:val="20"/>
                <w:szCs w:val="20"/>
                <w:color w:val="auto"/>
              </w:rPr>
            </w:pPr>
            <w:r>
              <w:rPr>
                <w:rFonts w:ascii="Arial" w:cs="Arial" w:eastAsia="Arial" w:hAnsi="Arial"/>
                <w:sz w:val="14"/>
                <w:szCs w:val="14"/>
                <w:b w:val="1"/>
                <w:bCs w:val="1"/>
                <w:color w:val="auto"/>
                <w:w w:val="90"/>
              </w:rPr>
              <w:t>(in thousands, except share and per share</w:t>
            </w:r>
          </w:p>
        </w:tc>
        <w:tc>
          <w:tcPr>
            <w:tcW w:w="0" w:type="dxa"/>
            <w:vAlign w:val="bottom"/>
          </w:tcPr>
          <w:p>
            <w:pPr>
              <w:spacing w:after="0"/>
              <w:rPr>
                <w:sz w:val="1"/>
                <w:szCs w:val="1"/>
                <w:color w:val="auto"/>
              </w:rPr>
            </w:pPr>
          </w:p>
        </w:tc>
      </w:tr>
      <w:tr>
        <w:trPr>
          <w:trHeight w:val="186"/>
        </w:trPr>
        <w:tc>
          <w:tcPr>
            <w:tcW w:w="8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data)</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w w:val="95"/>
              </w:rPr>
              <w:t>Operating (including $1,235,147 and $1,226,918 of consolidated variable interest entities, respectively)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6,294,142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6,125,957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Construction-in-progress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687,356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599,260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Asset held for sale</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33,856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33,856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7,015,354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6,759,073</w:t>
            </w: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91"/>
              </w:rPr>
              <w:t>Less accumulated depreciation and amortization (including $217,449 and $209,239 of consolidated variable</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interest entities, respectively)</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(1,766,239)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(1,729,234)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5,249,115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5,029,839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23,368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115,775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116,749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Mortgage notes receivable, net</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29,904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29,904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226,754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208,555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5,656,200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5,423,279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rPr>
              <w:t>Mortgages payable (including $436,494 and $439,120 of consolidated variable interest entities,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respectively)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468,284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471,117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71,582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71,590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Notes payable</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496,311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279,151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1,977,192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1,976,594</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191,901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201,756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71,440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16,499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16,285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144,979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115,817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3,438,395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3,203,750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141,003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143,694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89"/>
              </w:rPr>
              <w:t>Preferred shares, authorized 15,000,000 shares, $.01 par: 5.417% Series 1 Cumulative Convertible Preferred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14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0"/>
                <w:shd w:val="clear" w:color="auto" w:fill="CCEEFF"/>
              </w:rPr>
              <w:t>Common shares of beneficial interest, $.01 par, 100,000,000 shares authorized, 72,236,981 and 71,995,897</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shares issued and outstanding,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2,736,921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2,718,325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(764,458)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(749,734)</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1,981,692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1,976,733</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95,110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99,102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2,076,802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2,075,835</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5,656,200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5,423,279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42" w:right="239" w:bottom="1440" w:gutter="0" w:footer="0" w:header="0"/>
          <w:type w:val="continuous"/>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3"/>
          </w:tcPr>
          <w:p>
            <w:pPr>
              <w:jc w:val="center"/>
              <w:ind w:left="573"/>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w w:val="83"/>
              </w:rPr>
              <w:t>2016</w:t>
            </w:r>
          </w:p>
        </w:tc>
      </w:tr>
      <w:tr>
        <w:trPr>
          <w:trHeight w:val="250"/>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2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1"/>
              </w:rPr>
              <w:t>(in thousands, except per share data)</w:t>
            </w:r>
          </w:p>
        </w:tc>
      </w:tr>
      <w:tr>
        <w:trPr>
          <w:trHeight w:val="209"/>
        </w:trPr>
        <w:tc>
          <w:tcPr>
            <w:tcW w:w="82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(FFO) (1)</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auto"/>
            </w:tcBorders>
            <w:shd w:val="clear" w:color="auto" w:fill="CCEEFF"/>
          </w:tcPr>
          <w:p>
            <w:pPr>
              <w:spacing w:after="0"/>
              <w:rPr>
                <w:sz w:val="4"/>
                <w:szCs w:val="4"/>
                <w:color w:val="auto"/>
              </w:rPr>
            </w:pPr>
          </w:p>
        </w:tc>
        <w:tc>
          <w:tcPr>
            <w:tcW w:w="3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r>
      <w:tr>
        <w:trPr>
          <w:trHeight w:val="243"/>
        </w:trPr>
        <w:tc>
          <w:tcPr>
            <w:tcW w:w="8200" w:type="dxa"/>
            <w:vAlign w:val="bottom"/>
            <w:gridSpan w:val="5"/>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58,070</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79,063</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(2,108)</w:t>
            </w:r>
          </w:p>
        </w:tc>
      </w:tr>
      <w:tr>
        <w:trPr>
          <w:trHeight w:val="243"/>
        </w:trPr>
        <w:tc>
          <w:tcPr>
            <w:tcW w:w="8200" w:type="dxa"/>
            <w:vAlign w:val="bottom"/>
            <w:gridSpan w:val="5"/>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3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(25,726)</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44,682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41,728</w:t>
            </w:r>
          </w:p>
        </w:tc>
      </w:tr>
      <w:tr>
        <w:trPr>
          <w:trHeight w:val="243"/>
        </w:trPr>
        <w:tc>
          <w:tcPr>
            <w:tcW w:w="8200" w:type="dxa"/>
            <w:vAlign w:val="bottom"/>
            <w:gridSpan w:val="5"/>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4,684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4,204</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Funds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105,486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97,161</w:t>
            </w:r>
          </w:p>
        </w:tc>
      </w:tr>
      <w:tr>
        <w:trPr>
          <w:trHeight w:val="243"/>
        </w:trPr>
        <w:tc>
          <w:tcPr>
            <w:tcW w:w="8200" w:type="dxa"/>
            <w:vAlign w:val="bottom"/>
            <w:gridSpan w:val="5"/>
          </w:tcPr>
          <w:p>
            <w:pPr>
              <w:ind w:left="40"/>
              <w:spacing w:after="0"/>
              <w:rPr>
                <w:sz w:val="20"/>
                <w:szCs w:val="20"/>
                <w:color w:val="auto"/>
              </w:rPr>
            </w:pPr>
            <w:r>
              <w:rPr>
                <w:rFonts w:ascii="Arial" w:cs="Arial" w:eastAsia="Arial" w:hAnsi="Arial"/>
                <w:sz w:val="18"/>
                <w:szCs w:val="18"/>
                <w:color w:val="auto"/>
              </w:rPr>
              <w:t>Dividends on preferred shares</w:t>
            </w:r>
          </w:p>
        </w:tc>
        <w:tc>
          <w:tcPr>
            <w:tcW w:w="3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(135)</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855</w:t>
            </w:r>
          </w:p>
        </w:tc>
      </w:tr>
      <w:tr>
        <w:trPr>
          <w:trHeight w:val="243"/>
        </w:trPr>
        <w:tc>
          <w:tcPr>
            <w:tcW w:w="8200" w:type="dxa"/>
            <w:vAlign w:val="bottom"/>
            <w:gridSpan w:val="5"/>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(292)</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1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FFO</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105,795</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97,589</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820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Weighted average number of common shares, diluted</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72,805</w:t>
            </w: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70,867</w:t>
            </w:r>
          </w:p>
        </w:tc>
      </w:tr>
      <w:tr>
        <w:trPr>
          <w:trHeight w:val="251"/>
        </w:trPr>
        <w:tc>
          <w:tcPr>
            <w:tcW w:w="82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FFO per diluted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1.38</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03"/>
        </w:trPr>
        <w:tc>
          <w:tcPr>
            <w:tcW w:w="82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Summary of Capital Expenditures</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3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r>
      <w:tr>
        <w:trPr>
          <w:trHeight w:val="243"/>
        </w:trPr>
        <w:tc>
          <w:tcPr>
            <w:tcW w:w="8200" w:type="dxa"/>
            <w:vAlign w:val="bottom"/>
            <w:gridSpan w:val="5"/>
          </w:tcPr>
          <w:p>
            <w:pPr>
              <w:ind w:left="40"/>
              <w:spacing w:after="0"/>
              <w:rPr>
                <w:sz w:val="20"/>
                <w:szCs w:val="20"/>
                <w:color w:val="auto"/>
              </w:rPr>
            </w:pPr>
            <w:r>
              <w:rPr>
                <w:rFonts w:ascii="Arial" w:cs="Arial" w:eastAsia="Arial" w:hAnsi="Arial"/>
                <w:sz w:val="18"/>
                <w:szCs w:val="18"/>
                <w:color w:val="auto"/>
              </w:rPr>
              <w:t>Non-maintenance capital expenditures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105,826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69,808</w:t>
            </w:r>
          </w:p>
        </w:tc>
      </w:tr>
      <w:tr>
        <w:trPr>
          <w:trHeight w:val="243"/>
        </w:trPr>
        <w:tc>
          <w:tcPr>
            <w:tcW w:w="40" w:type="dxa"/>
            <w:vAlign w:val="bottom"/>
          </w:tcPr>
          <w:p>
            <w:pPr>
              <w:spacing w:after="0"/>
              <w:rPr>
                <w:sz w:val="21"/>
                <w:szCs w:val="21"/>
                <w:color w:val="auto"/>
              </w:rPr>
            </w:pPr>
          </w:p>
        </w:tc>
        <w:tc>
          <w:tcPr>
            <w:tcW w:w="8160" w:type="dxa"/>
            <w:vAlign w:val="bottom"/>
            <w:gridSpan w:val="4"/>
          </w:tcPr>
          <w:p>
            <w:pPr>
              <w:ind w:left="340"/>
              <w:spacing w:after="0"/>
              <w:rPr>
                <w:sz w:val="20"/>
                <w:szCs w:val="20"/>
                <w:color w:val="auto"/>
              </w:rPr>
            </w:pPr>
            <w:r>
              <w:rPr>
                <w:rFonts w:ascii="Arial" w:cs="Arial" w:eastAsia="Arial" w:hAnsi="Arial"/>
                <w:sz w:val="18"/>
                <w:szCs w:val="18"/>
                <w:color w:val="auto"/>
              </w:rPr>
              <w:t>Tenant improvements and incentives</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9,150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7,159</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non-maintenance 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114,976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76,967</w:t>
            </w:r>
          </w:p>
        </w:tc>
      </w:tr>
      <w:tr>
        <w:trPr>
          <w:trHeight w:val="243"/>
        </w:trPr>
        <w:tc>
          <w:tcPr>
            <w:tcW w:w="40" w:type="dxa"/>
            <w:vAlign w:val="bottom"/>
          </w:tcPr>
          <w:p>
            <w:pPr>
              <w:spacing w:after="0"/>
              <w:rPr>
                <w:sz w:val="21"/>
                <w:szCs w:val="21"/>
                <w:color w:val="auto"/>
              </w:rPr>
            </w:pPr>
          </w:p>
        </w:tc>
        <w:tc>
          <w:tcPr>
            <w:tcW w:w="8160" w:type="dxa"/>
            <w:vAlign w:val="bottom"/>
            <w:gridSpan w:val="4"/>
          </w:tcPr>
          <w:p>
            <w:pPr>
              <w:ind w:left="340"/>
              <w:spacing w:after="0"/>
              <w:rPr>
                <w:sz w:val="20"/>
                <w:szCs w:val="20"/>
                <w:color w:val="auto"/>
              </w:rPr>
            </w:pPr>
            <w:r>
              <w:rPr>
                <w:rFonts w:ascii="Arial" w:cs="Arial" w:eastAsia="Arial" w:hAnsi="Arial"/>
                <w:sz w:val="18"/>
                <w:szCs w:val="18"/>
                <w:color w:val="auto"/>
              </w:rPr>
              <w:t>Maintenance capital expenditures</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1,689</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capital expenditures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118,403</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78,656</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03"/>
        </w:trPr>
        <w:tc>
          <w:tcPr>
            <w:tcW w:w="82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Dividends and Payout Ratios</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3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r>
      <w:tr>
        <w:trPr>
          <w:trHeight w:val="243"/>
        </w:trPr>
        <w:tc>
          <w:tcPr>
            <w:tcW w:w="8200" w:type="dxa"/>
            <w:vAlign w:val="bottom"/>
            <w:gridSpan w:val="5"/>
          </w:tcPr>
          <w:p>
            <w:pPr>
              <w:ind w:left="40"/>
              <w:spacing w:after="0"/>
              <w:rPr>
                <w:sz w:val="20"/>
                <w:szCs w:val="20"/>
                <w:color w:val="auto"/>
              </w:rPr>
            </w:pPr>
            <w:r>
              <w:rPr>
                <w:rFonts w:ascii="Arial" w:cs="Arial" w:eastAsia="Arial" w:hAnsi="Arial"/>
                <w:sz w:val="18"/>
                <w:szCs w:val="18"/>
                <w:color w:val="auto"/>
              </w:rPr>
              <w:t>Regular common dividends declared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70,696</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66,571</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3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200" w:type="dxa"/>
            <w:vAlign w:val="bottom"/>
            <w:gridSpan w:val="5"/>
          </w:tcPr>
          <w:p>
            <w:pPr>
              <w:ind w:left="40"/>
              <w:spacing w:after="0"/>
              <w:rPr>
                <w:sz w:val="20"/>
                <w:szCs w:val="20"/>
                <w:color w:val="auto"/>
              </w:rPr>
            </w:pPr>
            <w:r>
              <w:rPr>
                <w:rFonts w:ascii="Arial" w:cs="Arial" w:eastAsia="Arial" w:hAnsi="Arial"/>
                <w:sz w:val="18"/>
                <w:szCs w:val="18"/>
                <w:color w:val="auto"/>
              </w:rPr>
              <w:t>Dividend payout ratio as a percentage of FFO</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6"/>
                <w:szCs w:val="16"/>
                <w:color w:val="auto"/>
              </w:rPr>
            </w:pPr>
          </w:p>
        </w:tc>
      </w:tr>
      <w:tr>
        <w:trPr>
          <w:trHeight w:val="264"/>
        </w:trPr>
        <w:tc>
          <w:tcPr>
            <w:tcW w:w="8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50"/>
        </w:trPr>
        <w:tc>
          <w:tcPr>
            <w:tcW w:w="8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5"/>
              </w:rPr>
              <w:t>(in thousands, except per share data)</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Common shares outstanding and operating partnership units (1)</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73,037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71,764</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Market price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133.50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156.05</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9,750,440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97"/>
              </w:rPr>
              <w:t>11,198,772</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Series 1 preferred shares outstanding (2)</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Liquidation price per Series 1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25.00</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Series 1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10,000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Equity market capitalization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9,760,440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w w:val="97"/>
              </w:rPr>
              <w:t>11,208,772</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(3)</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3,013,369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2,659,322</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r>
      <w:tr>
        <w:trPr>
          <w:trHeight w:val="297"/>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market capitalization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12,773,809</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7"/>
              </w:rPr>
              <w:t>13,868,094</w:t>
            </w:r>
          </w:p>
        </w:tc>
      </w:tr>
      <w:tr>
        <w:trPr>
          <w:trHeight w:val="271"/>
        </w:trPr>
        <w:tc>
          <w:tcPr>
            <w:tcW w:w="8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to market capitalization at the current market price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Fixed rate debt ratio:</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Fixed rate debt and capital lease obligations (4)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Variable rate debt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Amounts include 799,962 and 902,368 operating partnership units outstanding at March 31, 2017 and 2016,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Total debt includes capital leases, mortgages payable, notes payable, senior notes and debentures, net of premiums and discounts from our consolidated balance </w:t>
      </w:r>
      <w:r>
        <w:rPr>
          <w:rFonts w:ascii="Arial" w:cs="Arial" w:eastAsia="Arial" w:hAnsi="Arial"/>
          <w:sz w:val="12"/>
          <w:szCs w:val="12"/>
          <w:color w:val="auto"/>
        </w:rPr>
        <w:t>sheet.</w:t>
      </w:r>
    </w:p>
    <w:p>
      <w:pPr>
        <w:spacing w:after="0" w:line="95" w:lineRule="exact"/>
        <w:rPr>
          <w:rFonts w:ascii="Arial" w:cs="Arial" w:eastAsia="Arial" w:hAnsi="Arial"/>
          <w:sz w:val="14"/>
          <w:szCs w:val="14"/>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4" w:name="page15"/>
    <w:bookmarkEnd w:id="14"/>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8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tcBorders>
              <w:bottom w:val="single" w:sz="8" w:color="auto"/>
            </w:tcBorders>
          </w:tcPr>
          <w:p>
            <w:pPr>
              <w:spacing w:after="0"/>
              <w:rPr>
                <w:sz w:val="24"/>
                <w:szCs w:val="24"/>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89"/>
              </w:rPr>
              <w:t>(in thousands)</w:t>
            </w:r>
          </w:p>
        </w:tc>
        <w:tc>
          <w:tcPr>
            <w:tcW w:w="900" w:type="dxa"/>
            <w:vAlign w:val="bottom"/>
          </w:tcPr>
          <w:p>
            <w:pPr>
              <w:spacing w:after="0"/>
              <w:rPr>
                <w:sz w:val="21"/>
                <w:szCs w:val="2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rents(1)</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Retail and commercial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142,143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134,586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13,503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11,449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41,518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41,802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4,460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4,402</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204,447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195,308</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100" w:hanging="652"/>
        <w:spacing w:after="0" w:line="26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Minimum rents include $3.6 million and $2.0 million for the three months ended March 31, 2017 and 2016, respectively, to recognize minimum rents on a straight-line basis. In addition, minimum rents include $1.1 million and $0.3 million for the three months ended March 31, 2017 and 2016, respectively, to recognize income from the amortization of in-place leases.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5" w:name="page16"/>
    <w:bookmarkEnd w:id="15"/>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2017</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1040"/>
              <w:spacing w:after="0"/>
              <w:rPr>
                <w:sz w:val="20"/>
                <w:szCs w:val="20"/>
                <w:color w:val="auto"/>
              </w:rPr>
            </w:pPr>
            <w:r>
              <w:rPr>
                <w:rFonts w:ascii="Arial" w:cs="Arial" w:eastAsia="Arial" w:hAnsi="Arial"/>
                <w:sz w:val="14"/>
                <w:szCs w:val="14"/>
                <w:b w:val="1"/>
                <w:bCs w:val="1"/>
                <w:color w:val="auto"/>
              </w:rPr>
              <w:t>As of March 31, 2017</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3"/>
              </w:rPr>
              <w:t>Stated maturity date</w:t>
            </w:r>
          </w:p>
        </w:tc>
        <w:tc>
          <w:tcPr>
            <w:tcW w:w="100" w:type="dxa"/>
            <w:vAlign w:val="bottom"/>
            <w:vMerge w:val="restart"/>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interest rate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vMerge w:val="restart"/>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59"/>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effective rate (3)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4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Mortgages Payable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i w:val="1"/>
                <w:iCs w:val="1"/>
                <w:color w:val="auto"/>
              </w:rPr>
              <w:t>Secured fixed rate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Plaza El Segundo</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8/5/2017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The Grove at Shrewsbury (East)</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10/1/2017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42,272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The Grove at Shrewsbury (West)</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3/1/2018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10,732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Rollingwood Apartments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5/1/2019</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21,165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The Shops at Sunset Place</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9/1/2020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68,124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29th Place</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1/31/2021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4,501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THE AVENUE at White Marsh</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1/1/2022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52,705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Montrose Crossing</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1/10/2022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4.20%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72,314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Brook 35</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7/1/2029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Chelsea</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1/15/2031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6,500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464,813</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920"/>
              <w:spacing w:after="0"/>
              <w:rPr>
                <w:sz w:val="20"/>
                <w:szCs w:val="20"/>
                <w:color w:val="auto"/>
              </w:rPr>
            </w:pPr>
            <w:r>
              <w:rPr>
                <w:rFonts w:ascii="Arial" w:cs="Arial" w:eastAsia="Arial" w:hAnsi="Arial"/>
                <w:sz w:val="16"/>
                <w:szCs w:val="16"/>
                <w:color w:val="auto"/>
                <w:w w:val="91"/>
              </w:rPr>
              <w:t>Net unamortized premium and debt issuance costs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3,471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Total mortgages payable</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468,284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4.45%</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24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Notes payable</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i w:val="1"/>
                <w:iCs w:val="1"/>
                <w:color w:val="auto"/>
              </w:rPr>
              <w:t>Unsecured fixed rate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Term loan (1)</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11/21/2018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LIBOR + 0.90%</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Various</w:t>
            </w: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Various through 2028</w:t>
            </w: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11.31%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5,271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i w:val="1"/>
                <w:iCs w:val="1"/>
                <w:color w:val="auto"/>
              </w:rPr>
              <w:t>Unsecured variable rate</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Revolving credit facility (2)</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4/20/2020</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LIBOR + 0.825%</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217,000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497,271</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920"/>
              <w:spacing w:after="0"/>
              <w:rPr>
                <w:sz w:val="20"/>
                <w:szCs w:val="20"/>
                <w:color w:val="auto"/>
              </w:rPr>
            </w:pPr>
            <w:r>
              <w:rPr>
                <w:rFonts w:ascii="Arial" w:cs="Arial" w:eastAsia="Arial" w:hAnsi="Arial"/>
                <w:sz w:val="16"/>
                <w:szCs w:val="16"/>
                <w:color w:val="auto"/>
              </w:rPr>
              <w:t>Net unamortized debt issuance costs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Total notes payable</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496,311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2.46%</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24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Senior notes and debentures</w:t>
            </w: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1820" w:type="dxa"/>
            <w:vAlign w:val="bottom"/>
            <w:tcBorders>
              <w:top w:val="single" w:sz="8" w:color="auto"/>
            </w:tcBorders>
            <w:gridSpan w:val="4"/>
          </w:tcPr>
          <w:p>
            <w:pPr>
              <w:ind w:left="360"/>
              <w:spacing w:after="0"/>
              <w:rPr>
                <w:sz w:val="20"/>
                <w:szCs w:val="20"/>
                <w:color w:val="auto"/>
              </w:rPr>
            </w:pPr>
            <w:r>
              <w:rPr>
                <w:rFonts w:ascii="Arial" w:cs="Arial" w:eastAsia="Arial" w:hAnsi="Arial"/>
                <w:sz w:val="16"/>
                <w:szCs w:val="16"/>
                <w:i w:val="1"/>
                <w:iCs w:val="1"/>
                <w:color w:val="auto"/>
                <w:w w:val="97"/>
              </w:rPr>
              <w:t>Unsecured fixed rate</w:t>
            </w:r>
          </w:p>
        </w:tc>
        <w:tc>
          <w:tcPr>
            <w:tcW w:w="2420" w:type="dxa"/>
            <w:vAlign w:val="bottom"/>
            <w:tcBorders>
              <w:top w:val="single" w:sz="8" w:color="CCEEFF"/>
            </w:tcBorders>
            <w:gridSpan w:val="2"/>
          </w:tcPr>
          <w:p>
            <w:pPr>
              <w:spacing w:after="0"/>
              <w:rPr>
                <w:sz w:val="20"/>
                <w:szCs w:val="20"/>
                <w:color w:val="auto"/>
              </w:rPr>
            </w:pPr>
          </w:p>
        </w:tc>
        <w:tc>
          <w:tcPr>
            <w:tcW w:w="17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6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1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9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5.90%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4/1/2020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2.55%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1/15/2021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2.55%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3.00%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8/1/2022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2.75%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6/1/2023</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2.75%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3.95%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1/15/2024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7.48% debentures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8/15/2026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29,200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6.82% medium term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8/1/2027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4.50%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12/1/2044</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4.50%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3.625%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8/1/2046</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3.625%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1,994,200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920"/>
              <w:spacing w:after="0"/>
              <w:rPr>
                <w:sz w:val="20"/>
                <w:szCs w:val="20"/>
                <w:color w:val="auto"/>
              </w:rPr>
            </w:pPr>
            <w:r>
              <w:rPr>
                <w:rFonts w:ascii="Arial" w:cs="Arial" w:eastAsia="Arial" w:hAnsi="Arial"/>
                <w:sz w:val="16"/>
                <w:szCs w:val="16"/>
                <w:color w:val="auto"/>
                <w:w w:val="92"/>
              </w:rPr>
              <w:t>Net unamortized discount and debt issuance costs</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(17,008)</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Arial" w:cs="Arial" w:eastAsia="Arial" w:hAnsi="Arial"/>
                <w:sz w:val="16"/>
                <w:szCs w:val="16"/>
                <w:color w:val="auto"/>
              </w:rPr>
              <w:t>Total senior notes and debentures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1,977,192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3.98%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60" w:type="dxa"/>
            <w:vAlign w:val="bottom"/>
            <w:gridSpan w:val="7"/>
          </w:tcPr>
          <w:p>
            <w:pPr>
              <w:ind w:left="20"/>
              <w:spacing w:after="0"/>
              <w:rPr>
                <w:sz w:val="20"/>
                <w:szCs w:val="20"/>
                <w:color w:val="auto"/>
              </w:rPr>
            </w:pPr>
            <w:r>
              <w:rPr>
                <w:rFonts w:ascii="Arial" w:cs="Arial" w:eastAsia="Arial" w:hAnsi="Arial"/>
                <w:sz w:val="16"/>
                <w:szCs w:val="16"/>
                <w:color w:val="auto"/>
              </w:rPr>
              <w:t>Capital lease obligations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Various</w:t>
            </w:r>
          </w:p>
        </w:tc>
        <w:tc>
          <w:tcPr>
            <w:tcW w:w="180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Various through 2106</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Various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71,582</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8.04%</w:t>
            </w: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260" w:type="dxa"/>
            <w:vAlign w:val="bottom"/>
            <w:tcBorders>
              <w:bottom w:val="single" w:sz="8" w:color="CCEEFF"/>
            </w:tcBorders>
            <w:gridSpan w:val="7"/>
          </w:tcPr>
          <w:p>
            <w:pPr>
              <w:ind w:left="20"/>
              <w:spacing w:after="0"/>
              <w:rPr>
                <w:sz w:val="20"/>
                <w:szCs w:val="20"/>
                <w:color w:val="auto"/>
              </w:rPr>
            </w:pPr>
            <w:r>
              <w:rPr>
                <w:rFonts w:ascii="Arial" w:cs="Arial" w:eastAsia="Arial" w:hAnsi="Arial"/>
                <w:sz w:val="16"/>
                <w:szCs w:val="16"/>
                <w:color w:val="auto"/>
              </w:rPr>
              <w:t>Total debt and capital lease obligations</w:t>
            </w:r>
          </w:p>
        </w:tc>
        <w:tc>
          <w:tcPr>
            <w:tcW w:w="1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3,013,369</w:t>
            </w: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60" w:type="dxa"/>
            <w:vAlign w:val="bottom"/>
            <w:gridSpan w:val="7"/>
          </w:tcPr>
          <w:p>
            <w:pPr>
              <w:ind w:left="20"/>
              <w:spacing w:after="0"/>
              <w:rPr>
                <w:sz w:val="20"/>
                <w:szCs w:val="20"/>
                <w:color w:val="auto"/>
              </w:rPr>
            </w:pPr>
            <w:r>
              <w:rPr>
                <w:rFonts w:ascii="Arial" w:cs="Arial" w:eastAsia="Arial" w:hAnsi="Arial"/>
                <w:sz w:val="16"/>
                <w:szCs w:val="16"/>
                <w:color w:val="auto"/>
              </w:rPr>
              <w:t>Total fixed rate debt and capital lease obligations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2,796,369</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4.07%</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Total variable rate debt</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217,000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1.77%</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4"/>
        </w:trPr>
        <w:tc>
          <w:tcPr>
            <w:tcW w:w="4260" w:type="dxa"/>
            <w:vAlign w:val="bottom"/>
            <w:gridSpan w:val="7"/>
          </w:tcPr>
          <w:p>
            <w:pPr>
              <w:ind w:left="20"/>
              <w:spacing w:after="0"/>
              <w:rPr>
                <w:sz w:val="20"/>
                <w:szCs w:val="20"/>
                <w:color w:val="auto"/>
              </w:rPr>
            </w:pPr>
            <w:r>
              <w:rPr>
                <w:rFonts w:ascii="Arial" w:cs="Arial" w:eastAsia="Arial" w:hAnsi="Arial"/>
                <w:sz w:val="16"/>
                <w:szCs w:val="16"/>
                <w:color w:val="auto"/>
              </w:rPr>
              <w:t>Total debt and capital lease obligations</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3,013,369</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rPr>
              <w:t>3.90%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47" w:right="239" w:bottom="46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60" w:top="747" w:right="239" w:bottom="46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60" w:type="dxa"/>
            <w:vAlign w:val="bottom"/>
          </w:tcPr>
          <w:p>
            <w:pPr>
              <w:spacing w:after="0"/>
              <w:rPr>
                <w:sz w:val="16"/>
                <w:szCs w:val="16"/>
                <w:color w:val="auto"/>
              </w:rPr>
            </w:pPr>
          </w:p>
        </w:tc>
        <w:tc>
          <w:tcPr>
            <w:tcW w:w="194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32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9"/>
              </w:rPr>
              <w:t>March 31,</w:t>
            </w:r>
          </w:p>
        </w:tc>
        <w:tc>
          <w:tcPr>
            <w:tcW w:w="620" w:type="dxa"/>
            <w:vAlign w:val="bottom"/>
            <w:tcBorders>
              <w:bottom w:val="single" w:sz="8" w:color="auto"/>
            </w:tcBorders>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80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6"/>
              </w:rPr>
              <w:t>2016</w:t>
            </w:r>
          </w:p>
        </w:tc>
      </w:tr>
      <w:tr>
        <w:trPr>
          <w:trHeight w:val="202"/>
        </w:trPr>
        <w:tc>
          <w:tcPr>
            <w:tcW w:w="94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Operational Statistics</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auto"/>
            </w:tcBorders>
            <w:shd w:val="clear" w:color="auto" w:fill="CCEEFF"/>
          </w:tcPr>
          <w:p>
            <w:pPr>
              <w:spacing w:after="0"/>
              <w:rPr>
                <w:sz w:val="4"/>
                <w:szCs w:val="4"/>
                <w:color w:val="auto"/>
              </w:rPr>
            </w:pPr>
          </w:p>
        </w:tc>
        <w:tc>
          <w:tcPr>
            <w:tcW w:w="80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r>
      <w:tr>
        <w:trPr>
          <w:trHeight w:val="237"/>
        </w:trPr>
        <w:tc>
          <w:tcPr>
            <w:tcW w:w="40" w:type="dxa"/>
            <w:vAlign w:val="bottom"/>
          </w:tcPr>
          <w:p>
            <w:pPr>
              <w:spacing w:after="0"/>
              <w:rPr>
                <w:sz w:val="20"/>
                <w:szCs w:val="20"/>
                <w:color w:val="auto"/>
              </w:rPr>
            </w:pPr>
          </w:p>
        </w:tc>
        <w:tc>
          <w:tcPr>
            <w:tcW w:w="9440" w:type="dxa"/>
            <w:vAlign w:val="bottom"/>
            <w:gridSpan w:val="2"/>
          </w:tcPr>
          <w:p>
            <w:pPr>
              <w:ind w:left="340"/>
              <w:spacing w:after="0"/>
              <w:rPr>
                <w:sz w:val="20"/>
                <w:szCs w:val="20"/>
                <w:color w:val="auto"/>
              </w:rPr>
            </w:pPr>
            <w:r>
              <w:rPr>
                <w:rFonts w:ascii="Arial" w:cs="Arial" w:eastAsia="Arial" w:hAnsi="Arial"/>
                <w:sz w:val="16"/>
                <w:szCs w:val="16"/>
                <w:color w:val="auto"/>
              </w:rPr>
              <w:t>Ratio of EBITDA to combined fixed charges and preferred share dividends (5)</w:t>
            </w:r>
          </w:p>
        </w:tc>
        <w:tc>
          <w:tcPr>
            <w:tcW w:w="1320" w:type="dxa"/>
            <w:vAlign w:val="bottom"/>
            <w:gridSpan w:val="3"/>
          </w:tcPr>
          <w:p>
            <w:pPr>
              <w:ind w:left="540"/>
              <w:spacing w:after="0"/>
              <w:rPr>
                <w:sz w:val="20"/>
                <w:szCs w:val="20"/>
                <w:color w:val="auto"/>
              </w:rPr>
            </w:pPr>
            <w:r>
              <w:rPr>
                <w:rFonts w:ascii="Arial" w:cs="Arial" w:eastAsia="Arial" w:hAnsi="Arial"/>
                <w:sz w:val="16"/>
                <w:szCs w:val="16"/>
                <w:color w:val="auto"/>
              </w:rPr>
              <w:t>4.48x</w:t>
            </w:r>
          </w:p>
        </w:tc>
        <w:tc>
          <w:tcPr>
            <w:tcW w:w="620" w:type="dxa"/>
            <w:vAlign w:val="bottom"/>
          </w:tcPr>
          <w:p>
            <w:pPr>
              <w:ind w:left="220"/>
              <w:spacing w:after="0"/>
              <w:rPr>
                <w:sz w:val="20"/>
                <w:szCs w:val="20"/>
                <w:color w:val="auto"/>
              </w:rPr>
            </w:pPr>
            <w:r>
              <w:rPr>
                <w:rFonts w:ascii="Arial" w:cs="Arial" w:eastAsia="Arial" w:hAnsi="Arial"/>
                <w:sz w:val="16"/>
                <w:szCs w:val="16"/>
                <w:color w:val="auto"/>
                <w:w w:val="96"/>
              </w:rPr>
              <w:t>5.38x</w:t>
            </w:r>
          </w:p>
        </w:tc>
      </w:tr>
      <w:tr>
        <w:trPr>
          <w:trHeight w:val="33"/>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40" w:type="dxa"/>
            <w:vAlign w:val="bottom"/>
            <w:shd w:val="clear" w:color="auto" w:fill="CCEEFF"/>
          </w:tcPr>
          <w:p>
            <w:pPr>
              <w:spacing w:after="0"/>
              <w:rPr>
                <w:sz w:val="20"/>
                <w:szCs w:val="20"/>
                <w:color w:val="auto"/>
              </w:rPr>
            </w:pPr>
          </w:p>
        </w:tc>
        <w:tc>
          <w:tcPr>
            <w:tcW w:w="94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Ratio of adjusted EBITDA to combined fixed charges and preferred share dividends (5)</w:t>
            </w:r>
          </w:p>
        </w:tc>
        <w:tc>
          <w:tcPr>
            <w:tcW w:w="132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4.48x</w:t>
            </w:r>
          </w:p>
        </w:tc>
        <w:tc>
          <w:tcPr>
            <w:tcW w:w="6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4.46x</w:t>
            </w:r>
          </w:p>
        </w:tc>
      </w:tr>
      <w:tr>
        <w:trPr>
          <w:trHeight w:val="33"/>
        </w:trPr>
        <w:tc>
          <w:tcPr>
            <w:tcW w:w="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right="160" w:hanging="652"/>
        <w:spacing w:after="0" w:line="27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entered into two interest rate swap agreements to fix the variable rate portion of our $275.0 million term loan at 1.72% through November 1, 2018. The swap agreements effectively fix the rate on the term loan at 2.62% and thus, the loan is included in fixed rate debt.</w:t>
      </w:r>
    </w:p>
    <w:p>
      <w:pPr>
        <w:spacing w:after="0" w:line="11" w:lineRule="exact"/>
        <w:rPr>
          <w:rFonts w:ascii="Arial" w:cs="Arial" w:eastAsia="Arial" w:hAnsi="Arial"/>
          <w:sz w:val="14"/>
          <w:szCs w:val="14"/>
          <w:color w:val="auto"/>
        </w:rPr>
      </w:pPr>
    </w:p>
    <w:p>
      <w:pPr>
        <w:ind w:left="660" w:right="60" w:hanging="652"/>
        <w:spacing w:after="0" w:line="27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during the three months ended March 31, 2017 was $217.0 million, and the weighted average interest rate on borrowings under our revolving credit facility, before amortization of debt fees, was 1.6%.</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debt issuance costs and discounts and premiums, if applicable, except as described in Note 4.</w:t>
      </w:r>
    </w:p>
    <w:p>
      <w:pPr>
        <w:spacing w:after="0" w:line="55" w:lineRule="exact"/>
        <w:rPr>
          <w:rFonts w:ascii="Arial" w:cs="Arial" w:eastAsia="Arial" w:hAnsi="Arial"/>
          <w:sz w:val="14"/>
          <w:szCs w:val="14"/>
          <w:color w:val="auto"/>
        </w:rPr>
      </w:pPr>
    </w:p>
    <w:p>
      <w:pPr>
        <w:ind w:left="660" w:right="240" w:hanging="652"/>
        <w:spacing w:after="0" w:line="257"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a $217.0 million balance on March 31, 2017. In addition, the weighted average effective interest rate is calculated using the fixed rate on our term loan of 2.62% as the result of the interest rate swap agreements discussed in Note 1. The term loan is included in fixed rate debt.</w:t>
      </w:r>
    </w:p>
    <w:p>
      <w:pPr>
        <w:spacing w:after="0" w:line="23" w:lineRule="exact"/>
        <w:rPr>
          <w:rFonts w:ascii="Arial" w:cs="Arial" w:eastAsia="Arial" w:hAnsi="Arial"/>
          <w:sz w:val="14"/>
          <w:szCs w:val="14"/>
          <w:color w:val="auto"/>
        </w:rPr>
      </w:pPr>
    </w:p>
    <w:p>
      <w:pPr>
        <w:ind w:left="660" w:right="40" w:hanging="652"/>
        <w:spacing w:after="0" w:line="257"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and the portion of rent expense representing an interest factor. EBITDA includes a gain on sale of real estate and change in control of interests of $0.2 million and $25.7 million for the three months ended March 31, 2017 and 2016, respectively. Adjusted EBITDA is reconciled to net income in the Glossary of Terms.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6" w:right="239" w:bottom="1440" w:gutter="0" w:footer="0" w:header="0"/>
        </w:sectPr>
      </w:pPr>
    </w:p>
    <w:bookmarkStart w:id="17" w:name="page18"/>
    <w:bookmarkEnd w:id="1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2017</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88"/>
              </w:rPr>
              <w:t>Scheduled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80" w:type="dxa"/>
            <w:vAlign w:val="bottom"/>
          </w:tcPr>
          <w:p>
            <w:pPr>
              <w:spacing w:after="0"/>
              <w:rPr>
                <w:sz w:val="18"/>
                <w:szCs w:val="18"/>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6"/>
                <w:szCs w:val="16"/>
                <w:b w:val="1"/>
                <w:bCs w:val="1"/>
                <w:color w:val="auto"/>
              </w:rPr>
              <w:t>Maturities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6"/>
                <w:szCs w:val="16"/>
                <w:b w:val="1"/>
                <w:bCs w:val="1"/>
                <w:color w:val="auto"/>
              </w:rPr>
              <w:t>Total</w:t>
            </w: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2017</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4,737</w:t>
            </w:r>
          </w:p>
        </w:tc>
        <w:tc>
          <w:tcPr>
            <w:tcW w:w="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216,732</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221,469</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0" w:type="dxa"/>
            <w:vAlign w:val="bottom"/>
          </w:tcPr>
          <w:p>
            <w:pPr>
              <w:ind w:left="40"/>
              <w:spacing w:after="0"/>
              <w:rPr>
                <w:sz w:val="20"/>
                <w:szCs w:val="20"/>
                <w:color w:val="auto"/>
              </w:rPr>
            </w:pPr>
            <w:r>
              <w:rPr>
                <w:rFonts w:ascii="Arial" w:cs="Arial" w:eastAsia="Arial" w:hAnsi="Arial"/>
                <w:sz w:val="18"/>
                <w:szCs w:val="18"/>
                <w:color w:val="auto"/>
                <w:w w:val="94"/>
              </w:rPr>
              <w:t>2018</w:t>
            </w: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5,525</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285,502</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291,027</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16.9%</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2019</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5,455</w:t>
            </w:r>
          </w:p>
        </w:tc>
        <w:tc>
          <w:tcPr>
            <w:tcW w:w="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20,160</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25,615</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0" w:type="dxa"/>
            <w:vAlign w:val="bottom"/>
          </w:tcPr>
          <w:p>
            <w:pPr>
              <w:ind w:left="40"/>
              <w:spacing w:after="0"/>
              <w:rPr>
                <w:sz w:val="20"/>
                <w:szCs w:val="20"/>
                <w:color w:val="auto"/>
              </w:rPr>
            </w:pPr>
            <w:r>
              <w:rPr>
                <w:rFonts w:ascii="Arial" w:cs="Arial" w:eastAsia="Arial" w:hAnsi="Arial"/>
                <w:sz w:val="18"/>
                <w:szCs w:val="18"/>
                <w:color w:val="auto"/>
                <w:w w:val="94"/>
              </w:rPr>
              <w:t>2020</w:t>
            </w: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4,769</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427,593</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432,362</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32.1%</w:t>
            </w: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2021</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3,110</w:t>
            </w:r>
          </w:p>
        </w:tc>
        <w:tc>
          <w:tcPr>
            <w:tcW w:w="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253,625</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256,735</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2022</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1,237</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366,323</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367,560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52.7%</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2023</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1,237</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330,010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331,247</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63.6%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2024</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1,003</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301,003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73.5%</w:t>
            </w: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2025</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73.5%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2026</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490</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29,200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29,690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74.5%</w:t>
            </w: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19,115</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751,500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770,615</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47,221</w:t>
            </w:r>
          </w:p>
        </w:tc>
        <w:tc>
          <w:tcPr>
            <w:tcW w:w="5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2,980,645</w:t>
            </w:r>
          </w:p>
        </w:tc>
        <w:tc>
          <w:tcPr>
            <w:tcW w:w="56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40"/>
              <w:spacing w:after="0" w:line="263" w:lineRule="exact"/>
              <w:rPr>
                <w:sz w:val="20"/>
                <w:szCs w:val="20"/>
                <w:color w:val="auto"/>
              </w:rPr>
            </w:pPr>
            <w:r>
              <w:rPr>
                <w:rFonts w:ascii="Arial" w:cs="Arial" w:eastAsia="Arial" w:hAnsi="Arial"/>
                <w:sz w:val="18"/>
                <w:szCs w:val="18"/>
                <w:color w:val="auto"/>
              </w:rPr>
              <w:t xml:space="preserve">3,027,866  </w:t>
            </w:r>
            <w:r>
              <w:rPr>
                <w:rFonts w:ascii="Arial" w:cs="Arial" w:eastAsia="Arial" w:hAnsi="Arial"/>
                <w:sz w:val="28"/>
                <w:szCs w:val="28"/>
                <w:color w:val="auto"/>
                <w:vertAlign w:val="subscript"/>
              </w:rPr>
              <w:t>(3)</w:t>
            </w: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98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$275.0 million unsecured term loan matures on November 21, 2018, aubject to a one-year extension at our option.</w:t>
      </w:r>
    </w:p>
    <w:p>
      <w:pPr>
        <w:spacing w:after="0" w:line="59" w:lineRule="exact"/>
        <w:rPr>
          <w:rFonts w:ascii="Arial" w:cs="Arial" w:eastAsia="Arial" w:hAnsi="Arial"/>
          <w:sz w:val="16"/>
          <w:szCs w:val="16"/>
          <w:color w:val="auto"/>
        </w:rPr>
      </w:pPr>
    </w:p>
    <w:p>
      <w:pPr>
        <w:ind w:left="660" w:right="220" w:hanging="652"/>
        <w:spacing w:after="0" w:line="27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$800.0 million revolving credit facility matures on April 20, 2020, subject to two six-month extensions at our option. As of March 31, 2017, there was $217.0 million outstanding under this credit facility.</w:t>
      </w:r>
    </w:p>
    <w:p>
      <w:pPr>
        <w:spacing w:after="0" w:line="10" w:lineRule="exact"/>
        <w:rPr>
          <w:rFonts w:ascii="Arial" w:cs="Arial" w:eastAsia="Arial" w:hAnsi="Arial"/>
          <w:sz w:val="16"/>
          <w:szCs w:val="16"/>
          <w:color w:val="auto"/>
        </w:rPr>
      </w:pPr>
    </w:p>
    <w:p>
      <w:pPr>
        <w:ind w:left="660" w:right="160" w:hanging="652"/>
        <w:spacing w:after="0" w:line="27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premium/(discount) and debt issuance costs on certain mortgage loans, notes payable, and senior notes as of March 31, 2017.</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weighted average rate excludes $0.5 million in quarterly financing fees and quarterly debt fee amortization on our revolving credit facility.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2"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2017</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Projected</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Cost to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4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Property</w:t>
            </w:r>
          </w:p>
        </w:tc>
        <w:tc>
          <w:tcPr>
            <w:tcW w:w="14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Location</w:t>
            </w:r>
          </w:p>
        </w:tc>
        <w:tc>
          <w:tcPr>
            <w:tcW w:w="4940" w:type="dxa"/>
            <w:vAlign w:val="bottom"/>
            <w:vMerge w:val="restart"/>
          </w:tcPr>
          <w:p>
            <w:pPr>
              <w:ind w:left="2160"/>
              <w:spacing w:after="0"/>
              <w:rPr>
                <w:sz w:val="20"/>
                <w:szCs w:val="20"/>
                <w:color w:val="auto"/>
              </w:rPr>
            </w:pPr>
            <w:r>
              <w:rPr>
                <w:rFonts w:ascii="Arial" w:cs="Arial" w:eastAsia="Arial" w:hAnsi="Arial"/>
                <w:sz w:val="14"/>
                <w:szCs w:val="14"/>
                <w:b w:val="1"/>
                <w:bCs w:val="1"/>
                <w:color w:val="auto"/>
              </w:rPr>
              <w:t>Opportunity</w:t>
            </w:r>
          </w:p>
        </w:tc>
        <w:tc>
          <w:tcPr>
            <w:tcW w:w="8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49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ROI (2)</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Cost (1)</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82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The Point</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El Segundo, CA</w:t>
            </w:r>
          </w:p>
        </w:tc>
        <w:tc>
          <w:tcPr>
            <w:tcW w:w="49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9"/>
              </w:rPr>
              <w:t>Addition of 90,000 square feet of retail and 25,000 square feet of office space</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95"/>
        </w:trPr>
        <w:tc>
          <w:tcPr>
            <w:tcW w:w="4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49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520" w:type="dxa"/>
            <w:vAlign w:val="bottom"/>
            <w:gridSpan w:val="2"/>
          </w:tcPr>
          <w:p>
            <w:pPr>
              <w:ind w:left="40"/>
              <w:spacing w:after="0"/>
              <w:rPr>
                <w:sz w:val="20"/>
                <w:szCs w:val="20"/>
                <w:color w:val="auto"/>
              </w:rPr>
            </w:pPr>
            <w:r>
              <w:rPr>
                <w:rFonts w:ascii="Arial" w:cs="Arial" w:eastAsia="Arial" w:hAnsi="Arial"/>
                <w:sz w:val="14"/>
                <w:szCs w:val="14"/>
                <w:color w:val="auto"/>
              </w:rPr>
              <w:t>Towson Residential</w:t>
            </w:r>
          </w:p>
        </w:tc>
        <w:tc>
          <w:tcPr>
            <w:tcW w:w="1440" w:type="dxa"/>
            <w:vAlign w:val="bottom"/>
          </w:tcPr>
          <w:p>
            <w:pPr>
              <w:ind w:left="120"/>
              <w:spacing w:after="0"/>
              <w:rPr>
                <w:sz w:val="20"/>
                <w:szCs w:val="20"/>
                <w:color w:val="auto"/>
              </w:rPr>
            </w:pPr>
            <w:r>
              <w:rPr>
                <w:rFonts w:ascii="Arial" w:cs="Arial" w:eastAsia="Arial" w:hAnsi="Arial"/>
                <w:sz w:val="14"/>
                <w:szCs w:val="14"/>
                <w:color w:val="auto"/>
              </w:rPr>
              <w:t>Towson, MD</w:t>
            </w:r>
          </w:p>
        </w:tc>
        <w:tc>
          <w:tcPr>
            <w:tcW w:w="4940" w:type="dxa"/>
            <w:vAlign w:val="bottom"/>
          </w:tcPr>
          <w:p>
            <w:pPr>
              <w:ind w:left="160"/>
              <w:spacing w:after="0"/>
              <w:rPr>
                <w:sz w:val="20"/>
                <w:szCs w:val="20"/>
                <w:color w:val="auto"/>
              </w:rPr>
            </w:pPr>
            <w:r>
              <w:rPr>
                <w:rFonts w:ascii="Arial" w:cs="Arial" w:eastAsia="Arial" w:hAnsi="Arial"/>
                <w:sz w:val="14"/>
                <w:szCs w:val="14"/>
                <w:color w:val="auto"/>
              </w:rPr>
              <w:t>New 105 unit 5-story apartment building with above grade parking</w:t>
            </w: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2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Plaza Del Mercado</w:t>
            </w:r>
          </w:p>
        </w:tc>
        <w:tc>
          <w:tcPr>
            <w:tcW w:w="14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Silver Spring, MD</w:t>
            </w:r>
          </w:p>
        </w:tc>
        <w:tc>
          <w:tcPr>
            <w:tcW w:w="4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w w:val="97"/>
              </w:rPr>
              <w:t>Demolition of former grocery anchor space to construct spaces for new grocery</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w:t>
            </w: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$16</w:t>
            </w:r>
          </w:p>
        </w:tc>
        <w:tc>
          <w:tcPr>
            <w:tcW w:w="8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$15</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anchor and fitness center tenants</w:t>
            </w:r>
          </w:p>
        </w:tc>
        <w:tc>
          <w:tcPr>
            <w:tcW w:w="8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20" w:type="dxa"/>
            <w:vAlign w:val="bottom"/>
            <w:gridSpan w:val="2"/>
          </w:tcPr>
          <w:p>
            <w:pPr>
              <w:ind w:left="40"/>
              <w:spacing w:after="0"/>
              <w:rPr>
                <w:sz w:val="20"/>
                <w:szCs w:val="20"/>
                <w:color w:val="auto"/>
              </w:rPr>
            </w:pPr>
            <w:r>
              <w:rPr>
                <w:rFonts w:ascii="Arial" w:cs="Arial" w:eastAsia="Arial" w:hAnsi="Arial"/>
                <w:sz w:val="14"/>
                <w:szCs w:val="14"/>
                <w:color w:val="auto"/>
              </w:rPr>
              <w:t>Tower Shops</w:t>
            </w:r>
          </w:p>
        </w:tc>
        <w:tc>
          <w:tcPr>
            <w:tcW w:w="1440" w:type="dxa"/>
            <w:vAlign w:val="bottom"/>
          </w:tcPr>
          <w:p>
            <w:pPr>
              <w:ind w:left="120"/>
              <w:spacing w:after="0"/>
              <w:rPr>
                <w:sz w:val="20"/>
                <w:szCs w:val="20"/>
                <w:color w:val="auto"/>
              </w:rPr>
            </w:pPr>
            <w:r>
              <w:rPr>
                <w:rFonts w:ascii="Arial" w:cs="Arial" w:eastAsia="Arial" w:hAnsi="Arial"/>
                <w:sz w:val="14"/>
                <w:szCs w:val="14"/>
                <w:color w:val="auto"/>
              </w:rPr>
              <w:t>Davie, FL</w:t>
            </w:r>
          </w:p>
        </w:tc>
        <w:tc>
          <w:tcPr>
            <w:tcW w:w="4940" w:type="dxa"/>
            <w:vAlign w:val="bottom"/>
          </w:tcPr>
          <w:p>
            <w:pPr>
              <w:ind w:left="160"/>
              <w:spacing w:after="0"/>
              <w:rPr>
                <w:sz w:val="20"/>
                <w:szCs w:val="20"/>
                <w:color w:val="auto"/>
              </w:rPr>
            </w:pPr>
            <w:r>
              <w:rPr>
                <w:rFonts w:ascii="Arial" w:cs="Arial" w:eastAsia="Arial" w:hAnsi="Arial"/>
                <w:sz w:val="14"/>
                <w:szCs w:val="14"/>
                <w:color w:val="auto"/>
              </w:rPr>
              <w:t>Addition of 50,000 square foot pad building</w:t>
            </w: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2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Del Mar Village</w:t>
            </w:r>
          </w:p>
        </w:tc>
        <w:tc>
          <w:tcPr>
            <w:tcW w:w="14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Boca Raton, FL</w:t>
            </w:r>
          </w:p>
        </w:tc>
        <w:tc>
          <w:tcPr>
            <w:tcW w:w="4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w w:val="96"/>
              </w:rPr>
              <w:t>Demolition of small shop spaces and relocation of tenants to accommodate new</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w:t>
            </w: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$11</w:t>
            </w:r>
          </w:p>
        </w:tc>
        <w:tc>
          <w:tcPr>
            <w:tcW w:w="8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37,000 square foot fitness center tenant</w:t>
            </w:r>
          </w:p>
        </w:tc>
        <w:tc>
          <w:tcPr>
            <w:tcW w:w="8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Montrose Crossing</w:t>
            </w:r>
          </w:p>
        </w:tc>
        <w:tc>
          <w:tcPr>
            <w:tcW w:w="1440" w:type="dxa"/>
            <w:vAlign w:val="bottom"/>
          </w:tcPr>
          <w:p>
            <w:pPr>
              <w:ind w:left="120"/>
              <w:spacing w:after="0" w:line="157" w:lineRule="exact"/>
              <w:rPr>
                <w:sz w:val="20"/>
                <w:szCs w:val="20"/>
                <w:color w:val="auto"/>
              </w:rPr>
            </w:pPr>
            <w:r>
              <w:rPr>
                <w:rFonts w:ascii="Arial" w:cs="Arial" w:eastAsia="Arial" w:hAnsi="Arial"/>
                <w:sz w:val="14"/>
                <w:szCs w:val="14"/>
                <w:color w:val="auto"/>
              </w:rPr>
              <w:t>Rockville, MD</w:t>
            </w:r>
          </w:p>
        </w:tc>
        <w:tc>
          <w:tcPr>
            <w:tcW w:w="4940" w:type="dxa"/>
            <w:vAlign w:val="bottom"/>
          </w:tcPr>
          <w:p>
            <w:pPr>
              <w:ind w:left="160"/>
              <w:spacing w:after="0" w:line="157" w:lineRule="exact"/>
              <w:rPr>
                <w:sz w:val="20"/>
                <w:szCs w:val="20"/>
                <w:color w:val="auto"/>
              </w:rPr>
            </w:pPr>
            <w:r>
              <w:rPr>
                <w:rFonts w:ascii="Arial" w:cs="Arial" w:eastAsia="Arial" w:hAnsi="Arial"/>
                <w:sz w:val="14"/>
                <w:szCs w:val="14"/>
                <w:color w:val="auto"/>
              </w:rPr>
              <w:t>Demolition of 10,000 square foot restaurant building to construct an 18,000</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11%</w:t>
            </w: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$10</w:t>
            </w: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40" w:type="dxa"/>
            <w:vAlign w:val="bottom"/>
          </w:tcPr>
          <w:p>
            <w:pPr>
              <w:ind w:left="160"/>
              <w:spacing w:after="0"/>
              <w:rPr>
                <w:sz w:val="20"/>
                <w:szCs w:val="20"/>
                <w:color w:val="auto"/>
              </w:rPr>
            </w:pPr>
            <w:r>
              <w:rPr>
                <w:rFonts w:ascii="Arial" w:cs="Arial" w:eastAsia="Arial" w:hAnsi="Arial"/>
                <w:sz w:val="14"/>
                <w:szCs w:val="14"/>
                <w:color w:val="auto"/>
              </w:rPr>
              <w:t>square foot multi-tenant pad building</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Pike 7</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Vienna, VA</w:t>
            </w:r>
          </w:p>
        </w:tc>
        <w:tc>
          <w:tcPr>
            <w:tcW w:w="4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Addition of 8,300 square foot multi-tenant retail pad building</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49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Willow Lawn</w:t>
            </w:r>
          </w:p>
        </w:tc>
        <w:tc>
          <w:tcPr>
            <w:tcW w:w="1440" w:type="dxa"/>
            <w:vAlign w:val="bottom"/>
          </w:tcPr>
          <w:p>
            <w:pPr>
              <w:ind w:left="120"/>
              <w:spacing w:after="0" w:line="157" w:lineRule="exact"/>
              <w:rPr>
                <w:sz w:val="20"/>
                <w:szCs w:val="20"/>
                <w:color w:val="auto"/>
              </w:rPr>
            </w:pPr>
            <w:r>
              <w:rPr>
                <w:rFonts w:ascii="Arial" w:cs="Arial" w:eastAsia="Arial" w:hAnsi="Arial"/>
                <w:sz w:val="14"/>
                <w:szCs w:val="14"/>
                <w:color w:val="auto"/>
              </w:rPr>
              <w:t>Richmond, VA</w:t>
            </w:r>
          </w:p>
        </w:tc>
        <w:tc>
          <w:tcPr>
            <w:tcW w:w="4940" w:type="dxa"/>
            <w:vAlign w:val="bottom"/>
          </w:tcPr>
          <w:p>
            <w:pPr>
              <w:ind w:left="160"/>
              <w:spacing w:after="0" w:line="157" w:lineRule="exact"/>
              <w:rPr>
                <w:sz w:val="20"/>
                <w:szCs w:val="20"/>
                <w:color w:val="auto"/>
              </w:rPr>
            </w:pPr>
            <w:r>
              <w:rPr>
                <w:rFonts w:ascii="Arial" w:cs="Arial" w:eastAsia="Arial" w:hAnsi="Arial"/>
                <w:sz w:val="14"/>
                <w:szCs w:val="14"/>
                <w:color w:val="auto"/>
                <w:w w:val="94"/>
              </w:rPr>
              <w:t>Demolition of small shop and mini anchor spaces to construct new 49,000 square</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$10</w:t>
            </w: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940" w:type="dxa"/>
            <w:vAlign w:val="bottom"/>
          </w:tcPr>
          <w:p>
            <w:pPr>
              <w:ind w:left="160"/>
              <w:spacing w:after="0" w:line="149" w:lineRule="exact"/>
              <w:rPr>
                <w:sz w:val="20"/>
                <w:szCs w:val="20"/>
                <w:color w:val="auto"/>
              </w:rPr>
            </w:pPr>
            <w:r>
              <w:rPr>
                <w:rFonts w:ascii="Arial" w:cs="Arial" w:eastAsia="Arial" w:hAnsi="Arial"/>
                <w:sz w:val="14"/>
                <w:szCs w:val="14"/>
                <w:color w:val="auto"/>
                <w:w w:val="96"/>
              </w:rPr>
              <w:t>foot anchor space to accommodate new sporting goods retailer and new 17,000</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40" w:type="dxa"/>
            <w:vAlign w:val="bottom"/>
          </w:tcPr>
          <w:p>
            <w:pPr>
              <w:ind w:left="160"/>
              <w:spacing w:after="0"/>
              <w:rPr>
                <w:sz w:val="20"/>
                <w:szCs w:val="20"/>
                <w:color w:val="auto"/>
              </w:rPr>
            </w:pPr>
            <w:r>
              <w:rPr>
                <w:rFonts w:ascii="Arial" w:cs="Arial" w:eastAsia="Arial" w:hAnsi="Arial"/>
                <w:sz w:val="14"/>
                <w:szCs w:val="14"/>
                <w:color w:val="auto"/>
              </w:rPr>
              <w:t>square foot building for relocation of existing tenant</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Mercer Mall</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Lawrenceville, NJ</w:t>
            </w:r>
          </w:p>
        </w:tc>
        <w:tc>
          <w:tcPr>
            <w:tcW w:w="49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6"/>
              </w:rPr>
              <w:t>Redevelopment of recently acquired office building pre-leased to a single tenant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user</w:t>
            </w:r>
          </w:p>
        </w:tc>
        <w:tc>
          <w:tcPr>
            <w:tcW w:w="8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The AVENUE at White</w:t>
            </w:r>
          </w:p>
        </w:tc>
        <w:tc>
          <w:tcPr>
            <w:tcW w:w="1440" w:type="dxa"/>
            <w:vAlign w:val="bottom"/>
          </w:tcPr>
          <w:p>
            <w:pPr>
              <w:ind w:left="120"/>
              <w:spacing w:after="0" w:line="157" w:lineRule="exact"/>
              <w:rPr>
                <w:sz w:val="20"/>
                <w:szCs w:val="20"/>
                <w:color w:val="auto"/>
              </w:rPr>
            </w:pPr>
            <w:r>
              <w:rPr>
                <w:rFonts w:ascii="Arial" w:cs="Arial" w:eastAsia="Arial" w:hAnsi="Arial"/>
                <w:sz w:val="14"/>
                <w:szCs w:val="14"/>
                <w:color w:val="auto"/>
              </w:rPr>
              <w:t>White Marsh, MD</w:t>
            </w:r>
          </w:p>
        </w:tc>
        <w:tc>
          <w:tcPr>
            <w:tcW w:w="4940" w:type="dxa"/>
            <w:vAlign w:val="bottom"/>
          </w:tcPr>
          <w:p>
            <w:pPr>
              <w:ind w:left="160"/>
              <w:spacing w:after="0" w:line="157" w:lineRule="exact"/>
              <w:rPr>
                <w:sz w:val="20"/>
                <w:szCs w:val="20"/>
                <w:color w:val="auto"/>
              </w:rPr>
            </w:pPr>
            <w:r>
              <w:rPr>
                <w:rFonts w:ascii="Arial" w:cs="Arial" w:eastAsia="Arial" w:hAnsi="Arial"/>
                <w:sz w:val="14"/>
                <w:szCs w:val="14"/>
                <w:color w:val="auto"/>
                <w:w w:val="98"/>
              </w:rPr>
              <w:t>Addition of two new pad sites totaling 13,000 square feet, a new 3,600 square</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$5</w:t>
            </w: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$3</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88"/>
        </w:trPr>
        <w:tc>
          <w:tcPr>
            <w:tcW w:w="1520" w:type="dxa"/>
            <w:vAlign w:val="bottom"/>
            <w:gridSpan w:val="2"/>
          </w:tcPr>
          <w:p>
            <w:pPr>
              <w:ind w:left="40"/>
              <w:spacing w:after="0"/>
              <w:rPr>
                <w:sz w:val="20"/>
                <w:szCs w:val="20"/>
                <w:color w:val="auto"/>
              </w:rPr>
            </w:pPr>
            <w:r>
              <w:rPr>
                <w:rFonts w:ascii="Arial" w:cs="Arial" w:eastAsia="Arial" w:hAnsi="Arial"/>
                <w:sz w:val="14"/>
                <w:szCs w:val="14"/>
                <w:color w:val="auto"/>
              </w:rPr>
              <w:t>Marsh</w:t>
            </w:r>
          </w:p>
        </w:tc>
        <w:tc>
          <w:tcPr>
            <w:tcW w:w="1440" w:type="dxa"/>
            <w:vAlign w:val="bottom"/>
          </w:tcPr>
          <w:p>
            <w:pPr>
              <w:spacing w:after="0"/>
              <w:rPr>
                <w:sz w:val="16"/>
                <w:szCs w:val="16"/>
                <w:color w:val="auto"/>
              </w:rPr>
            </w:pPr>
          </w:p>
        </w:tc>
        <w:tc>
          <w:tcPr>
            <w:tcW w:w="4940" w:type="dxa"/>
            <w:vAlign w:val="bottom"/>
          </w:tcPr>
          <w:p>
            <w:pPr>
              <w:ind w:left="160"/>
              <w:spacing w:after="0"/>
              <w:rPr>
                <w:sz w:val="20"/>
                <w:szCs w:val="20"/>
                <w:color w:val="auto"/>
              </w:rPr>
            </w:pPr>
            <w:r>
              <w:rPr>
                <w:rFonts w:ascii="Arial" w:cs="Arial" w:eastAsia="Arial" w:hAnsi="Arial"/>
                <w:sz w:val="14"/>
                <w:szCs w:val="14"/>
                <w:color w:val="auto"/>
              </w:rPr>
              <w:t>foot restaurant building, and a drive up ATM</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Santana Row</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San Jose, CA</w:t>
            </w:r>
          </w:p>
        </w:tc>
        <w:tc>
          <w:tcPr>
            <w:tcW w:w="4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Addition of two retail kiosks and open air plaza upgrades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49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520" w:type="dxa"/>
            <w:vAlign w:val="bottom"/>
            <w:gridSpan w:val="2"/>
          </w:tcPr>
          <w:p>
            <w:pPr>
              <w:ind w:left="40"/>
              <w:spacing w:after="0"/>
              <w:rPr>
                <w:sz w:val="20"/>
                <w:szCs w:val="20"/>
                <w:color w:val="auto"/>
              </w:rPr>
            </w:pPr>
            <w:r>
              <w:rPr>
                <w:rFonts w:ascii="Arial" w:cs="Arial" w:eastAsia="Arial" w:hAnsi="Arial"/>
                <w:sz w:val="14"/>
                <w:szCs w:val="14"/>
                <w:color w:val="auto"/>
              </w:rPr>
              <w:t>Eastgate Crossing</w:t>
            </w:r>
          </w:p>
        </w:tc>
        <w:tc>
          <w:tcPr>
            <w:tcW w:w="1440" w:type="dxa"/>
            <w:vAlign w:val="bottom"/>
          </w:tcPr>
          <w:p>
            <w:pPr>
              <w:ind w:left="120"/>
              <w:spacing w:after="0"/>
              <w:rPr>
                <w:sz w:val="20"/>
                <w:szCs w:val="20"/>
                <w:color w:val="auto"/>
              </w:rPr>
            </w:pPr>
            <w:r>
              <w:rPr>
                <w:rFonts w:ascii="Arial" w:cs="Arial" w:eastAsia="Arial" w:hAnsi="Arial"/>
                <w:sz w:val="14"/>
                <w:szCs w:val="14"/>
                <w:color w:val="auto"/>
              </w:rPr>
              <w:t>Chapel Hill, NC</w:t>
            </w:r>
          </w:p>
        </w:tc>
        <w:tc>
          <w:tcPr>
            <w:tcW w:w="4940" w:type="dxa"/>
            <w:vAlign w:val="bottom"/>
          </w:tcPr>
          <w:p>
            <w:pPr>
              <w:ind w:left="160"/>
              <w:spacing w:after="0"/>
              <w:rPr>
                <w:sz w:val="20"/>
                <w:szCs w:val="20"/>
                <w:color w:val="auto"/>
              </w:rPr>
            </w:pPr>
            <w:r>
              <w:rPr>
                <w:rFonts w:ascii="Arial" w:cs="Arial" w:eastAsia="Arial" w:hAnsi="Arial"/>
                <w:sz w:val="14"/>
                <w:szCs w:val="14"/>
                <w:color w:val="auto"/>
                <w:w w:val="98"/>
              </w:rPr>
              <w:t>New 7,400 square foot multi-tenant pad building on site of existing gas station</w:t>
            </w: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2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Free State Shopping</w:t>
            </w:r>
          </w:p>
        </w:tc>
        <w:tc>
          <w:tcPr>
            <w:tcW w:w="14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Bowie, MD</w:t>
            </w:r>
          </w:p>
        </w:tc>
        <w:tc>
          <w:tcPr>
            <w:tcW w:w="4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w w:val="96"/>
              </w:rPr>
              <w:t>Demolition of 26,000 square foot vacant building to allow for construction of new</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w:t>
            </w: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$4</w:t>
            </w:r>
          </w:p>
        </w:tc>
        <w:tc>
          <w:tcPr>
            <w:tcW w:w="8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94"/>
        </w:trPr>
        <w:tc>
          <w:tcPr>
            <w:tcW w:w="15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Center</w:t>
            </w:r>
          </w:p>
        </w:tc>
        <w:tc>
          <w:tcPr>
            <w:tcW w:w="1440" w:type="dxa"/>
            <w:vAlign w:val="bottom"/>
            <w:shd w:val="clear" w:color="auto" w:fill="CCEEFF"/>
          </w:tcPr>
          <w:p>
            <w:pPr>
              <w:spacing w:after="0"/>
              <w:rPr>
                <w:sz w:val="16"/>
                <w:szCs w:val="16"/>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12,500 square foot pad building for new daycare tenant</w:t>
            </w:r>
          </w:p>
        </w:tc>
        <w:tc>
          <w:tcPr>
            <w:tcW w:w="8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96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Total Active Redevelopment projects (4)</w:t>
            </w:r>
          </w:p>
        </w:tc>
        <w:tc>
          <w:tcPr>
            <w:tcW w:w="49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$207</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38100</wp:posOffset>
            </wp:positionV>
            <wp:extent cx="15862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-98425</wp:posOffset>
            </wp:positionV>
            <wp:extent cx="15862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ind w:left="660" w:hanging="652"/>
        <w:spacing w:after="0" w:line="260" w:lineRule="auto"/>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Stabilization is generally the year in which 95% physical occupancy of the redeveloped space is achieved. Economic stabilization may occur at a later point in time.</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60"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Assembly Row, Pike &amp; Rose, and Santana Row</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2017</w:t>
      </w:r>
    </w:p>
    <w:p>
      <w:pPr>
        <w:spacing w:after="0" w:line="398" w:lineRule="exact"/>
        <w:rPr>
          <w:sz w:val="20"/>
          <w:szCs w:val="20"/>
          <w:color w:val="auto"/>
        </w:rPr>
      </w:pPr>
    </w:p>
    <w:p>
      <w:pPr>
        <w:jc w:val="center"/>
        <w:ind w:left="4040"/>
        <w:spacing w:after="0"/>
        <w:rPr>
          <w:sz w:val="20"/>
          <w:szCs w:val="20"/>
          <w:color w:val="auto"/>
        </w:rPr>
      </w:pPr>
      <w:r>
        <w:rPr>
          <w:rFonts w:ascii="Arial" w:cs="Arial" w:eastAsia="Arial" w:hAnsi="Arial"/>
          <w:sz w:val="14"/>
          <w:szCs w:val="14"/>
          <w:b w:val="1"/>
          <w:bCs w:val="1"/>
          <w:color w:val="auto"/>
        </w:rPr>
        <w:t>Projected POI Delivered (as a % of</w:t>
      </w:r>
    </w:p>
    <w:p>
      <w:pPr>
        <w:spacing w:after="0" w:line="1" w:lineRule="exact"/>
        <w:rPr>
          <w:sz w:val="20"/>
          <w:szCs w:val="20"/>
          <w:color w:val="auto"/>
        </w:rPr>
      </w:pPr>
    </w:p>
    <w:p>
      <w:pPr>
        <w:jc w:val="center"/>
        <w:ind w:left="4040"/>
        <w:spacing w:after="0"/>
        <w:rPr>
          <w:sz w:val="20"/>
          <w:szCs w:val="20"/>
          <w:color w:val="auto"/>
        </w:rPr>
      </w:pPr>
      <w:r>
        <w:rPr>
          <w:rFonts w:ascii="Arial" w:cs="Arial" w:eastAsia="Arial" w:hAnsi="Arial"/>
          <w:sz w:val="14"/>
          <w:szCs w:val="14"/>
          <w:b w:val="1"/>
          <w:bCs w:val="1"/>
          <w:color w:val="auto"/>
        </w:rPr>
        <w:t>Total)</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Projected</w:t>
            </w:r>
          </w:p>
        </w:tc>
        <w:tc>
          <w:tcPr>
            <w:tcW w:w="28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2"/>
              </w:rPr>
              <w:t>Costs to</w:t>
            </w:r>
          </w:p>
        </w:tc>
        <w:tc>
          <w:tcPr>
            <w:tcW w:w="2480" w:type="dxa"/>
            <w:vAlign w:val="bottom"/>
            <w:gridSpan w:val="4"/>
          </w:tcPr>
          <w:p>
            <w:pPr>
              <w:ind w:left="220"/>
              <w:spacing w:after="0"/>
              <w:rPr>
                <w:sz w:val="20"/>
                <w:szCs w:val="20"/>
                <w:color w:val="auto"/>
              </w:rPr>
            </w:pPr>
            <w:r>
              <w:rPr>
                <w:rFonts w:ascii="Arial" w:cs="Arial" w:eastAsia="Arial" w:hAnsi="Arial"/>
                <w:sz w:val="14"/>
                <w:szCs w:val="14"/>
                <w:b w:val="1"/>
                <w:bCs w:val="1"/>
                <w:color w:val="auto"/>
              </w:rPr>
              <w:t>For Year Ended December 31, (2)</w:t>
            </w:r>
          </w:p>
        </w:tc>
        <w:tc>
          <w:tcPr>
            <w:tcW w:w="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9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920" w:type="dxa"/>
            <w:vAlign w:val="bottom"/>
            <w:gridSpan w:val="5"/>
          </w:tcPr>
          <w:p>
            <w:pPr>
              <w:ind w:left="40"/>
              <w:spacing w:after="0"/>
              <w:rPr>
                <w:sz w:val="20"/>
                <w:szCs w:val="20"/>
                <w:color w:val="auto"/>
              </w:rPr>
            </w:pPr>
            <w:r>
              <w:rPr>
                <w:rFonts w:ascii="Arial" w:cs="Arial" w:eastAsia="Arial" w:hAnsi="Arial"/>
                <w:sz w:val="14"/>
                <w:szCs w:val="14"/>
                <w:b w:val="1"/>
                <w:bCs w:val="1"/>
                <w:color w:val="auto"/>
              </w:rPr>
              <w:t>Property (1)</w:t>
            </w:r>
          </w:p>
        </w:tc>
        <w:tc>
          <w:tcPr>
            <w:tcW w:w="1260" w:type="dxa"/>
            <w:vAlign w:val="bottom"/>
          </w:tcPr>
          <w:p>
            <w:pPr>
              <w:ind w:left="40"/>
              <w:spacing w:after="0"/>
              <w:rPr>
                <w:sz w:val="20"/>
                <w:szCs w:val="20"/>
                <w:color w:val="auto"/>
              </w:rPr>
            </w:pPr>
            <w:r>
              <w:rPr>
                <w:rFonts w:ascii="Arial" w:cs="Arial" w:eastAsia="Arial" w:hAnsi="Arial"/>
                <w:sz w:val="14"/>
                <w:szCs w:val="14"/>
                <w:b w:val="1"/>
                <w:bCs w:val="1"/>
                <w:color w:val="auto"/>
              </w:rPr>
              <w:t>Location</w:t>
            </w:r>
          </w:p>
        </w:tc>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Opportunity</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ROI (3)</w:t>
            </w:r>
          </w:p>
        </w:tc>
        <w:tc>
          <w:tcPr>
            <w:tcW w:w="28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Cost (4)</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Date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2017</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2018</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360" w:type="dxa"/>
            <w:vAlign w:val="bottom"/>
          </w:tcPr>
          <w:p>
            <w:pPr>
              <w:spacing w:after="0"/>
              <w:rPr>
                <w:sz w:val="20"/>
                <w:szCs w:val="20"/>
                <w:color w:val="auto"/>
              </w:rPr>
            </w:pPr>
            <w:r>
              <w:rPr>
                <w:rFonts w:ascii="Arial" w:cs="Arial" w:eastAsia="Arial" w:hAnsi="Arial"/>
                <w:sz w:val="14"/>
                <w:szCs w:val="14"/>
                <w:b w:val="1"/>
                <w:bCs w:val="1"/>
                <w:color w:val="auto"/>
              </w:rPr>
              <w:t>Expected Opening Timeframe</w:t>
            </w:r>
          </w:p>
        </w:tc>
        <w:tc>
          <w:tcPr>
            <w:tcW w:w="0" w:type="dxa"/>
            <w:vAlign w:val="bottom"/>
          </w:tcPr>
          <w:p>
            <w:pPr>
              <w:spacing w:after="0"/>
              <w:rPr>
                <w:sz w:val="1"/>
                <w:szCs w:val="1"/>
                <w:color w:val="auto"/>
              </w:rPr>
            </w:pPr>
          </w:p>
        </w:tc>
      </w:tr>
      <w:tr>
        <w:trPr>
          <w:trHeight w:val="500"/>
        </w:trPr>
        <w:tc>
          <w:tcPr>
            <w:tcW w:w="2180" w:type="dxa"/>
            <w:vAlign w:val="bottom"/>
            <w:tcBorders>
              <w:top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Assembly Row Somerville, MA</w:t>
            </w:r>
          </w:p>
        </w:tc>
        <w:tc>
          <w:tcPr>
            <w:tcW w:w="19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$231</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w w:val="95"/>
                <w:shd w:val="clear" w:color="auto" w:fill="CCEEFF"/>
              </w:rPr>
              <w:t>Opening projected 2Q 2017 through 2Q</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Phase II</w:t>
            </w:r>
          </w:p>
        </w:tc>
        <w:tc>
          <w:tcPr>
            <w:tcW w:w="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9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- 161,000 SF of retail</w:t>
            </w:r>
          </w:p>
        </w:tc>
        <w:tc>
          <w:tcPr>
            <w:tcW w:w="7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7%</w:t>
            </w:r>
          </w:p>
        </w:tc>
        <w:tc>
          <w:tcPr>
            <w:tcW w:w="2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w:t>
            </w: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shd w:val="clear" w:color="auto" w:fill="CCEEFF"/>
              </w:rPr>
              <w:t>$280 - 295</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50%</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90%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2018</w:t>
            </w: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w w:val="98"/>
                <w:shd w:val="clear" w:color="auto" w:fill="CCEEFF"/>
              </w:rPr>
              <w:t>741,500 SF Partners Healthcare office</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9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- 447 residential units</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space</w:t>
            </w: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- 159 boutique hotel rooms</w:t>
            </w:r>
          </w:p>
        </w:tc>
        <w:tc>
          <w:tcPr>
            <w:tcW w:w="2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(built by Partners) opened in 2016</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20" w:type="dxa"/>
            <w:vAlign w:val="bottom"/>
          </w:tcPr>
          <w:p>
            <w:pPr>
              <w:ind w:left="60"/>
              <w:spacing w:after="0"/>
              <w:rPr>
                <w:sz w:val="20"/>
                <w:szCs w:val="20"/>
                <w:color w:val="auto"/>
              </w:rPr>
            </w:pPr>
            <w:r>
              <w:rPr>
                <w:rFonts w:ascii="Arial" w:cs="Arial" w:eastAsia="Arial" w:hAnsi="Arial"/>
                <w:sz w:val="14"/>
                <w:szCs w:val="14"/>
                <w:color w:val="auto"/>
              </w:rPr>
              <w:t>- 122 for-sale condominium</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$41</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20" w:type="dxa"/>
            <w:vAlign w:val="bottom"/>
          </w:tcPr>
          <w:p>
            <w:pPr>
              <w:ind w:left="20"/>
              <w:spacing w:after="0"/>
              <w:rPr>
                <w:sz w:val="20"/>
                <w:szCs w:val="20"/>
                <w:color w:val="auto"/>
              </w:rPr>
            </w:pPr>
            <w:r>
              <w:rPr>
                <w:rFonts w:ascii="Arial" w:cs="Arial" w:eastAsia="Arial" w:hAnsi="Arial"/>
                <w:sz w:val="14"/>
                <w:szCs w:val="14"/>
                <w:color w:val="auto"/>
              </w:rPr>
              <w:t>units</w:t>
            </w:r>
          </w:p>
        </w:tc>
        <w:tc>
          <w:tcPr>
            <w:tcW w:w="240" w:type="dxa"/>
            <w:vAlign w:val="bottom"/>
          </w:tcPr>
          <w:p>
            <w:pPr>
              <w:spacing w:after="0"/>
              <w:rPr>
                <w:sz w:val="15"/>
                <w:szCs w:val="15"/>
                <w:color w:val="auto"/>
              </w:rPr>
            </w:pPr>
          </w:p>
        </w:tc>
        <w:tc>
          <w:tcPr>
            <w:tcW w:w="500" w:type="dxa"/>
            <w:vAlign w:val="bottom"/>
          </w:tcPr>
          <w:p>
            <w:pPr>
              <w:jc w:val="center"/>
              <w:ind w:right="152"/>
              <w:spacing w:after="0"/>
              <w:rPr>
                <w:sz w:val="20"/>
                <w:szCs w:val="20"/>
                <w:color w:val="auto"/>
              </w:rPr>
            </w:pPr>
            <w:r>
              <w:rPr>
                <w:rFonts w:ascii="Arial" w:cs="Arial" w:eastAsia="Arial" w:hAnsi="Arial"/>
                <w:sz w:val="14"/>
                <w:szCs w:val="14"/>
                <w:color w:val="auto"/>
                <w:w w:val="85"/>
              </w:rPr>
              <w:t>—</w:t>
            </w:r>
          </w:p>
        </w:tc>
        <w:tc>
          <w:tcPr>
            <w:tcW w:w="280" w:type="dxa"/>
            <w:vAlign w:val="bottom"/>
          </w:tcPr>
          <w:p>
            <w:pPr>
              <w:jc w:val="right"/>
              <w:ind w:right="12"/>
              <w:spacing w:after="0"/>
              <w:rPr>
                <w:sz w:val="20"/>
                <w:szCs w:val="20"/>
                <w:color w:val="auto"/>
              </w:rPr>
            </w:pPr>
            <w:r>
              <w:rPr>
                <w:rFonts w:ascii="Arial" w:cs="Arial" w:eastAsia="Arial" w:hAnsi="Arial"/>
                <w:sz w:val="14"/>
                <w:szCs w:val="14"/>
                <w:color w:val="auto"/>
              </w:rPr>
              <w:t>(6)</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$70 - 75</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60" w:type="dxa"/>
            <w:vAlign w:val="bottom"/>
          </w:tcPr>
          <w:p>
            <w:pPr>
              <w:spacing w:after="0"/>
              <w:rPr>
                <w:sz w:val="20"/>
                <w:szCs w:val="20"/>
                <w:color w:val="auto"/>
              </w:rPr>
            </w:pPr>
            <w:r>
              <w:rPr>
                <w:rFonts w:ascii="Arial" w:cs="Arial" w:eastAsia="Arial" w:hAnsi="Arial"/>
                <w:sz w:val="14"/>
                <w:szCs w:val="14"/>
                <w:color w:val="auto"/>
                <w:w w:val="90"/>
              </w:rPr>
              <w:t>Projected closings to commence 2Q 2018</w:t>
            </w: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81"/>
                <w:shd w:val="clear" w:color="auto" w:fill="CCEEFF"/>
              </w:rPr>
              <w:t>Future Phases</w:t>
            </w:r>
          </w:p>
        </w:tc>
        <w:tc>
          <w:tcPr>
            <w:tcW w:w="120" w:type="dxa"/>
            <w:vAlign w:val="bottom"/>
            <w:gridSpan w:val="2"/>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- 2M SF of commercial</w:t>
            </w:r>
          </w:p>
        </w:tc>
        <w:tc>
          <w:tcPr>
            <w:tcW w:w="240" w:type="dxa"/>
            <w:vAlign w:val="bottom"/>
            <w:shd w:val="clear" w:color="auto" w:fill="CCEEFF"/>
          </w:tcPr>
          <w:p>
            <w:pPr>
              <w:spacing w:after="0"/>
              <w:rPr>
                <w:sz w:val="21"/>
                <w:szCs w:val="21"/>
                <w:color w:val="auto"/>
              </w:rPr>
            </w:pPr>
          </w:p>
        </w:tc>
        <w:tc>
          <w:tcPr>
            <w:tcW w:w="500" w:type="dxa"/>
            <w:vAlign w:val="bottom"/>
            <w:shd w:val="clear" w:color="auto" w:fill="CCEEFF"/>
          </w:tcPr>
          <w:p>
            <w:pPr>
              <w:jc w:val="center"/>
              <w:ind w:right="152"/>
              <w:spacing w:after="0"/>
              <w:rPr>
                <w:sz w:val="20"/>
                <w:szCs w:val="20"/>
                <w:color w:val="auto"/>
              </w:rPr>
            </w:pPr>
            <w:r>
              <w:rPr>
                <w:rFonts w:ascii="Arial" w:cs="Arial" w:eastAsia="Arial" w:hAnsi="Arial"/>
                <w:sz w:val="14"/>
                <w:szCs w:val="14"/>
                <w:color w:val="auto"/>
                <w:w w:val="99"/>
                <w:shd w:val="clear" w:color="auto" w:fill="CCEEFF"/>
              </w:rPr>
              <w:t>TBD</w:t>
            </w: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shd w:val="clear" w:color="auto" w:fill="CCEEFF"/>
              </w:rPr>
              <w:t>TBD</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shd w:val="clear" w:color="auto" w:fill="CCEEFF"/>
              </w:rPr>
              <w:t>TBD</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- 826 residential units</w:t>
            </w:r>
          </w:p>
        </w:tc>
        <w:tc>
          <w:tcPr>
            <w:tcW w:w="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20" w:type="dxa"/>
            <w:vAlign w:val="bottom"/>
            <w:gridSpan w:val="5"/>
          </w:tcPr>
          <w:p>
            <w:pPr>
              <w:ind w:left="40"/>
              <w:spacing w:after="0"/>
              <w:rPr>
                <w:sz w:val="20"/>
                <w:szCs w:val="20"/>
                <w:color w:val="auto"/>
              </w:rPr>
            </w:pPr>
            <w:r>
              <w:rPr>
                <w:rFonts w:ascii="Arial" w:cs="Arial" w:eastAsia="Arial" w:hAnsi="Arial"/>
                <w:sz w:val="14"/>
                <w:szCs w:val="14"/>
                <w:b w:val="1"/>
                <w:bCs w:val="1"/>
                <w:color w:val="auto"/>
              </w:rPr>
              <w:t>Pike &amp; Rose</w:t>
            </w:r>
          </w:p>
        </w:tc>
        <w:tc>
          <w:tcPr>
            <w:tcW w:w="1260" w:type="dxa"/>
            <w:vAlign w:val="bottom"/>
          </w:tcPr>
          <w:p>
            <w:pPr>
              <w:ind w:left="40"/>
              <w:spacing w:after="0"/>
              <w:rPr>
                <w:sz w:val="20"/>
                <w:szCs w:val="20"/>
                <w:color w:val="auto"/>
              </w:rPr>
            </w:pPr>
            <w:r>
              <w:rPr>
                <w:rFonts w:ascii="Arial" w:cs="Arial" w:eastAsia="Arial" w:hAnsi="Arial"/>
                <w:sz w:val="14"/>
                <w:szCs w:val="14"/>
                <w:b w:val="1"/>
                <w:bCs w:val="1"/>
                <w:color w:val="auto"/>
                <w:w w:val="89"/>
              </w:rPr>
              <w:t>North Bethesda, MD</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9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Phase I</w:t>
            </w:r>
          </w:p>
        </w:tc>
        <w:tc>
          <w:tcPr>
            <w:tcW w:w="1260" w:type="dxa"/>
            <w:vAlign w:val="bottom"/>
            <w:shd w:val="clear" w:color="auto" w:fill="CCEEFF"/>
          </w:tcPr>
          <w:p>
            <w:pPr>
              <w:spacing w:after="0"/>
              <w:rPr>
                <w:sz w:val="22"/>
                <w:szCs w:val="22"/>
                <w:color w:val="auto"/>
              </w:rPr>
            </w:pPr>
          </w:p>
        </w:tc>
        <w:tc>
          <w:tcPr>
            <w:tcW w:w="1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- 159,000 SF of retail</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5"/>
              </w:rPr>
              <w:t>6-7%</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$265 - 270</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$266</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75%</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90%</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Retail &amp; office open</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- 80,000 SF of office</w:t>
            </w:r>
          </w:p>
        </w:tc>
        <w:tc>
          <w:tcPr>
            <w:tcW w:w="2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w w:val="87"/>
              </w:rPr>
              <w:t>Residential opened in 2014 (174 units) and</w:t>
            </w:r>
          </w:p>
        </w:tc>
        <w:tc>
          <w:tcPr>
            <w:tcW w:w="0" w:type="dxa"/>
            <w:vAlign w:val="bottom"/>
          </w:tcPr>
          <w:p>
            <w:pPr>
              <w:spacing w:after="0"/>
              <w:rPr>
                <w:sz w:val="1"/>
                <w:szCs w:val="1"/>
                <w:color w:val="auto"/>
              </w:rPr>
            </w:pPr>
          </w:p>
        </w:tc>
      </w:tr>
      <w:tr>
        <w:trPr>
          <w:trHeight w:val="284"/>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- 493 residential units</w:t>
            </w:r>
          </w:p>
        </w:tc>
        <w:tc>
          <w:tcPr>
            <w:tcW w:w="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2015/16 (319 units)</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3"/>
              </w:rPr>
              <w:t>$136</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60" w:type="dxa"/>
            <w:vAlign w:val="bottom"/>
          </w:tcPr>
          <w:p>
            <w:pPr>
              <w:spacing w:after="0"/>
              <w:rPr>
                <w:sz w:val="20"/>
                <w:szCs w:val="20"/>
                <w:color w:val="auto"/>
              </w:rPr>
            </w:pPr>
            <w:r>
              <w:rPr>
                <w:rFonts w:ascii="Arial" w:cs="Arial" w:eastAsia="Arial" w:hAnsi="Arial"/>
                <w:sz w:val="14"/>
                <w:szCs w:val="14"/>
                <w:color w:val="auto"/>
                <w:w w:val="95"/>
              </w:rPr>
              <w:t>Opening projected 2Q 2017 through 2Q</w:t>
            </w:r>
          </w:p>
        </w:tc>
        <w:tc>
          <w:tcPr>
            <w:tcW w:w="0" w:type="dxa"/>
            <w:vAlign w:val="bottom"/>
          </w:tcPr>
          <w:p>
            <w:pPr>
              <w:spacing w:after="0"/>
              <w:rPr>
                <w:sz w:val="1"/>
                <w:szCs w:val="1"/>
                <w:color w:val="auto"/>
              </w:rPr>
            </w:pPr>
          </w:p>
        </w:tc>
      </w:tr>
      <w:tr>
        <w:trPr>
          <w:trHeight w:val="172"/>
        </w:trPr>
        <w:tc>
          <w:tcPr>
            <w:tcW w:w="920" w:type="dxa"/>
            <w:vAlign w:val="bottom"/>
            <w:gridSpan w:val="5"/>
          </w:tcPr>
          <w:p>
            <w:pPr>
              <w:ind w:left="40"/>
              <w:spacing w:after="0"/>
              <w:rPr>
                <w:sz w:val="20"/>
                <w:szCs w:val="20"/>
                <w:color w:val="auto"/>
              </w:rPr>
            </w:pPr>
            <w:r>
              <w:rPr>
                <w:rFonts w:ascii="Arial" w:cs="Arial" w:eastAsia="Arial" w:hAnsi="Arial"/>
                <w:sz w:val="14"/>
                <w:szCs w:val="14"/>
                <w:color w:val="auto"/>
              </w:rPr>
              <w:t>Phase II</w:t>
            </w:r>
          </w:p>
        </w:tc>
        <w:tc>
          <w:tcPr>
            <w:tcW w:w="1260" w:type="dxa"/>
            <w:vAlign w:val="bottom"/>
          </w:tcPr>
          <w:p>
            <w:pPr>
              <w:spacing w:after="0"/>
              <w:rPr>
                <w:sz w:val="14"/>
                <w:szCs w:val="14"/>
                <w:color w:val="auto"/>
              </w:rPr>
            </w:pPr>
          </w:p>
        </w:tc>
        <w:tc>
          <w:tcPr>
            <w:tcW w:w="1920" w:type="dxa"/>
            <w:vAlign w:val="bottom"/>
          </w:tcPr>
          <w:p>
            <w:pPr>
              <w:ind w:left="60"/>
              <w:spacing w:after="0"/>
              <w:rPr>
                <w:sz w:val="20"/>
                <w:szCs w:val="20"/>
                <w:color w:val="auto"/>
              </w:rPr>
            </w:pPr>
            <w:r>
              <w:rPr>
                <w:rFonts w:ascii="Arial" w:cs="Arial" w:eastAsia="Arial" w:hAnsi="Arial"/>
                <w:sz w:val="14"/>
                <w:szCs w:val="14"/>
                <w:color w:val="auto"/>
              </w:rPr>
              <w:t>- 216,000 SF of retail</w:t>
            </w: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w w:val="85"/>
              </w:rPr>
              <w:t>6-7%</w:t>
            </w:r>
          </w:p>
        </w:tc>
        <w:tc>
          <w:tcPr>
            <w:tcW w:w="280" w:type="dxa"/>
            <w:vAlign w:val="bottom"/>
          </w:tcPr>
          <w:p>
            <w:pPr>
              <w:jc w:val="right"/>
              <w:ind w:right="12"/>
              <w:spacing w:after="0"/>
              <w:rPr>
                <w:sz w:val="20"/>
                <w:szCs w:val="20"/>
                <w:color w:val="auto"/>
              </w:rPr>
            </w:pPr>
            <w:r>
              <w:rPr>
                <w:rFonts w:ascii="Arial" w:cs="Arial" w:eastAsia="Arial" w:hAnsi="Arial"/>
                <w:sz w:val="14"/>
                <w:szCs w:val="14"/>
                <w:color w:val="auto"/>
              </w:rPr>
              <w:t>(5)</w:t>
            </w:r>
          </w:p>
        </w:tc>
        <w:tc>
          <w:tcPr>
            <w:tcW w:w="580" w:type="dxa"/>
            <w:vAlign w:val="bottom"/>
          </w:tcPr>
          <w:p>
            <w:pPr>
              <w:jc w:val="center"/>
              <w:spacing w:after="0"/>
              <w:rPr>
                <w:sz w:val="20"/>
                <w:szCs w:val="20"/>
                <w:color w:val="auto"/>
              </w:rPr>
            </w:pPr>
            <w:r>
              <w:rPr>
                <w:rFonts w:ascii="Arial" w:cs="Arial" w:eastAsia="Arial" w:hAnsi="Arial"/>
                <w:sz w:val="14"/>
                <w:szCs w:val="14"/>
                <w:color w:val="auto"/>
                <w:w w:val="86"/>
              </w:rPr>
              <w:t>$200 - 207</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800" w:type="dxa"/>
            <w:vAlign w:val="bottom"/>
          </w:tcPr>
          <w:p>
            <w:pPr>
              <w:jc w:val="center"/>
              <w:spacing w:after="0"/>
              <w:rPr>
                <w:sz w:val="20"/>
                <w:szCs w:val="20"/>
                <w:color w:val="auto"/>
              </w:rPr>
            </w:pPr>
            <w:r>
              <w:rPr>
                <w:rFonts w:ascii="Arial" w:cs="Arial" w:eastAsia="Arial" w:hAnsi="Arial"/>
                <w:sz w:val="14"/>
                <w:szCs w:val="14"/>
                <w:color w:val="auto"/>
                <w:w w:val="85"/>
              </w:rPr>
              <w:t>85%</w:t>
            </w:r>
          </w:p>
        </w:tc>
        <w:tc>
          <w:tcPr>
            <w:tcW w:w="100" w:type="dxa"/>
            <w:vAlign w:val="bottom"/>
          </w:tcPr>
          <w:p>
            <w:pPr>
              <w:spacing w:after="0"/>
              <w:rPr>
                <w:sz w:val="14"/>
                <w:szCs w:val="14"/>
                <w:color w:val="auto"/>
              </w:rPr>
            </w:pPr>
          </w:p>
        </w:tc>
        <w:tc>
          <w:tcPr>
            <w:tcW w:w="2400" w:type="dxa"/>
            <w:vAlign w:val="bottom"/>
            <w:gridSpan w:val="2"/>
          </w:tcPr>
          <w:p>
            <w:pPr>
              <w:ind w:left="40"/>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920" w:type="dxa"/>
            <w:vAlign w:val="bottom"/>
          </w:tcPr>
          <w:p>
            <w:pPr>
              <w:ind w:left="60"/>
              <w:spacing w:after="0"/>
              <w:rPr>
                <w:sz w:val="20"/>
                <w:szCs w:val="20"/>
                <w:color w:val="auto"/>
              </w:rPr>
            </w:pPr>
            <w:r>
              <w:rPr>
                <w:rFonts w:ascii="Arial" w:cs="Arial" w:eastAsia="Arial" w:hAnsi="Arial"/>
                <w:sz w:val="14"/>
                <w:szCs w:val="14"/>
                <w:color w:val="auto"/>
              </w:rPr>
              <w:t>- 272 residential units</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20" w:type="dxa"/>
            <w:vAlign w:val="bottom"/>
          </w:tcPr>
          <w:p>
            <w:pPr>
              <w:ind w:left="60"/>
              <w:spacing w:after="0"/>
              <w:rPr>
                <w:sz w:val="20"/>
                <w:szCs w:val="20"/>
                <w:color w:val="auto"/>
              </w:rPr>
            </w:pPr>
            <w:r>
              <w:rPr>
                <w:rFonts w:ascii="Arial" w:cs="Arial" w:eastAsia="Arial" w:hAnsi="Arial"/>
                <w:sz w:val="14"/>
                <w:szCs w:val="14"/>
                <w:color w:val="auto"/>
              </w:rPr>
              <w:t>- 177 hotel rooms</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92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w w:val="94"/>
              </w:rPr>
              <w:t>- 99 for-sale condominium units</w:t>
            </w:r>
          </w:p>
        </w:tc>
        <w:tc>
          <w:tcPr>
            <w:tcW w:w="24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center"/>
              <w:ind w:right="152"/>
              <w:spacing w:after="0"/>
              <w:rPr>
                <w:sz w:val="20"/>
                <w:szCs w:val="20"/>
                <w:color w:val="auto"/>
              </w:rPr>
            </w:pPr>
            <w:r>
              <w:rPr>
                <w:rFonts w:ascii="Arial" w:cs="Arial" w:eastAsia="Arial" w:hAnsi="Arial"/>
                <w:sz w:val="14"/>
                <w:szCs w:val="14"/>
                <w:color w:val="auto"/>
                <w:w w:val="85"/>
              </w:rPr>
              <w:t>—</w:t>
            </w:r>
          </w:p>
        </w:tc>
        <w:tc>
          <w:tcPr>
            <w:tcW w:w="2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(6)</w:t>
            </w: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$53 - 58</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$34</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3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90"/>
              </w:rPr>
              <w:t>Projected closings to commence 2Q 2018</w:t>
            </w:r>
          </w:p>
        </w:tc>
        <w:tc>
          <w:tcPr>
            <w:tcW w:w="0" w:type="dxa"/>
            <w:vAlign w:val="bottom"/>
          </w:tcPr>
          <w:p>
            <w:pPr>
              <w:spacing w:after="0"/>
              <w:rPr>
                <w:sz w:val="1"/>
                <w:szCs w:val="1"/>
                <w:color w:val="auto"/>
              </w:rPr>
            </w:pPr>
          </w:p>
        </w:tc>
      </w:tr>
      <w:tr>
        <w:trPr>
          <w:trHeight w:val="82"/>
        </w:trPr>
        <w:tc>
          <w:tcPr>
            <w:tcW w:w="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92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00" w:type="dxa"/>
            <w:vAlign w:val="bottom"/>
            <w:vMerge w:val="continue"/>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3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920" w:type="dxa"/>
            <w:vAlign w:val="bottom"/>
            <w:gridSpan w:val="5"/>
          </w:tcPr>
          <w:p>
            <w:pPr>
              <w:ind w:left="40"/>
              <w:spacing w:after="0"/>
              <w:rPr>
                <w:sz w:val="20"/>
                <w:szCs w:val="20"/>
                <w:color w:val="auto"/>
              </w:rPr>
            </w:pPr>
            <w:r>
              <w:rPr>
                <w:rFonts w:ascii="Arial" w:cs="Arial" w:eastAsia="Arial" w:hAnsi="Arial"/>
                <w:sz w:val="14"/>
                <w:szCs w:val="14"/>
                <w:color w:val="auto"/>
                <w:w w:val="94"/>
              </w:rPr>
              <w:t>Future Phases</w:t>
            </w:r>
          </w:p>
        </w:tc>
        <w:tc>
          <w:tcPr>
            <w:tcW w:w="1260" w:type="dxa"/>
            <w:vAlign w:val="bottom"/>
          </w:tcPr>
          <w:p>
            <w:pPr>
              <w:spacing w:after="0"/>
              <w:rPr>
                <w:sz w:val="22"/>
                <w:szCs w:val="22"/>
                <w:color w:val="auto"/>
              </w:rPr>
            </w:pPr>
          </w:p>
        </w:tc>
        <w:tc>
          <w:tcPr>
            <w:tcW w:w="1920" w:type="dxa"/>
            <w:vAlign w:val="bottom"/>
          </w:tcPr>
          <w:p>
            <w:pPr>
              <w:ind w:left="60"/>
              <w:spacing w:after="0"/>
              <w:rPr>
                <w:sz w:val="20"/>
                <w:szCs w:val="20"/>
                <w:color w:val="auto"/>
              </w:rPr>
            </w:pPr>
            <w:r>
              <w:rPr>
                <w:rFonts w:ascii="Arial" w:cs="Arial" w:eastAsia="Arial" w:hAnsi="Arial"/>
                <w:sz w:val="14"/>
                <w:szCs w:val="14"/>
                <w:color w:val="auto"/>
              </w:rPr>
              <w:t>- 1M SF of commercial</w:t>
            </w: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w w:val="99"/>
              </w:rPr>
              <w:t>TBD</w:t>
            </w:r>
          </w:p>
        </w:tc>
        <w:tc>
          <w:tcPr>
            <w:tcW w:w="28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2"/>
              </w:rPr>
              <w:t>TBD</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TBD</w:t>
            </w: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920" w:type="dxa"/>
            <w:vAlign w:val="bottom"/>
          </w:tcPr>
          <w:p>
            <w:pPr>
              <w:ind w:left="60"/>
              <w:spacing w:after="0"/>
              <w:rPr>
                <w:sz w:val="20"/>
                <w:szCs w:val="20"/>
                <w:color w:val="auto"/>
              </w:rPr>
            </w:pPr>
            <w:r>
              <w:rPr>
                <w:rFonts w:ascii="Arial" w:cs="Arial" w:eastAsia="Arial" w:hAnsi="Arial"/>
                <w:sz w:val="14"/>
                <w:szCs w:val="14"/>
                <w:color w:val="auto"/>
              </w:rPr>
              <w:t>- 741 residential units</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4"/>
        </w:trPr>
        <w:tc>
          <w:tcPr>
            <w:tcW w:w="920" w:type="dxa"/>
            <w:vAlign w:val="bottom"/>
            <w:gridSpan w:val="5"/>
          </w:tcPr>
          <w:p>
            <w:pPr>
              <w:ind w:left="40"/>
              <w:spacing w:after="0"/>
              <w:rPr>
                <w:sz w:val="20"/>
                <w:szCs w:val="20"/>
                <w:color w:val="auto"/>
              </w:rPr>
            </w:pPr>
            <w:r>
              <w:rPr>
                <w:rFonts w:ascii="Arial" w:cs="Arial" w:eastAsia="Arial" w:hAnsi="Arial"/>
                <w:sz w:val="14"/>
                <w:szCs w:val="14"/>
                <w:b w:val="1"/>
                <w:bCs w:val="1"/>
                <w:color w:val="auto"/>
                <w:w w:val="97"/>
              </w:rPr>
              <w:t>Santana Row</w:t>
            </w:r>
          </w:p>
        </w:tc>
        <w:tc>
          <w:tcPr>
            <w:tcW w:w="1260" w:type="dxa"/>
            <w:vAlign w:val="bottom"/>
          </w:tcPr>
          <w:p>
            <w:pPr>
              <w:ind w:left="40"/>
              <w:spacing w:after="0"/>
              <w:rPr>
                <w:sz w:val="20"/>
                <w:szCs w:val="20"/>
                <w:color w:val="auto"/>
              </w:rPr>
            </w:pPr>
            <w:r>
              <w:rPr>
                <w:rFonts w:ascii="Arial" w:cs="Arial" w:eastAsia="Arial" w:hAnsi="Arial"/>
                <w:sz w:val="14"/>
                <w:szCs w:val="14"/>
                <w:b w:val="1"/>
                <w:bCs w:val="1"/>
                <w:color w:val="auto"/>
              </w:rPr>
              <w:t>San Jose, CA</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700 Santana</w:t>
            </w:r>
          </w:p>
        </w:tc>
        <w:tc>
          <w:tcPr>
            <w:tcW w:w="126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$20</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Row</w:t>
            </w:r>
          </w:p>
        </w:tc>
        <w:tc>
          <w:tcPr>
            <w:tcW w:w="1260" w:type="dxa"/>
            <w:vAlign w:val="bottom"/>
            <w:shd w:val="clear" w:color="auto" w:fill="CCEEFF"/>
          </w:tcPr>
          <w:p>
            <w:pPr>
              <w:spacing w:after="0"/>
              <w:rPr>
                <w:sz w:val="14"/>
                <w:szCs w:val="14"/>
                <w:color w:val="auto"/>
              </w:rPr>
            </w:pPr>
          </w:p>
        </w:tc>
        <w:tc>
          <w:tcPr>
            <w:tcW w:w="1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- 284,000 SF of office</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$205 - 215</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TBD</w:t>
            </w:r>
          </w:p>
        </w:tc>
        <w:tc>
          <w:tcPr>
            <w:tcW w:w="4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Commenced construction 4Q 2016</w:t>
            </w:r>
          </w:p>
        </w:tc>
        <w:tc>
          <w:tcPr>
            <w:tcW w:w="0" w:type="dxa"/>
            <w:vAlign w:val="bottom"/>
          </w:tcPr>
          <w:p>
            <w:pPr>
              <w:spacing w:after="0"/>
              <w:rPr>
                <w:sz w:val="1"/>
                <w:szCs w:val="1"/>
                <w:color w:val="auto"/>
              </w:rPr>
            </w:pPr>
          </w:p>
        </w:tc>
      </w:tr>
      <w:tr>
        <w:trPr>
          <w:trHeight w:val="179"/>
        </w:trPr>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- 29,000 SF of retail &amp; 1,300</w:t>
            </w: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Opening projected 2019</w:t>
            </w:r>
          </w:p>
        </w:tc>
        <w:tc>
          <w:tcPr>
            <w:tcW w:w="0" w:type="dxa"/>
            <w:vAlign w:val="bottom"/>
          </w:tcPr>
          <w:p>
            <w:pPr>
              <w:spacing w:after="0"/>
              <w:rPr>
                <w:sz w:val="1"/>
                <w:szCs w:val="1"/>
                <w:color w:val="auto"/>
              </w:rPr>
            </w:pPr>
          </w:p>
        </w:tc>
      </w:tr>
      <w:tr>
        <w:trPr>
          <w:trHeight w:val="186"/>
        </w:trPr>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parking spaces</w:t>
            </w: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920" w:type="dxa"/>
            <w:vAlign w:val="bottom"/>
            <w:gridSpan w:val="5"/>
          </w:tcPr>
          <w:p>
            <w:pPr>
              <w:ind w:left="40"/>
              <w:spacing w:after="0"/>
              <w:rPr>
                <w:sz w:val="20"/>
                <w:szCs w:val="20"/>
                <w:color w:val="auto"/>
              </w:rPr>
            </w:pPr>
            <w:r>
              <w:rPr>
                <w:rFonts w:ascii="Arial" w:cs="Arial" w:eastAsia="Arial" w:hAnsi="Arial"/>
                <w:sz w:val="14"/>
                <w:szCs w:val="14"/>
                <w:color w:val="auto"/>
                <w:w w:val="94"/>
              </w:rPr>
              <w:t>Future Phases</w:t>
            </w:r>
          </w:p>
        </w:tc>
        <w:tc>
          <w:tcPr>
            <w:tcW w:w="1260" w:type="dxa"/>
            <w:vAlign w:val="bottom"/>
          </w:tcPr>
          <w:p>
            <w:pPr>
              <w:spacing w:after="0"/>
              <w:rPr>
                <w:sz w:val="22"/>
                <w:szCs w:val="22"/>
                <w:color w:val="auto"/>
              </w:rPr>
            </w:pPr>
          </w:p>
        </w:tc>
        <w:tc>
          <w:tcPr>
            <w:tcW w:w="1920" w:type="dxa"/>
            <w:vAlign w:val="bottom"/>
          </w:tcPr>
          <w:p>
            <w:pPr>
              <w:ind w:left="60"/>
              <w:spacing w:after="0"/>
              <w:rPr>
                <w:sz w:val="20"/>
                <w:szCs w:val="20"/>
                <w:color w:val="auto"/>
              </w:rPr>
            </w:pPr>
            <w:r>
              <w:rPr>
                <w:rFonts w:ascii="Arial" w:cs="Arial" w:eastAsia="Arial" w:hAnsi="Arial"/>
                <w:sz w:val="14"/>
                <w:szCs w:val="14"/>
                <w:color w:val="auto"/>
              </w:rPr>
              <w:t>- 321,000 SF of commercial</w:t>
            </w: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w w:val="99"/>
              </w:rPr>
              <w:t>TBD</w:t>
            </w:r>
          </w:p>
        </w:tc>
        <w:tc>
          <w:tcPr>
            <w:tcW w:w="28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2"/>
              </w:rPr>
              <w:t>TBD</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TBD</w:t>
            </w: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920" w:type="dxa"/>
            <w:vAlign w:val="bottom"/>
          </w:tcPr>
          <w:p>
            <w:pPr>
              <w:ind w:left="60"/>
              <w:spacing w:after="0"/>
              <w:rPr>
                <w:sz w:val="20"/>
                <w:szCs w:val="20"/>
                <w:color w:val="auto"/>
              </w:rPr>
            </w:pPr>
            <w:r>
              <w:rPr>
                <w:rFonts w:ascii="Arial" w:cs="Arial" w:eastAsia="Arial" w:hAnsi="Arial"/>
                <w:sz w:val="14"/>
                <w:szCs w:val="14"/>
                <w:color w:val="auto"/>
              </w:rPr>
              <w:t>- 395 residential units</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98" w:lineRule="exact"/>
        <w:rPr>
          <w:sz w:val="20"/>
          <w:szCs w:val="20"/>
          <w:color w:val="auto"/>
        </w:rPr>
      </w:pPr>
    </w:p>
    <w:p>
      <w:pPr>
        <w:ind w:left="500" w:right="180" w:hanging="465"/>
        <w:spacing w:after="0" w:line="239"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Anticipated opening dates, total cost, projected return on investment (ROI), and projected POI percentages are subject to adjustment as a result of factors inherent in the development process, some of which may not be</w:t>
      </w:r>
    </w:p>
    <w:p>
      <w:pPr>
        <w:spacing w:after="0" w:line="30"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under the direct control of the Company. Refer to the Company's filings with the Securities and Exchange Commission on Form 10-K and Form 10-Q for other risk factors.</w:t>
      </w:r>
    </w:p>
    <w:p>
      <w:pPr>
        <w:spacing w:after="0" w:line="41"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2"/>
          <w:szCs w:val="12"/>
          <w:color w:val="auto"/>
        </w:rPr>
        <w:t>Percentage figures reflect (i) the projected POI (herein defined) for the stated year divided by (ii) the current projected annual stabilized POI for the Property. These percentages are projections only and</w:t>
      </w:r>
    </w:p>
    <w:p>
      <w:pPr>
        <w:spacing w:after="0" w:line="22"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cannot give any</w:t>
      </w:r>
    </w:p>
    <w:p>
      <w:pPr>
        <w:spacing w:after="0" w:line="29"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assurances that these amounts will actually be achieved.</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unleveraged Property Operating Income (POI) generated by the development and is calculated as POI divided by cost.</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Projected costs for Assembly Row and Pike &amp; Rose include an allocation of infrastructure costs for the entire project.</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Costs are net of expected reimbursement by third parties and land sale proceeds from expected exercise of option. Phase II total costs include our share of the costs in the hotel.</w:t>
      </w:r>
    </w:p>
    <w:p>
      <w:pPr>
        <w:spacing w:after="0" w:line="64" w:lineRule="exact"/>
        <w:rPr>
          <w:rFonts w:ascii="Arial" w:cs="Arial" w:eastAsia="Arial" w:hAnsi="Arial"/>
          <w:sz w:val="12"/>
          <w:szCs w:val="12"/>
          <w:color w:val="auto"/>
        </w:rPr>
      </w:pPr>
    </w:p>
    <w:p>
      <w:pPr>
        <w:ind w:left="500" w:hanging="465"/>
        <w:spacing w:after="0"/>
        <w:tabs>
          <w:tab w:leader="none" w:pos="5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Condominiums shown at cost; the projected ROI for Phase II does not assume any incremental profit on the sale of condominium units; condominiums are assumed to be sold at cost.</w:t>
      </w:r>
    </w:p>
    <w:p>
      <w:pPr>
        <w:spacing w:after="0" w:line="64" w:lineRule="exact"/>
        <w:rPr>
          <w:rFonts w:ascii="Arial" w:cs="Arial" w:eastAsia="Arial" w:hAnsi="Arial"/>
          <w:sz w:val="12"/>
          <w:szCs w:val="12"/>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approximately $6 million of costs incurred to date of which we have claims for recovery against 3rd parties.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Federal Realty Investment Trust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Assembly Row Site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848985" cy="7572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219"/>
          </w:cols>
          <w:pgMar w:left="240" w:top="580" w:right="1440"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Federal Realty Investment Trust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Pike &amp; Rose Site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848985" cy="7589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8985" cy="758952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219"/>
          </w:cols>
          <w:pgMar w:left="240" w:top="580" w:right="1440" w:bottom="1440"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2017</w:t>
      </w:r>
    </w:p>
    <w:p>
      <w:pPr>
        <w:spacing w:after="0" w:line="374" w:lineRule="exact"/>
        <w:rPr>
          <w:sz w:val="20"/>
          <w:szCs w:val="20"/>
          <w:color w:val="auto"/>
        </w:rPr>
      </w:pPr>
    </w:p>
    <w:p>
      <w:pPr>
        <w:ind w:left="40" w:right="4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right="96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Bethesda Row</w:t>
            </w:r>
          </w:p>
        </w:tc>
        <w:tc>
          <w:tcPr>
            <w:tcW w:w="2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Bethesda, MD</w:t>
            </w:r>
          </w:p>
        </w:tc>
        <w:tc>
          <w:tcPr>
            <w:tcW w:w="25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Fresh Meadows</w:t>
            </w:r>
          </w:p>
        </w:tc>
        <w:tc>
          <w:tcPr>
            <w:tcW w:w="4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Queens, NY</w:t>
            </w:r>
          </w:p>
        </w:tc>
      </w:tr>
      <w:tr>
        <w:trPr>
          <w:trHeight w:val="237"/>
        </w:trPr>
        <w:tc>
          <w:tcPr>
            <w:tcW w:w="2420" w:type="dxa"/>
            <w:vAlign w:val="bottom"/>
          </w:tcPr>
          <w:p>
            <w:pPr>
              <w:ind w:left="380"/>
              <w:spacing w:after="0"/>
              <w:rPr>
                <w:sz w:val="20"/>
                <w:szCs w:val="20"/>
                <w:color w:val="auto"/>
              </w:rPr>
            </w:pPr>
            <w:r>
              <w:rPr>
                <w:rFonts w:ascii="Arial" w:cs="Arial" w:eastAsia="Arial" w:hAnsi="Arial"/>
                <w:sz w:val="16"/>
                <w:szCs w:val="16"/>
                <w:b w:val="1"/>
                <w:bCs w:val="1"/>
                <w:color w:val="auto"/>
              </w:rPr>
              <w:t>Dedham Plaza</w:t>
            </w:r>
          </w:p>
        </w:tc>
        <w:tc>
          <w:tcPr>
            <w:tcW w:w="2120" w:type="dxa"/>
            <w:vAlign w:val="bottom"/>
          </w:tcPr>
          <w:p>
            <w:pPr>
              <w:ind w:left="480"/>
              <w:spacing w:after="0"/>
              <w:rPr>
                <w:sz w:val="20"/>
                <w:szCs w:val="20"/>
                <w:color w:val="auto"/>
              </w:rPr>
            </w:pPr>
            <w:r>
              <w:rPr>
                <w:rFonts w:ascii="Arial" w:cs="Arial" w:eastAsia="Arial" w:hAnsi="Arial"/>
                <w:sz w:val="16"/>
                <w:szCs w:val="16"/>
                <w:color w:val="auto"/>
              </w:rPr>
              <w:t>Dedham, MA</w:t>
            </w:r>
          </w:p>
        </w:tc>
        <w:tc>
          <w:tcPr>
            <w:tcW w:w="2500" w:type="dxa"/>
            <w:vAlign w:val="bottom"/>
          </w:tcPr>
          <w:p>
            <w:pPr>
              <w:ind w:left="660"/>
              <w:spacing w:after="0"/>
              <w:rPr>
                <w:sz w:val="20"/>
                <w:szCs w:val="20"/>
                <w:color w:val="auto"/>
              </w:rPr>
            </w:pPr>
            <w:r>
              <w:rPr>
                <w:rFonts w:ascii="Arial" w:cs="Arial" w:eastAsia="Arial" w:hAnsi="Arial"/>
                <w:sz w:val="16"/>
                <w:szCs w:val="16"/>
                <w:b w:val="1"/>
                <w:bCs w:val="1"/>
                <w:color w:val="auto"/>
              </w:rPr>
              <w:t>Melville Mall</w:t>
            </w:r>
          </w:p>
        </w:tc>
        <w:tc>
          <w:tcPr>
            <w:tcW w:w="4380" w:type="dxa"/>
            <w:vAlign w:val="bottom"/>
          </w:tcPr>
          <w:p>
            <w:pPr>
              <w:ind w:left="780"/>
              <w:spacing w:after="0"/>
              <w:rPr>
                <w:sz w:val="20"/>
                <w:szCs w:val="20"/>
                <w:color w:val="auto"/>
              </w:rPr>
            </w:pPr>
            <w:r>
              <w:rPr>
                <w:rFonts w:ascii="Arial" w:cs="Arial" w:eastAsia="Arial" w:hAnsi="Arial"/>
                <w:sz w:val="16"/>
                <w:szCs w:val="16"/>
                <w:color w:val="auto"/>
              </w:rPr>
              <w:t>Huntington, NY</w:t>
            </w:r>
          </w:p>
        </w:tc>
      </w:tr>
      <w:tr>
        <w:trPr>
          <w:trHeight w:val="33"/>
        </w:trPr>
        <w:tc>
          <w:tcPr>
            <w:tcW w:w="2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Escondido Promenade</w:t>
            </w:r>
          </w:p>
        </w:tc>
        <w:tc>
          <w:tcPr>
            <w:tcW w:w="2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Escondido, CA</w:t>
            </w:r>
          </w:p>
        </w:tc>
        <w:tc>
          <w:tcPr>
            <w:tcW w:w="25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Mercer Mall</w:t>
            </w:r>
          </w:p>
        </w:tc>
        <w:tc>
          <w:tcPr>
            <w:tcW w:w="4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Lawrenceville, NJ</w:t>
            </w:r>
          </w:p>
        </w:tc>
      </w:tr>
      <w:tr>
        <w:trPr>
          <w:trHeight w:val="237"/>
        </w:trPr>
        <w:tc>
          <w:tcPr>
            <w:tcW w:w="2420" w:type="dxa"/>
            <w:vAlign w:val="bottom"/>
          </w:tcPr>
          <w:p>
            <w:pPr>
              <w:ind w:left="380"/>
              <w:spacing w:after="0"/>
              <w:rPr>
                <w:sz w:val="20"/>
                <w:szCs w:val="20"/>
                <w:color w:val="auto"/>
              </w:rPr>
            </w:pPr>
            <w:r>
              <w:rPr>
                <w:rFonts w:ascii="Arial" w:cs="Arial" w:eastAsia="Arial" w:hAnsi="Arial"/>
                <w:sz w:val="16"/>
                <w:szCs w:val="16"/>
                <w:b w:val="1"/>
                <w:bCs w:val="1"/>
                <w:color w:val="auto"/>
              </w:rPr>
              <w:t>Federal Plaza</w:t>
            </w:r>
          </w:p>
        </w:tc>
        <w:tc>
          <w:tcPr>
            <w:tcW w:w="2120" w:type="dxa"/>
            <w:vAlign w:val="bottom"/>
          </w:tcPr>
          <w:p>
            <w:pPr>
              <w:ind w:left="480"/>
              <w:spacing w:after="0"/>
              <w:rPr>
                <w:sz w:val="20"/>
                <w:szCs w:val="20"/>
                <w:color w:val="auto"/>
              </w:rPr>
            </w:pPr>
            <w:r>
              <w:rPr>
                <w:rFonts w:ascii="Arial" w:cs="Arial" w:eastAsia="Arial" w:hAnsi="Arial"/>
                <w:sz w:val="16"/>
                <w:szCs w:val="16"/>
                <w:color w:val="auto"/>
              </w:rPr>
              <w:t>Rockville, MD</w:t>
            </w:r>
          </w:p>
        </w:tc>
        <w:tc>
          <w:tcPr>
            <w:tcW w:w="2500" w:type="dxa"/>
            <w:vAlign w:val="bottom"/>
          </w:tcPr>
          <w:p>
            <w:pPr>
              <w:ind w:left="660"/>
              <w:spacing w:after="0"/>
              <w:rPr>
                <w:sz w:val="20"/>
                <w:szCs w:val="20"/>
                <w:color w:val="auto"/>
              </w:rPr>
            </w:pPr>
            <w:r>
              <w:rPr>
                <w:rFonts w:ascii="Arial" w:cs="Arial" w:eastAsia="Arial" w:hAnsi="Arial"/>
                <w:sz w:val="16"/>
                <w:szCs w:val="16"/>
                <w:b w:val="1"/>
                <w:bCs w:val="1"/>
                <w:color w:val="auto"/>
              </w:rPr>
              <w:t>Pan Am</w:t>
            </w:r>
          </w:p>
        </w:tc>
        <w:tc>
          <w:tcPr>
            <w:tcW w:w="4380" w:type="dxa"/>
            <w:vAlign w:val="bottom"/>
          </w:tcPr>
          <w:p>
            <w:pPr>
              <w:ind w:left="780"/>
              <w:spacing w:after="0"/>
              <w:rPr>
                <w:sz w:val="20"/>
                <w:szCs w:val="20"/>
                <w:color w:val="auto"/>
              </w:rPr>
            </w:pPr>
            <w:r>
              <w:rPr>
                <w:rFonts w:ascii="Arial" w:cs="Arial" w:eastAsia="Arial" w:hAnsi="Arial"/>
                <w:sz w:val="16"/>
                <w:szCs w:val="16"/>
                <w:color w:val="auto"/>
              </w:rPr>
              <w:t>Fairfax, VA</w:t>
            </w:r>
          </w:p>
        </w:tc>
      </w:tr>
      <w:tr>
        <w:trPr>
          <w:trHeight w:val="33"/>
        </w:trPr>
        <w:tc>
          <w:tcPr>
            <w:tcW w:w="2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242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Flourtown</w:t>
            </w:r>
          </w:p>
        </w:tc>
        <w:tc>
          <w:tcPr>
            <w:tcW w:w="21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Flourtown, PA</w:t>
            </w:r>
          </w:p>
        </w:tc>
        <w:tc>
          <w:tcPr>
            <w:tcW w:w="2500" w:type="dxa"/>
            <w:vAlign w:val="bottom"/>
            <w:shd w:val="clear" w:color="auto" w:fill="CCEEFF"/>
          </w:tcPr>
          <w:p>
            <w:pPr>
              <w:ind w:left="660"/>
              <w:spacing w:after="0"/>
              <w:rPr>
                <w:sz w:val="20"/>
                <w:szCs w:val="20"/>
                <w:color w:val="auto"/>
              </w:rPr>
            </w:pPr>
            <w:r>
              <w:rPr>
                <w:rFonts w:ascii="Arial" w:cs="Arial" w:eastAsia="Arial" w:hAnsi="Arial"/>
                <w:sz w:val="16"/>
                <w:szCs w:val="16"/>
                <w:b w:val="1"/>
                <w:bCs w:val="1"/>
                <w:color w:val="auto"/>
              </w:rPr>
              <w:t>Wildwood</w:t>
            </w:r>
          </w:p>
        </w:tc>
        <w:tc>
          <w:tcPr>
            <w:tcW w:w="43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Bethesda, MD</w:t>
            </w:r>
          </w:p>
        </w:tc>
      </w:tr>
      <w:tr>
        <w:trPr>
          <w:trHeight w:val="33"/>
        </w:trPr>
        <w:tc>
          <w:tcPr>
            <w:tcW w:w="24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63" w:lineRule="exact"/>
        <w:rPr>
          <w:sz w:val="20"/>
          <w:szCs w:val="20"/>
          <w:color w:val="auto"/>
        </w:rPr>
      </w:pPr>
    </w:p>
    <w:p>
      <w:pPr>
        <w:ind w:left="40" w:right="520"/>
        <w:spacing w:after="0" w:line="298"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ind w:left="380"/>
              <w:spacing w:after="0"/>
              <w:rPr>
                <w:sz w:val="20"/>
                <w:szCs w:val="20"/>
                <w:color w:val="auto"/>
              </w:rPr>
            </w:pPr>
            <w:r>
              <w:rPr>
                <w:rFonts w:ascii="Arial" w:cs="Arial" w:eastAsia="Arial" w:hAnsi="Arial"/>
                <w:sz w:val="16"/>
                <w:szCs w:val="16"/>
                <w:b w:val="1"/>
                <w:bCs w:val="1"/>
                <w:color w:val="auto"/>
              </w:rPr>
              <w:t>Barracks Road</w:t>
            </w:r>
          </w:p>
        </w:tc>
        <w:tc>
          <w:tcPr>
            <w:tcW w:w="2500" w:type="dxa"/>
            <w:vAlign w:val="bottom"/>
          </w:tcPr>
          <w:p>
            <w:pPr>
              <w:ind w:left="720"/>
              <w:spacing w:after="0"/>
              <w:rPr>
                <w:sz w:val="20"/>
                <w:szCs w:val="20"/>
                <w:color w:val="auto"/>
              </w:rPr>
            </w:pPr>
            <w:r>
              <w:rPr>
                <w:rFonts w:ascii="Arial" w:cs="Arial" w:eastAsia="Arial" w:hAnsi="Arial"/>
                <w:sz w:val="16"/>
                <w:szCs w:val="16"/>
                <w:color w:val="auto"/>
              </w:rPr>
              <w:t>Charlottesville, VA</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Northeast</w:t>
            </w:r>
          </w:p>
        </w:tc>
        <w:tc>
          <w:tcPr>
            <w:tcW w:w="4020" w:type="dxa"/>
            <w:vAlign w:val="bottom"/>
          </w:tcPr>
          <w:p>
            <w:pPr>
              <w:ind w:left="420"/>
              <w:spacing w:after="0"/>
              <w:rPr>
                <w:sz w:val="20"/>
                <w:szCs w:val="20"/>
                <w:color w:val="auto"/>
              </w:rPr>
            </w:pPr>
            <w:r>
              <w:rPr>
                <w:rFonts w:ascii="Arial" w:cs="Arial" w:eastAsia="Arial" w:hAnsi="Arial"/>
                <w:sz w:val="16"/>
                <w:szCs w:val="16"/>
                <w:color w:val="auto"/>
              </w:rPr>
              <w:t>Philadelphia, PA</w:t>
            </w:r>
          </w:p>
        </w:tc>
      </w:tr>
      <w:tr>
        <w:trPr>
          <w:trHeight w:val="33"/>
        </w:trPr>
        <w:tc>
          <w:tcPr>
            <w:tcW w:w="21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Bethesda Row</w:t>
            </w:r>
          </w:p>
        </w:tc>
        <w:tc>
          <w:tcPr>
            <w:tcW w:w="2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Bethesda, MD</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Riverpoint Center</w:t>
            </w:r>
          </w:p>
        </w:tc>
        <w:tc>
          <w:tcPr>
            <w:tcW w:w="4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Chicago, IL</w:t>
            </w:r>
          </w:p>
        </w:tc>
      </w:tr>
      <w:tr>
        <w:trPr>
          <w:trHeight w:val="237"/>
        </w:trPr>
        <w:tc>
          <w:tcPr>
            <w:tcW w:w="2180" w:type="dxa"/>
            <w:vAlign w:val="bottom"/>
          </w:tcPr>
          <w:p>
            <w:pPr>
              <w:ind w:left="380"/>
              <w:spacing w:after="0"/>
              <w:rPr>
                <w:sz w:val="20"/>
                <w:szCs w:val="20"/>
                <w:color w:val="auto"/>
              </w:rPr>
            </w:pPr>
            <w:r>
              <w:rPr>
                <w:rFonts w:ascii="Arial" w:cs="Arial" w:eastAsia="Arial" w:hAnsi="Arial"/>
                <w:sz w:val="16"/>
                <w:szCs w:val="16"/>
                <w:b w:val="1"/>
                <w:bCs w:val="1"/>
                <w:color w:val="auto"/>
              </w:rPr>
              <w:t>Brick</w:t>
            </w:r>
          </w:p>
        </w:tc>
        <w:tc>
          <w:tcPr>
            <w:tcW w:w="2500" w:type="dxa"/>
            <w:vAlign w:val="bottom"/>
          </w:tcPr>
          <w:p>
            <w:pPr>
              <w:ind w:left="720"/>
              <w:spacing w:after="0"/>
              <w:rPr>
                <w:sz w:val="20"/>
                <w:szCs w:val="20"/>
                <w:color w:val="auto"/>
              </w:rPr>
            </w:pPr>
            <w:r>
              <w:rPr>
                <w:rFonts w:ascii="Arial" w:cs="Arial" w:eastAsia="Arial" w:hAnsi="Arial"/>
                <w:sz w:val="16"/>
                <w:szCs w:val="16"/>
                <w:color w:val="auto"/>
              </w:rPr>
              <w:t>Brick, NJ</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The Shops at Sunset Place</w:t>
            </w:r>
          </w:p>
        </w:tc>
        <w:tc>
          <w:tcPr>
            <w:tcW w:w="4020" w:type="dxa"/>
            <w:vAlign w:val="bottom"/>
          </w:tcPr>
          <w:p>
            <w:pPr>
              <w:ind w:left="420"/>
              <w:spacing w:after="0"/>
              <w:rPr>
                <w:sz w:val="20"/>
                <w:szCs w:val="20"/>
                <w:color w:val="auto"/>
              </w:rPr>
            </w:pPr>
            <w:r>
              <w:rPr>
                <w:rFonts w:ascii="Arial" w:cs="Arial" w:eastAsia="Arial" w:hAnsi="Arial"/>
                <w:sz w:val="16"/>
                <w:szCs w:val="16"/>
                <w:color w:val="auto"/>
              </w:rPr>
              <w:t>South Miami, FL</w:t>
            </w:r>
          </w:p>
        </w:tc>
      </w:tr>
      <w:tr>
        <w:trPr>
          <w:trHeight w:val="33"/>
        </w:trPr>
        <w:tc>
          <w:tcPr>
            <w:tcW w:w="21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CocoWalk</w:t>
            </w:r>
          </w:p>
        </w:tc>
        <w:tc>
          <w:tcPr>
            <w:tcW w:w="2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Coconut Grove, FL</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Third Street Promenade</w:t>
            </w:r>
          </w:p>
        </w:tc>
        <w:tc>
          <w:tcPr>
            <w:tcW w:w="4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Santa Monica, CA</w:t>
            </w:r>
          </w:p>
        </w:tc>
      </w:tr>
      <w:tr>
        <w:trPr>
          <w:trHeight w:val="237"/>
        </w:trPr>
        <w:tc>
          <w:tcPr>
            <w:tcW w:w="2180" w:type="dxa"/>
            <w:vAlign w:val="bottom"/>
          </w:tcPr>
          <w:p>
            <w:pPr>
              <w:ind w:left="380"/>
              <w:spacing w:after="0"/>
              <w:rPr>
                <w:sz w:val="20"/>
                <w:szCs w:val="20"/>
                <w:color w:val="auto"/>
              </w:rPr>
            </w:pPr>
            <w:r>
              <w:rPr>
                <w:rFonts w:ascii="Arial" w:cs="Arial" w:eastAsia="Arial" w:hAnsi="Arial"/>
                <w:sz w:val="16"/>
                <w:szCs w:val="16"/>
                <w:b w:val="1"/>
                <w:bCs w:val="1"/>
                <w:color w:val="auto"/>
              </w:rPr>
              <w:t>Crossroads</w:t>
            </w:r>
          </w:p>
        </w:tc>
        <w:tc>
          <w:tcPr>
            <w:tcW w:w="2500" w:type="dxa"/>
            <w:vAlign w:val="bottom"/>
          </w:tcPr>
          <w:p>
            <w:pPr>
              <w:ind w:left="720"/>
              <w:spacing w:after="0"/>
              <w:rPr>
                <w:sz w:val="20"/>
                <w:szCs w:val="20"/>
                <w:color w:val="auto"/>
              </w:rPr>
            </w:pPr>
            <w:r>
              <w:rPr>
                <w:rFonts w:ascii="Arial" w:cs="Arial" w:eastAsia="Arial" w:hAnsi="Arial"/>
                <w:sz w:val="16"/>
                <w:szCs w:val="16"/>
                <w:color w:val="auto"/>
              </w:rPr>
              <w:t>Highland Park, IL</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Troy</w:t>
            </w:r>
          </w:p>
        </w:tc>
        <w:tc>
          <w:tcPr>
            <w:tcW w:w="4020" w:type="dxa"/>
            <w:vAlign w:val="bottom"/>
          </w:tcPr>
          <w:p>
            <w:pPr>
              <w:ind w:left="420"/>
              <w:spacing w:after="0"/>
              <w:rPr>
                <w:sz w:val="20"/>
                <w:szCs w:val="20"/>
                <w:color w:val="auto"/>
              </w:rPr>
            </w:pPr>
            <w:r>
              <w:rPr>
                <w:rFonts w:ascii="Arial" w:cs="Arial" w:eastAsia="Arial" w:hAnsi="Arial"/>
                <w:sz w:val="16"/>
                <w:szCs w:val="16"/>
                <w:color w:val="auto"/>
              </w:rPr>
              <w:t>Parsippany, NJ</w:t>
            </w:r>
          </w:p>
        </w:tc>
      </w:tr>
      <w:tr>
        <w:trPr>
          <w:trHeight w:val="33"/>
        </w:trPr>
        <w:tc>
          <w:tcPr>
            <w:tcW w:w="21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Darien</w:t>
            </w:r>
          </w:p>
        </w:tc>
        <w:tc>
          <w:tcPr>
            <w:tcW w:w="2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Darien, CT</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Wildwood</w:t>
            </w:r>
          </w:p>
        </w:tc>
        <w:tc>
          <w:tcPr>
            <w:tcW w:w="4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Bethesda, MD</w:t>
            </w:r>
          </w:p>
        </w:tc>
      </w:tr>
      <w:tr>
        <w:trPr>
          <w:trHeight w:val="237"/>
        </w:trPr>
        <w:tc>
          <w:tcPr>
            <w:tcW w:w="2180" w:type="dxa"/>
            <w:vAlign w:val="bottom"/>
          </w:tcPr>
          <w:p>
            <w:pPr>
              <w:ind w:left="380"/>
              <w:spacing w:after="0"/>
              <w:rPr>
                <w:sz w:val="20"/>
                <w:szCs w:val="20"/>
                <w:color w:val="auto"/>
              </w:rPr>
            </w:pPr>
            <w:r>
              <w:rPr>
                <w:rFonts w:ascii="Arial" w:cs="Arial" w:eastAsia="Arial" w:hAnsi="Arial"/>
                <w:sz w:val="16"/>
                <w:szCs w:val="16"/>
                <w:b w:val="1"/>
                <w:bCs w:val="1"/>
                <w:color w:val="auto"/>
              </w:rPr>
              <w:t>Fresh Meadows</w:t>
            </w:r>
          </w:p>
        </w:tc>
        <w:tc>
          <w:tcPr>
            <w:tcW w:w="2500" w:type="dxa"/>
            <w:vAlign w:val="bottom"/>
          </w:tcPr>
          <w:p>
            <w:pPr>
              <w:ind w:left="720"/>
              <w:spacing w:after="0"/>
              <w:rPr>
                <w:sz w:val="20"/>
                <w:szCs w:val="20"/>
                <w:color w:val="auto"/>
              </w:rPr>
            </w:pPr>
            <w:r>
              <w:rPr>
                <w:rFonts w:ascii="Arial" w:cs="Arial" w:eastAsia="Arial" w:hAnsi="Arial"/>
                <w:sz w:val="16"/>
                <w:szCs w:val="16"/>
                <w:color w:val="auto"/>
              </w:rPr>
              <w:t>Queens, NY</w:t>
            </w:r>
          </w:p>
        </w:tc>
        <w:tc>
          <w:tcPr>
            <w:tcW w:w="272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33"/>
        </w:trPr>
        <w:tc>
          <w:tcPr>
            <w:tcW w:w="21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84"/>
        </w:trPr>
        <w:tc>
          <w:tcPr>
            <w:tcW w:w="218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402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Barracks Road</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Charlottesville, VA</w:t>
            </w:r>
          </w:p>
        </w:tc>
        <w:tc>
          <w:tcPr>
            <w:tcW w:w="3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Graham Park Plaza</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Falls Church, VA</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Bala Cynwyd</w:t>
            </w:r>
          </w:p>
        </w:tc>
        <w:tc>
          <w:tcPr>
            <w:tcW w:w="1900" w:type="dxa"/>
            <w:vAlign w:val="bottom"/>
          </w:tcPr>
          <w:p>
            <w:pPr>
              <w:ind w:left="80"/>
              <w:spacing w:after="0"/>
              <w:rPr>
                <w:sz w:val="20"/>
                <w:szCs w:val="20"/>
                <w:color w:val="auto"/>
              </w:rPr>
            </w:pPr>
            <w:r>
              <w:rPr>
                <w:rFonts w:ascii="Arial" w:cs="Arial" w:eastAsia="Arial" w:hAnsi="Arial"/>
                <w:sz w:val="16"/>
                <w:szCs w:val="16"/>
                <w:color w:val="auto"/>
              </w:rPr>
              <w:t>Bala Cynwyd, PA</w:t>
            </w:r>
          </w:p>
        </w:tc>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Village at Shirlington</w:t>
            </w:r>
          </w:p>
        </w:tc>
        <w:tc>
          <w:tcPr>
            <w:tcW w:w="3700" w:type="dxa"/>
            <w:vAlign w:val="bottom"/>
          </w:tcPr>
          <w:p>
            <w:pPr>
              <w:ind w:left="100"/>
              <w:spacing w:after="0"/>
              <w:rPr>
                <w:sz w:val="20"/>
                <w:szCs w:val="20"/>
                <w:color w:val="auto"/>
              </w:rPr>
            </w:pPr>
            <w:r>
              <w:rPr>
                <w:rFonts w:ascii="Arial" w:cs="Arial" w:eastAsia="Arial" w:hAnsi="Arial"/>
                <w:sz w:val="16"/>
                <w:szCs w:val="16"/>
                <w:color w:val="auto"/>
              </w:rPr>
              <w:t>Arlington, VA</w:t>
            </w:r>
          </w:p>
        </w:tc>
      </w:tr>
      <w:tr>
        <w:trPr>
          <w:trHeight w:val="33"/>
        </w:trPr>
        <w:tc>
          <w:tcPr>
            <w:tcW w:w="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gridSpan w:val="2"/>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3700" w:type="dxa"/>
            <w:vAlign w:val="bottom"/>
            <w:shd w:val="clear" w:color="auto" w:fill="CCEEFF"/>
          </w:tcPr>
          <w:p>
            <w:pPr>
              <w:spacing w:after="0"/>
              <w:rPr>
                <w:sz w:val="23"/>
                <w:szCs w:val="23"/>
                <w:color w:val="auto"/>
              </w:rPr>
            </w:pPr>
          </w:p>
        </w:tc>
      </w:tr>
      <w:tr>
        <w:trPr>
          <w:trHeight w:val="224"/>
        </w:trPr>
        <w:tc>
          <w:tcPr>
            <w:tcW w:w="2820" w:type="dxa"/>
            <w:vAlign w:val="bottom"/>
            <w:gridSpan w:val="4"/>
          </w:tcPr>
          <w:p>
            <w:pPr>
              <w:ind w:left="40"/>
              <w:spacing w:after="0"/>
              <w:rPr>
                <w:sz w:val="20"/>
                <w:szCs w:val="20"/>
                <w:color w:val="auto"/>
              </w:rPr>
            </w:pPr>
            <w:r>
              <w:rPr>
                <w:rFonts w:ascii="Arial" w:cs="Arial" w:eastAsia="Arial" w:hAnsi="Arial"/>
                <w:sz w:val="16"/>
                <w:szCs w:val="16"/>
                <w:b w:val="1"/>
                <w:bCs w:val="1"/>
                <w:color w:val="auto"/>
                <w:w w:val="94"/>
              </w:rPr>
              <w:t>Longer Term Mixed-Use Opportunities</w:t>
            </w:r>
          </w:p>
        </w:tc>
        <w:tc>
          <w:tcPr>
            <w:tcW w:w="19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Assembly Row (1)</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Somerville, MA</w:t>
            </w:r>
          </w:p>
        </w:tc>
        <w:tc>
          <w:tcPr>
            <w:tcW w:w="3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San Antonio Center</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Mountain View, CA</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Bala Cynwyd</w:t>
            </w:r>
          </w:p>
        </w:tc>
        <w:tc>
          <w:tcPr>
            <w:tcW w:w="1900" w:type="dxa"/>
            <w:vAlign w:val="bottom"/>
          </w:tcPr>
          <w:p>
            <w:pPr>
              <w:ind w:left="80"/>
              <w:spacing w:after="0"/>
              <w:rPr>
                <w:sz w:val="20"/>
                <w:szCs w:val="20"/>
                <w:color w:val="auto"/>
              </w:rPr>
            </w:pPr>
            <w:r>
              <w:rPr>
                <w:rFonts w:ascii="Arial" w:cs="Arial" w:eastAsia="Arial" w:hAnsi="Arial"/>
                <w:sz w:val="16"/>
                <w:szCs w:val="16"/>
                <w:color w:val="auto"/>
              </w:rPr>
              <w:t>Bala Cynwyd, PA</w:t>
            </w:r>
          </w:p>
        </w:tc>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Santana Row (3)</w:t>
            </w:r>
          </w:p>
        </w:tc>
        <w:tc>
          <w:tcPr>
            <w:tcW w:w="3700" w:type="dxa"/>
            <w:vAlign w:val="bottom"/>
          </w:tcPr>
          <w:p>
            <w:pPr>
              <w:ind w:left="100"/>
              <w:spacing w:after="0"/>
              <w:rPr>
                <w:sz w:val="20"/>
                <w:szCs w:val="20"/>
                <w:color w:val="auto"/>
              </w:rPr>
            </w:pPr>
            <w:r>
              <w:rPr>
                <w:rFonts w:ascii="Arial" w:cs="Arial" w:eastAsia="Arial" w:hAnsi="Arial"/>
                <w:sz w:val="16"/>
                <w:szCs w:val="16"/>
                <w:color w:val="auto"/>
              </w:rPr>
              <w:t>San Jose, CA</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00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w w:val="94"/>
              </w:rPr>
              <w:t>Santana Row - Winchester Theater</w:t>
            </w:r>
          </w:p>
        </w:tc>
        <w:tc>
          <w:tcPr>
            <w:tcW w:w="3700" w:type="dxa"/>
            <w:vAlign w:val="bottom"/>
            <w:shd w:val="clear" w:color="auto" w:fill="CCEEFF"/>
          </w:tcPr>
          <w:p>
            <w:pPr>
              <w:spacing w:after="0"/>
              <w:rPr>
                <w:sz w:val="18"/>
                <w:szCs w:val="18"/>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Pike 7 Plaza</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Vienna, VA</w:t>
            </w:r>
          </w:p>
        </w:tc>
        <w:tc>
          <w:tcPr>
            <w:tcW w:w="3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site</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San Jose, CA</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Pike &amp; Rose (2)</w:t>
            </w:r>
          </w:p>
        </w:tc>
        <w:tc>
          <w:tcPr>
            <w:tcW w:w="1900" w:type="dxa"/>
            <w:vAlign w:val="bottom"/>
          </w:tcPr>
          <w:p>
            <w:pPr>
              <w:ind w:left="80"/>
              <w:spacing w:after="0"/>
              <w:rPr>
                <w:sz w:val="20"/>
                <w:szCs w:val="20"/>
                <w:color w:val="auto"/>
              </w:rPr>
            </w:pPr>
            <w:r>
              <w:rPr>
                <w:rFonts w:ascii="Arial" w:cs="Arial" w:eastAsia="Arial" w:hAnsi="Arial"/>
                <w:sz w:val="16"/>
                <w:szCs w:val="16"/>
                <w:color w:val="auto"/>
              </w:rPr>
              <w:t>North Bethesda, MD</w:t>
            </w:r>
          </w:p>
        </w:tc>
        <w:tc>
          <w:tcPr>
            <w:tcW w:w="30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gridSpan w:val="2"/>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3700" w:type="dxa"/>
            <w:vAlign w:val="bottom"/>
            <w:shd w:val="clear" w:color="auto" w:fill="CCEEFF"/>
          </w:tcPr>
          <w:p>
            <w:pPr>
              <w:spacing w:after="0"/>
              <w:rPr>
                <w:sz w:val="23"/>
                <w:szCs w:val="23"/>
                <w:color w:val="auto"/>
              </w:rPr>
            </w:pPr>
          </w:p>
        </w:tc>
      </w:tr>
      <w:tr>
        <w:trPr>
          <w:trHeight w:val="230"/>
        </w:trPr>
        <w:tc>
          <w:tcPr>
            <w:tcW w:w="2820" w:type="dxa"/>
            <w:vAlign w:val="bottom"/>
            <w:gridSpan w:val="4"/>
          </w:tcPr>
          <w:p>
            <w:pPr>
              <w:ind w:left="40"/>
              <w:spacing w:after="0"/>
              <w:rPr>
                <w:sz w:val="20"/>
                <w:szCs w:val="20"/>
                <w:color w:val="auto"/>
              </w:rPr>
            </w:pPr>
            <w:r>
              <w:rPr>
                <w:rFonts w:ascii="Arial" w:cs="Arial" w:eastAsia="Arial" w:hAnsi="Arial"/>
                <w:sz w:val="14"/>
                <w:szCs w:val="14"/>
                <w:color w:val="auto"/>
              </w:rPr>
              <w:t>Notes:</w:t>
            </w:r>
          </w:p>
        </w:tc>
        <w:tc>
          <w:tcPr>
            <w:tcW w:w="19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03"/>
        </w:trPr>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w:t>
            </w:r>
          </w:p>
        </w:tc>
        <w:tc>
          <w:tcPr>
            <w:tcW w:w="2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Assembly Row</w:t>
            </w:r>
          </w:p>
        </w:tc>
        <w:tc>
          <w:tcPr>
            <w:tcW w:w="86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Remaining entitlements after Phase II include approximately 2 million square feet of commercial-use buildings and 826 residential units.</w:t>
            </w:r>
          </w:p>
        </w:tc>
      </w:tr>
      <w:tr>
        <w:trPr>
          <w:trHeight w:val="197"/>
        </w:trPr>
        <w:tc>
          <w:tcPr>
            <w:tcW w:w="300" w:type="dxa"/>
            <w:vAlign w:val="bottom"/>
            <w:gridSpan w:val="2"/>
          </w:tcPr>
          <w:p>
            <w:pPr>
              <w:ind w:left="40"/>
              <w:spacing w:after="0"/>
              <w:rPr>
                <w:sz w:val="20"/>
                <w:szCs w:val="20"/>
                <w:color w:val="auto"/>
              </w:rPr>
            </w:pPr>
            <w:r>
              <w:rPr>
                <w:rFonts w:ascii="Arial" w:cs="Arial" w:eastAsia="Arial" w:hAnsi="Arial"/>
                <w:sz w:val="14"/>
                <w:szCs w:val="14"/>
                <w:color w:val="auto"/>
              </w:rPr>
              <w:t>(2)</w:t>
            </w:r>
          </w:p>
        </w:tc>
        <w:tc>
          <w:tcPr>
            <w:tcW w:w="2520" w:type="dxa"/>
            <w:vAlign w:val="bottom"/>
            <w:gridSpan w:val="2"/>
          </w:tcPr>
          <w:p>
            <w:pPr>
              <w:ind w:left="80"/>
              <w:spacing w:after="0"/>
              <w:rPr>
                <w:sz w:val="20"/>
                <w:szCs w:val="20"/>
                <w:color w:val="auto"/>
              </w:rPr>
            </w:pPr>
            <w:r>
              <w:rPr>
                <w:rFonts w:ascii="Arial" w:cs="Arial" w:eastAsia="Arial" w:hAnsi="Arial"/>
                <w:sz w:val="14"/>
                <w:szCs w:val="14"/>
                <w:color w:val="auto"/>
              </w:rPr>
              <w:t>Pike &amp; Rose</w:t>
            </w:r>
          </w:p>
        </w:tc>
        <w:tc>
          <w:tcPr>
            <w:tcW w:w="8600" w:type="dxa"/>
            <w:vAlign w:val="bottom"/>
            <w:gridSpan w:val="3"/>
          </w:tcPr>
          <w:p>
            <w:pPr>
              <w:ind w:left="80"/>
              <w:spacing w:after="0"/>
              <w:rPr>
                <w:sz w:val="20"/>
                <w:szCs w:val="20"/>
                <w:color w:val="auto"/>
              </w:rPr>
            </w:pPr>
            <w:r>
              <w:rPr>
                <w:rFonts w:ascii="Arial" w:cs="Arial" w:eastAsia="Arial" w:hAnsi="Arial"/>
                <w:sz w:val="14"/>
                <w:szCs w:val="14"/>
                <w:color w:val="auto"/>
              </w:rPr>
              <w:t>Remaining entitlements after Phase II include 1 million square feet of commercial-use buildings and 741 residential units.</w:t>
            </w:r>
          </w:p>
        </w:tc>
      </w:tr>
      <w:tr>
        <w:trPr>
          <w:trHeight w:val="209"/>
        </w:trPr>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w:t>
            </w:r>
          </w:p>
        </w:tc>
        <w:tc>
          <w:tcPr>
            <w:tcW w:w="2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Santana Row</w:t>
            </w:r>
          </w:p>
        </w:tc>
        <w:tc>
          <w:tcPr>
            <w:tcW w:w="86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Remaining entitlements include approximately 321,000 square feet of commercial space and 395 residential units.</w:t>
            </w:r>
          </w:p>
        </w:tc>
      </w:tr>
      <w:tr>
        <w:trPr>
          <w:trHeight w:val="459"/>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0" w:type="dxa"/>
            <w:vAlign w:val="bottom"/>
          </w:tcPr>
          <w:p>
            <w:pPr>
              <w:ind w:left="900"/>
              <w:spacing w:after="0"/>
              <w:rPr>
                <w:sz w:val="20"/>
                <w:szCs w:val="20"/>
                <w:color w:val="auto"/>
              </w:rPr>
            </w:pPr>
            <w:r>
              <w:rPr>
                <w:rFonts w:ascii="Arial" w:cs="Arial" w:eastAsia="Arial" w:hAnsi="Arial"/>
                <w:sz w:val="18"/>
                <w:szCs w:val="18"/>
                <w:color w:val="auto"/>
              </w:rPr>
              <w:t>19</w:t>
            </w:r>
          </w:p>
        </w:tc>
        <w:tc>
          <w:tcPr>
            <w:tcW w:w="3700" w:type="dxa"/>
            <w:vAlign w:val="bottom"/>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23" w:name="page24"/>
    <w:bookmarkEnd w:id="2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2017 Significant Acquisitions and Disposition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2017 Significant Acquisitions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21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Property</w:t>
            </w:r>
          </w:p>
        </w:tc>
        <w:tc>
          <w:tcPr>
            <w:tcW w:w="20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City/State</w:t>
            </w:r>
          </w:p>
        </w:tc>
        <w:tc>
          <w:tcPr>
            <w:tcW w:w="1440" w:type="dxa"/>
            <w:vAlign w:val="bottom"/>
            <w:tcBorders>
              <w:bottom w:val="single" w:sz="8" w:color="auto"/>
            </w:tcBorders>
          </w:tcPr>
          <w:p>
            <w:pPr>
              <w:jc w:val="center"/>
              <w:ind w:left="143"/>
              <w:spacing w:after="0"/>
              <w:rPr>
                <w:sz w:val="20"/>
                <w:szCs w:val="20"/>
                <w:color w:val="auto"/>
              </w:rPr>
            </w:pPr>
            <w:r>
              <w:rPr>
                <w:rFonts w:ascii="Arial" w:cs="Arial" w:eastAsia="Arial" w:hAnsi="Arial"/>
                <w:sz w:val="14"/>
                <w:szCs w:val="14"/>
                <w:b w:val="1"/>
                <w:bCs w:val="1"/>
                <w:color w:val="auto"/>
              </w:rPr>
              <w:t>GLA</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4"/>
              </w:rPr>
              <w:t>Purchase Price</w:t>
            </w:r>
          </w:p>
        </w:tc>
        <w:tc>
          <w:tcPr>
            <w:tcW w:w="23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Principal Tenants</w:t>
            </w:r>
          </w:p>
        </w:tc>
        <w:tc>
          <w:tcPr>
            <w:tcW w:w="400" w:type="dxa"/>
            <w:vAlign w:val="bottom"/>
            <w:tcBorders>
              <w:bottom w:val="single" w:sz="8" w:color="auto"/>
            </w:tcBorders>
          </w:tcPr>
          <w:p>
            <w:pPr>
              <w:spacing w:after="0"/>
              <w:rPr>
                <w:sz w:val="16"/>
                <w:szCs w:val="16"/>
                <w:color w:val="auto"/>
              </w:rPr>
            </w:pPr>
          </w:p>
        </w:tc>
      </w:tr>
      <w:tr>
        <w:trPr>
          <w:trHeight w:val="217"/>
        </w:trPr>
        <w:tc>
          <w:tcPr>
            <w:tcW w:w="15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40" w:type="dxa"/>
            <w:vAlign w:val="bottom"/>
          </w:tcPr>
          <w:p>
            <w:pPr>
              <w:jc w:val="center"/>
              <w:ind w:left="143"/>
              <w:spacing w:after="0"/>
              <w:rPr>
                <w:sz w:val="20"/>
                <w:szCs w:val="20"/>
                <w:color w:val="auto"/>
              </w:rPr>
            </w:pPr>
            <w:r>
              <w:rPr>
                <w:rFonts w:ascii="Arial" w:cs="Arial" w:eastAsia="Arial" w:hAnsi="Arial"/>
                <w:sz w:val="14"/>
                <w:szCs w:val="14"/>
                <w:b w:val="1"/>
                <w:bCs w:val="1"/>
                <w:color w:val="auto"/>
                <w:w w:val="93"/>
              </w:rPr>
              <w:t>(in square feet)</w:t>
            </w:r>
          </w:p>
        </w:tc>
        <w:tc>
          <w:tcPr>
            <w:tcW w:w="280" w:type="dxa"/>
            <w:vAlign w:val="bottom"/>
          </w:tcPr>
          <w:p>
            <w:pPr>
              <w:spacing w:after="0"/>
              <w:rPr>
                <w:sz w:val="18"/>
                <w:szCs w:val="18"/>
                <w:color w:val="auto"/>
              </w:rPr>
            </w:pPr>
          </w:p>
        </w:tc>
        <w:tc>
          <w:tcPr>
            <w:tcW w:w="1200" w:type="dxa"/>
            <w:vAlign w:val="bottom"/>
          </w:tcPr>
          <w:p>
            <w:pPr>
              <w:jc w:val="right"/>
              <w:ind w:right="243"/>
              <w:spacing w:after="0"/>
              <w:rPr>
                <w:sz w:val="20"/>
                <w:szCs w:val="20"/>
                <w:color w:val="auto"/>
              </w:rPr>
            </w:pPr>
            <w:r>
              <w:rPr>
                <w:rFonts w:ascii="Arial" w:cs="Arial" w:eastAsia="Arial" w:hAnsi="Arial"/>
                <w:sz w:val="14"/>
                <w:szCs w:val="14"/>
                <w:b w:val="1"/>
                <w:bCs w:val="1"/>
                <w:color w:val="auto"/>
              </w:rPr>
              <w:t>(in millions)</w:t>
            </w:r>
          </w:p>
        </w:tc>
        <w:tc>
          <w:tcPr>
            <w:tcW w:w="2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53"/>
        </w:trPr>
        <w:tc>
          <w:tcPr>
            <w:tcW w:w="15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20"/>
        </w:trPr>
        <w:tc>
          <w:tcPr>
            <w:tcW w:w="1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February 1, 2017</w:t>
            </w:r>
          </w:p>
        </w:tc>
        <w:tc>
          <w:tcPr>
            <w:tcW w:w="21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Hastings Ranch Plaza</w:t>
            </w:r>
          </w:p>
        </w:tc>
        <w:tc>
          <w:tcPr>
            <w:tcW w:w="2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Pasadena, California</w:t>
            </w:r>
          </w:p>
        </w:tc>
        <w:tc>
          <w:tcPr>
            <w:tcW w:w="1440" w:type="dxa"/>
            <w:vAlign w:val="bottom"/>
            <w:shd w:val="clear" w:color="auto" w:fill="CCEEFF"/>
          </w:tcPr>
          <w:p>
            <w:pPr>
              <w:jc w:val="center"/>
              <w:ind w:left="143"/>
              <w:spacing w:after="0"/>
              <w:rPr>
                <w:sz w:val="20"/>
                <w:szCs w:val="20"/>
                <w:color w:val="auto"/>
              </w:rPr>
            </w:pPr>
            <w:r>
              <w:rPr>
                <w:rFonts w:ascii="Arial" w:cs="Arial" w:eastAsia="Arial" w:hAnsi="Arial"/>
                <w:sz w:val="16"/>
                <w:szCs w:val="16"/>
                <w:color w:val="auto"/>
                <w:w w:val="93"/>
              </w:rPr>
              <w:t>274,000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29.5</w:t>
            </w:r>
          </w:p>
        </w:tc>
        <w:tc>
          <w:tcPr>
            <w:tcW w:w="23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Marshalls / HomeGoods / CVS /</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r>
      <w:tr>
        <w:trPr>
          <w:trHeight w:val="219"/>
        </w:trPr>
        <w:tc>
          <w:tcPr>
            <w:tcW w:w="158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2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Sears</w:t>
            </w:r>
          </w:p>
        </w:tc>
        <w:tc>
          <w:tcPr>
            <w:tcW w:w="400" w:type="dxa"/>
            <w:vAlign w:val="bottom"/>
            <w:tcBorders>
              <w:bottom w:val="single" w:sz="8" w:color="CCEEFF"/>
            </w:tcBorders>
            <w:shd w:val="clear" w:color="auto" w:fill="CCEEFF"/>
          </w:tcPr>
          <w:p>
            <w:pPr>
              <w:spacing w:after="0"/>
              <w:rPr>
                <w:sz w:val="19"/>
                <w:szCs w:val="19"/>
                <w:color w:val="auto"/>
              </w:rPr>
            </w:pPr>
          </w:p>
        </w:tc>
      </w:tr>
      <w:tr>
        <w:trPr>
          <w:trHeight w:val="220"/>
        </w:trPr>
        <w:tc>
          <w:tcPr>
            <w:tcW w:w="1580" w:type="dxa"/>
            <w:vAlign w:val="bottom"/>
          </w:tcPr>
          <w:p>
            <w:pPr>
              <w:ind w:left="40"/>
              <w:spacing w:after="0"/>
              <w:rPr>
                <w:sz w:val="20"/>
                <w:szCs w:val="20"/>
                <w:color w:val="auto"/>
              </w:rPr>
            </w:pPr>
            <w:r>
              <w:rPr>
                <w:rFonts w:ascii="Arial" w:cs="Arial" w:eastAsia="Arial" w:hAnsi="Arial"/>
                <w:sz w:val="16"/>
                <w:szCs w:val="16"/>
                <w:color w:val="auto"/>
              </w:rPr>
              <w:t>March 31, 2017</w:t>
            </w:r>
          </w:p>
        </w:tc>
        <w:tc>
          <w:tcPr>
            <w:tcW w:w="2160" w:type="dxa"/>
            <w:vAlign w:val="bottom"/>
          </w:tcPr>
          <w:p>
            <w:pPr>
              <w:ind w:left="420"/>
              <w:spacing w:after="0"/>
              <w:rPr>
                <w:sz w:val="20"/>
                <w:szCs w:val="20"/>
                <w:color w:val="auto"/>
              </w:rPr>
            </w:pPr>
            <w:r>
              <w:rPr>
                <w:rFonts w:ascii="Arial" w:cs="Arial" w:eastAsia="Arial" w:hAnsi="Arial"/>
                <w:sz w:val="16"/>
                <w:szCs w:val="16"/>
                <w:color w:val="auto"/>
              </w:rPr>
              <w:t>Riverpoint Center</w:t>
            </w:r>
          </w:p>
        </w:tc>
        <w:tc>
          <w:tcPr>
            <w:tcW w:w="2040" w:type="dxa"/>
            <w:vAlign w:val="bottom"/>
          </w:tcPr>
          <w:p>
            <w:pPr>
              <w:ind w:left="320"/>
              <w:spacing w:after="0"/>
              <w:rPr>
                <w:sz w:val="20"/>
                <w:szCs w:val="20"/>
                <w:color w:val="auto"/>
              </w:rPr>
            </w:pPr>
            <w:r>
              <w:rPr>
                <w:rFonts w:ascii="Arial" w:cs="Arial" w:eastAsia="Arial" w:hAnsi="Arial"/>
                <w:sz w:val="16"/>
                <w:szCs w:val="16"/>
                <w:color w:val="auto"/>
              </w:rPr>
              <w:t>Chicago, Illinois</w:t>
            </w:r>
          </w:p>
        </w:tc>
        <w:tc>
          <w:tcPr>
            <w:tcW w:w="1440" w:type="dxa"/>
            <w:vAlign w:val="bottom"/>
          </w:tcPr>
          <w:p>
            <w:pPr>
              <w:jc w:val="center"/>
              <w:ind w:left="163"/>
              <w:spacing w:after="0"/>
              <w:rPr>
                <w:sz w:val="20"/>
                <w:szCs w:val="20"/>
                <w:color w:val="auto"/>
              </w:rPr>
            </w:pPr>
            <w:r>
              <w:rPr>
                <w:rFonts w:ascii="Arial" w:cs="Arial" w:eastAsia="Arial" w:hAnsi="Arial"/>
                <w:sz w:val="16"/>
                <w:szCs w:val="16"/>
                <w:color w:val="auto"/>
                <w:w w:val="89"/>
              </w:rPr>
              <w:t>211,000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107.0</w:t>
            </w:r>
          </w:p>
        </w:tc>
        <w:tc>
          <w:tcPr>
            <w:tcW w:w="2320" w:type="dxa"/>
            <w:vAlign w:val="bottom"/>
          </w:tcPr>
          <w:p>
            <w:pPr>
              <w:ind w:left="120"/>
              <w:spacing w:after="0"/>
              <w:rPr>
                <w:sz w:val="20"/>
                <w:szCs w:val="20"/>
                <w:color w:val="auto"/>
              </w:rPr>
            </w:pPr>
            <w:r>
              <w:rPr>
                <w:rFonts w:ascii="Arial" w:cs="Arial" w:eastAsia="Arial" w:hAnsi="Arial"/>
                <w:sz w:val="16"/>
                <w:szCs w:val="16"/>
                <w:color w:val="auto"/>
              </w:rPr>
              <w:t>Jewel Osco / Marshalls / Old</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(2)</w:t>
            </w:r>
          </w:p>
        </w:tc>
      </w:tr>
      <w:tr>
        <w:trPr>
          <w:trHeight w:val="206"/>
        </w:trPr>
        <w:tc>
          <w:tcPr>
            <w:tcW w:w="1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ind w:left="120"/>
              <w:spacing w:after="0"/>
              <w:rPr>
                <w:sz w:val="20"/>
                <w:szCs w:val="20"/>
                <w:color w:val="auto"/>
              </w:rPr>
            </w:pPr>
            <w:r>
              <w:rPr>
                <w:rFonts w:ascii="Arial" w:cs="Arial" w:eastAsia="Arial" w:hAnsi="Arial"/>
                <w:sz w:val="16"/>
                <w:szCs w:val="16"/>
                <w:color w:val="auto"/>
              </w:rPr>
              <w:t>Navy</w:t>
            </w:r>
          </w:p>
        </w:tc>
        <w:tc>
          <w:tcPr>
            <w:tcW w:w="4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664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66"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acquired the leasehold interest in Hastings Ranch Plaza. The land is controlled under a long-term ground lease that expires on April 30, 2054.</w:t>
      </w:r>
    </w:p>
    <w:p>
      <w:pPr>
        <w:spacing w:after="0" w:line="74" w:lineRule="exact"/>
        <w:rPr>
          <w:rFonts w:ascii="Arial" w:cs="Arial" w:eastAsia="Arial" w:hAnsi="Arial"/>
          <w:sz w:val="17"/>
          <w:szCs w:val="17"/>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acquisition was funded 100% on a short-term basis with our line of credit.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2017 Significant Disposition</w:t>
      </w:r>
    </w:p>
    <w:p>
      <w:pPr>
        <w:spacing w:after="0" w:line="29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April 4, 2017, the sale transaction related to the purchase option on our Partners HealthCare ground lease closed at our Assembly Row property in Somerville, Massachusetts. The sales price was $36.0 million, and the gain was approximately $18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2" w:right="239" w:bottom="1440" w:gutter="0" w:footer="0" w:header="0"/>
        </w:sectPr>
      </w:pPr>
    </w:p>
    <w:bookmarkStart w:id="24" w:name="page25"/>
    <w:bookmarkEnd w:id="24"/>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Leased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6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2"/>
              </w:rPr>
              <w:t>Anchor</w:t>
            </w:r>
          </w:p>
        </w:tc>
        <w:tc>
          <w:tcPr>
            <w:tcW w:w="800" w:type="dxa"/>
            <w:vAlign w:val="bottom"/>
          </w:tcPr>
          <w:p>
            <w:pPr>
              <w:spacing w:after="0" w:line="135" w:lineRule="exact"/>
              <w:rPr>
                <w:sz w:val="20"/>
                <w:szCs w:val="20"/>
                <w:color w:val="auto"/>
              </w:rPr>
            </w:pPr>
            <w:r>
              <w:rPr>
                <w:rFonts w:ascii="Arial" w:cs="Arial" w:eastAsia="Arial" w:hAnsi="Arial"/>
                <w:sz w:val="13"/>
                <w:szCs w:val="13"/>
                <w:b w:val="1"/>
                <w:bCs w:val="1"/>
                <w:color w:val="auto"/>
              </w:rPr>
              <w:t>Grocery</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Property Name</w:t>
            </w:r>
          </w:p>
        </w:tc>
        <w:tc>
          <w:tcPr>
            <w:tcW w:w="4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Acreage</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GLA (2)</w:t>
            </w: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w:t>
            </w: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Units</w:t>
            </w:r>
          </w:p>
        </w:tc>
        <w:tc>
          <w:tcPr>
            <w:tcW w:w="6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4"/>
              </w:rPr>
              <w:t>GLA</w:t>
            </w:r>
          </w:p>
        </w:tc>
        <w:tc>
          <w:tcPr>
            <w:tcW w:w="8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Anchor</w:t>
            </w:r>
          </w:p>
        </w:tc>
        <w:tc>
          <w:tcPr>
            <w:tcW w:w="2360" w:type="dxa"/>
            <w:vAlign w:val="bottom"/>
            <w:tcBorders>
              <w:bottom w:val="single" w:sz="8" w:color="auto"/>
            </w:tcBorders>
            <w:gridSpan w:val="8"/>
          </w:tcPr>
          <w:p>
            <w:pPr>
              <w:spacing w:after="0"/>
              <w:rPr>
                <w:sz w:val="20"/>
                <w:szCs w:val="20"/>
                <w:color w:val="auto"/>
              </w:rPr>
            </w:pPr>
            <w:r>
              <w:rPr>
                <w:rFonts w:ascii="Arial" w:cs="Arial" w:eastAsia="Arial" w:hAnsi="Arial"/>
                <w:sz w:val="13"/>
                <w:szCs w:val="13"/>
                <w:b w:val="1"/>
                <w:bCs w:val="1"/>
                <w:color w:val="auto"/>
              </w:rPr>
              <w:t>Other Retail Tenants</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4"/>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17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1220" w:type="dxa"/>
            <w:vAlign w:val="bottom"/>
            <w:gridSpan w:val="3"/>
          </w:tcPr>
          <w:p>
            <w:pPr>
              <w:ind w:left="40"/>
              <w:spacing w:after="0"/>
              <w:rPr>
                <w:sz w:val="20"/>
                <w:szCs w:val="20"/>
                <w:color w:val="auto"/>
              </w:rPr>
            </w:pPr>
            <w:r>
              <w:rPr>
                <w:rFonts w:ascii="Arial" w:cs="Arial" w:eastAsia="Arial" w:hAnsi="Arial"/>
                <w:sz w:val="13"/>
                <w:szCs w:val="13"/>
                <w:color w:val="auto"/>
              </w:rPr>
              <w:t>Barcroft Plaza</w:t>
            </w:r>
          </w:p>
        </w:tc>
        <w:tc>
          <w:tcPr>
            <w:tcW w:w="42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3"/>
                <w:szCs w:val="13"/>
                <w:color w:val="auto"/>
              </w:rPr>
              <w:t>Washington, DC-MD-VA</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w w:val="99"/>
              </w:rPr>
              <w:t>$  43,137</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115,000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90%</w:t>
            </w:r>
          </w:p>
        </w:tc>
        <w:tc>
          <w:tcPr>
            <w:tcW w:w="680" w:type="dxa"/>
            <w:vAlign w:val="bottom"/>
          </w:tcPr>
          <w:p>
            <w:pPr>
              <w:spacing w:after="0"/>
              <w:rPr>
                <w:sz w:val="15"/>
                <w:szCs w:val="15"/>
                <w:color w:val="auto"/>
              </w:rPr>
            </w:pPr>
          </w:p>
        </w:tc>
        <w:tc>
          <w:tcPr>
            <w:tcW w:w="680" w:type="dxa"/>
            <w:vAlign w:val="bottom"/>
          </w:tcPr>
          <w:p>
            <w:pPr>
              <w:jc w:val="center"/>
              <w:ind w:right="77"/>
              <w:spacing w:after="0"/>
              <w:rPr>
                <w:sz w:val="20"/>
                <w:szCs w:val="20"/>
                <w:color w:val="auto"/>
              </w:rPr>
            </w:pPr>
            <w:r>
              <w:rPr>
                <w:rFonts w:ascii="Arial" w:cs="Arial" w:eastAsia="Arial" w:hAnsi="Arial"/>
                <w:sz w:val="13"/>
                <w:szCs w:val="13"/>
                <w:color w:val="auto"/>
                <w:w w:val="85"/>
              </w:rPr>
              <w:t>46,000</w:t>
            </w:r>
          </w:p>
        </w:tc>
        <w:tc>
          <w:tcPr>
            <w:tcW w:w="800" w:type="dxa"/>
            <w:vAlign w:val="bottom"/>
          </w:tcPr>
          <w:p>
            <w:pPr>
              <w:spacing w:after="0"/>
              <w:rPr>
                <w:sz w:val="20"/>
                <w:szCs w:val="20"/>
                <w:color w:val="auto"/>
              </w:rPr>
            </w:pPr>
            <w:r>
              <w:rPr>
                <w:rFonts w:ascii="Arial" w:cs="Arial" w:eastAsia="Arial" w:hAnsi="Arial"/>
                <w:sz w:val="13"/>
                <w:szCs w:val="13"/>
                <w:color w:val="auto"/>
              </w:rPr>
              <w:t>Harris Teeter</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22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Bethesda Row</w:t>
            </w:r>
          </w:p>
        </w:tc>
        <w:tc>
          <w:tcPr>
            <w:tcW w:w="42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Washington, DC-MD-VA</w:t>
            </w: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226,464</w:t>
            </w: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534,000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180</w:t>
            </w:r>
          </w:p>
        </w:tc>
        <w:tc>
          <w:tcPr>
            <w:tcW w:w="680" w:type="dxa"/>
            <w:vAlign w:val="bottom"/>
            <w:shd w:val="clear" w:color="auto" w:fill="CCEEFF"/>
          </w:tcPr>
          <w:p>
            <w:pPr>
              <w:jc w:val="center"/>
              <w:ind w:right="77"/>
              <w:spacing w:after="0" w:line="148" w:lineRule="exact"/>
              <w:rPr>
                <w:sz w:val="20"/>
                <w:szCs w:val="20"/>
                <w:color w:val="auto"/>
              </w:rPr>
            </w:pPr>
            <w:r>
              <w:rPr>
                <w:rFonts w:ascii="Arial" w:cs="Arial" w:eastAsia="Arial" w:hAnsi="Arial"/>
                <w:sz w:val="13"/>
                <w:szCs w:val="13"/>
                <w:color w:val="auto"/>
                <w:w w:val="85"/>
              </w:rPr>
              <w:t>40,000</w:t>
            </w:r>
          </w:p>
        </w:tc>
        <w:tc>
          <w:tcPr>
            <w:tcW w:w="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Giant Food</w:t>
            </w:r>
          </w:p>
        </w:tc>
        <w:tc>
          <w:tcPr>
            <w:tcW w:w="2360" w:type="dxa"/>
            <w:vAlign w:val="bottom"/>
            <w:gridSpan w:val="8"/>
            <w:shd w:val="clear" w:color="auto" w:fill="CCEEFF"/>
          </w:tcPr>
          <w:p>
            <w:pPr>
              <w:spacing w:after="0" w:line="148" w:lineRule="exact"/>
              <w:rPr>
                <w:sz w:val="20"/>
                <w:szCs w:val="20"/>
                <w:color w:val="auto"/>
              </w:rPr>
            </w:pPr>
            <w:r>
              <w:rPr>
                <w:rFonts w:ascii="Arial" w:cs="Arial" w:eastAsia="Arial" w:hAnsi="Arial"/>
                <w:sz w:val="13"/>
                <w:szCs w:val="13"/>
                <w:color w:val="auto"/>
                <w:w w:val="94"/>
                <w:shd w:val="clear" w:color="auto" w:fill="CCEEFF"/>
              </w:rPr>
              <w:t>Apple / Equinox / Barnes &amp; Noble / Multiple</w:t>
            </w: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Restaurants</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gridSpan w:val="3"/>
          </w:tcPr>
          <w:p>
            <w:pPr>
              <w:ind w:left="40"/>
              <w:spacing w:after="0" w:line="148" w:lineRule="exact"/>
              <w:rPr>
                <w:sz w:val="20"/>
                <w:szCs w:val="20"/>
                <w:color w:val="auto"/>
              </w:rPr>
            </w:pPr>
            <w:r>
              <w:rPr>
                <w:rFonts w:ascii="Arial" w:cs="Arial" w:eastAsia="Arial" w:hAnsi="Arial"/>
                <w:sz w:val="13"/>
                <w:szCs w:val="13"/>
                <w:color w:val="auto"/>
                <w:w w:val="97"/>
              </w:rPr>
              <w:t>Congressional Plaza</w:t>
            </w:r>
          </w:p>
        </w:tc>
        <w:tc>
          <w:tcPr>
            <w:tcW w:w="420" w:type="dxa"/>
            <w:vAlign w:val="bottom"/>
          </w:tcPr>
          <w:p>
            <w:pPr>
              <w:jc w:val="right"/>
              <w:ind w:right="117"/>
              <w:spacing w:after="0" w:line="148" w:lineRule="exact"/>
              <w:rPr>
                <w:sz w:val="20"/>
                <w:szCs w:val="20"/>
                <w:color w:val="auto"/>
              </w:rPr>
            </w:pPr>
            <w:r>
              <w:rPr>
                <w:rFonts w:ascii="Arial" w:cs="Arial" w:eastAsia="Arial" w:hAnsi="Arial"/>
                <w:sz w:val="13"/>
                <w:szCs w:val="13"/>
                <w:color w:val="auto"/>
              </w:rPr>
              <w:t>(3)</w:t>
            </w:r>
          </w:p>
        </w:tc>
        <w:tc>
          <w:tcPr>
            <w:tcW w:w="1920" w:type="dxa"/>
            <w:vAlign w:val="bottom"/>
            <w:gridSpan w:val="2"/>
          </w:tcPr>
          <w:p>
            <w:pPr>
              <w:spacing w:after="0" w:line="148" w:lineRule="exact"/>
              <w:rPr>
                <w:sz w:val="20"/>
                <w:szCs w:val="20"/>
                <w:color w:val="auto"/>
              </w:rPr>
            </w:pPr>
            <w:r>
              <w:rPr>
                <w:rFonts w:ascii="Arial" w:cs="Arial" w:eastAsia="Arial" w:hAnsi="Arial"/>
                <w:sz w:val="13"/>
                <w:szCs w:val="13"/>
                <w:color w:val="auto"/>
              </w:rPr>
              <w:t>Washington, DC-MD-VA</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100,742</w:t>
            </w:r>
          </w:p>
        </w:tc>
        <w:tc>
          <w:tcPr>
            <w:tcW w:w="660" w:type="dxa"/>
            <w:vAlign w:val="bottom"/>
          </w:tcPr>
          <w:p>
            <w:pPr>
              <w:spacing w:after="0"/>
              <w:rPr>
                <w:sz w:val="12"/>
                <w:szCs w:val="12"/>
                <w:color w:val="auto"/>
              </w:rPr>
            </w:pP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325,000</w:t>
            </w: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194</w:t>
            </w:r>
          </w:p>
        </w:tc>
        <w:tc>
          <w:tcPr>
            <w:tcW w:w="680" w:type="dxa"/>
            <w:vAlign w:val="bottom"/>
          </w:tcPr>
          <w:p>
            <w:pPr>
              <w:jc w:val="center"/>
              <w:ind w:right="77"/>
              <w:spacing w:after="0" w:line="148" w:lineRule="exact"/>
              <w:rPr>
                <w:sz w:val="20"/>
                <w:szCs w:val="20"/>
                <w:color w:val="auto"/>
              </w:rPr>
            </w:pPr>
            <w:r>
              <w:rPr>
                <w:rFonts w:ascii="Arial" w:cs="Arial" w:eastAsia="Arial" w:hAnsi="Arial"/>
                <w:sz w:val="13"/>
                <w:szCs w:val="13"/>
                <w:color w:val="auto"/>
                <w:w w:val="85"/>
              </w:rPr>
              <w:t>25,000</w:t>
            </w:r>
          </w:p>
        </w:tc>
        <w:tc>
          <w:tcPr>
            <w:tcW w:w="800" w:type="dxa"/>
            <w:vAlign w:val="bottom"/>
          </w:tcPr>
          <w:p>
            <w:pPr>
              <w:spacing w:after="0" w:line="148" w:lineRule="exact"/>
              <w:rPr>
                <w:sz w:val="20"/>
                <w:szCs w:val="20"/>
                <w:color w:val="auto"/>
              </w:rPr>
            </w:pPr>
            <w:r>
              <w:rPr>
                <w:rFonts w:ascii="Arial" w:cs="Arial" w:eastAsia="Arial" w:hAnsi="Arial"/>
                <w:sz w:val="13"/>
                <w:szCs w:val="13"/>
                <w:color w:val="auto"/>
              </w:rPr>
              <w:t>The Fresh</w:t>
            </w:r>
          </w:p>
        </w:tc>
        <w:tc>
          <w:tcPr>
            <w:tcW w:w="2360" w:type="dxa"/>
            <w:vAlign w:val="bottom"/>
            <w:gridSpan w:val="8"/>
          </w:tcPr>
          <w:p>
            <w:pPr>
              <w:spacing w:after="0" w:line="148" w:lineRule="exact"/>
              <w:rPr>
                <w:sz w:val="20"/>
                <w:szCs w:val="20"/>
                <w:color w:val="auto"/>
              </w:rPr>
            </w:pPr>
            <w:r>
              <w:rPr>
                <w:rFonts w:ascii="Arial" w:cs="Arial" w:eastAsia="Arial" w:hAnsi="Arial"/>
                <w:sz w:val="13"/>
                <w:szCs w:val="13"/>
                <w:color w:val="auto"/>
                <w:w w:val="94"/>
              </w:rPr>
              <w:t>Buy Buy Baby / Saks Fifth Avenue Off 5th /</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3"/>
                <w:szCs w:val="13"/>
                <w:color w:val="auto"/>
              </w:rPr>
              <w:t>Market</w:t>
            </w:r>
          </w:p>
        </w:tc>
        <w:tc>
          <w:tcPr>
            <w:tcW w:w="2360" w:type="dxa"/>
            <w:vAlign w:val="bottom"/>
            <w:gridSpan w:val="8"/>
          </w:tcPr>
          <w:p>
            <w:pPr>
              <w:spacing w:after="0" w:line="135" w:lineRule="exact"/>
              <w:rPr>
                <w:sz w:val="20"/>
                <w:szCs w:val="20"/>
                <w:color w:val="auto"/>
              </w:rPr>
            </w:pPr>
            <w:r>
              <w:rPr>
                <w:rFonts w:ascii="Arial" w:cs="Arial" w:eastAsia="Arial" w:hAnsi="Arial"/>
                <w:sz w:val="13"/>
                <w:szCs w:val="13"/>
                <w:color w:val="auto"/>
                <w:w w:val="90"/>
              </w:rPr>
              <w:t>Container Store / Last Call Studio by Neiman</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60" w:type="dxa"/>
            <w:vAlign w:val="bottom"/>
            <w:gridSpan w:val="8"/>
          </w:tcPr>
          <w:p>
            <w:pPr>
              <w:spacing w:after="0"/>
              <w:rPr>
                <w:sz w:val="20"/>
                <w:szCs w:val="20"/>
                <w:color w:val="auto"/>
              </w:rPr>
            </w:pPr>
            <w:r>
              <w:rPr>
                <w:rFonts w:ascii="Arial" w:cs="Arial" w:eastAsia="Arial" w:hAnsi="Arial"/>
                <w:sz w:val="13"/>
                <w:szCs w:val="13"/>
                <w:color w:val="auto"/>
              </w:rPr>
              <w:t>Marcus</w:t>
            </w:r>
          </w:p>
        </w:tc>
        <w:tc>
          <w:tcPr>
            <w:tcW w:w="0" w:type="dxa"/>
            <w:vAlign w:val="bottom"/>
          </w:tcPr>
          <w:p>
            <w:pPr>
              <w:spacing w:after="0"/>
              <w:rPr>
                <w:sz w:val="1"/>
                <w:szCs w:val="1"/>
                <w:color w:val="auto"/>
              </w:rPr>
            </w:pPr>
          </w:p>
        </w:tc>
      </w:tr>
      <w:tr>
        <w:trPr>
          <w:trHeight w:val="181"/>
        </w:trPr>
        <w:tc>
          <w:tcPr>
            <w:tcW w:w="12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Courthouse Center</w:t>
            </w:r>
          </w:p>
        </w:tc>
        <w:tc>
          <w:tcPr>
            <w:tcW w:w="42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Washington, DC-MD-VA</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4,904</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6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7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2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Falls Plaza/Falls</w:t>
            </w:r>
          </w:p>
        </w:tc>
        <w:tc>
          <w:tcPr>
            <w:tcW w:w="420" w:type="dxa"/>
            <w:vAlign w:val="bottom"/>
          </w:tcPr>
          <w:p>
            <w:pPr>
              <w:spacing w:after="0"/>
              <w:rPr>
                <w:sz w:val="12"/>
                <w:szCs w:val="12"/>
                <w:color w:val="auto"/>
              </w:rPr>
            </w:pPr>
          </w:p>
        </w:tc>
        <w:tc>
          <w:tcPr>
            <w:tcW w:w="1920" w:type="dxa"/>
            <w:vAlign w:val="bottom"/>
            <w:gridSpan w:val="2"/>
          </w:tcPr>
          <w:p>
            <w:pPr>
              <w:spacing w:after="0" w:line="148" w:lineRule="exact"/>
              <w:rPr>
                <w:sz w:val="20"/>
                <w:szCs w:val="20"/>
                <w:color w:val="auto"/>
              </w:rPr>
            </w:pPr>
            <w:r>
              <w:rPr>
                <w:rFonts w:ascii="Arial" w:cs="Arial" w:eastAsia="Arial" w:hAnsi="Arial"/>
                <w:sz w:val="13"/>
                <w:szCs w:val="13"/>
                <w:color w:val="auto"/>
              </w:rPr>
              <w:t>Washington, DC-MD-VA</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13,969</w:t>
            </w:r>
          </w:p>
        </w:tc>
        <w:tc>
          <w:tcPr>
            <w:tcW w:w="660" w:type="dxa"/>
            <w:vAlign w:val="bottom"/>
          </w:tcPr>
          <w:p>
            <w:pPr>
              <w:spacing w:after="0"/>
              <w:rPr>
                <w:sz w:val="12"/>
                <w:szCs w:val="12"/>
                <w:color w:val="auto"/>
              </w:rPr>
            </w:pP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144,000</w:t>
            </w: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tcPr>
          <w:p>
            <w:pPr>
              <w:spacing w:after="0"/>
              <w:rPr>
                <w:sz w:val="12"/>
                <w:szCs w:val="12"/>
                <w:color w:val="auto"/>
              </w:rPr>
            </w:pPr>
          </w:p>
        </w:tc>
        <w:tc>
          <w:tcPr>
            <w:tcW w:w="680" w:type="dxa"/>
            <w:vAlign w:val="bottom"/>
          </w:tcPr>
          <w:p>
            <w:pPr>
              <w:jc w:val="center"/>
              <w:ind w:right="77"/>
              <w:spacing w:after="0" w:line="148" w:lineRule="exact"/>
              <w:rPr>
                <w:sz w:val="20"/>
                <w:szCs w:val="20"/>
                <w:color w:val="auto"/>
              </w:rPr>
            </w:pPr>
            <w:r>
              <w:rPr>
                <w:rFonts w:ascii="Arial" w:cs="Arial" w:eastAsia="Arial" w:hAnsi="Arial"/>
                <w:sz w:val="13"/>
                <w:szCs w:val="13"/>
                <w:color w:val="auto"/>
                <w:w w:val="85"/>
              </w:rPr>
              <w:t>51,000</w:t>
            </w:r>
          </w:p>
        </w:tc>
        <w:tc>
          <w:tcPr>
            <w:tcW w:w="800" w:type="dxa"/>
            <w:vAlign w:val="bottom"/>
          </w:tcPr>
          <w:p>
            <w:pPr>
              <w:spacing w:after="0" w:line="148" w:lineRule="exact"/>
              <w:rPr>
                <w:sz w:val="20"/>
                <w:szCs w:val="20"/>
                <w:color w:val="auto"/>
              </w:rPr>
            </w:pPr>
            <w:r>
              <w:rPr>
                <w:rFonts w:ascii="Arial" w:cs="Arial" w:eastAsia="Arial" w:hAnsi="Arial"/>
                <w:sz w:val="13"/>
                <w:szCs w:val="13"/>
                <w:color w:val="auto"/>
              </w:rPr>
              <w:t>Giant Food</w:t>
            </w:r>
          </w:p>
        </w:tc>
        <w:tc>
          <w:tcPr>
            <w:tcW w:w="2360" w:type="dxa"/>
            <w:vAlign w:val="bottom"/>
            <w:gridSpan w:val="8"/>
          </w:tcPr>
          <w:p>
            <w:pPr>
              <w:spacing w:after="0" w:line="148" w:lineRule="exact"/>
              <w:rPr>
                <w:sz w:val="20"/>
                <w:szCs w:val="20"/>
                <w:color w:val="auto"/>
              </w:rPr>
            </w:pPr>
            <w:r>
              <w:rPr>
                <w:rFonts w:ascii="Arial" w:cs="Arial" w:eastAsia="Arial" w:hAnsi="Arial"/>
                <w:sz w:val="13"/>
                <w:szCs w:val="13"/>
                <w:color w:val="auto"/>
              </w:rPr>
              <w:t>CVS / Staples</w:t>
            </w:r>
          </w:p>
        </w:tc>
        <w:tc>
          <w:tcPr>
            <w:tcW w:w="0" w:type="dxa"/>
            <w:vAlign w:val="bottom"/>
          </w:tcPr>
          <w:p>
            <w:pPr>
              <w:spacing w:after="0"/>
              <w:rPr>
                <w:sz w:val="1"/>
                <w:szCs w:val="1"/>
                <w:color w:val="auto"/>
              </w:rPr>
            </w:pPr>
          </w:p>
        </w:tc>
      </w:tr>
      <w:tr>
        <w:trPr>
          <w:trHeight w:val="168"/>
        </w:trPr>
        <w:tc>
          <w:tcPr>
            <w:tcW w:w="1220" w:type="dxa"/>
            <w:vAlign w:val="bottom"/>
            <w:gridSpan w:val="3"/>
          </w:tcPr>
          <w:p>
            <w:pPr>
              <w:ind w:left="40"/>
              <w:spacing w:after="0"/>
              <w:rPr>
                <w:sz w:val="20"/>
                <w:szCs w:val="20"/>
                <w:color w:val="auto"/>
              </w:rPr>
            </w:pPr>
            <w:r>
              <w:rPr>
                <w:rFonts w:ascii="Arial" w:cs="Arial" w:eastAsia="Arial" w:hAnsi="Arial"/>
                <w:sz w:val="13"/>
                <w:szCs w:val="13"/>
                <w:color w:val="auto"/>
              </w:rPr>
              <w:t>Plaza-East</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Federal Plaza</w:t>
            </w:r>
          </w:p>
        </w:tc>
        <w:tc>
          <w:tcPr>
            <w:tcW w:w="42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Washington, DC-MD-VA</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68,149</w:t>
            </w:r>
          </w:p>
        </w:tc>
        <w:tc>
          <w:tcPr>
            <w:tcW w:w="6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248,000</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5"/>
              </w:rPr>
              <w:t>14,000</w:t>
            </w:r>
          </w:p>
        </w:tc>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Trader Joe's</w:t>
            </w:r>
          </w:p>
        </w:tc>
        <w:tc>
          <w:tcPr>
            <w:tcW w:w="2140" w:type="dxa"/>
            <w:vAlign w:val="bottom"/>
            <w:gridSpan w:val="7"/>
            <w:shd w:val="clear" w:color="auto" w:fill="CCEEFF"/>
          </w:tcPr>
          <w:p>
            <w:pPr>
              <w:spacing w:after="0"/>
              <w:rPr>
                <w:sz w:val="20"/>
                <w:szCs w:val="20"/>
                <w:color w:val="auto"/>
              </w:rPr>
            </w:pPr>
            <w:r>
              <w:rPr>
                <w:rFonts w:ascii="Arial" w:cs="Arial" w:eastAsia="Arial" w:hAnsi="Arial"/>
                <w:sz w:val="13"/>
                <w:szCs w:val="13"/>
                <w:color w:val="auto"/>
                <w:w w:val="90"/>
                <w:shd w:val="clear" w:color="auto" w:fill="CCEEFF"/>
              </w:rPr>
              <w:t>TJ Maxx / Micro Center / Ross Dress For</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Less</w:t>
            </w:r>
          </w:p>
        </w:tc>
        <w:tc>
          <w:tcPr>
            <w:tcW w:w="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gridSpan w:val="3"/>
          </w:tcPr>
          <w:p>
            <w:pPr>
              <w:ind w:left="40"/>
              <w:spacing w:after="0" w:line="148" w:lineRule="exact"/>
              <w:rPr>
                <w:sz w:val="20"/>
                <w:szCs w:val="20"/>
                <w:color w:val="auto"/>
              </w:rPr>
            </w:pPr>
            <w:r>
              <w:rPr>
                <w:rFonts w:ascii="Arial" w:cs="Arial" w:eastAsia="Arial" w:hAnsi="Arial"/>
                <w:sz w:val="13"/>
                <w:szCs w:val="13"/>
                <w:color w:val="auto"/>
                <w:w w:val="97"/>
              </w:rPr>
              <w:t>Free State Shopping</w:t>
            </w:r>
          </w:p>
        </w:tc>
        <w:tc>
          <w:tcPr>
            <w:tcW w:w="420" w:type="dxa"/>
            <w:vAlign w:val="bottom"/>
          </w:tcPr>
          <w:p>
            <w:pPr>
              <w:spacing w:after="0"/>
              <w:rPr>
                <w:sz w:val="12"/>
                <w:szCs w:val="12"/>
                <w:color w:val="auto"/>
              </w:rPr>
            </w:pPr>
          </w:p>
        </w:tc>
        <w:tc>
          <w:tcPr>
            <w:tcW w:w="1920" w:type="dxa"/>
            <w:vAlign w:val="bottom"/>
            <w:gridSpan w:val="2"/>
          </w:tcPr>
          <w:p>
            <w:pPr>
              <w:spacing w:after="0" w:line="148" w:lineRule="exact"/>
              <w:rPr>
                <w:sz w:val="20"/>
                <w:szCs w:val="20"/>
                <w:color w:val="auto"/>
              </w:rPr>
            </w:pPr>
            <w:r>
              <w:rPr>
                <w:rFonts w:ascii="Arial" w:cs="Arial" w:eastAsia="Arial" w:hAnsi="Arial"/>
                <w:sz w:val="13"/>
                <w:szCs w:val="13"/>
                <w:color w:val="auto"/>
              </w:rPr>
              <w:t>Washington, DC-MD-VA</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64,036</w:t>
            </w:r>
          </w:p>
        </w:tc>
        <w:tc>
          <w:tcPr>
            <w:tcW w:w="660" w:type="dxa"/>
            <w:vAlign w:val="bottom"/>
          </w:tcPr>
          <w:p>
            <w:pPr>
              <w:spacing w:after="0"/>
              <w:rPr>
                <w:sz w:val="12"/>
                <w:szCs w:val="12"/>
                <w:color w:val="auto"/>
              </w:rPr>
            </w:pP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w:t>
            </w:r>
          </w:p>
        </w:tc>
        <w:tc>
          <w:tcPr>
            <w:tcW w:w="10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265,000</w:t>
            </w: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tcPr>
          <w:p>
            <w:pPr>
              <w:spacing w:after="0"/>
              <w:rPr>
                <w:sz w:val="12"/>
                <w:szCs w:val="12"/>
                <w:color w:val="auto"/>
              </w:rPr>
            </w:pPr>
          </w:p>
        </w:tc>
        <w:tc>
          <w:tcPr>
            <w:tcW w:w="680" w:type="dxa"/>
            <w:vAlign w:val="bottom"/>
          </w:tcPr>
          <w:p>
            <w:pPr>
              <w:jc w:val="center"/>
              <w:ind w:right="77"/>
              <w:spacing w:after="0" w:line="148" w:lineRule="exact"/>
              <w:rPr>
                <w:sz w:val="20"/>
                <w:szCs w:val="20"/>
                <w:color w:val="auto"/>
              </w:rPr>
            </w:pPr>
            <w:r>
              <w:rPr>
                <w:rFonts w:ascii="Arial" w:cs="Arial" w:eastAsia="Arial" w:hAnsi="Arial"/>
                <w:sz w:val="13"/>
                <w:szCs w:val="13"/>
                <w:color w:val="auto"/>
                <w:w w:val="85"/>
              </w:rPr>
              <w:t>73,000</w:t>
            </w:r>
          </w:p>
        </w:tc>
        <w:tc>
          <w:tcPr>
            <w:tcW w:w="800" w:type="dxa"/>
            <w:vAlign w:val="bottom"/>
          </w:tcPr>
          <w:p>
            <w:pPr>
              <w:spacing w:after="0" w:line="148" w:lineRule="exact"/>
              <w:rPr>
                <w:sz w:val="20"/>
                <w:szCs w:val="20"/>
                <w:color w:val="auto"/>
              </w:rPr>
            </w:pPr>
            <w:r>
              <w:rPr>
                <w:rFonts w:ascii="Arial" w:cs="Arial" w:eastAsia="Arial" w:hAnsi="Arial"/>
                <w:sz w:val="13"/>
                <w:szCs w:val="13"/>
                <w:color w:val="auto"/>
              </w:rPr>
              <w:t>Giant Food</w:t>
            </w:r>
          </w:p>
        </w:tc>
        <w:tc>
          <w:tcPr>
            <w:tcW w:w="2360" w:type="dxa"/>
            <w:vAlign w:val="bottom"/>
            <w:gridSpan w:val="8"/>
          </w:tcPr>
          <w:p>
            <w:pPr>
              <w:spacing w:after="0" w:line="148" w:lineRule="exact"/>
              <w:rPr>
                <w:sz w:val="20"/>
                <w:szCs w:val="20"/>
                <w:color w:val="auto"/>
              </w:rPr>
            </w:pPr>
            <w:r>
              <w:rPr>
                <w:rFonts w:ascii="Arial" w:cs="Arial" w:eastAsia="Arial" w:hAnsi="Arial"/>
                <w:sz w:val="13"/>
                <w:szCs w:val="13"/>
                <w:color w:val="auto"/>
              </w:rPr>
              <w:t>TJ Maxx / Ross Dress For Less / Office</w:t>
            </w:r>
          </w:p>
        </w:tc>
        <w:tc>
          <w:tcPr>
            <w:tcW w:w="0" w:type="dxa"/>
            <w:vAlign w:val="bottom"/>
          </w:tcPr>
          <w:p>
            <w:pPr>
              <w:spacing w:after="0"/>
              <w:rPr>
                <w:sz w:val="1"/>
                <w:szCs w:val="1"/>
                <w:color w:val="auto"/>
              </w:rPr>
            </w:pPr>
          </w:p>
        </w:tc>
      </w:tr>
      <w:tr>
        <w:trPr>
          <w:trHeight w:val="168"/>
        </w:trPr>
        <w:tc>
          <w:tcPr>
            <w:tcW w:w="1220" w:type="dxa"/>
            <w:vAlign w:val="bottom"/>
            <w:gridSpan w:val="3"/>
          </w:tcPr>
          <w:p>
            <w:pPr>
              <w:ind w:left="40"/>
              <w:spacing w:after="0"/>
              <w:rPr>
                <w:sz w:val="20"/>
                <w:szCs w:val="20"/>
                <w:color w:val="auto"/>
              </w:rPr>
            </w:pPr>
            <w:r>
              <w:rPr>
                <w:rFonts w:ascii="Arial" w:cs="Arial" w:eastAsia="Arial" w:hAnsi="Arial"/>
                <w:sz w:val="13"/>
                <w:szCs w:val="13"/>
                <w:color w:val="auto"/>
              </w:rPr>
              <w:t>Center</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60" w:type="dxa"/>
            <w:vAlign w:val="bottom"/>
            <w:gridSpan w:val="8"/>
          </w:tcPr>
          <w:p>
            <w:pPr>
              <w:spacing w:after="0"/>
              <w:rPr>
                <w:sz w:val="20"/>
                <w:szCs w:val="20"/>
                <w:color w:val="auto"/>
              </w:rPr>
            </w:pPr>
            <w:r>
              <w:rPr>
                <w:rFonts w:ascii="Arial" w:cs="Arial" w:eastAsia="Arial" w:hAnsi="Arial"/>
                <w:sz w:val="13"/>
                <w:szCs w:val="13"/>
                <w:color w:val="auto"/>
              </w:rPr>
              <w:t>Depot</w:t>
            </w:r>
          </w:p>
        </w:tc>
        <w:tc>
          <w:tcPr>
            <w:tcW w:w="0" w:type="dxa"/>
            <w:vAlign w:val="bottom"/>
          </w:tcPr>
          <w:p>
            <w:pPr>
              <w:spacing w:after="0"/>
              <w:rPr>
                <w:sz w:val="1"/>
                <w:szCs w:val="1"/>
                <w:color w:val="auto"/>
              </w:rPr>
            </w:pPr>
          </w:p>
        </w:tc>
      </w:tr>
      <w:tr>
        <w:trPr>
          <w:trHeight w:val="156"/>
        </w:trPr>
        <w:tc>
          <w:tcPr>
            <w:tcW w:w="12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Friendship Center</w:t>
            </w:r>
          </w:p>
        </w:tc>
        <w:tc>
          <w:tcPr>
            <w:tcW w:w="42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Washington, DC-MD-VA</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37,570</w:t>
            </w:r>
          </w:p>
        </w:tc>
        <w:tc>
          <w:tcPr>
            <w:tcW w:w="6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119,000</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980" w:type="dxa"/>
            <w:vAlign w:val="bottom"/>
            <w:gridSpan w:val="6"/>
            <w:shd w:val="clear" w:color="auto" w:fill="CCEEFF"/>
          </w:tcPr>
          <w:p>
            <w:pPr>
              <w:spacing w:after="0"/>
              <w:rPr>
                <w:sz w:val="20"/>
                <w:szCs w:val="20"/>
                <w:color w:val="auto"/>
              </w:rPr>
            </w:pPr>
            <w:r>
              <w:rPr>
                <w:rFonts w:ascii="Arial" w:cs="Arial" w:eastAsia="Arial" w:hAnsi="Arial"/>
                <w:sz w:val="13"/>
                <w:szCs w:val="13"/>
                <w:color w:val="auto"/>
                <w:w w:val="93"/>
                <w:shd w:val="clear" w:color="auto" w:fill="CCEEFF"/>
              </w:rPr>
              <w:t>Marshalls / Nordstrom Rack / DSW /</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Maggiano's</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gridSpan w:val="3"/>
          </w:tcPr>
          <w:p>
            <w:pPr>
              <w:ind w:left="40"/>
              <w:spacing w:after="0" w:line="148" w:lineRule="exact"/>
              <w:rPr>
                <w:sz w:val="20"/>
                <w:szCs w:val="20"/>
                <w:color w:val="auto"/>
              </w:rPr>
            </w:pPr>
            <w:r>
              <w:rPr>
                <w:rFonts w:ascii="Arial" w:cs="Arial" w:eastAsia="Arial" w:hAnsi="Arial"/>
                <w:sz w:val="13"/>
                <w:szCs w:val="13"/>
                <w:color w:val="auto"/>
                <w:w w:val="96"/>
              </w:rPr>
              <w:t>Gaithersburg Square</w:t>
            </w:r>
          </w:p>
        </w:tc>
        <w:tc>
          <w:tcPr>
            <w:tcW w:w="420" w:type="dxa"/>
            <w:vAlign w:val="bottom"/>
          </w:tcPr>
          <w:p>
            <w:pPr>
              <w:spacing w:after="0"/>
              <w:rPr>
                <w:sz w:val="12"/>
                <w:szCs w:val="12"/>
                <w:color w:val="auto"/>
              </w:rPr>
            </w:pPr>
          </w:p>
        </w:tc>
        <w:tc>
          <w:tcPr>
            <w:tcW w:w="1920" w:type="dxa"/>
            <w:vAlign w:val="bottom"/>
            <w:gridSpan w:val="2"/>
          </w:tcPr>
          <w:p>
            <w:pPr>
              <w:spacing w:after="0" w:line="148" w:lineRule="exact"/>
              <w:rPr>
                <w:sz w:val="20"/>
                <w:szCs w:val="20"/>
                <w:color w:val="auto"/>
              </w:rPr>
            </w:pPr>
            <w:r>
              <w:rPr>
                <w:rFonts w:ascii="Arial" w:cs="Arial" w:eastAsia="Arial" w:hAnsi="Arial"/>
                <w:sz w:val="13"/>
                <w:szCs w:val="13"/>
                <w:color w:val="auto"/>
              </w:rPr>
              <w:t>Washington, DC-MD-VA</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26,991</w:t>
            </w:r>
          </w:p>
        </w:tc>
        <w:tc>
          <w:tcPr>
            <w:tcW w:w="660" w:type="dxa"/>
            <w:vAlign w:val="bottom"/>
          </w:tcPr>
          <w:p>
            <w:pPr>
              <w:spacing w:after="0"/>
              <w:rPr>
                <w:sz w:val="12"/>
                <w:szCs w:val="12"/>
                <w:color w:val="auto"/>
              </w:rPr>
            </w:pP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207,000</w:t>
            </w: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60" w:type="dxa"/>
            <w:vAlign w:val="bottom"/>
            <w:gridSpan w:val="8"/>
          </w:tcPr>
          <w:p>
            <w:pPr>
              <w:spacing w:after="0" w:line="148" w:lineRule="exact"/>
              <w:rPr>
                <w:sz w:val="20"/>
                <w:szCs w:val="20"/>
                <w:color w:val="auto"/>
              </w:rPr>
            </w:pPr>
            <w:r>
              <w:rPr>
                <w:rFonts w:ascii="Arial" w:cs="Arial" w:eastAsia="Arial" w:hAnsi="Arial"/>
                <w:sz w:val="13"/>
                <w:szCs w:val="13"/>
                <w:color w:val="auto"/>
                <w:w w:val="91"/>
              </w:rPr>
              <w:t>Bed, Bath &amp; Beyond / Ross Dress For Less /</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60" w:type="dxa"/>
            <w:vAlign w:val="bottom"/>
            <w:gridSpan w:val="8"/>
          </w:tcPr>
          <w:p>
            <w:pPr>
              <w:spacing w:after="0"/>
              <w:rPr>
                <w:sz w:val="20"/>
                <w:szCs w:val="20"/>
                <w:color w:val="auto"/>
              </w:rPr>
            </w:pPr>
            <w:r>
              <w:rPr>
                <w:rFonts w:ascii="Arial" w:cs="Arial" w:eastAsia="Arial" w:hAnsi="Arial"/>
                <w:sz w:val="13"/>
                <w:szCs w:val="13"/>
                <w:color w:val="auto"/>
              </w:rPr>
              <w:t>Ashley Furniture HomeStore</w:t>
            </w:r>
          </w:p>
        </w:tc>
        <w:tc>
          <w:tcPr>
            <w:tcW w:w="0" w:type="dxa"/>
            <w:vAlign w:val="bottom"/>
          </w:tcPr>
          <w:p>
            <w:pPr>
              <w:spacing w:after="0"/>
              <w:rPr>
                <w:sz w:val="1"/>
                <w:szCs w:val="1"/>
                <w:color w:val="auto"/>
              </w:rPr>
            </w:pPr>
          </w:p>
        </w:tc>
      </w:tr>
      <w:tr>
        <w:trPr>
          <w:trHeight w:val="181"/>
        </w:trPr>
        <w:tc>
          <w:tcPr>
            <w:tcW w:w="12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Graham Park Plaza</w:t>
            </w:r>
          </w:p>
        </w:tc>
        <w:tc>
          <w:tcPr>
            <w:tcW w:w="42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Washington, DC-MD-VA</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34,880</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260,000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68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5"/>
              </w:rPr>
              <w:t>58,000</w:t>
            </w:r>
          </w:p>
        </w:tc>
        <w:tc>
          <w:tcPr>
            <w:tcW w:w="8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Giant Food</w:t>
            </w:r>
          </w:p>
        </w:tc>
        <w:tc>
          <w:tcPr>
            <w:tcW w:w="54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87"/>
                <w:shd w:val="clear" w:color="auto" w:fill="CCEEFF"/>
              </w:rPr>
              <w:t>Stein Mart</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4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17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800" w:type="dxa"/>
            <w:vAlign w:val="bottom"/>
            <w:tcBorders>
              <w:bottom w:val="single" w:sz="8" w:color="CCEEFF"/>
            </w:tcBorders>
            <w:vMerge w:val="continue"/>
            <w:shd w:val="clear" w:color="auto" w:fill="CCEEFF"/>
          </w:tcPr>
          <w:p>
            <w:pPr>
              <w:spacing w:after="0"/>
              <w:rPr>
                <w:sz w:val="6"/>
                <w:szCs w:val="6"/>
                <w:color w:val="auto"/>
              </w:rPr>
            </w:pPr>
          </w:p>
        </w:tc>
        <w:tc>
          <w:tcPr>
            <w:tcW w:w="540" w:type="dxa"/>
            <w:vAlign w:val="bottom"/>
            <w:tcBorders>
              <w:bottom w:val="single" w:sz="8" w:color="CCEEFF"/>
            </w:tcBorders>
            <w:vMerge w:val="continue"/>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42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220" w:type="dxa"/>
            <w:vAlign w:val="bottom"/>
            <w:gridSpan w:val="3"/>
          </w:tcPr>
          <w:p>
            <w:pPr>
              <w:ind w:left="40"/>
              <w:spacing w:after="0"/>
              <w:rPr>
                <w:sz w:val="20"/>
                <w:szCs w:val="20"/>
                <w:color w:val="auto"/>
              </w:rPr>
            </w:pPr>
            <w:r>
              <w:rPr>
                <w:rFonts w:ascii="Arial" w:cs="Arial" w:eastAsia="Arial" w:hAnsi="Arial"/>
                <w:sz w:val="13"/>
                <w:szCs w:val="13"/>
                <w:color w:val="auto"/>
              </w:rPr>
              <w:t>Idylwood Plaza</w:t>
            </w:r>
          </w:p>
        </w:tc>
        <w:tc>
          <w:tcPr>
            <w:tcW w:w="42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3"/>
                <w:szCs w:val="13"/>
                <w:color w:val="auto"/>
              </w:rPr>
              <w:t>Washington, DC-MD-VA</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16,790</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73,000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97%</w:t>
            </w:r>
          </w:p>
        </w:tc>
        <w:tc>
          <w:tcPr>
            <w:tcW w:w="680" w:type="dxa"/>
            <w:vAlign w:val="bottom"/>
          </w:tcPr>
          <w:p>
            <w:pPr>
              <w:spacing w:after="0"/>
              <w:rPr>
                <w:sz w:val="15"/>
                <w:szCs w:val="15"/>
                <w:color w:val="auto"/>
              </w:rPr>
            </w:pPr>
          </w:p>
        </w:tc>
        <w:tc>
          <w:tcPr>
            <w:tcW w:w="680" w:type="dxa"/>
            <w:vAlign w:val="bottom"/>
          </w:tcPr>
          <w:p>
            <w:pPr>
              <w:jc w:val="center"/>
              <w:ind w:right="77"/>
              <w:spacing w:after="0"/>
              <w:rPr>
                <w:sz w:val="20"/>
                <w:szCs w:val="20"/>
                <w:color w:val="auto"/>
              </w:rPr>
            </w:pPr>
            <w:r>
              <w:rPr>
                <w:rFonts w:ascii="Arial" w:cs="Arial" w:eastAsia="Arial" w:hAnsi="Arial"/>
                <w:sz w:val="13"/>
                <w:szCs w:val="13"/>
                <w:color w:val="auto"/>
                <w:w w:val="85"/>
              </w:rPr>
              <w:t>30,000</w:t>
            </w:r>
          </w:p>
        </w:tc>
        <w:tc>
          <w:tcPr>
            <w:tcW w:w="800" w:type="dxa"/>
            <w:vAlign w:val="bottom"/>
            <w:vMerge w:val="restart"/>
          </w:tcPr>
          <w:p>
            <w:pPr>
              <w:spacing w:after="0"/>
              <w:rPr>
                <w:sz w:val="20"/>
                <w:szCs w:val="20"/>
                <w:color w:val="auto"/>
              </w:rPr>
            </w:pPr>
            <w:r>
              <w:rPr>
                <w:rFonts w:ascii="Arial" w:cs="Arial" w:eastAsia="Arial" w:hAnsi="Arial"/>
                <w:sz w:val="13"/>
                <w:szCs w:val="13"/>
                <w:color w:val="auto"/>
              </w:rPr>
              <w:t>Whole Foods</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Laurel</w:t>
            </w:r>
          </w:p>
        </w:tc>
        <w:tc>
          <w:tcPr>
            <w:tcW w:w="42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Washington, DC-MD-VA</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56,167</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389,000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68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5"/>
              </w:rPr>
              <w:t>61,000</w:t>
            </w:r>
          </w:p>
        </w:tc>
        <w:tc>
          <w:tcPr>
            <w:tcW w:w="8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Giant Food</w:t>
            </w:r>
          </w:p>
        </w:tc>
        <w:tc>
          <w:tcPr>
            <w:tcW w:w="12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w w:val="88"/>
                <w:shd w:val="clear" w:color="auto" w:fill="CCEEFF"/>
              </w:rPr>
              <w:t>Marshalls / L.A. Fitness</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4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17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800" w:type="dxa"/>
            <w:vAlign w:val="bottom"/>
            <w:tcBorders>
              <w:bottom w:val="single" w:sz="8" w:color="CCEEFF"/>
            </w:tcBorders>
            <w:vMerge w:val="continue"/>
            <w:shd w:val="clear" w:color="auto" w:fill="CCEEFF"/>
          </w:tcPr>
          <w:p>
            <w:pPr>
              <w:spacing w:after="0"/>
              <w:rPr>
                <w:sz w:val="6"/>
                <w:szCs w:val="6"/>
                <w:color w:val="auto"/>
              </w:rPr>
            </w:pPr>
          </w:p>
        </w:tc>
        <w:tc>
          <w:tcPr>
            <w:tcW w:w="1220" w:type="dxa"/>
            <w:vAlign w:val="bottom"/>
            <w:tcBorders>
              <w:bottom w:val="single" w:sz="8" w:color="CCEEFF"/>
            </w:tcBorders>
            <w:gridSpan w:val="2"/>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42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220" w:type="dxa"/>
            <w:vAlign w:val="bottom"/>
            <w:gridSpan w:val="3"/>
          </w:tcPr>
          <w:p>
            <w:pPr>
              <w:ind w:left="40"/>
              <w:spacing w:after="0"/>
              <w:rPr>
                <w:sz w:val="20"/>
                <w:szCs w:val="20"/>
                <w:color w:val="auto"/>
              </w:rPr>
            </w:pPr>
            <w:r>
              <w:rPr>
                <w:rFonts w:ascii="Arial" w:cs="Arial" w:eastAsia="Arial" w:hAnsi="Arial"/>
                <w:sz w:val="13"/>
                <w:szCs w:val="13"/>
                <w:color w:val="auto"/>
              </w:rPr>
              <w:t>Leesburg Plaza</w:t>
            </w:r>
          </w:p>
        </w:tc>
        <w:tc>
          <w:tcPr>
            <w:tcW w:w="42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3"/>
                <w:szCs w:val="13"/>
                <w:color w:val="auto"/>
              </w:rPr>
              <w:t>Washington, DC-MD-VA</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36,051</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236,000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92%</w:t>
            </w:r>
          </w:p>
        </w:tc>
        <w:tc>
          <w:tcPr>
            <w:tcW w:w="680" w:type="dxa"/>
            <w:vAlign w:val="bottom"/>
          </w:tcPr>
          <w:p>
            <w:pPr>
              <w:spacing w:after="0"/>
              <w:rPr>
                <w:sz w:val="15"/>
                <w:szCs w:val="15"/>
                <w:color w:val="auto"/>
              </w:rPr>
            </w:pPr>
          </w:p>
        </w:tc>
        <w:tc>
          <w:tcPr>
            <w:tcW w:w="680" w:type="dxa"/>
            <w:vAlign w:val="bottom"/>
          </w:tcPr>
          <w:p>
            <w:pPr>
              <w:jc w:val="center"/>
              <w:ind w:right="77"/>
              <w:spacing w:after="0"/>
              <w:rPr>
                <w:sz w:val="20"/>
                <w:szCs w:val="20"/>
                <w:color w:val="auto"/>
              </w:rPr>
            </w:pPr>
            <w:r>
              <w:rPr>
                <w:rFonts w:ascii="Arial" w:cs="Arial" w:eastAsia="Arial" w:hAnsi="Arial"/>
                <w:sz w:val="13"/>
                <w:szCs w:val="13"/>
                <w:color w:val="auto"/>
                <w:w w:val="85"/>
              </w:rPr>
              <w:t>55,000</w:t>
            </w:r>
          </w:p>
        </w:tc>
        <w:tc>
          <w:tcPr>
            <w:tcW w:w="800" w:type="dxa"/>
            <w:vAlign w:val="bottom"/>
            <w:vMerge w:val="restart"/>
          </w:tcPr>
          <w:p>
            <w:pPr>
              <w:spacing w:after="0"/>
              <w:rPr>
                <w:sz w:val="20"/>
                <w:szCs w:val="20"/>
                <w:color w:val="auto"/>
              </w:rPr>
            </w:pPr>
            <w:r>
              <w:rPr>
                <w:rFonts w:ascii="Arial" w:cs="Arial" w:eastAsia="Arial" w:hAnsi="Arial"/>
                <w:sz w:val="13"/>
                <w:szCs w:val="13"/>
                <w:color w:val="auto"/>
              </w:rPr>
              <w:t>Giant Food</w:t>
            </w:r>
          </w:p>
        </w:tc>
        <w:tc>
          <w:tcPr>
            <w:tcW w:w="2360" w:type="dxa"/>
            <w:vAlign w:val="bottom"/>
            <w:gridSpan w:val="8"/>
            <w:vMerge w:val="restart"/>
          </w:tcPr>
          <w:p>
            <w:pPr>
              <w:spacing w:after="0"/>
              <w:rPr>
                <w:sz w:val="20"/>
                <w:szCs w:val="20"/>
                <w:color w:val="auto"/>
              </w:rPr>
            </w:pPr>
            <w:r>
              <w:rPr>
                <w:rFonts w:ascii="Arial" w:cs="Arial" w:eastAsia="Arial" w:hAnsi="Arial"/>
                <w:sz w:val="13"/>
                <w:szCs w:val="13"/>
                <w:color w:val="auto"/>
              </w:rPr>
              <w:t>Petsmart / Gold's Gym / Office Depot</w:t>
            </w: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3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2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Montrose Crossing</w:t>
            </w:r>
          </w:p>
        </w:tc>
        <w:tc>
          <w:tcPr>
            <w:tcW w:w="4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w:t>
            </w:r>
          </w:p>
        </w:tc>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Washington, DC-MD-VA</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154,127</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72,314</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364,000</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5"/>
              </w:rPr>
              <w:t>73,000</w:t>
            </w:r>
          </w:p>
        </w:tc>
        <w:tc>
          <w:tcPr>
            <w:tcW w:w="8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Giant Food</w:t>
            </w:r>
          </w:p>
        </w:tc>
        <w:tc>
          <w:tcPr>
            <w:tcW w:w="2140" w:type="dxa"/>
            <w:vAlign w:val="bottom"/>
            <w:gridSpan w:val="7"/>
            <w:shd w:val="clear" w:color="auto" w:fill="CCEEFF"/>
          </w:tcPr>
          <w:p>
            <w:pPr>
              <w:spacing w:after="0"/>
              <w:rPr>
                <w:sz w:val="20"/>
                <w:szCs w:val="20"/>
                <w:color w:val="auto"/>
              </w:rPr>
            </w:pPr>
            <w:r>
              <w:rPr>
                <w:rFonts w:ascii="Arial" w:cs="Arial" w:eastAsia="Arial" w:hAnsi="Arial"/>
                <w:sz w:val="13"/>
                <w:szCs w:val="13"/>
                <w:color w:val="auto"/>
                <w:w w:val="92"/>
                <w:shd w:val="clear" w:color="auto" w:fill="CCEEFF"/>
              </w:rPr>
              <w:t>Marshalls / Old Navy / Barnes &amp; Noble /</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w w:val="91"/>
                <w:shd w:val="clear" w:color="auto" w:fill="CCEEFF"/>
              </w:rPr>
              <w:t>Bob's Discount Furniture</w:t>
            </w:r>
          </w:p>
        </w:tc>
        <w:tc>
          <w:tcPr>
            <w:tcW w:w="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gridSpan w:val="3"/>
          </w:tcPr>
          <w:p>
            <w:pPr>
              <w:ind w:left="40"/>
              <w:spacing w:after="0" w:line="148" w:lineRule="exact"/>
              <w:rPr>
                <w:sz w:val="20"/>
                <w:szCs w:val="20"/>
                <w:color w:val="auto"/>
              </w:rPr>
            </w:pPr>
            <w:r>
              <w:rPr>
                <w:rFonts w:ascii="Arial" w:cs="Arial" w:eastAsia="Arial" w:hAnsi="Arial"/>
                <w:sz w:val="13"/>
                <w:szCs w:val="13"/>
                <w:color w:val="auto"/>
                <w:w w:val="97"/>
              </w:rPr>
              <w:t>Mount Vernon/South</w:t>
            </w:r>
          </w:p>
        </w:tc>
        <w:tc>
          <w:tcPr>
            <w:tcW w:w="420" w:type="dxa"/>
            <w:vAlign w:val="bottom"/>
          </w:tcPr>
          <w:p>
            <w:pPr>
              <w:jc w:val="right"/>
              <w:ind w:right="117"/>
              <w:spacing w:after="0" w:line="148" w:lineRule="exact"/>
              <w:rPr>
                <w:sz w:val="20"/>
                <w:szCs w:val="20"/>
                <w:color w:val="auto"/>
              </w:rPr>
            </w:pPr>
            <w:r>
              <w:rPr>
                <w:rFonts w:ascii="Arial" w:cs="Arial" w:eastAsia="Arial" w:hAnsi="Arial"/>
                <w:sz w:val="13"/>
                <w:szCs w:val="13"/>
                <w:color w:val="auto"/>
              </w:rPr>
              <w:t>(5)</w:t>
            </w:r>
          </w:p>
        </w:tc>
        <w:tc>
          <w:tcPr>
            <w:tcW w:w="1920" w:type="dxa"/>
            <w:vAlign w:val="bottom"/>
            <w:gridSpan w:val="2"/>
          </w:tcPr>
          <w:p>
            <w:pPr>
              <w:spacing w:after="0" w:line="148" w:lineRule="exact"/>
              <w:rPr>
                <w:sz w:val="20"/>
                <w:szCs w:val="20"/>
                <w:color w:val="auto"/>
              </w:rPr>
            </w:pPr>
            <w:r>
              <w:rPr>
                <w:rFonts w:ascii="Arial" w:cs="Arial" w:eastAsia="Arial" w:hAnsi="Arial"/>
                <w:sz w:val="13"/>
                <w:szCs w:val="13"/>
                <w:color w:val="auto"/>
              </w:rPr>
              <w:t>Washington, DC-MD-VA</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84,223</w:t>
            </w:r>
          </w:p>
        </w:tc>
        <w:tc>
          <w:tcPr>
            <w:tcW w:w="660" w:type="dxa"/>
            <w:vAlign w:val="bottom"/>
          </w:tcPr>
          <w:p>
            <w:pPr>
              <w:spacing w:after="0"/>
              <w:rPr>
                <w:sz w:val="12"/>
                <w:szCs w:val="12"/>
                <w:color w:val="auto"/>
              </w:rPr>
            </w:pP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w:t>
            </w:r>
          </w:p>
        </w:tc>
        <w:tc>
          <w:tcPr>
            <w:tcW w:w="10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569,000</w:t>
            </w: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680" w:type="dxa"/>
            <w:vAlign w:val="bottom"/>
          </w:tcPr>
          <w:p>
            <w:pPr>
              <w:jc w:val="center"/>
              <w:ind w:right="77"/>
              <w:spacing w:after="0" w:line="148" w:lineRule="exact"/>
              <w:rPr>
                <w:sz w:val="20"/>
                <w:szCs w:val="20"/>
                <w:color w:val="auto"/>
              </w:rPr>
            </w:pPr>
            <w:r>
              <w:rPr>
                <w:rFonts w:ascii="Arial" w:cs="Arial" w:eastAsia="Arial" w:hAnsi="Arial"/>
                <w:sz w:val="13"/>
                <w:szCs w:val="13"/>
                <w:color w:val="auto"/>
                <w:w w:val="85"/>
              </w:rPr>
              <w:t>62,000</w:t>
            </w:r>
          </w:p>
        </w:tc>
        <w:tc>
          <w:tcPr>
            <w:tcW w:w="800" w:type="dxa"/>
            <w:vAlign w:val="bottom"/>
          </w:tcPr>
          <w:p>
            <w:pPr>
              <w:spacing w:after="0" w:line="148" w:lineRule="exact"/>
              <w:rPr>
                <w:sz w:val="20"/>
                <w:szCs w:val="20"/>
                <w:color w:val="auto"/>
              </w:rPr>
            </w:pPr>
            <w:r>
              <w:rPr>
                <w:rFonts w:ascii="Arial" w:cs="Arial" w:eastAsia="Arial" w:hAnsi="Arial"/>
                <w:sz w:val="13"/>
                <w:szCs w:val="13"/>
                <w:color w:val="auto"/>
              </w:rPr>
              <w:t>Shoppers</w:t>
            </w:r>
          </w:p>
        </w:tc>
        <w:tc>
          <w:tcPr>
            <w:tcW w:w="2360" w:type="dxa"/>
            <w:vAlign w:val="bottom"/>
            <w:gridSpan w:val="8"/>
          </w:tcPr>
          <w:p>
            <w:pPr>
              <w:spacing w:after="0" w:line="148" w:lineRule="exact"/>
              <w:rPr>
                <w:sz w:val="20"/>
                <w:szCs w:val="20"/>
                <w:color w:val="auto"/>
              </w:rPr>
            </w:pPr>
            <w:r>
              <w:rPr>
                <w:rFonts w:ascii="Arial" w:cs="Arial" w:eastAsia="Arial" w:hAnsi="Arial"/>
                <w:sz w:val="13"/>
                <w:szCs w:val="13"/>
                <w:color w:val="auto"/>
              </w:rPr>
              <w:t>TJ Maxx / Home Depot / Bed, Bath &amp;</w:t>
            </w:r>
          </w:p>
        </w:tc>
        <w:tc>
          <w:tcPr>
            <w:tcW w:w="0" w:type="dxa"/>
            <w:vAlign w:val="bottom"/>
          </w:tcPr>
          <w:p>
            <w:pPr>
              <w:spacing w:after="0"/>
              <w:rPr>
                <w:sz w:val="1"/>
                <w:szCs w:val="1"/>
                <w:color w:val="auto"/>
              </w:rPr>
            </w:pPr>
          </w:p>
        </w:tc>
      </w:tr>
      <w:tr>
        <w:trPr>
          <w:trHeight w:val="135"/>
        </w:trPr>
        <w:tc>
          <w:tcPr>
            <w:tcW w:w="122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Valley/7770</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3"/>
                <w:szCs w:val="13"/>
                <w:color w:val="auto"/>
              </w:rPr>
              <w:t>Food</w:t>
            </w:r>
          </w:p>
        </w:tc>
        <w:tc>
          <w:tcPr>
            <w:tcW w:w="2360" w:type="dxa"/>
            <w:vAlign w:val="bottom"/>
            <w:gridSpan w:val="8"/>
          </w:tcPr>
          <w:p>
            <w:pPr>
              <w:spacing w:after="0" w:line="135" w:lineRule="exact"/>
              <w:rPr>
                <w:sz w:val="20"/>
                <w:szCs w:val="20"/>
                <w:color w:val="auto"/>
              </w:rPr>
            </w:pPr>
            <w:r>
              <w:rPr>
                <w:rFonts w:ascii="Arial" w:cs="Arial" w:eastAsia="Arial" w:hAnsi="Arial"/>
                <w:sz w:val="13"/>
                <w:szCs w:val="13"/>
                <w:color w:val="auto"/>
              </w:rPr>
              <w:t>Beyond / Gold's Gym</w:t>
            </w:r>
          </w:p>
        </w:tc>
        <w:tc>
          <w:tcPr>
            <w:tcW w:w="0" w:type="dxa"/>
            <w:vAlign w:val="bottom"/>
          </w:tcPr>
          <w:p>
            <w:pPr>
              <w:spacing w:after="0"/>
              <w:rPr>
                <w:sz w:val="1"/>
                <w:szCs w:val="1"/>
                <w:color w:val="auto"/>
              </w:rPr>
            </w:pPr>
          </w:p>
        </w:tc>
      </w:tr>
      <w:tr>
        <w:trPr>
          <w:trHeight w:val="168"/>
        </w:trPr>
        <w:tc>
          <w:tcPr>
            <w:tcW w:w="1220" w:type="dxa"/>
            <w:vAlign w:val="bottom"/>
            <w:gridSpan w:val="3"/>
          </w:tcPr>
          <w:p>
            <w:pPr>
              <w:ind w:left="40"/>
              <w:spacing w:after="0"/>
              <w:rPr>
                <w:sz w:val="20"/>
                <w:szCs w:val="20"/>
                <w:color w:val="auto"/>
              </w:rPr>
            </w:pPr>
            <w:r>
              <w:rPr>
                <w:rFonts w:ascii="Arial" w:cs="Arial" w:eastAsia="Arial" w:hAnsi="Arial"/>
                <w:sz w:val="13"/>
                <w:szCs w:val="13"/>
                <w:color w:val="auto"/>
              </w:rPr>
              <w:t>Richmond Hwy</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Warehouse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Old Keene Mill</w:t>
            </w:r>
          </w:p>
        </w:tc>
        <w:tc>
          <w:tcPr>
            <w:tcW w:w="42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Washington, DC-MD-VA</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7,276</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5"/>
              </w:rPr>
              <w:t>24,000</w:t>
            </w:r>
          </w:p>
        </w:tc>
        <w:tc>
          <w:tcPr>
            <w:tcW w:w="8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Whole Foods</w:t>
            </w:r>
          </w:p>
        </w:tc>
        <w:tc>
          <w:tcPr>
            <w:tcW w:w="132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w w:val="83"/>
                <w:shd w:val="clear" w:color="auto" w:fill="CCEEFF"/>
              </w:rPr>
              <w:t>Walgreens / Planet Fitness</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4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17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800" w:type="dxa"/>
            <w:vAlign w:val="bottom"/>
            <w:tcBorders>
              <w:bottom w:val="single" w:sz="8" w:color="CCEEFF"/>
            </w:tcBorders>
            <w:vMerge w:val="continue"/>
            <w:shd w:val="clear" w:color="auto" w:fill="CCEEFF"/>
          </w:tcPr>
          <w:p>
            <w:pPr>
              <w:spacing w:after="0"/>
              <w:rPr>
                <w:sz w:val="6"/>
                <w:szCs w:val="6"/>
                <w:color w:val="auto"/>
              </w:rPr>
            </w:pPr>
          </w:p>
        </w:tc>
        <w:tc>
          <w:tcPr>
            <w:tcW w:w="1320" w:type="dxa"/>
            <w:vAlign w:val="bottom"/>
            <w:tcBorders>
              <w:bottom w:val="single" w:sz="8" w:color="CCEEFF"/>
            </w:tcBorders>
            <w:gridSpan w:val="3"/>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42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220" w:type="dxa"/>
            <w:vAlign w:val="bottom"/>
            <w:gridSpan w:val="3"/>
          </w:tcPr>
          <w:p>
            <w:pPr>
              <w:ind w:left="40"/>
              <w:spacing w:after="0"/>
              <w:rPr>
                <w:sz w:val="20"/>
                <w:szCs w:val="20"/>
                <w:color w:val="auto"/>
              </w:rPr>
            </w:pPr>
            <w:r>
              <w:rPr>
                <w:rFonts w:ascii="Arial" w:cs="Arial" w:eastAsia="Arial" w:hAnsi="Arial"/>
                <w:sz w:val="13"/>
                <w:szCs w:val="13"/>
                <w:color w:val="auto"/>
              </w:rPr>
              <w:t>Pan Am</w:t>
            </w:r>
          </w:p>
        </w:tc>
        <w:tc>
          <w:tcPr>
            <w:tcW w:w="42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3"/>
                <w:szCs w:val="13"/>
                <w:color w:val="auto"/>
              </w:rPr>
              <w:t>Washington, DC-MD-VA</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28,917</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227,000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98%</w:t>
            </w:r>
          </w:p>
        </w:tc>
        <w:tc>
          <w:tcPr>
            <w:tcW w:w="680" w:type="dxa"/>
            <w:vAlign w:val="bottom"/>
          </w:tcPr>
          <w:p>
            <w:pPr>
              <w:spacing w:after="0"/>
              <w:rPr>
                <w:sz w:val="15"/>
                <w:szCs w:val="15"/>
                <w:color w:val="auto"/>
              </w:rPr>
            </w:pPr>
          </w:p>
        </w:tc>
        <w:tc>
          <w:tcPr>
            <w:tcW w:w="680" w:type="dxa"/>
            <w:vAlign w:val="bottom"/>
          </w:tcPr>
          <w:p>
            <w:pPr>
              <w:jc w:val="center"/>
              <w:ind w:right="77"/>
              <w:spacing w:after="0"/>
              <w:rPr>
                <w:sz w:val="20"/>
                <w:szCs w:val="20"/>
                <w:color w:val="auto"/>
              </w:rPr>
            </w:pPr>
            <w:r>
              <w:rPr>
                <w:rFonts w:ascii="Arial" w:cs="Arial" w:eastAsia="Arial" w:hAnsi="Arial"/>
                <w:sz w:val="13"/>
                <w:szCs w:val="13"/>
                <w:color w:val="auto"/>
                <w:w w:val="85"/>
              </w:rPr>
              <w:t>65,000</w:t>
            </w:r>
          </w:p>
        </w:tc>
        <w:tc>
          <w:tcPr>
            <w:tcW w:w="800" w:type="dxa"/>
            <w:vAlign w:val="bottom"/>
            <w:vMerge w:val="restart"/>
          </w:tcPr>
          <w:p>
            <w:pPr>
              <w:spacing w:after="0"/>
              <w:rPr>
                <w:sz w:val="20"/>
                <w:szCs w:val="20"/>
                <w:color w:val="auto"/>
              </w:rPr>
            </w:pPr>
            <w:r>
              <w:rPr>
                <w:rFonts w:ascii="Arial" w:cs="Arial" w:eastAsia="Arial" w:hAnsi="Arial"/>
                <w:sz w:val="13"/>
                <w:szCs w:val="13"/>
                <w:color w:val="auto"/>
              </w:rPr>
              <w:t>Safeway</w:t>
            </w:r>
          </w:p>
        </w:tc>
        <w:tc>
          <w:tcPr>
            <w:tcW w:w="2360" w:type="dxa"/>
            <w:vAlign w:val="bottom"/>
            <w:gridSpan w:val="8"/>
            <w:vMerge w:val="restart"/>
          </w:tcPr>
          <w:p>
            <w:pPr>
              <w:spacing w:after="0"/>
              <w:rPr>
                <w:sz w:val="20"/>
                <w:szCs w:val="20"/>
                <w:color w:val="auto"/>
              </w:rPr>
            </w:pPr>
            <w:r>
              <w:rPr>
                <w:rFonts w:ascii="Arial" w:cs="Arial" w:eastAsia="Arial" w:hAnsi="Arial"/>
                <w:sz w:val="13"/>
                <w:szCs w:val="13"/>
                <w:color w:val="auto"/>
              </w:rPr>
              <w:t>Micro Center / CVS / Michaels</w:t>
            </w: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3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Pentagon Row</w:t>
            </w:r>
          </w:p>
        </w:tc>
        <w:tc>
          <w:tcPr>
            <w:tcW w:w="42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Washington, DC-MD-VA</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98,330</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298,000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68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5"/>
              </w:rPr>
              <w:t>45,000</w:t>
            </w:r>
          </w:p>
        </w:tc>
        <w:tc>
          <w:tcPr>
            <w:tcW w:w="8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Harris Teeter</w:t>
            </w:r>
          </w:p>
        </w:tc>
        <w:tc>
          <w:tcPr>
            <w:tcW w:w="1980" w:type="dxa"/>
            <w:vAlign w:val="bottom"/>
            <w:gridSpan w:val="6"/>
            <w:vMerge w:val="restart"/>
            <w:shd w:val="clear" w:color="auto" w:fill="CCEEFF"/>
          </w:tcPr>
          <w:p>
            <w:pPr>
              <w:spacing w:after="0"/>
              <w:rPr>
                <w:sz w:val="20"/>
                <w:szCs w:val="20"/>
                <w:color w:val="auto"/>
              </w:rPr>
            </w:pPr>
            <w:r>
              <w:rPr>
                <w:rFonts w:ascii="Arial" w:cs="Arial" w:eastAsia="Arial" w:hAnsi="Arial"/>
                <w:sz w:val="13"/>
                <w:szCs w:val="13"/>
                <w:color w:val="auto"/>
                <w:w w:val="89"/>
                <w:shd w:val="clear" w:color="auto" w:fill="CCEEFF"/>
              </w:rPr>
              <w:t>TJ Maxx / Bed, Bath &amp; Beyond / DSW</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4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17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800" w:type="dxa"/>
            <w:vAlign w:val="bottom"/>
            <w:tcBorders>
              <w:bottom w:val="single" w:sz="8" w:color="CCEEFF"/>
            </w:tcBorders>
            <w:vMerge w:val="continue"/>
            <w:shd w:val="clear" w:color="auto" w:fill="CCEEFF"/>
          </w:tcPr>
          <w:p>
            <w:pPr>
              <w:spacing w:after="0"/>
              <w:rPr>
                <w:sz w:val="6"/>
                <w:szCs w:val="6"/>
                <w:color w:val="auto"/>
              </w:rPr>
            </w:pPr>
          </w:p>
        </w:tc>
        <w:tc>
          <w:tcPr>
            <w:tcW w:w="1980" w:type="dxa"/>
            <w:vAlign w:val="bottom"/>
            <w:tcBorders>
              <w:bottom w:val="single" w:sz="8" w:color="CCEEFF"/>
            </w:tcBorders>
            <w:gridSpan w:val="6"/>
            <w:vMerge w:val="continue"/>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2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Pike &amp; Rose</w:t>
            </w:r>
          </w:p>
        </w:tc>
        <w:tc>
          <w:tcPr>
            <w:tcW w:w="420" w:type="dxa"/>
            <w:vAlign w:val="bottom"/>
          </w:tcPr>
          <w:p>
            <w:pPr>
              <w:jc w:val="right"/>
              <w:ind w:right="117"/>
              <w:spacing w:after="0" w:line="148" w:lineRule="exact"/>
              <w:rPr>
                <w:sz w:val="20"/>
                <w:szCs w:val="20"/>
                <w:color w:val="auto"/>
              </w:rPr>
            </w:pPr>
            <w:r>
              <w:rPr>
                <w:rFonts w:ascii="Arial" w:cs="Arial" w:eastAsia="Arial" w:hAnsi="Arial"/>
                <w:sz w:val="13"/>
                <w:szCs w:val="13"/>
                <w:color w:val="auto"/>
              </w:rPr>
              <w:t>(4)</w:t>
            </w:r>
          </w:p>
        </w:tc>
        <w:tc>
          <w:tcPr>
            <w:tcW w:w="1920" w:type="dxa"/>
            <w:vAlign w:val="bottom"/>
            <w:gridSpan w:val="2"/>
          </w:tcPr>
          <w:p>
            <w:pPr>
              <w:spacing w:after="0" w:line="148" w:lineRule="exact"/>
              <w:rPr>
                <w:sz w:val="20"/>
                <w:szCs w:val="20"/>
                <w:color w:val="auto"/>
              </w:rPr>
            </w:pPr>
            <w:r>
              <w:rPr>
                <w:rFonts w:ascii="Arial" w:cs="Arial" w:eastAsia="Arial" w:hAnsi="Arial"/>
                <w:sz w:val="13"/>
                <w:szCs w:val="13"/>
                <w:color w:val="auto"/>
              </w:rPr>
              <w:t>Washington, DC-MD-VA</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504,553</w:t>
            </w:r>
          </w:p>
        </w:tc>
        <w:tc>
          <w:tcPr>
            <w:tcW w:w="660" w:type="dxa"/>
            <w:vAlign w:val="bottom"/>
          </w:tcPr>
          <w:p>
            <w:pPr>
              <w:spacing w:after="0"/>
              <w:rPr>
                <w:sz w:val="12"/>
                <w:szCs w:val="12"/>
                <w:color w:val="auto"/>
              </w:rPr>
            </w:pP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24</w:t>
            </w:r>
          </w:p>
        </w:tc>
        <w:tc>
          <w:tcPr>
            <w:tcW w:w="10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251,000</w:t>
            </w: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493</w:t>
            </w: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60" w:type="dxa"/>
            <w:vAlign w:val="bottom"/>
            <w:gridSpan w:val="8"/>
          </w:tcPr>
          <w:p>
            <w:pPr>
              <w:spacing w:after="0" w:line="148" w:lineRule="exact"/>
              <w:rPr>
                <w:sz w:val="20"/>
                <w:szCs w:val="20"/>
                <w:color w:val="auto"/>
              </w:rPr>
            </w:pPr>
            <w:r>
              <w:rPr>
                <w:rFonts w:ascii="Arial" w:cs="Arial" w:eastAsia="Arial" w:hAnsi="Arial"/>
                <w:sz w:val="13"/>
                <w:szCs w:val="13"/>
                <w:color w:val="auto"/>
              </w:rPr>
              <w:t>iPic Theater / Sport &amp; Health / Nike /</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60" w:type="dxa"/>
            <w:vAlign w:val="bottom"/>
            <w:gridSpan w:val="8"/>
          </w:tcPr>
          <w:p>
            <w:pPr>
              <w:spacing w:after="0"/>
              <w:rPr>
                <w:sz w:val="20"/>
                <w:szCs w:val="20"/>
                <w:color w:val="auto"/>
              </w:rPr>
            </w:pPr>
            <w:r>
              <w:rPr>
                <w:rFonts w:ascii="Arial" w:cs="Arial" w:eastAsia="Arial" w:hAnsi="Arial"/>
                <w:sz w:val="13"/>
                <w:szCs w:val="13"/>
                <w:color w:val="auto"/>
              </w:rPr>
              <w:t>Multiple Restaurants</w:t>
            </w:r>
          </w:p>
        </w:tc>
        <w:tc>
          <w:tcPr>
            <w:tcW w:w="0" w:type="dxa"/>
            <w:vAlign w:val="bottom"/>
          </w:tcPr>
          <w:p>
            <w:pPr>
              <w:spacing w:after="0"/>
              <w:rPr>
                <w:sz w:val="1"/>
                <w:szCs w:val="1"/>
                <w:color w:val="auto"/>
              </w:rPr>
            </w:pPr>
          </w:p>
        </w:tc>
      </w:tr>
      <w:tr>
        <w:trPr>
          <w:trHeight w:val="181"/>
        </w:trPr>
        <w:tc>
          <w:tcPr>
            <w:tcW w:w="12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Pike 7 Plaza</w:t>
            </w:r>
          </w:p>
        </w:tc>
        <w:tc>
          <w:tcPr>
            <w:tcW w:w="42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Washington, DC-MD-VA</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42,731</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164,000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140" w:type="dxa"/>
            <w:vAlign w:val="bottom"/>
            <w:gridSpan w:val="7"/>
            <w:vMerge w:val="restart"/>
            <w:shd w:val="clear" w:color="auto" w:fill="CCEEFF"/>
          </w:tcPr>
          <w:p>
            <w:pPr>
              <w:spacing w:after="0"/>
              <w:rPr>
                <w:sz w:val="20"/>
                <w:szCs w:val="20"/>
                <w:color w:val="auto"/>
              </w:rPr>
            </w:pPr>
            <w:r>
              <w:rPr>
                <w:rFonts w:ascii="Arial" w:cs="Arial" w:eastAsia="Arial" w:hAnsi="Arial"/>
                <w:sz w:val="13"/>
                <w:szCs w:val="13"/>
                <w:color w:val="auto"/>
                <w:w w:val="87"/>
                <w:shd w:val="clear" w:color="auto" w:fill="CCEEFF"/>
              </w:rPr>
              <w:t>TJ Maxx / DSW / Crunch Fitness / Staples</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4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17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800" w:type="dxa"/>
            <w:vAlign w:val="bottom"/>
            <w:tcBorders>
              <w:bottom w:val="single" w:sz="8" w:color="CCEEFF"/>
            </w:tcBorders>
            <w:shd w:val="clear" w:color="auto" w:fill="CCEEFF"/>
          </w:tcPr>
          <w:p>
            <w:pPr>
              <w:spacing w:after="0"/>
              <w:rPr>
                <w:sz w:val="6"/>
                <w:szCs w:val="6"/>
                <w:color w:val="auto"/>
              </w:rPr>
            </w:pPr>
          </w:p>
        </w:tc>
        <w:tc>
          <w:tcPr>
            <w:tcW w:w="2140" w:type="dxa"/>
            <w:vAlign w:val="bottom"/>
            <w:tcBorders>
              <w:bottom w:val="single" w:sz="8" w:color="CCEEFF"/>
            </w:tcBorders>
            <w:gridSpan w:val="7"/>
            <w:vMerge w:val="continue"/>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220" w:type="dxa"/>
            <w:vAlign w:val="bottom"/>
            <w:gridSpan w:val="3"/>
          </w:tcPr>
          <w:p>
            <w:pPr>
              <w:ind w:left="40"/>
              <w:spacing w:after="0"/>
              <w:rPr>
                <w:sz w:val="20"/>
                <w:szCs w:val="20"/>
                <w:color w:val="auto"/>
              </w:rPr>
            </w:pPr>
            <w:r>
              <w:rPr>
                <w:rFonts w:ascii="Arial" w:cs="Arial" w:eastAsia="Arial" w:hAnsi="Arial"/>
                <w:sz w:val="13"/>
                <w:szCs w:val="13"/>
                <w:color w:val="auto"/>
              </w:rPr>
              <w:t>Plaza del Mercado</w:t>
            </w:r>
          </w:p>
        </w:tc>
        <w:tc>
          <w:tcPr>
            <w:tcW w:w="42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3"/>
                <w:szCs w:val="13"/>
                <w:color w:val="auto"/>
              </w:rPr>
              <w:t>Washington, DC-MD-VA</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45,463</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117,000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92%</w:t>
            </w:r>
          </w:p>
        </w:tc>
        <w:tc>
          <w:tcPr>
            <w:tcW w:w="680" w:type="dxa"/>
            <w:vAlign w:val="bottom"/>
          </w:tcPr>
          <w:p>
            <w:pPr>
              <w:spacing w:after="0"/>
              <w:rPr>
                <w:sz w:val="15"/>
                <w:szCs w:val="15"/>
                <w:color w:val="auto"/>
              </w:rPr>
            </w:pPr>
          </w:p>
        </w:tc>
        <w:tc>
          <w:tcPr>
            <w:tcW w:w="680" w:type="dxa"/>
            <w:vAlign w:val="bottom"/>
          </w:tcPr>
          <w:p>
            <w:pPr>
              <w:jc w:val="center"/>
              <w:ind w:right="77"/>
              <w:spacing w:after="0"/>
              <w:rPr>
                <w:sz w:val="20"/>
                <w:szCs w:val="20"/>
                <w:color w:val="auto"/>
              </w:rPr>
            </w:pPr>
            <w:r>
              <w:rPr>
                <w:rFonts w:ascii="Arial" w:cs="Arial" w:eastAsia="Arial" w:hAnsi="Arial"/>
                <w:sz w:val="13"/>
                <w:szCs w:val="13"/>
                <w:color w:val="auto"/>
                <w:w w:val="85"/>
              </w:rPr>
              <w:t>18,000</w:t>
            </w:r>
          </w:p>
        </w:tc>
        <w:tc>
          <w:tcPr>
            <w:tcW w:w="800" w:type="dxa"/>
            <w:vAlign w:val="bottom"/>
          </w:tcPr>
          <w:p>
            <w:pPr>
              <w:spacing w:after="0"/>
              <w:rPr>
                <w:sz w:val="20"/>
                <w:szCs w:val="20"/>
                <w:color w:val="auto"/>
              </w:rPr>
            </w:pPr>
            <w:r>
              <w:rPr>
                <w:rFonts w:ascii="Arial" w:cs="Arial" w:eastAsia="Arial" w:hAnsi="Arial"/>
                <w:sz w:val="13"/>
                <w:szCs w:val="13"/>
                <w:color w:val="auto"/>
              </w:rPr>
              <w:t>Aldi</w:t>
            </w:r>
          </w:p>
        </w:tc>
        <w:tc>
          <w:tcPr>
            <w:tcW w:w="2360" w:type="dxa"/>
            <w:vAlign w:val="bottom"/>
            <w:gridSpan w:val="8"/>
          </w:tcPr>
          <w:p>
            <w:pPr>
              <w:spacing w:after="0"/>
              <w:rPr>
                <w:sz w:val="20"/>
                <w:szCs w:val="20"/>
                <w:color w:val="auto"/>
              </w:rPr>
            </w:pPr>
            <w:r>
              <w:rPr>
                <w:rFonts w:ascii="Arial" w:cs="Arial" w:eastAsia="Arial" w:hAnsi="Arial"/>
                <w:sz w:val="13"/>
                <w:szCs w:val="13"/>
                <w:color w:val="auto"/>
              </w:rPr>
              <w:t>CVS / L.A. Fitness</w:t>
            </w: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Quince Orchard</w:t>
            </w:r>
          </w:p>
        </w:tc>
        <w:tc>
          <w:tcPr>
            <w:tcW w:w="42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Washington, DC-MD-VA</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38,235</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267,000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8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5"/>
              </w:rPr>
              <w:t>19,000</w:t>
            </w:r>
          </w:p>
        </w:tc>
        <w:tc>
          <w:tcPr>
            <w:tcW w:w="8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Aldi</w:t>
            </w:r>
          </w:p>
        </w:tc>
        <w:tc>
          <w:tcPr>
            <w:tcW w:w="1800" w:type="dxa"/>
            <w:vAlign w:val="bottom"/>
            <w:gridSpan w:val="5"/>
            <w:vMerge w:val="restart"/>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HomeGoods / L.A. Fitness / Staples</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4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17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800" w:type="dxa"/>
            <w:vAlign w:val="bottom"/>
            <w:tcBorders>
              <w:bottom w:val="single" w:sz="8" w:color="CCEEFF"/>
            </w:tcBorders>
            <w:vMerge w:val="continue"/>
            <w:shd w:val="clear" w:color="auto" w:fill="CCEEFF"/>
          </w:tcPr>
          <w:p>
            <w:pPr>
              <w:spacing w:after="0"/>
              <w:rPr>
                <w:sz w:val="6"/>
                <w:szCs w:val="6"/>
                <w:color w:val="auto"/>
              </w:rPr>
            </w:pPr>
          </w:p>
        </w:tc>
        <w:tc>
          <w:tcPr>
            <w:tcW w:w="1800" w:type="dxa"/>
            <w:vAlign w:val="bottom"/>
            <w:tcBorders>
              <w:bottom w:val="single" w:sz="8" w:color="CCEEFF"/>
            </w:tcBorders>
            <w:gridSpan w:val="5"/>
            <w:vMerge w:val="continue"/>
            <w:shd w:val="clear" w:color="auto" w:fill="CCEEFF"/>
          </w:tcPr>
          <w:p>
            <w:pPr>
              <w:spacing w:after="0"/>
              <w:rPr>
                <w:sz w:val="6"/>
                <w:szCs w:val="6"/>
                <w:color w:val="auto"/>
              </w:rPr>
            </w:pPr>
          </w:p>
        </w:tc>
        <w:tc>
          <w:tcPr>
            <w:tcW w:w="340" w:type="dxa"/>
            <w:vAlign w:val="bottom"/>
            <w:tcBorders>
              <w:bottom w:val="single" w:sz="8" w:color="CCEEFF"/>
            </w:tcBorders>
            <w:gridSpan w:val="2"/>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2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Rockville Town</w:t>
            </w:r>
          </w:p>
        </w:tc>
        <w:tc>
          <w:tcPr>
            <w:tcW w:w="420" w:type="dxa"/>
            <w:vAlign w:val="bottom"/>
          </w:tcPr>
          <w:p>
            <w:pPr>
              <w:jc w:val="right"/>
              <w:ind w:right="117"/>
              <w:spacing w:after="0" w:line="148" w:lineRule="exact"/>
              <w:rPr>
                <w:sz w:val="20"/>
                <w:szCs w:val="20"/>
                <w:color w:val="auto"/>
              </w:rPr>
            </w:pPr>
            <w:r>
              <w:rPr>
                <w:rFonts w:ascii="Arial" w:cs="Arial" w:eastAsia="Arial" w:hAnsi="Arial"/>
                <w:sz w:val="13"/>
                <w:szCs w:val="13"/>
                <w:color w:val="auto"/>
              </w:rPr>
              <w:t>(6)</w:t>
            </w:r>
          </w:p>
        </w:tc>
        <w:tc>
          <w:tcPr>
            <w:tcW w:w="1920" w:type="dxa"/>
            <w:vAlign w:val="bottom"/>
            <w:gridSpan w:val="2"/>
          </w:tcPr>
          <w:p>
            <w:pPr>
              <w:spacing w:after="0" w:line="148" w:lineRule="exact"/>
              <w:rPr>
                <w:sz w:val="20"/>
                <w:szCs w:val="20"/>
                <w:color w:val="auto"/>
              </w:rPr>
            </w:pPr>
            <w:r>
              <w:rPr>
                <w:rFonts w:ascii="Arial" w:cs="Arial" w:eastAsia="Arial" w:hAnsi="Arial"/>
                <w:sz w:val="13"/>
                <w:szCs w:val="13"/>
                <w:color w:val="auto"/>
              </w:rPr>
              <w:t>Washington, DC-MD-VA</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50,081</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4,470</w:t>
            </w: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187,000</w:t>
            </w: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680" w:type="dxa"/>
            <w:vAlign w:val="bottom"/>
          </w:tcPr>
          <w:p>
            <w:pPr>
              <w:jc w:val="center"/>
              <w:ind w:right="77"/>
              <w:spacing w:after="0" w:line="148" w:lineRule="exact"/>
              <w:rPr>
                <w:sz w:val="20"/>
                <w:szCs w:val="20"/>
                <w:color w:val="auto"/>
              </w:rPr>
            </w:pPr>
            <w:r>
              <w:rPr>
                <w:rFonts w:ascii="Arial" w:cs="Arial" w:eastAsia="Arial" w:hAnsi="Arial"/>
                <w:sz w:val="13"/>
                <w:szCs w:val="13"/>
                <w:color w:val="auto"/>
                <w:w w:val="85"/>
              </w:rPr>
              <w:t>25,000</w:t>
            </w:r>
          </w:p>
        </w:tc>
        <w:tc>
          <w:tcPr>
            <w:tcW w:w="800" w:type="dxa"/>
            <w:vAlign w:val="bottom"/>
          </w:tcPr>
          <w:p>
            <w:pPr>
              <w:spacing w:after="0" w:line="148" w:lineRule="exact"/>
              <w:rPr>
                <w:sz w:val="20"/>
                <w:szCs w:val="20"/>
                <w:color w:val="auto"/>
              </w:rPr>
            </w:pPr>
            <w:r>
              <w:rPr>
                <w:rFonts w:ascii="Arial" w:cs="Arial" w:eastAsia="Arial" w:hAnsi="Arial"/>
                <w:sz w:val="13"/>
                <w:szCs w:val="13"/>
                <w:color w:val="auto"/>
              </w:rPr>
              <w:t>Dawson's</w:t>
            </w:r>
          </w:p>
        </w:tc>
        <w:tc>
          <w:tcPr>
            <w:tcW w:w="2360" w:type="dxa"/>
            <w:vAlign w:val="bottom"/>
            <w:gridSpan w:val="8"/>
          </w:tcPr>
          <w:p>
            <w:pPr>
              <w:spacing w:after="0" w:line="148" w:lineRule="exact"/>
              <w:rPr>
                <w:sz w:val="20"/>
                <w:szCs w:val="20"/>
                <w:color w:val="auto"/>
              </w:rPr>
            </w:pPr>
            <w:r>
              <w:rPr>
                <w:rFonts w:ascii="Arial" w:cs="Arial" w:eastAsia="Arial" w:hAnsi="Arial"/>
                <w:sz w:val="13"/>
                <w:szCs w:val="13"/>
                <w:color w:val="auto"/>
                <w:w w:val="99"/>
              </w:rPr>
              <w:t>CVS / Gold's Gym / Multiple Restaurants</w:t>
            </w:r>
          </w:p>
        </w:tc>
        <w:tc>
          <w:tcPr>
            <w:tcW w:w="0" w:type="dxa"/>
            <w:vAlign w:val="bottom"/>
          </w:tcPr>
          <w:p>
            <w:pPr>
              <w:spacing w:after="0"/>
              <w:rPr>
                <w:sz w:val="1"/>
                <w:szCs w:val="1"/>
                <w:color w:val="auto"/>
              </w:rPr>
            </w:pPr>
          </w:p>
        </w:tc>
      </w:tr>
      <w:tr>
        <w:trPr>
          <w:trHeight w:val="168"/>
        </w:trPr>
        <w:tc>
          <w:tcPr>
            <w:tcW w:w="1220" w:type="dxa"/>
            <w:vAlign w:val="bottom"/>
            <w:gridSpan w:val="3"/>
          </w:tcPr>
          <w:p>
            <w:pPr>
              <w:ind w:left="40"/>
              <w:spacing w:after="0"/>
              <w:rPr>
                <w:sz w:val="20"/>
                <w:szCs w:val="20"/>
                <w:color w:val="auto"/>
              </w:rPr>
            </w:pPr>
            <w:r>
              <w:rPr>
                <w:rFonts w:ascii="Arial" w:cs="Arial" w:eastAsia="Arial" w:hAnsi="Arial"/>
                <w:sz w:val="13"/>
                <w:szCs w:val="13"/>
                <w:color w:val="auto"/>
              </w:rPr>
              <w:t>Square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Market</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Rollingwood</w:t>
            </w:r>
          </w:p>
        </w:tc>
        <w:tc>
          <w:tcPr>
            <w:tcW w:w="42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Washington, DC-MD-VA</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10,575</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21,165</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N/A</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282</w:t>
            </w: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Apartments</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20" w:type="dxa"/>
            <w:vAlign w:val="bottom"/>
            <w:gridSpan w:val="3"/>
          </w:tcPr>
          <w:p>
            <w:pPr>
              <w:ind w:left="40"/>
              <w:spacing w:after="0"/>
              <w:rPr>
                <w:sz w:val="20"/>
                <w:szCs w:val="20"/>
                <w:color w:val="auto"/>
              </w:rPr>
            </w:pPr>
            <w:r>
              <w:rPr>
                <w:rFonts w:ascii="Arial" w:cs="Arial" w:eastAsia="Arial" w:hAnsi="Arial"/>
                <w:sz w:val="13"/>
                <w:szCs w:val="13"/>
                <w:color w:val="auto"/>
              </w:rPr>
              <w:t>Sam's Park &amp; Shop</w:t>
            </w:r>
          </w:p>
        </w:tc>
        <w:tc>
          <w:tcPr>
            <w:tcW w:w="42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3"/>
                <w:szCs w:val="13"/>
                <w:color w:val="auto"/>
              </w:rPr>
              <w:t>Washington, DC-MD-VA</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12,791</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49,000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86%</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60" w:type="dxa"/>
            <w:vAlign w:val="bottom"/>
            <w:gridSpan w:val="8"/>
            <w:vMerge w:val="restart"/>
          </w:tcPr>
          <w:p>
            <w:pPr>
              <w:spacing w:after="0"/>
              <w:rPr>
                <w:sz w:val="20"/>
                <w:szCs w:val="20"/>
                <w:color w:val="auto"/>
              </w:rPr>
            </w:pPr>
            <w:r>
              <w:rPr>
                <w:rFonts w:ascii="Arial" w:cs="Arial" w:eastAsia="Arial" w:hAnsi="Arial"/>
                <w:sz w:val="13"/>
                <w:szCs w:val="13"/>
                <w:color w:val="auto"/>
              </w:rPr>
              <w:t>Petco</w:t>
            </w: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3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2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Tower Shopping</w:t>
            </w:r>
          </w:p>
        </w:tc>
        <w:tc>
          <w:tcPr>
            <w:tcW w:w="42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Washington, DC-MD-VA</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21,739</w:t>
            </w:r>
          </w:p>
        </w:tc>
        <w:tc>
          <w:tcPr>
            <w:tcW w:w="6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112,000</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5"/>
              </w:rPr>
              <w:t>26,000</w:t>
            </w:r>
          </w:p>
        </w:tc>
        <w:tc>
          <w:tcPr>
            <w:tcW w:w="8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4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L.A. Mart</w:t>
            </w:r>
          </w:p>
        </w:tc>
        <w:tc>
          <w:tcPr>
            <w:tcW w:w="18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3"/>
                <w:szCs w:val="13"/>
                <w:color w:val="auto"/>
                <w:shd w:val="clear" w:color="auto" w:fill="CCEEFF"/>
              </w:rPr>
              <w:t>Talbots / Total Wine &amp; More</w:t>
            </w:r>
          </w:p>
        </w:tc>
        <w:tc>
          <w:tcPr>
            <w:tcW w:w="340" w:type="dxa"/>
            <w:vAlign w:val="bottom"/>
            <w:tcBorders>
              <w:bottom w:val="single" w:sz="8" w:color="CCEEFF"/>
            </w:tcBorders>
            <w:gridSpan w:val="2"/>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220" w:type="dxa"/>
            <w:vAlign w:val="bottom"/>
            <w:gridSpan w:val="3"/>
          </w:tcPr>
          <w:p>
            <w:pPr>
              <w:ind w:left="40"/>
              <w:spacing w:after="0"/>
              <w:rPr>
                <w:sz w:val="20"/>
                <w:szCs w:val="20"/>
                <w:color w:val="auto"/>
              </w:rPr>
            </w:pPr>
            <w:r>
              <w:rPr>
                <w:rFonts w:ascii="Arial" w:cs="Arial" w:eastAsia="Arial" w:hAnsi="Arial"/>
                <w:sz w:val="13"/>
                <w:szCs w:val="13"/>
                <w:color w:val="auto"/>
              </w:rPr>
              <w:t>Tyson's Station</w:t>
            </w:r>
          </w:p>
        </w:tc>
        <w:tc>
          <w:tcPr>
            <w:tcW w:w="42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3"/>
                <w:szCs w:val="13"/>
                <w:color w:val="auto"/>
              </w:rPr>
              <w:t>Washington, DC-MD-VA</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4,631</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49,000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95%</w:t>
            </w:r>
          </w:p>
        </w:tc>
        <w:tc>
          <w:tcPr>
            <w:tcW w:w="680" w:type="dxa"/>
            <w:vAlign w:val="bottom"/>
          </w:tcPr>
          <w:p>
            <w:pPr>
              <w:spacing w:after="0"/>
              <w:rPr>
                <w:sz w:val="15"/>
                <w:szCs w:val="15"/>
                <w:color w:val="auto"/>
              </w:rPr>
            </w:pPr>
          </w:p>
        </w:tc>
        <w:tc>
          <w:tcPr>
            <w:tcW w:w="680" w:type="dxa"/>
            <w:vAlign w:val="bottom"/>
          </w:tcPr>
          <w:p>
            <w:pPr>
              <w:jc w:val="center"/>
              <w:ind w:right="77"/>
              <w:spacing w:after="0"/>
              <w:rPr>
                <w:sz w:val="20"/>
                <w:szCs w:val="20"/>
                <w:color w:val="auto"/>
              </w:rPr>
            </w:pPr>
            <w:r>
              <w:rPr>
                <w:rFonts w:ascii="Arial" w:cs="Arial" w:eastAsia="Arial" w:hAnsi="Arial"/>
                <w:sz w:val="13"/>
                <w:szCs w:val="13"/>
                <w:color w:val="auto"/>
                <w:w w:val="85"/>
              </w:rPr>
              <w:t>11,000</w:t>
            </w:r>
          </w:p>
        </w:tc>
        <w:tc>
          <w:tcPr>
            <w:tcW w:w="800" w:type="dxa"/>
            <w:vAlign w:val="bottom"/>
            <w:vMerge w:val="restart"/>
          </w:tcPr>
          <w:p>
            <w:pPr>
              <w:spacing w:after="0"/>
              <w:rPr>
                <w:sz w:val="20"/>
                <w:szCs w:val="20"/>
                <w:color w:val="auto"/>
              </w:rPr>
            </w:pPr>
            <w:r>
              <w:rPr>
                <w:rFonts w:ascii="Arial" w:cs="Arial" w:eastAsia="Arial" w:hAnsi="Arial"/>
                <w:sz w:val="13"/>
                <w:szCs w:val="13"/>
                <w:color w:val="auto"/>
              </w:rPr>
              <w:t>Trader Joe's</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7"/>
              </w:rPr>
              <w:t>Village at Shirlington</w:t>
            </w:r>
          </w:p>
        </w:tc>
        <w:tc>
          <w:tcPr>
            <w:tcW w:w="4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w:t>
            </w:r>
          </w:p>
        </w:tc>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Washington, DC-MD-VA</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63,355</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6,604</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266,000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68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5"/>
              </w:rPr>
              <w:t>28,000</w:t>
            </w:r>
          </w:p>
        </w:tc>
        <w:tc>
          <w:tcPr>
            <w:tcW w:w="8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Harris Teeter</w:t>
            </w:r>
          </w:p>
        </w:tc>
        <w:tc>
          <w:tcPr>
            <w:tcW w:w="1380" w:type="dxa"/>
            <w:vAlign w:val="bottom"/>
            <w:gridSpan w:val="4"/>
            <w:vMerge w:val="restart"/>
            <w:shd w:val="clear" w:color="auto" w:fill="CCEEFF"/>
          </w:tcPr>
          <w:p>
            <w:pPr>
              <w:spacing w:after="0"/>
              <w:rPr>
                <w:sz w:val="20"/>
                <w:szCs w:val="20"/>
                <w:color w:val="auto"/>
              </w:rPr>
            </w:pPr>
            <w:r>
              <w:rPr>
                <w:rFonts w:ascii="Arial" w:cs="Arial" w:eastAsia="Arial" w:hAnsi="Arial"/>
                <w:sz w:val="13"/>
                <w:szCs w:val="13"/>
                <w:color w:val="auto"/>
                <w:w w:val="90"/>
                <w:shd w:val="clear" w:color="auto" w:fill="CCEEFF"/>
              </w:rPr>
              <w:t>AMC / Carlyle Grand Café</w:t>
            </w: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4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17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800" w:type="dxa"/>
            <w:vAlign w:val="bottom"/>
            <w:tcBorders>
              <w:bottom w:val="single" w:sz="8" w:color="CCEEFF"/>
            </w:tcBorders>
            <w:vMerge w:val="continue"/>
            <w:shd w:val="clear" w:color="auto" w:fill="CCEEFF"/>
          </w:tcPr>
          <w:p>
            <w:pPr>
              <w:spacing w:after="0"/>
              <w:rPr>
                <w:sz w:val="6"/>
                <w:szCs w:val="6"/>
                <w:color w:val="auto"/>
              </w:rPr>
            </w:pPr>
          </w:p>
        </w:tc>
        <w:tc>
          <w:tcPr>
            <w:tcW w:w="1380" w:type="dxa"/>
            <w:vAlign w:val="bottom"/>
            <w:tcBorders>
              <w:bottom w:val="single" w:sz="8" w:color="CCEEFF"/>
            </w:tcBorders>
            <w:gridSpan w:val="4"/>
            <w:vMerge w:val="continue"/>
            <w:shd w:val="clear" w:color="auto" w:fill="CCEEFF"/>
          </w:tcPr>
          <w:p>
            <w:pPr>
              <w:spacing w:after="0"/>
              <w:rPr>
                <w:sz w:val="6"/>
                <w:szCs w:val="6"/>
                <w:color w:val="auto"/>
              </w:rPr>
            </w:pPr>
          </w:p>
        </w:tc>
        <w:tc>
          <w:tcPr>
            <w:tcW w:w="760" w:type="dxa"/>
            <w:vAlign w:val="bottom"/>
            <w:tcBorders>
              <w:bottom w:val="single" w:sz="8" w:color="CCEEFF"/>
            </w:tcBorders>
            <w:gridSpan w:val="3"/>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220" w:type="dxa"/>
            <w:vAlign w:val="bottom"/>
            <w:gridSpan w:val="3"/>
          </w:tcPr>
          <w:p>
            <w:pPr>
              <w:ind w:left="40"/>
              <w:spacing w:after="0"/>
              <w:rPr>
                <w:sz w:val="20"/>
                <w:szCs w:val="20"/>
                <w:color w:val="auto"/>
              </w:rPr>
            </w:pPr>
            <w:r>
              <w:rPr>
                <w:rFonts w:ascii="Arial" w:cs="Arial" w:eastAsia="Arial" w:hAnsi="Arial"/>
                <w:sz w:val="13"/>
                <w:szCs w:val="13"/>
                <w:color w:val="auto"/>
              </w:rPr>
              <w:t>Wildwood</w:t>
            </w:r>
          </w:p>
        </w:tc>
        <w:tc>
          <w:tcPr>
            <w:tcW w:w="42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3"/>
                <w:szCs w:val="13"/>
                <w:color w:val="auto"/>
              </w:rPr>
              <w:t>Washington, DC-MD-VA</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19,822</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83,000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98%</w:t>
            </w:r>
          </w:p>
        </w:tc>
        <w:tc>
          <w:tcPr>
            <w:tcW w:w="680" w:type="dxa"/>
            <w:vAlign w:val="bottom"/>
          </w:tcPr>
          <w:p>
            <w:pPr>
              <w:spacing w:after="0"/>
              <w:rPr>
                <w:sz w:val="15"/>
                <w:szCs w:val="15"/>
                <w:color w:val="auto"/>
              </w:rPr>
            </w:pPr>
          </w:p>
        </w:tc>
        <w:tc>
          <w:tcPr>
            <w:tcW w:w="680" w:type="dxa"/>
            <w:vAlign w:val="bottom"/>
          </w:tcPr>
          <w:p>
            <w:pPr>
              <w:jc w:val="center"/>
              <w:ind w:right="77"/>
              <w:spacing w:after="0"/>
              <w:rPr>
                <w:sz w:val="20"/>
                <w:szCs w:val="20"/>
                <w:color w:val="auto"/>
              </w:rPr>
            </w:pPr>
            <w:r>
              <w:rPr>
                <w:rFonts w:ascii="Arial" w:cs="Arial" w:eastAsia="Arial" w:hAnsi="Arial"/>
                <w:sz w:val="13"/>
                <w:szCs w:val="13"/>
                <w:color w:val="auto"/>
                <w:w w:val="85"/>
              </w:rPr>
              <w:t>20,000</w:t>
            </w:r>
          </w:p>
        </w:tc>
        <w:tc>
          <w:tcPr>
            <w:tcW w:w="800" w:type="dxa"/>
            <w:vAlign w:val="bottom"/>
            <w:vMerge w:val="restart"/>
          </w:tcPr>
          <w:p>
            <w:pPr>
              <w:spacing w:after="0"/>
              <w:rPr>
                <w:sz w:val="20"/>
                <w:szCs w:val="20"/>
                <w:color w:val="auto"/>
              </w:rPr>
            </w:pPr>
            <w:r>
              <w:rPr>
                <w:rFonts w:ascii="Arial" w:cs="Arial" w:eastAsia="Arial" w:hAnsi="Arial"/>
                <w:sz w:val="13"/>
                <w:szCs w:val="13"/>
                <w:color w:val="auto"/>
              </w:rPr>
              <w:t>Balducci's</w:t>
            </w:r>
          </w:p>
        </w:tc>
        <w:tc>
          <w:tcPr>
            <w:tcW w:w="2360" w:type="dxa"/>
            <w:vAlign w:val="bottom"/>
            <w:gridSpan w:val="8"/>
            <w:vMerge w:val="restart"/>
          </w:tcPr>
          <w:p>
            <w:pPr>
              <w:spacing w:after="0"/>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91"/>
        </w:trPr>
        <w:tc>
          <w:tcPr>
            <w:tcW w:w="40" w:type="dxa"/>
            <w:vAlign w:val="bottom"/>
            <w:tcBorders>
              <w:bottom w:val="single" w:sz="8" w:color="CCEEFF"/>
            </w:tcBorders>
          </w:tcPr>
          <w:p>
            <w:pPr>
              <w:spacing w:after="0"/>
              <w:rPr>
                <w:sz w:val="7"/>
                <w:szCs w:val="7"/>
                <w:color w:val="auto"/>
              </w:rPr>
            </w:pPr>
          </w:p>
        </w:tc>
        <w:tc>
          <w:tcPr>
            <w:tcW w:w="620" w:type="dxa"/>
            <w:vAlign w:val="bottom"/>
            <w:tcBorders>
              <w:bottom w:val="single" w:sz="8" w:color="CCEEFF"/>
            </w:tcBorders>
          </w:tcPr>
          <w:p>
            <w:pPr>
              <w:spacing w:after="0"/>
              <w:rPr>
                <w:sz w:val="7"/>
                <w:szCs w:val="7"/>
                <w:color w:val="auto"/>
              </w:rPr>
            </w:pPr>
          </w:p>
        </w:tc>
        <w:tc>
          <w:tcPr>
            <w:tcW w:w="560" w:type="dxa"/>
            <w:vAlign w:val="bottom"/>
            <w:tcBorders>
              <w:bottom w:val="single" w:sz="8" w:color="CCEEFF"/>
            </w:tcBorders>
          </w:tcPr>
          <w:p>
            <w:pPr>
              <w:spacing w:after="0"/>
              <w:rPr>
                <w:sz w:val="7"/>
                <w:szCs w:val="7"/>
                <w:color w:val="auto"/>
              </w:rPr>
            </w:pPr>
          </w:p>
        </w:tc>
        <w:tc>
          <w:tcPr>
            <w:tcW w:w="42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78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60" w:type="dxa"/>
            <w:vAlign w:val="bottom"/>
            <w:tcBorders>
              <w:bottom w:val="single" w:sz="8" w:color="CCEEFF"/>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80" w:type="dxa"/>
            <w:vAlign w:val="bottom"/>
            <w:tcBorders>
              <w:bottom w:val="single" w:sz="8" w:color="CCEEFF"/>
            </w:tcBorders>
          </w:tcPr>
          <w:p>
            <w:pPr>
              <w:spacing w:after="0"/>
              <w:rPr>
                <w:sz w:val="7"/>
                <w:szCs w:val="7"/>
                <w:color w:val="auto"/>
              </w:rPr>
            </w:pPr>
          </w:p>
        </w:tc>
        <w:tc>
          <w:tcPr>
            <w:tcW w:w="680" w:type="dxa"/>
            <w:vAlign w:val="bottom"/>
            <w:tcBorders>
              <w:bottom w:val="single" w:sz="8" w:color="CCEEFF"/>
            </w:tcBorders>
          </w:tcPr>
          <w:p>
            <w:pPr>
              <w:spacing w:after="0"/>
              <w:rPr>
                <w:sz w:val="7"/>
                <w:szCs w:val="7"/>
                <w:color w:val="auto"/>
              </w:rPr>
            </w:pPr>
          </w:p>
        </w:tc>
        <w:tc>
          <w:tcPr>
            <w:tcW w:w="800" w:type="dxa"/>
            <w:vAlign w:val="bottom"/>
            <w:tcBorders>
              <w:bottom w:val="single" w:sz="8" w:color="CCEEFF"/>
            </w:tcBorders>
            <w:vMerge w:val="continue"/>
          </w:tcPr>
          <w:p>
            <w:pPr>
              <w:spacing w:after="0"/>
              <w:rPr>
                <w:sz w:val="7"/>
                <w:szCs w:val="7"/>
                <w:color w:val="auto"/>
              </w:rPr>
            </w:pPr>
          </w:p>
        </w:tc>
        <w:tc>
          <w:tcPr>
            <w:tcW w:w="2360" w:type="dxa"/>
            <w:vAlign w:val="bottom"/>
            <w:tcBorders>
              <w:bottom w:val="single" w:sz="8" w:color="CCEEFF"/>
            </w:tcBorders>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9"/>
              </w:rPr>
              <w:t>Total Washington Metropolitan</w:t>
            </w:r>
          </w:p>
        </w:tc>
        <w:tc>
          <w:tcPr>
            <w:tcW w:w="6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3"/>
              </w:rPr>
              <w:t>1,916,699</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451</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9"/>
              </w:rPr>
              <w:t>6,045,000</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w:t>
            </w:r>
          </w:p>
        </w:tc>
        <w:tc>
          <w:tcPr>
            <w:tcW w:w="6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Area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California</w:t>
            </w:r>
          </w:p>
        </w:tc>
        <w:tc>
          <w:tcPr>
            <w:tcW w:w="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40" w:type="dxa"/>
            <w:vAlign w:val="bottom"/>
            <w:tcBorders>
              <w:top w:val="single" w:sz="8" w:color="CCEEFF"/>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1920" w:type="dxa"/>
            <w:vAlign w:val="bottom"/>
            <w:tcBorders>
              <w:top w:val="single" w:sz="8" w:color="CCEEFF"/>
            </w:tcBorders>
            <w:gridSpan w:val="2"/>
          </w:tcPr>
          <w:p>
            <w:pPr>
              <w:spacing w:after="0" w:line="148" w:lineRule="exact"/>
              <w:rPr>
                <w:sz w:val="20"/>
                <w:szCs w:val="20"/>
                <w:color w:val="auto"/>
              </w:rPr>
            </w:pPr>
            <w:r>
              <w:rPr>
                <w:rFonts w:ascii="Arial" w:cs="Arial" w:eastAsia="Arial" w:hAnsi="Arial"/>
                <w:sz w:val="13"/>
                <w:szCs w:val="13"/>
                <w:color w:val="auto"/>
                <w:w w:val="92"/>
              </w:rPr>
              <w:t>Los Angeles-Long Beach-Anaheim,</w:t>
            </w:r>
          </w:p>
        </w:tc>
        <w:tc>
          <w:tcPr>
            <w:tcW w:w="6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20" w:type="dxa"/>
            <w:vAlign w:val="bottom"/>
            <w:gridSpan w:val="3"/>
          </w:tcPr>
          <w:p>
            <w:pPr>
              <w:ind w:left="40"/>
              <w:spacing w:after="0"/>
              <w:rPr>
                <w:sz w:val="20"/>
                <w:szCs w:val="20"/>
                <w:color w:val="auto"/>
              </w:rPr>
            </w:pPr>
            <w:r>
              <w:rPr>
                <w:rFonts w:ascii="Arial" w:cs="Arial" w:eastAsia="Arial" w:hAnsi="Arial"/>
                <w:sz w:val="13"/>
                <w:szCs w:val="13"/>
                <w:color w:val="auto"/>
              </w:rPr>
              <w:t>Colorado Blvd</w:t>
            </w:r>
          </w:p>
        </w:tc>
        <w:tc>
          <w:tcPr>
            <w:tcW w:w="42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3"/>
                <w:szCs w:val="13"/>
                <w:color w:val="auto"/>
              </w:rPr>
              <w:t>CA</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19,366</w:t>
            </w:r>
          </w:p>
        </w:tc>
        <w:tc>
          <w:tcPr>
            <w:tcW w:w="660" w:type="dxa"/>
            <w:vAlign w:val="bottom"/>
          </w:tcPr>
          <w:p>
            <w:pPr>
              <w:spacing w:after="0"/>
              <w:rPr>
                <w:sz w:val="14"/>
                <w:szCs w:val="1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69,000</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99%</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60" w:type="dxa"/>
            <w:vAlign w:val="bottom"/>
            <w:gridSpan w:val="8"/>
          </w:tcPr>
          <w:p>
            <w:pPr>
              <w:spacing w:after="0"/>
              <w:rPr>
                <w:sz w:val="20"/>
                <w:szCs w:val="20"/>
                <w:color w:val="auto"/>
              </w:rPr>
            </w:pPr>
            <w:r>
              <w:rPr>
                <w:rFonts w:ascii="Arial" w:cs="Arial" w:eastAsia="Arial" w:hAnsi="Arial"/>
                <w:sz w:val="13"/>
                <w:szCs w:val="13"/>
                <w:color w:val="auto"/>
              </w:rPr>
              <w:t>Pottery Barn / Banana Republic</w:t>
            </w:r>
          </w:p>
        </w:tc>
        <w:tc>
          <w:tcPr>
            <w:tcW w:w="0" w:type="dxa"/>
            <w:vAlign w:val="bottom"/>
          </w:tcPr>
          <w:p>
            <w:pPr>
              <w:spacing w:after="0"/>
              <w:rPr>
                <w:sz w:val="1"/>
                <w:szCs w:val="1"/>
                <w:color w:val="auto"/>
              </w:rPr>
            </w:pPr>
          </w:p>
        </w:tc>
      </w:tr>
      <w:tr>
        <w:trPr>
          <w:trHeight w:val="156"/>
        </w:trPr>
        <w:tc>
          <w:tcPr>
            <w:tcW w:w="12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Crow Canyon</w:t>
            </w: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Commons</w:t>
            </w:r>
          </w:p>
        </w:tc>
        <w:tc>
          <w:tcPr>
            <w:tcW w:w="42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San Ramon, CA</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89,525</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241,000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5"/>
              </w:rPr>
              <w:t>32,000</w:t>
            </w:r>
          </w:p>
        </w:tc>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Sprouts</w:t>
            </w:r>
          </w:p>
        </w:tc>
        <w:tc>
          <w:tcPr>
            <w:tcW w:w="2360" w:type="dxa"/>
            <w:vAlign w:val="bottom"/>
            <w:gridSpan w:val="8"/>
            <w:shd w:val="clear" w:color="auto" w:fill="CCEEFF"/>
          </w:tcPr>
          <w:p>
            <w:pPr>
              <w:spacing w:after="0"/>
              <w:rPr>
                <w:sz w:val="20"/>
                <w:szCs w:val="20"/>
                <w:color w:val="auto"/>
              </w:rPr>
            </w:pPr>
            <w:r>
              <w:rPr>
                <w:rFonts w:ascii="Arial" w:cs="Arial" w:eastAsia="Arial" w:hAnsi="Arial"/>
                <w:sz w:val="13"/>
                <w:szCs w:val="13"/>
                <w:color w:val="auto"/>
              </w:rPr>
              <w:t>Orchard Supply Hardware / Rite Aid</w:t>
            </w:r>
          </w:p>
        </w:tc>
        <w:tc>
          <w:tcPr>
            <w:tcW w:w="0" w:type="dxa"/>
            <w:vAlign w:val="bottom"/>
          </w:tcPr>
          <w:p>
            <w:pPr>
              <w:spacing w:after="0"/>
              <w:rPr>
                <w:sz w:val="1"/>
                <w:szCs w:val="1"/>
                <w:color w:val="auto"/>
              </w:rPr>
            </w:pPr>
          </w:p>
        </w:tc>
      </w:tr>
      <w:tr>
        <w:trPr>
          <w:trHeight w:val="173"/>
        </w:trPr>
        <w:tc>
          <w:tcPr>
            <w:tcW w:w="1220" w:type="dxa"/>
            <w:vAlign w:val="bottom"/>
            <w:gridSpan w:val="3"/>
          </w:tcPr>
          <w:p>
            <w:pPr>
              <w:ind w:left="40"/>
              <w:spacing w:after="0"/>
              <w:rPr>
                <w:sz w:val="20"/>
                <w:szCs w:val="20"/>
                <w:color w:val="auto"/>
              </w:rPr>
            </w:pPr>
            <w:r>
              <w:rPr>
                <w:rFonts w:ascii="Arial" w:cs="Arial" w:eastAsia="Arial" w:hAnsi="Arial"/>
                <w:sz w:val="13"/>
                <w:szCs w:val="13"/>
                <w:color w:val="auto"/>
              </w:rPr>
              <w:t>East Bay Bridge</w:t>
            </w:r>
          </w:p>
        </w:tc>
        <w:tc>
          <w:tcPr>
            <w:tcW w:w="42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3"/>
                <w:szCs w:val="13"/>
                <w:color w:val="auto"/>
                <w:w w:val="88"/>
              </w:rPr>
              <w:t>San Francisco-Oakland-Fremont, CA</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178,207</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439,000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spacing w:after="0"/>
              <w:rPr>
                <w:sz w:val="15"/>
                <w:szCs w:val="15"/>
                <w:color w:val="auto"/>
              </w:rPr>
            </w:pPr>
          </w:p>
        </w:tc>
        <w:tc>
          <w:tcPr>
            <w:tcW w:w="680" w:type="dxa"/>
            <w:vAlign w:val="bottom"/>
          </w:tcPr>
          <w:p>
            <w:pPr>
              <w:jc w:val="center"/>
              <w:ind w:right="77"/>
              <w:spacing w:after="0"/>
              <w:rPr>
                <w:sz w:val="20"/>
                <w:szCs w:val="20"/>
                <w:color w:val="auto"/>
              </w:rPr>
            </w:pPr>
            <w:r>
              <w:rPr>
                <w:rFonts w:ascii="Arial" w:cs="Arial" w:eastAsia="Arial" w:hAnsi="Arial"/>
                <w:sz w:val="13"/>
                <w:szCs w:val="13"/>
                <w:color w:val="auto"/>
                <w:w w:val="85"/>
              </w:rPr>
              <w:t>59,000</w:t>
            </w:r>
          </w:p>
        </w:tc>
        <w:tc>
          <w:tcPr>
            <w:tcW w:w="800" w:type="dxa"/>
            <w:vAlign w:val="bottom"/>
          </w:tcPr>
          <w:p>
            <w:pPr>
              <w:spacing w:after="0"/>
              <w:rPr>
                <w:sz w:val="20"/>
                <w:szCs w:val="20"/>
                <w:color w:val="auto"/>
              </w:rPr>
            </w:pPr>
            <w:r>
              <w:rPr>
                <w:rFonts w:ascii="Arial" w:cs="Arial" w:eastAsia="Arial" w:hAnsi="Arial"/>
                <w:sz w:val="13"/>
                <w:szCs w:val="13"/>
                <w:color w:val="auto"/>
              </w:rPr>
              <w:t>Pak-N-Save</w:t>
            </w:r>
          </w:p>
        </w:tc>
        <w:tc>
          <w:tcPr>
            <w:tcW w:w="2360" w:type="dxa"/>
            <w:vAlign w:val="bottom"/>
            <w:gridSpan w:val="8"/>
          </w:tcPr>
          <w:p>
            <w:pPr>
              <w:spacing w:after="0"/>
              <w:rPr>
                <w:sz w:val="20"/>
                <w:szCs w:val="20"/>
                <w:color w:val="auto"/>
              </w:rPr>
            </w:pPr>
            <w:r>
              <w:rPr>
                <w:rFonts w:ascii="Arial" w:cs="Arial" w:eastAsia="Arial" w:hAnsi="Arial"/>
                <w:sz w:val="13"/>
                <w:szCs w:val="13"/>
                <w:color w:val="auto"/>
              </w:rPr>
              <w:t>Home Depot / Target / Nordstrom Rack</w:t>
            </w: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98"/>
                <w:shd w:val="clear" w:color="auto" w:fill="CCEEFF"/>
              </w:rPr>
              <w:t>Escondido</w:t>
            </w:r>
          </w:p>
        </w:tc>
        <w:tc>
          <w:tcPr>
            <w:tcW w:w="5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17"/>
              <w:spacing w:after="0" w:line="148" w:lineRule="exact"/>
              <w:rPr>
                <w:sz w:val="20"/>
                <w:szCs w:val="20"/>
                <w:color w:val="auto"/>
              </w:rPr>
            </w:pPr>
            <w:r>
              <w:rPr>
                <w:rFonts w:ascii="Arial" w:cs="Arial" w:eastAsia="Arial" w:hAnsi="Arial"/>
                <w:sz w:val="13"/>
                <w:szCs w:val="13"/>
                <w:color w:val="auto"/>
              </w:rPr>
              <w:t>(3)</w:t>
            </w:r>
          </w:p>
        </w:tc>
        <w:tc>
          <w:tcPr>
            <w:tcW w:w="19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shd w:val="clear" w:color="auto" w:fill="CCEEFF"/>
              </w:rPr>
              <w:t>San Diego, CA</w:t>
            </w: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48,065</w:t>
            </w: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299,000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140" w:type="dxa"/>
            <w:vAlign w:val="bottom"/>
            <w:gridSpan w:val="7"/>
            <w:shd w:val="clear" w:color="auto" w:fill="CCEEFF"/>
          </w:tcPr>
          <w:p>
            <w:pPr>
              <w:spacing w:after="0" w:line="148" w:lineRule="exact"/>
              <w:rPr>
                <w:sz w:val="20"/>
                <w:szCs w:val="20"/>
                <w:color w:val="auto"/>
              </w:rPr>
            </w:pPr>
            <w:r>
              <w:rPr>
                <w:rFonts w:ascii="Arial" w:cs="Arial" w:eastAsia="Arial" w:hAnsi="Arial"/>
                <w:sz w:val="13"/>
                <w:szCs w:val="13"/>
                <w:color w:val="auto"/>
                <w:w w:val="92"/>
                <w:shd w:val="clear" w:color="auto" w:fill="CCEEFF"/>
              </w:rPr>
              <w:t>TJ Maxx / Dick’s Sporting Goods / Ross</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89"/>
                <w:shd w:val="clear" w:color="auto" w:fill="CCEEFF"/>
              </w:rPr>
              <w:t>Promenade</w:t>
            </w:r>
          </w:p>
        </w:tc>
        <w:tc>
          <w:tcPr>
            <w:tcW w:w="5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3"/>
                <w:szCs w:val="13"/>
                <w:color w:val="auto"/>
                <w:w w:val="85"/>
                <w:shd w:val="clear" w:color="auto" w:fill="CCEEFF"/>
              </w:rPr>
              <w:t>Dress For Less / Toys R Us</w:t>
            </w:r>
          </w:p>
        </w:tc>
        <w:tc>
          <w:tcPr>
            <w:tcW w:w="760" w:type="dxa"/>
            <w:vAlign w:val="bottom"/>
            <w:tcBorders>
              <w:bottom w:val="single" w:sz="8" w:color="CCEEFF"/>
            </w:tcBorders>
            <w:gridSpan w:val="3"/>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Hastings Ranch</w:t>
            </w:r>
          </w:p>
        </w:tc>
        <w:tc>
          <w:tcPr>
            <w:tcW w:w="420" w:type="dxa"/>
            <w:vAlign w:val="bottom"/>
          </w:tcPr>
          <w:p>
            <w:pPr>
              <w:spacing w:after="0"/>
              <w:rPr>
                <w:sz w:val="12"/>
                <w:szCs w:val="12"/>
                <w:color w:val="auto"/>
              </w:rPr>
            </w:pPr>
          </w:p>
        </w:tc>
        <w:tc>
          <w:tcPr>
            <w:tcW w:w="1920" w:type="dxa"/>
            <w:vAlign w:val="bottom"/>
            <w:gridSpan w:val="2"/>
          </w:tcPr>
          <w:p>
            <w:pPr>
              <w:spacing w:after="0" w:line="148" w:lineRule="exact"/>
              <w:rPr>
                <w:sz w:val="20"/>
                <w:szCs w:val="20"/>
                <w:color w:val="auto"/>
              </w:rPr>
            </w:pPr>
            <w:r>
              <w:rPr>
                <w:rFonts w:ascii="Arial" w:cs="Arial" w:eastAsia="Arial" w:hAnsi="Arial"/>
                <w:sz w:val="13"/>
                <w:szCs w:val="13"/>
                <w:color w:val="auto"/>
                <w:w w:val="92"/>
              </w:rPr>
              <w:t>Los Angeles-Long Beach-Anaheim,</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20" w:type="dxa"/>
            <w:vAlign w:val="bottom"/>
            <w:gridSpan w:val="3"/>
          </w:tcPr>
          <w:p>
            <w:pPr>
              <w:ind w:left="40"/>
              <w:spacing w:after="0"/>
              <w:rPr>
                <w:sz w:val="20"/>
                <w:szCs w:val="20"/>
                <w:color w:val="auto"/>
              </w:rPr>
            </w:pPr>
            <w:r>
              <w:rPr>
                <w:rFonts w:ascii="Arial" w:cs="Arial" w:eastAsia="Arial" w:hAnsi="Arial"/>
                <w:sz w:val="13"/>
                <w:szCs w:val="13"/>
                <w:color w:val="auto"/>
              </w:rPr>
              <w:t>Plaza</w:t>
            </w:r>
          </w:p>
        </w:tc>
        <w:tc>
          <w:tcPr>
            <w:tcW w:w="420" w:type="dxa"/>
            <w:vAlign w:val="bottom"/>
          </w:tcPr>
          <w:p>
            <w:pPr>
              <w:jc w:val="right"/>
              <w:ind w:right="117"/>
              <w:spacing w:after="0"/>
              <w:rPr>
                <w:sz w:val="20"/>
                <w:szCs w:val="20"/>
                <w:color w:val="auto"/>
              </w:rPr>
            </w:pPr>
            <w:r>
              <w:rPr>
                <w:rFonts w:ascii="Arial" w:cs="Arial" w:eastAsia="Arial" w:hAnsi="Arial"/>
                <w:sz w:val="13"/>
                <w:szCs w:val="13"/>
                <w:color w:val="auto"/>
              </w:rPr>
              <w:t>(7)</w:t>
            </w:r>
          </w:p>
        </w:tc>
        <w:tc>
          <w:tcPr>
            <w:tcW w:w="1920" w:type="dxa"/>
            <w:vAlign w:val="bottom"/>
            <w:gridSpan w:val="2"/>
          </w:tcPr>
          <w:p>
            <w:pPr>
              <w:spacing w:after="0"/>
              <w:rPr>
                <w:sz w:val="20"/>
                <w:szCs w:val="20"/>
                <w:color w:val="auto"/>
              </w:rPr>
            </w:pPr>
            <w:r>
              <w:rPr>
                <w:rFonts w:ascii="Arial" w:cs="Arial" w:eastAsia="Arial" w:hAnsi="Arial"/>
                <w:sz w:val="13"/>
                <w:szCs w:val="13"/>
                <w:color w:val="auto"/>
              </w:rPr>
              <w:t>CA</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22,393</w:t>
            </w:r>
          </w:p>
        </w:tc>
        <w:tc>
          <w:tcPr>
            <w:tcW w:w="660" w:type="dxa"/>
            <w:vAlign w:val="bottom"/>
          </w:tcPr>
          <w:p>
            <w:pPr>
              <w:spacing w:after="0"/>
              <w:rPr>
                <w:sz w:val="14"/>
                <w:szCs w:val="1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274,000</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60" w:type="dxa"/>
            <w:vAlign w:val="bottom"/>
            <w:gridSpan w:val="8"/>
          </w:tcPr>
          <w:p>
            <w:pPr>
              <w:spacing w:after="0"/>
              <w:rPr>
                <w:sz w:val="20"/>
                <w:szCs w:val="20"/>
                <w:color w:val="auto"/>
              </w:rPr>
            </w:pPr>
            <w:r>
              <w:rPr>
                <w:rFonts w:ascii="Arial" w:cs="Arial" w:eastAsia="Arial" w:hAnsi="Arial"/>
                <w:sz w:val="13"/>
                <w:szCs w:val="13"/>
                <w:color w:val="auto"/>
              </w:rPr>
              <w:t>Marshalls / HomeGoods / CVS / Sears</w:t>
            </w:r>
          </w:p>
        </w:tc>
        <w:tc>
          <w:tcPr>
            <w:tcW w:w="0" w:type="dxa"/>
            <w:vAlign w:val="bottom"/>
          </w:tcPr>
          <w:p>
            <w:pPr>
              <w:spacing w:after="0"/>
              <w:rPr>
                <w:sz w:val="1"/>
                <w:szCs w:val="1"/>
                <w:color w:val="auto"/>
              </w:rPr>
            </w:pPr>
          </w:p>
        </w:tc>
      </w:tr>
      <w:tr>
        <w:trPr>
          <w:trHeight w:val="156"/>
        </w:trPr>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2"/>
              </w:rPr>
              <w:t>Los Angeles-Long Beach-Anaheim,</w:t>
            </w:r>
          </w:p>
        </w:tc>
        <w:tc>
          <w:tcPr>
            <w:tcW w:w="6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Hermosa Avenue</w:t>
            </w:r>
          </w:p>
        </w:tc>
        <w:tc>
          <w:tcPr>
            <w:tcW w:w="42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5,931</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&lt; 1</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gridSpan w:val="2"/>
          </w:tcPr>
          <w:p>
            <w:pPr>
              <w:spacing w:after="0" w:line="148" w:lineRule="exact"/>
              <w:rPr>
                <w:sz w:val="20"/>
                <w:szCs w:val="20"/>
                <w:color w:val="auto"/>
              </w:rPr>
            </w:pPr>
            <w:r>
              <w:rPr>
                <w:rFonts w:ascii="Arial" w:cs="Arial" w:eastAsia="Arial" w:hAnsi="Arial"/>
                <w:sz w:val="13"/>
                <w:szCs w:val="13"/>
                <w:color w:val="auto"/>
                <w:w w:val="92"/>
              </w:rPr>
              <w:t>Los Angeles-Long Beach-Anaheim,</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20" w:type="dxa"/>
            <w:vAlign w:val="bottom"/>
            <w:gridSpan w:val="3"/>
          </w:tcPr>
          <w:p>
            <w:pPr>
              <w:ind w:left="40"/>
              <w:spacing w:after="0"/>
              <w:rPr>
                <w:sz w:val="20"/>
                <w:szCs w:val="20"/>
                <w:color w:val="auto"/>
              </w:rPr>
            </w:pPr>
            <w:r>
              <w:rPr>
                <w:rFonts w:ascii="Arial" w:cs="Arial" w:eastAsia="Arial" w:hAnsi="Arial"/>
                <w:sz w:val="13"/>
                <w:szCs w:val="13"/>
                <w:color w:val="auto"/>
              </w:rPr>
              <w:t>Hollywood Blvd</w:t>
            </w:r>
          </w:p>
        </w:tc>
        <w:tc>
          <w:tcPr>
            <w:tcW w:w="420" w:type="dxa"/>
            <w:vAlign w:val="bottom"/>
          </w:tcPr>
          <w:p>
            <w:pPr>
              <w:spacing w:after="0"/>
              <w:rPr>
                <w:sz w:val="13"/>
                <w:szCs w:val="13"/>
                <w:color w:val="auto"/>
              </w:rPr>
            </w:pPr>
          </w:p>
        </w:tc>
        <w:tc>
          <w:tcPr>
            <w:tcW w:w="1920" w:type="dxa"/>
            <w:vAlign w:val="bottom"/>
            <w:gridSpan w:val="2"/>
          </w:tcPr>
          <w:p>
            <w:pPr>
              <w:spacing w:after="0"/>
              <w:rPr>
                <w:sz w:val="20"/>
                <w:szCs w:val="20"/>
                <w:color w:val="auto"/>
              </w:rPr>
            </w:pPr>
            <w:r>
              <w:rPr>
                <w:rFonts w:ascii="Arial" w:cs="Arial" w:eastAsia="Arial" w:hAnsi="Arial"/>
                <w:sz w:val="13"/>
                <w:szCs w:val="13"/>
                <w:color w:val="auto"/>
              </w:rPr>
              <w:t>CA</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46,698</w:t>
            </w:r>
          </w:p>
        </w:tc>
        <w:tc>
          <w:tcPr>
            <w:tcW w:w="66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180,000</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91%</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360" w:type="dxa"/>
            <w:vAlign w:val="bottom"/>
            <w:gridSpan w:val="8"/>
          </w:tcPr>
          <w:p>
            <w:pPr>
              <w:spacing w:after="0"/>
              <w:rPr>
                <w:sz w:val="20"/>
                <w:szCs w:val="20"/>
                <w:color w:val="auto"/>
              </w:rPr>
            </w:pPr>
            <w:r>
              <w:rPr>
                <w:rFonts w:ascii="Arial" w:cs="Arial" w:eastAsia="Arial" w:hAnsi="Arial"/>
                <w:sz w:val="13"/>
                <w:szCs w:val="13"/>
                <w:color w:val="auto"/>
                <w:w w:val="92"/>
              </w:rPr>
              <w:t>Marshalls / DSW / L.A. Fitness / La La Land</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027"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7" w:right="239" w:bottom="1027"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8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Leased</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Residential</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Anchor</w:t>
            </w:r>
          </w:p>
        </w:tc>
        <w:tc>
          <w:tcPr>
            <w:tcW w:w="88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60" w:type="dxa"/>
            <w:vAlign w:val="bottom"/>
          </w:tcPr>
          <w:p>
            <w:pPr>
              <w:spacing w:after="0"/>
              <w:rPr>
                <w:sz w:val="11"/>
                <w:szCs w:val="11"/>
                <w:color w:val="auto"/>
              </w:rPr>
            </w:pPr>
          </w:p>
        </w:tc>
      </w:tr>
      <w:tr>
        <w:trPr>
          <w:trHeight w:val="174"/>
        </w:trPr>
        <w:tc>
          <w:tcPr>
            <w:tcW w:w="116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Property Name</w:t>
            </w:r>
          </w:p>
        </w:tc>
        <w:tc>
          <w:tcPr>
            <w:tcW w:w="4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Acreage</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GLA (2)</w:t>
            </w: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48"/>
        </w:trPr>
        <w:tc>
          <w:tcPr>
            <w:tcW w:w="116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Kings Court</w:t>
            </w:r>
          </w:p>
        </w:tc>
        <w:tc>
          <w:tcPr>
            <w:tcW w:w="4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7"/>
              </w:rPr>
              <w:t>(5)</w:t>
            </w:r>
          </w:p>
        </w:tc>
        <w:tc>
          <w:tcPr>
            <w:tcW w:w="19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11,667</w:t>
            </w: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79,000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31,000</w:t>
            </w:r>
          </w:p>
        </w:tc>
        <w:tc>
          <w:tcPr>
            <w:tcW w:w="88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Lunardi's</w:t>
            </w:r>
          </w:p>
        </w:tc>
        <w:tc>
          <w:tcPr>
            <w:tcW w:w="23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shd w:val="clear" w:color="auto" w:fill="CCEEFF"/>
              </w:rPr>
              <w:t>CVS</w:t>
            </w:r>
          </w:p>
        </w:tc>
      </w:tr>
      <w:tr>
        <w:trPr>
          <w:trHeight w:val="176"/>
        </w:trPr>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Super Market</w:t>
            </w:r>
          </w:p>
        </w:tc>
        <w:tc>
          <w:tcPr>
            <w:tcW w:w="2360" w:type="dxa"/>
            <w:vAlign w:val="bottom"/>
            <w:shd w:val="clear" w:color="auto" w:fill="CCEEFF"/>
          </w:tcPr>
          <w:p>
            <w:pPr>
              <w:spacing w:after="0"/>
              <w:rPr>
                <w:sz w:val="15"/>
                <w:szCs w:val="15"/>
                <w:color w:val="auto"/>
              </w:rPr>
            </w:pPr>
          </w:p>
        </w:tc>
      </w:tr>
      <w:tr>
        <w:trPr>
          <w:trHeight w:val="173"/>
        </w:trPr>
        <w:tc>
          <w:tcPr>
            <w:tcW w:w="1160" w:type="dxa"/>
            <w:vAlign w:val="bottom"/>
            <w:gridSpan w:val="4"/>
          </w:tcPr>
          <w:p>
            <w:pPr>
              <w:ind w:left="40"/>
              <w:spacing w:after="0"/>
              <w:rPr>
                <w:sz w:val="20"/>
                <w:szCs w:val="20"/>
                <w:color w:val="auto"/>
              </w:rPr>
            </w:pPr>
            <w:r>
              <w:rPr>
                <w:rFonts w:ascii="Arial" w:cs="Arial" w:eastAsia="Arial" w:hAnsi="Arial"/>
                <w:sz w:val="13"/>
                <w:szCs w:val="13"/>
                <w:color w:val="auto"/>
              </w:rPr>
              <w:t>Old Town Center</w:t>
            </w:r>
          </w:p>
        </w:tc>
        <w:tc>
          <w:tcPr>
            <w:tcW w:w="440" w:type="dxa"/>
            <w:vAlign w:val="bottom"/>
          </w:tcPr>
          <w:p>
            <w:pPr>
              <w:spacing w:after="0"/>
              <w:rPr>
                <w:sz w:val="15"/>
                <w:szCs w:val="15"/>
                <w:color w:val="auto"/>
              </w:rPr>
            </w:pPr>
          </w:p>
        </w:tc>
        <w:tc>
          <w:tcPr>
            <w:tcW w:w="1960" w:type="dxa"/>
            <w:vAlign w:val="bottom"/>
            <w:gridSpan w:val="2"/>
          </w:tcPr>
          <w:p>
            <w:pPr>
              <w:ind w:left="40"/>
              <w:spacing w:after="0"/>
              <w:rPr>
                <w:sz w:val="20"/>
                <w:szCs w:val="20"/>
                <w:color w:val="auto"/>
              </w:rPr>
            </w:pPr>
            <w:r>
              <w:rPr>
                <w:rFonts w:ascii="Arial" w:cs="Arial" w:eastAsia="Arial" w:hAnsi="Arial"/>
                <w:sz w:val="13"/>
                <w:szCs w:val="13"/>
                <w:color w:val="auto"/>
              </w:rPr>
              <w:t>San Jose, CA</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36,996</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98,000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99%</w:t>
            </w: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60" w:type="dxa"/>
            <w:vAlign w:val="bottom"/>
          </w:tcPr>
          <w:p>
            <w:pPr>
              <w:spacing w:after="0"/>
              <w:rPr>
                <w:sz w:val="20"/>
                <w:szCs w:val="20"/>
                <w:color w:val="auto"/>
              </w:rPr>
            </w:pPr>
            <w:r>
              <w:rPr>
                <w:rFonts w:ascii="Arial" w:cs="Arial" w:eastAsia="Arial" w:hAnsi="Arial"/>
                <w:sz w:val="13"/>
                <w:szCs w:val="13"/>
                <w:color w:val="auto"/>
              </w:rPr>
              <w:t>Anthropologie / Banana Republic / Gap</w:t>
            </w:r>
          </w:p>
        </w:tc>
      </w:tr>
      <w:tr>
        <w:trPr>
          <w:trHeight w:val="97"/>
        </w:trPr>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360" w:type="dxa"/>
            <w:vAlign w:val="bottom"/>
          </w:tcPr>
          <w:p>
            <w:pPr>
              <w:spacing w:after="0"/>
              <w:rPr>
                <w:sz w:val="8"/>
                <w:szCs w:val="8"/>
                <w:color w:val="auto"/>
              </w:rPr>
            </w:pPr>
          </w:p>
        </w:tc>
      </w:tr>
      <w:tr>
        <w:trPr>
          <w:trHeight w:val="148"/>
        </w:trPr>
        <w:tc>
          <w:tcPr>
            <w:tcW w:w="116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w w:val="99"/>
              </w:rPr>
              <w:t>Plaza El Segundo /</w:t>
            </w:r>
          </w:p>
        </w:tc>
        <w:tc>
          <w:tcPr>
            <w:tcW w:w="4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7"/>
              </w:rPr>
              <w:t>(3)</w:t>
            </w:r>
          </w:p>
        </w:tc>
        <w:tc>
          <w:tcPr>
            <w:tcW w:w="19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2"/>
              </w:rPr>
              <w:t>Los Angeles-Long Beach-Anaheim,</w:t>
            </w: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279,795</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175,000</w:t>
            </w:r>
          </w:p>
        </w:tc>
        <w:tc>
          <w:tcPr>
            <w:tcW w:w="5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494,000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66,000</w:t>
            </w:r>
          </w:p>
        </w:tc>
        <w:tc>
          <w:tcPr>
            <w:tcW w:w="88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Whole Foods</w:t>
            </w:r>
          </w:p>
        </w:tc>
        <w:tc>
          <w:tcPr>
            <w:tcW w:w="23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shd w:val="clear" w:color="auto" w:fill="CCEEFF"/>
              </w:rPr>
              <w:t>Anthropologie / HomeGoods / Dick's</w:t>
            </w:r>
          </w:p>
        </w:tc>
      </w:tr>
      <w:tr>
        <w:trPr>
          <w:trHeight w:val="156"/>
        </w:trPr>
        <w:tc>
          <w:tcPr>
            <w:tcW w:w="1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The Point</w:t>
            </w:r>
          </w:p>
        </w:tc>
        <w:tc>
          <w:tcPr>
            <w:tcW w:w="440" w:type="dxa"/>
            <w:vAlign w:val="bottom"/>
            <w:tcBorders>
              <w:bottom w:val="single" w:sz="8" w:color="CCEEFF"/>
            </w:tcBorders>
            <w:shd w:val="clear" w:color="auto" w:fill="CCEEFF"/>
          </w:tcPr>
          <w:p>
            <w:pPr>
              <w:spacing w:after="0"/>
              <w:rPr>
                <w:sz w:val="13"/>
                <w:szCs w:val="13"/>
                <w:color w:val="auto"/>
              </w:rPr>
            </w:pPr>
          </w:p>
        </w:tc>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6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Sporting Goods / Multiple Restaurants</w:t>
            </w:r>
          </w:p>
        </w:tc>
      </w:tr>
      <w:tr>
        <w:trPr>
          <w:trHeight w:val="148"/>
        </w:trPr>
        <w:tc>
          <w:tcPr>
            <w:tcW w:w="116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Santana Row</w:t>
            </w:r>
          </w:p>
        </w:tc>
        <w:tc>
          <w:tcPr>
            <w:tcW w:w="440" w:type="dxa"/>
            <w:vAlign w:val="bottom"/>
          </w:tcPr>
          <w:p>
            <w:pPr>
              <w:spacing w:after="0"/>
              <w:rPr>
                <w:sz w:val="12"/>
                <w:szCs w:val="12"/>
                <w:color w:val="auto"/>
              </w:rPr>
            </w:pPr>
          </w:p>
        </w:tc>
        <w:tc>
          <w:tcPr>
            <w:tcW w:w="19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808,538</w:t>
            </w:r>
          </w:p>
        </w:tc>
        <w:tc>
          <w:tcPr>
            <w:tcW w:w="660" w:type="dxa"/>
            <w:vAlign w:val="bottom"/>
          </w:tcPr>
          <w:p>
            <w:pPr>
              <w:spacing w:after="0"/>
              <w:rPr>
                <w:sz w:val="12"/>
                <w:szCs w:val="12"/>
                <w:color w:val="auto"/>
              </w:rPr>
            </w:pP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45</w:t>
            </w:r>
          </w:p>
        </w:tc>
        <w:tc>
          <w:tcPr>
            <w:tcW w:w="10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882,000</w:t>
            </w: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662</w:t>
            </w: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60" w:type="dxa"/>
            <w:vAlign w:val="bottom"/>
          </w:tcPr>
          <w:p>
            <w:pPr>
              <w:spacing w:after="0" w:line="148" w:lineRule="exact"/>
              <w:rPr>
                <w:sz w:val="20"/>
                <w:szCs w:val="20"/>
                <w:color w:val="auto"/>
              </w:rPr>
            </w:pPr>
            <w:r>
              <w:rPr>
                <w:rFonts w:ascii="Arial" w:cs="Arial" w:eastAsia="Arial" w:hAnsi="Arial"/>
                <w:sz w:val="13"/>
                <w:szCs w:val="13"/>
                <w:color w:val="auto"/>
              </w:rPr>
              <w:t>Crate &amp; Barrel / H&amp;M / Container Store /</w:t>
            </w:r>
          </w:p>
        </w:tc>
      </w:tr>
      <w:tr>
        <w:trPr>
          <w:trHeight w:val="168"/>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60" w:type="dxa"/>
            <w:vAlign w:val="bottom"/>
          </w:tcPr>
          <w:p>
            <w:pPr>
              <w:spacing w:after="0"/>
              <w:rPr>
                <w:sz w:val="20"/>
                <w:szCs w:val="20"/>
                <w:color w:val="auto"/>
              </w:rPr>
            </w:pPr>
            <w:r>
              <w:rPr>
                <w:rFonts w:ascii="Arial" w:cs="Arial" w:eastAsia="Arial" w:hAnsi="Arial"/>
                <w:sz w:val="13"/>
                <w:szCs w:val="13"/>
                <w:color w:val="auto"/>
              </w:rPr>
              <w:t>Multiple Restaurants</w:t>
            </w:r>
          </w:p>
        </w:tc>
      </w:tr>
      <w:tr>
        <w:trPr>
          <w:trHeight w:val="156"/>
        </w:trPr>
        <w:tc>
          <w:tcPr>
            <w:tcW w:w="116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w w:val="96"/>
              </w:rPr>
              <w:t>San Antonio Center</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1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San Francisco-Oakland-San Jose,</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73,507</w:t>
            </w:r>
          </w:p>
        </w:tc>
        <w:tc>
          <w:tcPr>
            <w:tcW w:w="6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376,000</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8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11,000</w:t>
            </w:r>
          </w:p>
        </w:tc>
        <w:tc>
          <w:tcPr>
            <w:tcW w:w="88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Wal-mart / Kohl's / 24 Hour Fitness</w:t>
            </w:r>
          </w:p>
        </w:tc>
      </w:tr>
      <w:tr>
        <w:trPr>
          <w:trHeight w:val="176"/>
        </w:trPr>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r>
      <w:tr>
        <w:trPr>
          <w:trHeight w:val="148"/>
        </w:trPr>
        <w:tc>
          <w:tcPr>
            <w:tcW w:w="116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Third Street</w:t>
            </w:r>
          </w:p>
        </w:tc>
        <w:tc>
          <w:tcPr>
            <w:tcW w:w="440" w:type="dxa"/>
            <w:vAlign w:val="bottom"/>
          </w:tcPr>
          <w:p>
            <w:pPr>
              <w:spacing w:after="0"/>
              <w:rPr>
                <w:sz w:val="12"/>
                <w:szCs w:val="12"/>
                <w:color w:val="auto"/>
              </w:rPr>
            </w:pPr>
          </w:p>
        </w:tc>
        <w:tc>
          <w:tcPr>
            <w:tcW w:w="196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2"/>
              </w:rPr>
              <w:t>Los Angeles-Long Beach-Anaheim,</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78,122</w:t>
            </w:r>
          </w:p>
        </w:tc>
        <w:tc>
          <w:tcPr>
            <w:tcW w:w="660" w:type="dxa"/>
            <w:vAlign w:val="bottom"/>
          </w:tcPr>
          <w:p>
            <w:pPr>
              <w:spacing w:after="0"/>
              <w:rPr>
                <w:sz w:val="12"/>
                <w:szCs w:val="12"/>
                <w:color w:val="auto"/>
              </w:rPr>
            </w:pP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209,000</w:t>
            </w: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60" w:type="dxa"/>
            <w:vAlign w:val="bottom"/>
          </w:tcPr>
          <w:p>
            <w:pPr>
              <w:spacing w:after="0" w:line="148" w:lineRule="exact"/>
              <w:rPr>
                <w:sz w:val="20"/>
                <w:szCs w:val="20"/>
                <w:color w:val="auto"/>
              </w:rPr>
            </w:pPr>
            <w:r>
              <w:rPr>
                <w:rFonts w:ascii="Arial" w:cs="Arial" w:eastAsia="Arial" w:hAnsi="Arial"/>
                <w:sz w:val="13"/>
                <w:szCs w:val="13"/>
                <w:color w:val="auto"/>
              </w:rPr>
              <w:t>Banana Republic / Old Navy / J. Crew /</w:t>
            </w:r>
          </w:p>
        </w:tc>
      </w:tr>
      <w:tr>
        <w:trPr>
          <w:trHeight w:val="168"/>
        </w:trPr>
        <w:tc>
          <w:tcPr>
            <w:tcW w:w="1160" w:type="dxa"/>
            <w:vAlign w:val="bottom"/>
            <w:gridSpan w:val="4"/>
          </w:tcPr>
          <w:p>
            <w:pPr>
              <w:ind w:left="40"/>
              <w:spacing w:after="0"/>
              <w:rPr>
                <w:sz w:val="20"/>
                <w:szCs w:val="20"/>
                <w:color w:val="auto"/>
              </w:rPr>
            </w:pPr>
            <w:r>
              <w:rPr>
                <w:rFonts w:ascii="Arial" w:cs="Arial" w:eastAsia="Arial" w:hAnsi="Arial"/>
                <w:sz w:val="13"/>
                <w:szCs w:val="13"/>
                <w:color w:val="auto"/>
              </w:rPr>
              <w:t>Promenade</w:t>
            </w:r>
          </w:p>
        </w:tc>
        <w:tc>
          <w:tcPr>
            <w:tcW w:w="440" w:type="dxa"/>
            <w:vAlign w:val="bottom"/>
          </w:tcPr>
          <w:p>
            <w:pPr>
              <w:spacing w:after="0"/>
              <w:rPr>
                <w:sz w:val="14"/>
                <w:szCs w:val="14"/>
                <w:color w:val="auto"/>
              </w:rPr>
            </w:pPr>
          </w:p>
        </w:tc>
        <w:tc>
          <w:tcPr>
            <w:tcW w:w="1960" w:type="dxa"/>
            <w:vAlign w:val="bottom"/>
            <w:gridSpan w:val="2"/>
          </w:tcPr>
          <w:p>
            <w:pPr>
              <w:ind w:left="40"/>
              <w:spacing w:after="0"/>
              <w:rPr>
                <w:sz w:val="20"/>
                <w:szCs w:val="20"/>
                <w:color w:val="auto"/>
              </w:rPr>
            </w:pPr>
            <w:r>
              <w:rPr>
                <w:rFonts w:ascii="Arial" w:cs="Arial" w:eastAsia="Arial" w:hAnsi="Arial"/>
                <w:sz w:val="13"/>
                <w:szCs w:val="13"/>
                <w:color w:val="auto"/>
              </w:rPr>
              <w:t>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60" w:type="dxa"/>
            <w:vAlign w:val="bottom"/>
          </w:tcPr>
          <w:p>
            <w:pPr>
              <w:spacing w:after="0"/>
              <w:rPr>
                <w:sz w:val="20"/>
                <w:szCs w:val="20"/>
                <w:color w:val="auto"/>
              </w:rPr>
            </w:pPr>
            <w:r>
              <w:rPr>
                <w:rFonts w:ascii="Arial" w:cs="Arial" w:eastAsia="Arial" w:hAnsi="Arial"/>
                <w:sz w:val="13"/>
                <w:szCs w:val="13"/>
                <w:color w:val="auto"/>
              </w:rPr>
              <w:t>Abercrombie &amp; Fitch</w:t>
            </w:r>
          </w:p>
        </w:tc>
      </w:tr>
      <w:tr>
        <w:trPr>
          <w:trHeight w:val="156"/>
        </w:trPr>
        <w:tc>
          <w:tcPr>
            <w:tcW w:w="116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Westgate Center</w:t>
            </w:r>
          </w:p>
        </w:tc>
        <w:tc>
          <w:tcPr>
            <w:tcW w:w="44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150,028</w:t>
            </w:r>
          </w:p>
        </w:tc>
        <w:tc>
          <w:tcPr>
            <w:tcW w:w="6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647,000</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38,000</w:t>
            </w:r>
          </w:p>
        </w:tc>
        <w:tc>
          <w:tcPr>
            <w:tcW w:w="88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Walmart</w:t>
            </w: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Target / Nordstrom Rack / Nike Factory /</w:t>
            </w:r>
          </w:p>
        </w:tc>
      </w:tr>
      <w:tr>
        <w:trPr>
          <w:trHeight w:val="135"/>
        </w:trPr>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95"/>
              </w:rPr>
              <w:t>Neighborhood</w:t>
            </w:r>
          </w:p>
        </w:tc>
        <w:tc>
          <w:tcPr>
            <w:tcW w:w="2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shd w:val="clear" w:color="auto" w:fill="CCEEFF"/>
              </w:rPr>
              <w:t>Burlington</w:t>
            </w:r>
          </w:p>
        </w:tc>
      </w:tr>
      <w:tr>
        <w:trPr>
          <w:trHeight w:val="176"/>
        </w:trPr>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2360" w:type="dxa"/>
            <w:vAlign w:val="bottom"/>
            <w:shd w:val="clear" w:color="auto" w:fill="CCEEFF"/>
          </w:tcPr>
          <w:p>
            <w:pPr>
              <w:spacing w:after="0"/>
              <w:rPr>
                <w:sz w:val="15"/>
                <w:szCs w:val="15"/>
                <w:color w:val="auto"/>
              </w:rPr>
            </w:pPr>
          </w:p>
        </w:tc>
      </w:tr>
      <w:tr>
        <w:trPr>
          <w:trHeight w:val="173"/>
        </w:trPr>
        <w:tc>
          <w:tcPr>
            <w:tcW w:w="1160" w:type="dxa"/>
            <w:vAlign w:val="bottom"/>
            <w:gridSpan w:val="4"/>
          </w:tcPr>
          <w:p>
            <w:pPr>
              <w:ind w:left="40"/>
              <w:spacing w:after="0"/>
              <w:rPr>
                <w:sz w:val="20"/>
                <w:szCs w:val="20"/>
                <w:color w:val="auto"/>
              </w:rPr>
            </w:pPr>
            <w:r>
              <w:rPr>
                <w:rFonts w:ascii="Arial" w:cs="Arial" w:eastAsia="Arial" w:hAnsi="Arial"/>
                <w:sz w:val="13"/>
                <w:szCs w:val="13"/>
                <w:color w:val="auto"/>
              </w:rPr>
              <w:t>150 Post Street</w:t>
            </w:r>
          </w:p>
        </w:tc>
        <w:tc>
          <w:tcPr>
            <w:tcW w:w="440" w:type="dxa"/>
            <w:vAlign w:val="bottom"/>
          </w:tcPr>
          <w:p>
            <w:pPr>
              <w:spacing w:after="0"/>
              <w:rPr>
                <w:sz w:val="15"/>
                <w:szCs w:val="15"/>
                <w:color w:val="auto"/>
              </w:rPr>
            </w:pPr>
          </w:p>
        </w:tc>
        <w:tc>
          <w:tcPr>
            <w:tcW w:w="1960" w:type="dxa"/>
            <w:vAlign w:val="bottom"/>
            <w:gridSpan w:val="2"/>
          </w:tcPr>
          <w:p>
            <w:pPr>
              <w:ind w:left="40"/>
              <w:spacing w:after="0"/>
              <w:rPr>
                <w:sz w:val="20"/>
                <w:szCs w:val="20"/>
                <w:color w:val="auto"/>
              </w:rPr>
            </w:pPr>
            <w:r>
              <w:rPr>
                <w:rFonts w:ascii="Arial" w:cs="Arial" w:eastAsia="Arial" w:hAnsi="Arial"/>
                <w:sz w:val="13"/>
                <w:szCs w:val="13"/>
                <w:color w:val="auto"/>
              </w:rPr>
              <w:t>San Francisco, CA</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36,273</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&lt; 1</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105,000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81%</w:t>
            </w: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60" w:type="dxa"/>
            <w:vAlign w:val="bottom"/>
          </w:tcPr>
          <w:p>
            <w:pPr>
              <w:spacing w:after="0"/>
              <w:rPr>
                <w:sz w:val="20"/>
                <w:szCs w:val="20"/>
                <w:color w:val="auto"/>
              </w:rPr>
            </w:pPr>
            <w:r>
              <w:rPr>
                <w:rFonts w:ascii="Arial" w:cs="Arial" w:eastAsia="Arial" w:hAnsi="Arial"/>
                <w:sz w:val="13"/>
                <w:szCs w:val="13"/>
                <w:color w:val="auto"/>
              </w:rPr>
              <w:t>Shreve &amp; Co.</w:t>
            </w:r>
          </w:p>
        </w:tc>
      </w:tr>
      <w:tr>
        <w:trPr>
          <w:trHeight w:val="97"/>
        </w:trPr>
        <w:tc>
          <w:tcPr>
            <w:tcW w:w="4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540" w:type="dxa"/>
            <w:vAlign w:val="bottom"/>
            <w:tcBorders>
              <w:bottom w:val="single" w:sz="8" w:color="CCEEFF"/>
            </w:tcBorders>
          </w:tcPr>
          <w:p>
            <w:pPr>
              <w:spacing w:after="0"/>
              <w:rPr>
                <w:sz w:val="8"/>
                <w:szCs w:val="8"/>
                <w:color w:val="auto"/>
              </w:rPr>
            </w:pPr>
          </w:p>
        </w:tc>
        <w:tc>
          <w:tcPr>
            <w:tcW w:w="240" w:type="dxa"/>
            <w:vAlign w:val="bottom"/>
            <w:tcBorders>
              <w:bottom w:val="single" w:sz="8" w:color="CCEEFF"/>
            </w:tcBorders>
          </w:tcPr>
          <w:p>
            <w:pPr>
              <w:spacing w:after="0"/>
              <w:rPr>
                <w:sz w:val="8"/>
                <w:szCs w:val="8"/>
                <w:color w:val="auto"/>
              </w:rPr>
            </w:pPr>
          </w:p>
        </w:tc>
        <w:tc>
          <w:tcPr>
            <w:tcW w:w="440" w:type="dxa"/>
            <w:vAlign w:val="bottom"/>
            <w:tcBorders>
              <w:bottom w:val="single" w:sz="8" w:color="CCEEFF"/>
            </w:tcBorders>
          </w:tcPr>
          <w:p>
            <w:pPr>
              <w:spacing w:after="0"/>
              <w:rPr>
                <w:sz w:val="8"/>
                <w:szCs w:val="8"/>
                <w:color w:val="auto"/>
              </w:rPr>
            </w:pPr>
          </w:p>
        </w:tc>
        <w:tc>
          <w:tcPr>
            <w:tcW w:w="220" w:type="dxa"/>
            <w:vAlign w:val="bottom"/>
            <w:tcBorders>
              <w:bottom w:val="single" w:sz="8" w:color="CCEEFF"/>
            </w:tcBorders>
          </w:tcPr>
          <w:p>
            <w:pPr>
              <w:spacing w:after="0"/>
              <w:rPr>
                <w:sz w:val="8"/>
                <w:szCs w:val="8"/>
                <w:color w:val="auto"/>
              </w:rPr>
            </w:pPr>
          </w:p>
        </w:tc>
        <w:tc>
          <w:tcPr>
            <w:tcW w:w="174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80" w:type="dxa"/>
            <w:vAlign w:val="bottom"/>
            <w:tcBorders>
              <w:bottom w:val="single" w:sz="8" w:color="CCEEFF"/>
            </w:tcBorders>
          </w:tcPr>
          <w:p>
            <w:pPr>
              <w:spacing w:after="0"/>
              <w:rPr>
                <w:sz w:val="8"/>
                <w:szCs w:val="8"/>
                <w:color w:val="auto"/>
              </w:rPr>
            </w:pPr>
          </w:p>
        </w:tc>
        <w:tc>
          <w:tcPr>
            <w:tcW w:w="2360" w:type="dxa"/>
            <w:vAlign w:val="bottom"/>
            <w:tcBorders>
              <w:bottom w:val="single" w:sz="8" w:color="CCEEFF"/>
            </w:tcBorders>
          </w:tcPr>
          <w:p>
            <w:pPr>
              <w:spacing w:after="0"/>
              <w:rPr>
                <w:sz w:val="8"/>
                <w:szCs w:val="8"/>
                <w:color w:val="auto"/>
              </w:rPr>
            </w:pPr>
          </w:p>
        </w:tc>
      </w:tr>
      <w:tr>
        <w:trPr>
          <w:trHeight w:val="250"/>
        </w:trPr>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Total California</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1,885,111</w:t>
            </w:r>
          </w:p>
        </w:tc>
        <w:tc>
          <w:tcPr>
            <w:tcW w:w="66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281</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4,415,000</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149"/>
        </w:trPr>
        <w:tc>
          <w:tcPr>
            <w:tcW w:w="4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ind w:left="60"/>
              <w:spacing w:after="0"/>
              <w:rPr>
                <w:sz w:val="20"/>
                <w:szCs w:val="20"/>
                <w:color w:val="auto"/>
              </w:rPr>
            </w:pPr>
            <w:r>
              <w:rPr>
                <w:rFonts w:ascii="Arial" w:cs="Arial" w:eastAsia="Arial" w:hAnsi="Arial"/>
                <w:sz w:val="13"/>
                <w:szCs w:val="13"/>
                <w:b w:val="1"/>
                <w:bCs w:val="1"/>
                <w:color w:val="auto"/>
              </w:rPr>
              <w:t>NY Metro/New</w:t>
            </w: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r>
      <w:tr>
        <w:trPr>
          <w:trHeight w:val="136"/>
        </w:trPr>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w w:val="77"/>
              </w:rPr>
              <w:t>Jersey</w:t>
            </w:r>
          </w:p>
        </w:tc>
        <w:tc>
          <w:tcPr>
            <w:tcW w:w="54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74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880" w:type="dxa"/>
            <w:vAlign w:val="bottom"/>
            <w:tcBorders>
              <w:top w:val="single" w:sz="8" w:color="CCEEFF"/>
              <w:bottom w:val="single" w:sz="8" w:color="CCEEFF"/>
            </w:tcBorders>
            <w:shd w:val="clear" w:color="auto" w:fill="CCEEFF"/>
          </w:tcPr>
          <w:p>
            <w:pPr>
              <w:spacing w:after="0"/>
              <w:rPr>
                <w:sz w:val="11"/>
                <w:szCs w:val="11"/>
                <w:color w:val="auto"/>
              </w:rPr>
            </w:pPr>
          </w:p>
        </w:tc>
        <w:tc>
          <w:tcPr>
            <w:tcW w:w="236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73"/>
        </w:trPr>
        <w:tc>
          <w:tcPr>
            <w:tcW w:w="1160" w:type="dxa"/>
            <w:vAlign w:val="bottom"/>
            <w:gridSpan w:val="4"/>
          </w:tcPr>
          <w:p>
            <w:pPr>
              <w:ind w:left="40"/>
              <w:spacing w:after="0"/>
              <w:rPr>
                <w:sz w:val="20"/>
                <w:szCs w:val="20"/>
                <w:color w:val="auto"/>
              </w:rPr>
            </w:pPr>
            <w:r>
              <w:rPr>
                <w:rFonts w:ascii="Arial" w:cs="Arial" w:eastAsia="Arial" w:hAnsi="Arial"/>
                <w:sz w:val="13"/>
                <w:szCs w:val="13"/>
                <w:color w:val="auto"/>
              </w:rPr>
              <w:t>Brick Plaza</w:t>
            </w:r>
          </w:p>
        </w:tc>
        <w:tc>
          <w:tcPr>
            <w:tcW w:w="440" w:type="dxa"/>
            <w:vAlign w:val="bottom"/>
          </w:tcPr>
          <w:p>
            <w:pPr>
              <w:spacing w:after="0"/>
              <w:rPr>
                <w:sz w:val="15"/>
                <w:szCs w:val="15"/>
                <w:color w:val="auto"/>
              </w:rPr>
            </w:pPr>
          </w:p>
        </w:tc>
        <w:tc>
          <w:tcPr>
            <w:tcW w:w="1960" w:type="dxa"/>
            <w:vAlign w:val="bottom"/>
            <w:gridSpan w:val="2"/>
          </w:tcPr>
          <w:p>
            <w:pPr>
              <w:ind w:left="40"/>
              <w:spacing w:after="0"/>
              <w:rPr>
                <w:sz w:val="20"/>
                <w:szCs w:val="20"/>
                <w:color w:val="auto"/>
              </w:rPr>
            </w:pPr>
            <w:r>
              <w:rPr>
                <w:rFonts w:ascii="Arial" w:cs="Arial" w:eastAsia="Arial" w:hAnsi="Arial"/>
                <w:sz w:val="13"/>
                <w:szCs w:val="13"/>
                <w:color w:val="auto"/>
              </w:rPr>
              <w:t>Monmouth-Ocean, NJ</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71,729</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422,000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68%</w:t>
            </w: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60" w:type="dxa"/>
            <w:vAlign w:val="bottom"/>
          </w:tcPr>
          <w:p>
            <w:pPr>
              <w:spacing w:after="0"/>
              <w:rPr>
                <w:sz w:val="20"/>
                <w:szCs w:val="20"/>
                <w:color w:val="auto"/>
              </w:rPr>
            </w:pPr>
            <w:r>
              <w:rPr>
                <w:rFonts w:ascii="Arial" w:cs="Arial" w:eastAsia="Arial" w:hAnsi="Arial"/>
                <w:sz w:val="13"/>
                <w:szCs w:val="13"/>
                <w:color w:val="auto"/>
              </w:rPr>
              <w:t>AMC / Barnes &amp; Noble / Ulta / DSW</w:t>
            </w:r>
          </w:p>
        </w:tc>
      </w:tr>
      <w:tr>
        <w:trPr>
          <w:trHeight w:val="97"/>
        </w:trPr>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360" w:type="dxa"/>
            <w:vAlign w:val="bottom"/>
          </w:tcPr>
          <w:p>
            <w:pPr>
              <w:spacing w:after="0"/>
              <w:rPr>
                <w:sz w:val="8"/>
                <w:szCs w:val="8"/>
                <w:color w:val="auto"/>
              </w:rPr>
            </w:pPr>
          </w:p>
        </w:tc>
      </w:tr>
      <w:tr>
        <w:trPr>
          <w:trHeight w:val="148"/>
        </w:trPr>
        <w:tc>
          <w:tcPr>
            <w:tcW w:w="116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Brook 35</w:t>
            </w:r>
          </w:p>
        </w:tc>
        <w:tc>
          <w:tcPr>
            <w:tcW w:w="4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(3) (5)</w:t>
            </w:r>
          </w:p>
        </w:tc>
        <w:tc>
          <w:tcPr>
            <w:tcW w:w="19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New York-Northern New Jersey-</w:t>
            </w: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47,149</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11,500</w:t>
            </w:r>
          </w:p>
        </w:tc>
        <w:tc>
          <w:tcPr>
            <w:tcW w:w="5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98,000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94"/>
              </w:rPr>
              <w:t>Banana Republic / Gap / Coach / Williams-</w:t>
            </w:r>
          </w:p>
        </w:tc>
      </w:tr>
      <w:tr>
        <w:trPr>
          <w:trHeight w:val="176"/>
        </w:trPr>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Long Island, NY-NJ-PA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Sonoma</w:t>
            </w:r>
          </w:p>
        </w:tc>
      </w:tr>
      <w:tr>
        <w:trPr>
          <w:trHeight w:val="148"/>
        </w:trPr>
        <w:tc>
          <w:tcPr>
            <w:tcW w:w="116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Darien</w:t>
            </w:r>
          </w:p>
        </w:tc>
        <w:tc>
          <w:tcPr>
            <w:tcW w:w="440" w:type="dxa"/>
            <w:vAlign w:val="bottom"/>
          </w:tcPr>
          <w:p>
            <w:pPr>
              <w:spacing w:after="0"/>
              <w:rPr>
                <w:sz w:val="12"/>
                <w:szCs w:val="12"/>
                <w:color w:val="auto"/>
              </w:rPr>
            </w:pPr>
          </w:p>
        </w:tc>
        <w:tc>
          <w:tcPr>
            <w:tcW w:w="196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8"/>
              </w:rPr>
              <w:t>New Haven-Bridgeport-Stamford-</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49,305</w:t>
            </w:r>
          </w:p>
        </w:tc>
        <w:tc>
          <w:tcPr>
            <w:tcW w:w="660" w:type="dxa"/>
            <w:vAlign w:val="bottom"/>
          </w:tcPr>
          <w:p>
            <w:pPr>
              <w:spacing w:after="0"/>
              <w:rPr>
                <w:sz w:val="12"/>
                <w:szCs w:val="12"/>
                <w:color w:val="auto"/>
              </w:rPr>
            </w:pP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w:t>
            </w:r>
          </w:p>
        </w:tc>
        <w:tc>
          <w:tcPr>
            <w:tcW w:w="10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95,000</w:t>
            </w: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45,000</w:t>
            </w:r>
          </w:p>
        </w:tc>
        <w:tc>
          <w:tcPr>
            <w:tcW w:w="88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2360" w:type="dxa"/>
            <w:vAlign w:val="bottom"/>
          </w:tcPr>
          <w:p>
            <w:pPr>
              <w:spacing w:after="0" w:line="148" w:lineRule="exact"/>
              <w:rPr>
                <w:sz w:val="20"/>
                <w:szCs w:val="20"/>
                <w:color w:val="auto"/>
              </w:rPr>
            </w:pPr>
            <w:r>
              <w:rPr>
                <w:rFonts w:ascii="Arial" w:cs="Arial" w:eastAsia="Arial" w:hAnsi="Arial"/>
                <w:sz w:val="13"/>
                <w:szCs w:val="13"/>
                <w:color w:val="auto"/>
              </w:rPr>
              <w:t>Equinox</w:t>
            </w:r>
          </w:p>
        </w:tc>
      </w:tr>
      <w:tr>
        <w:trPr>
          <w:trHeight w:val="168"/>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60" w:type="dxa"/>
            <w:vAlign w:val="bottom"/>
            <w:gridSpan w:val="2"/>
          </w:tcPr>
          <w:p>
            <w:pPr>
              <w:ind w:left="40"/>
              <w:spacing w:after="0"/>
              <w:rPr>
                <w:sz w:val="20"/>
                <w:szCs w:val="20"/>
                <w:color w:val="auto"/>
              </w:rPr>
            </w:pPr>
            <w:r>
              <w:rPr>
                <w:rFonts w:ascii="Arial" w:cs="Arial" w:eastAsia="Arial" w:hAnsi="Arial"/>
                <w:sz w:val="13"/>
                <w:szCs w:val="13"/>
                <w:color w:val="auto"/>
              </w:rPr>
              <w:t>Waterbury</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81"/>
        </w:trPr>
        <w:tc>
          <w:tcPr>
            <w:tcW w:w="116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Fresh Meadows</w:t>
            </w:r>
          </w:p>
        </w:tc>
        <w:tc>
          <w:tcPr>
            <w:tcW w:w="44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New York, NY</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87,076</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404,000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15,000</w:t>
            </w:r>
          </w:p>
        </w:tc>
        <w:tc>
          <w:tcPr>
            <w:tcW w:w="880" w:type="dxa"/>
            <w:vAlign w:val="bottom"/>
            <w:shd w:val="clear" w:color="auto" w:fill="CCEEFF"/>
          </w:tcPr>
          <w:p>
            <w:pPr>
              <w:ind w:left="80"/>
              <w:spacing w:after="0"/>
              <w:rPr>
                <w:sz w:val="20"/>
                <w:szCs w:val="20"/>
                <w:color w:val="auto"/>
              </w:rPr>
            </w:pPr>
            <w:r>
              <w:rPr>
                <w:rFonts w:ascii="Arial" w:cs="Arial" w:eastAsia="Arial" w:hAnsi="Arial"/>
                <w:sz w:val="13"/>
                <w:szCs w:val="13"/>
                <w:color w:val="auto"/>
                <w:w w:val="97"/>
              </w:rPr>
              <w:t>Island of Gold</w:t>
            </w: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AMC / Kohl's / Michaels</w:t>
            </w:r>
          </w:p>
        </w:tc>
      </w:tr>
      <w:tr>
        <w:trPr>
          <w:trHeight w:val="97"/>
        </w:trPr>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360" w:type="dxa"/>
            <w:vAlign w:val="bottom"/>
            <w:shd w:val="clear" w:color="auto" w:fill="CCEEFF"/>
          </w:tcPr>
          <w:p>
            <w:pPr>
              <w:spacing w:after="0"/>
              <w:rPr>
                <w:sz w:val="8"/>
                <w:szCs w:val="8"/>
                <w:color w:val="auto"/>
              </w:rPr>
            </w:pPr>
          </w:p>
        </w:tc>
      </w:tr>
      <w:tr>
        <w:trPr>
          <w:trHeight w:val="148"/>
        </w:trPr>
        <w:tc>
          <w:tcPr>
            <w:tcW w:w="116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Greenlawn Plaza</w:t>
            </w:r>
          </w:p>
        </w:tc>
        <w:tc>
          <w:tcPr>
            <w:tcW w:w="440" w:type="dxa"/>
            <w:vAlign w:val="bottom"/>
          </w:tcPr>
          <w:p>
            <w:pPr>
              <w:spacing w:after="0"/>
              <w:rPr>
                <w:sz w:val="12"/>
                <w:szCs w:val="12"/>
                <w:color w:val="auto"/>
              </w:rPr>
            </w:pPr>
          </w:p>
        </w:tc>
        <w:tc>
          <w:tcPr>
            <w:tcW w:w="19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31,689</w:t>
            </w:r>
          </w:p>
        </w:tc>
        <w:tc>
          <w:tcPr>
            <w:tcW w:w="660" w:type="dxa"/>
            <w:vAlign w:val="bottom"/>
          </w:tcPr>
          <w:p>
            <w:pPr>
              <w:spacing w:after="0"/>
              <w:rPr>
                <w:sz w:val="12"/>
                <w:szCs w:val="12"/>
                <w:color w:val="auto"/>
              </w:rPr>
            </w:pP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106,000</w:t>
            </w: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80" w:type="dxa"/>
            <w:vAlign w:val="bottom"/>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46,000</w:t>
            </w:r>
          </w:p>
        </w:tc>
        <w:tc>
          <w:tcPr>
            <w:tcW w:w="880" w:type="dxa"/>
            <w:vAlign w:val="bottom"/>
          </w:tcPr>
          <w:p>
            <w:pPr>
              <w:ind w:left="80"/>
              <w:spacing w:after="0" w:line="148" w:lineRule="exact"/>
              <w:rPr>
                <w:sz w:val="20"/>
                <w:szCs w:val="20"/>
                <w:color w:val="auto"/>
              </w:rPr>
            </w:pPr>
            <w:r>
              <w:rPr>
                <w:rFonts w:ascii="Arial" w:cs="Arial" w:eastAsia="Arial" w:hAnsi="Arial"/>
                <w:sz w:val="13"/>
                <w:szCs w:val="13"/>
                <w:color w:val="auto"/>
              </w:rPr>
              <w:t>Greenlawn</w:t>
            </w:r>
          </w:p>
        </w:tc>
        <w:tc>
          <w:tcPr>
            <w:tcW w:w="2360" w:type="dxa"/>
            <w:vAlign w:val="bottom"/>
          </w:tcPr>
          <w:p>
            <w:pPr>
              <w:spacing w:after="0" w:line="148" w:lineRule="exact"/>
              <w:rPr>
                <w:sz w:val="20"/>
                <w:szCs w:val="20"/>
                <w:color w:val="auto"/>
              </w:rPr>
            </w:pPr>
            <w:r>
              <w:rPr>
                <w:rFonts w:ascii="Arial" w:cs="Arial" w:eastAsia="Arial" w:hAnsi="Arial"/>
                <w:sz w:val="13"/>
                <w:szCs w:val="13"/>
                <w:color w:val="auto"/>
              </w:rPr>
              <w:t>Tuesday Morning</w:t>
            </w:r>
          </w:p>
        </w:tc>
      </w:tr>
      <w:tr>
        <w:trPr>
          <w:trHeight w:val="168"/>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3"/>
                <w:szCs w:val="13"/>
                <w:color w:val="auto"/>
              </w:rPr>
              <w:t>Farms</w:t>
            </w:r>
          </w:p>
        </w:tc>
        <w:tc>
          <w:tcPr>
            <w:tcW w:w="2360" w:type="dxa"/>
            <w:vAlign w:val="bottom"/>
          </w:tcPr>
          <w:p>
            <w:pPr>
              <w:spacing w:after="0"/>
              <w:rPr>
                <w:sz w:val="14"/>
                <w:szCs w:val="14"/>
                <w:color w:val="auto"/>
              </w:rPr>
            </w:pPr>
          </w:p>
        </w:tc>
      </w:tr>
      <w:tr>
        <w:trPr>
          <w:trHeight w:val="156"/>
        </w:trPr>
        <w:tc>
          <w:tcPr>
            <w:tcW w:w="116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Greenwich Avenue</w:t>
            </w:r>
          </w:p>
        </w:tc>
        <w:tc>
          <w:tcPr>
            <w:tcW w:w="44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8"/>
              </w:rPr>
              <w:t>New Haven-Bridgeport-Stamford-</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14,127</w:t>
            </w:r>
          </w:p>
        </w:tc>
        <w:tc>
          <w:tcPr>
            <w:tcW w:w="6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36,000</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Saks Fifth Avenue</w:t>
            </w:r>
          </w:p>
        </w:tc>
      </w:tr>
      <w:tr>
        <w:trPr>
          <w:trHeight w:val="176"/>
        </w:trPr>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Waterbury</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r>
      <w:tr>
        <w:trPr>
          <w:trHeight w:val="173"/>
        </w:trPr>
        <w:tc>
          <w:tcPr>
            <w:tcW w:w="1160" w:type="dxa"/>
            <w:vAlign w:val="bottom"/>
            <w:gridSpan w:val="4"/>
          </w:tcPr>
          <w:p>
            <w:pPr>
              <w:ind w:left="40"/>
              <w:spacing w:after="0"/>
              <w:rPr>
                <w:sz w:val="20"/>
                <w:szCs w:val="20"/>
                <w:color w:val="auto"/>
              </w:rPr>
            </w:pPr>
            <w:r>
              <w:rPr>
                <w:rFonts w:ascii="Arial" w:cs="Arial" w:eastAsia="Arial" w:hAnsi="Arial"/>
                <w:sz w:val="13"/>
                <w:szCs w:val="13"/>
                <w:color w:val="auto"/>
              </w:rPr>
              <w:t>Hauppauge</w:t>
            </w:r>
          </w:p>
        </w:tc>
        <w:tc>
          <w:tcPr>
            <w:tcW w:w="440" w:type="dxa"/>
            <w:vAlign w:val="bottom"/>
          </w:tcPr>
          <w:p>
            <w:pPr>
              <w:spacing w:after="0"/>
              <w:rPr>
                <w:sz w:val="15"/>
                <w:szCs w:val="15"/>
                <w:color w:val="auto"/>
              </w:rPr>
            </w:pPr>
          </w:p>
        </w:tc>
        <w:tc>
          <w:tcPr>
            <w:tcW w:w="1960" w:type="dxa"/>
            <w:vAlign w:val="bottom"/>
            <w:gridSpan w:val="2"/>
          </w:tcPr>
          <w:p>
            <w:pPr>
              <w:ind w:left="4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28,796</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134,000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99%</w:t>
            </w: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61,000</w:t>
            </w:r>
          </w:p>
        </w:tc>
        <w:tc>
          <w:tcPr>
            <w:tcW w:w="880" w:type="dxa"/>
            <w:vAlign w:val="bottom"/>
          </w:tcPr>
          <w:p>
            <w:pPr>
              <w:ind w:left="80"/>
              <w:spacing w:after="0"/>
              <w:rPr>
                <w:sz w:val="20"/>
                <w:szCs w:val="20"/>
                <w:color w:val="auto"/>
              </w:rPr>
            </w:pPr>
            <w:r>
              <w:rPr>
                <w:rFonts w:ascii="Arial" w:cs="Arial" w:eastAsia="Arial" w:hAnsi="Arial"/>
                <w:sz w:val="13"/>
                <w:szCs w:val="13"/>
                <w:color w:val="auto"/>
              </w:rPr>
              <w:t>Shop Rite</w:t>
            </w:r>
          </w:p>
        </w:tc>
        <w:tc>
          <w:tcPr>
            <w:tcW w:w="2360" w:type="dxa"/>
            <w:vAlign w:val="bottom"/>
          </w:tcPr>
          <w:p>
            <w:pPr>
              <w:spacing w:after="0"/>
              <w:rPr>
                <w:sz w:val="20"/>
                <w:szCs w:val="20"/>
                <w:color w:val="auto"/>
              </w:rPr>
            </w:pPr>
            <w:r>
              <w:rPr>
                <w:rFonts w:ascii="Arial" w:cs="Arial" w:eastAsia="Arial" w:hAnsi="Arial"/>
                <w:sz w:val="13"/>
                <w:szCs w:val="13"/>
                <w:color w:val="auto"/>
              </w:rPr>
              <w:t>A.C. Moore</w:t>
            </w:r>
          </w:p>
        </w:tc>
      </w:tr>
      <w:tr>
        <w:trPr>
          <w:trHeight w:val="97"/>
        </w:trPr>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360" w:type="dxa"/>
            <w:vAlign w:val="bottom"/>
          </w:tcPr>
          <w:p>
            <w:pPr>
              <w:spacing w:after="0"/>
              <w:rPr>
                <w:sz w:val="8"/>
                <w:szCs w:val="8"/>
                <w:color w:val="auto"/>
              </w:rPr>
            </w:pPr>
          </w:p>
        </w:tc>
      </w:tr>
      <w:tr>
        <w:trPr>
          <w:trHeight w:val="148"/>
        </w:trPr>
        <w:tc>
          <w:tcPr>
            <w:tcW w:w="116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Huntington</w:t>
            </w:r>
          </w:p>
        </w:tc>
        <w:tc>
          <w:tcPr>
            <w:tcW w:w="44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46,789</w:t>
            </w: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279,000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91"/>
              </w:rPr>
              <w:t>Nordstrom Rack / Bed, Bath &amp; Beyond / Buy</w:t>
            </w:r>
          </w:p>
        </w:tc>
      </w:tr>
      <w:tr>
        <w:trPr>
          <w:trHeight w:val="176"/>
        </w:trPr>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Buy Baby / Michaels</w:t>
            </w:r>
          </w:p>
        </w:tc>
      </w:tr>
      <w:tr>
        <w:trPr>
          <w:trHeight w:val="173"/>
        </w:trPr>
        <w:tc>
          <w:tcPr>
            <w:tcW w:w="1160" w:type="dxa"/>
            <w:vAlign w:val="bottom"/>
            <w:gridSpan w:val="4"/>
          </w:tcPr>
          <w:p>
            <w:pPr>
              <w:ind w:left="40"/>
              <w:spacing w:after="0"/>
              <w:rPr>
                <w:sz w:val="20"/>
                <w:szCs w:val="20"/>
                <w:color w:val="auto"/>
              </w:rPr>
            </w:pPr>
            <w:r>
              <w:rPr>
                <w:rFonts w:ascii="Arial" w:cs="Arial" w:eastAsia="Arial" w:hAnsi="Arial"/>
                <w:sz w:val="13"/>
                <w:szCs w:val="13"/>
                <w:color w:val="auto"/>
              </w:rPr>
              <w:t>Huntington Square</w:t>
            </w:r>
          </w:p>
        </w:tc>
        <w:tc>
          <w:tcPr>
            <w:tcW w:w="440" w:type="dxa"/>
            <w:vAlign w:val="bottom"/>
          </w:tcPr>
          <w:p>
            <w:pPr>
              <w:spacing w:after="0"/>
              <w:rPr>
                <w:sz w:val="15"/>
                <w:szCs w:val="15"/>
                <w:color w:val="auto"/>
              </w:rPr>
            </w:pPr>
          </w:p>
        </w:tc>
        <w:tc>
          <w:tcPr>
            <w:tcW w:w="1960" w:type="dxa"/>
            <w:vAlign w:val="bottom"/>
            <w:gridSpan w:val="2"/>
          </w:tcPr>
          <w:p>
            <w:pPr>
              <w:ind w:left="4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12,176</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74,000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85%</w:t>
            </w: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60" w:type="dxa"/>
            <w:vAlign w:val="bottom"/>
          </w:tcPr>
          <w:p>
            <w:pPr>
              <w:spacing w:after="0"/>
              <w:rPr>
                <w:sz w:val="20"/>
                <w:szCs w:val="20"/>
                <w:color w:val="auto"/>
              </w:rPr>
            </w:pPr>
            <w:r>
              <w:rPr>
                <w:rFonts w:ascii="Arial" w:cs="Arial" w:eastAsia="Arial" w:hAnsi="Arial"/>
                <w:sz w:val="13"/>
                <w:szCs w:val="13"/>
                <w:color w:val="auto"/>
              </w:rPr>
              <w:t>Barnes &amp; Noble</w:t>
            </w:r>
          </w:p>
        </w:tc>
      </w:tr>
      <w:tr>
        <w:trPr>
          <w:trHeight w:val="97"/>
        </w:trPr>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360" w:type="dxa"/>
            <w:vAlign w:val="bottom"/>
          </w:tcPr>
          <w:p>
            <w:pPr>
              <w:spacing w:after="0"/>
              <w:rPr>
                <w:sz w:val="8"/>
                <w:szCs w:val="8"/>
                <w:color w:val="auto"/>
              </w:rPr>
            </w:pPr>
          </w:p>
        </w:tc>
      </w:tr>
      <w:tr>
        <w:trPr>
          <w:trHeight w:val="148"/>
        </w:trPr>
        <w:tc>
          <w:tcPr>
            <w:tcW w:w="116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Melville Mall</w:t>
            </w:r>
          </w:p>
        </w:tc>
        <w:tc>
          <w:tcPr>
            <w:tcW w:w="44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85,716</w:t>
            </w: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251,000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95"/>
              </w:rPr>
              <w:t>Marshalls / Dick's Sporting Goods / Field &amp;</w:t>
            </w:r>
          </w:p>
        </w:tc>
      </w:tr>
      <w:tr>
        <w:trPr>
          <w:trHeight w:val="176"/>
        </w:trPr>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Stream / Macy's Backstage</w:t>
            </w:r>
          </w:p>
        </w:tc>
      </w:tr>
      <w:tr>
        <w:trPr>
          <w:trHeight w:val="148"/>
        </w:trPr>
        <w:tc>
          <w:tcPr>
            <w:tcW w:w="116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Mercer Mall</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w w:val="87"/>
              </w:rPr>
              <w:t>(6)</w:t>
            </w:r>
          </w:p>
        </w:tc>
        <w:tc>
          <w:tcPr>
            <w:tcW w:w="19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Trenton, NJ</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125,074</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55,601</w:t>
            </w: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50</w:t>
            </w:r>
          </w:p>
        </w:tc>
        <w:tc>
          <w:tcPr>
            <w:tcW w:w="10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530,000</w:t>
            </w: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75,000</w:t>
            </w:r>
          </w:p>
        </w:tc>
        <w:tc>
          <w:tcPr>
            <w:tcW w:w="880" w:type="dxa"/>
            <w:vAlign w:val="bottom"/>
          </w:tcPr>
          <w:p>
            <w:pPr>
              <w:ind w:left="80"/>
              <w:spacing w:after="0" w:line="148" w:lineRule="exact"/>
              <w:rPr>
                <w:sz w:val="20"/>
                <w:szCs w:val="20"/>
                <w:color w:val="auto"/>
              </w:rPr>
            </w:pPr>
            <w:r>
              <w:rPr>
                <w:rFonts w:ascii="Arial" w:cs="Arial" w:eastAsia="Arial" w:hAnsi="Arial"/>
                <w:sz w:val="13"/>
                <w:szCs w:val="13"/>
                <w:color w:val="auto"/>
              </w:rPr>
              <w:t>Shop Rite</w:t>
            </w:r>
          </w:p>
        </w:tc>
        <w:tc>
          <w:tcPr>
            <w:tcW w:w="2360" w:type="dxa"/>
            <w:vAlign w:val="bottom"/>
          </w:tcPr>
          <w:p>
            <w:pPr>
              <w:spacing w:after="0" w:line="148" w:lineRule="exact"/>
              <w:rPr>
                <w:sz w:val="20"/>
                <w:szCs w:val="20"/>
                <w:color w:val="auto"/>
              </w:rPr>
            </w:pPr>
            <w:r>
              <w:rPr>
                <w:rFonts w:ascii="Arial" w:cs="Arial" w:eastAsia="Arial" w:hAnsi="Arial"/>
                <w:sz w:val="13"/>
                <w:szCs w:val="13"/>
                <w:color w:val="auto"/>
                <w:w w:val="99"/>
              </w:rPr>
              <w:t>TJ Maxx / Nordstrom Rack / Bed, Bath &amp;</w:t>
            </w:r>
          </w:p>
        </w:tc>
      </w:tr>
      <w:tr>
        <w:trPr>
          <w:trHeight w:val="168"/>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60" w:type="dxa"/>
            <w:vAlign w:val="bottom"/>
          </w:tcPr>
          <w:p>
            <w:pPr>
              <w:spacing w:after="0"/>
              <w:rPr>
                <w:sz w:val="20"/>
                <w:szCs w:val="20"/>
                <w:color w:val="auto"/>
              </w:rPr>
            </w:pPr>
            <w:r>
              <w:rPr>
                <w:rFonts w:ascii="Arial" w:cs="Arial" w:eastAsia="Arial" w:hAnsi="Arial"/>
                <w:sz w:val="13"/>
                <w:szCs w:val="13"/>
                <w:color w:val="auto"/>
              </w:rPr>
              <w:t>Beyond / REI</w:t>
            </w:r>
          </w:p>
        </w:tc>
      </w:tr>
      <w:tr>
        <w:trPr>
          <w:trHeight w:val="156"/>
        </w:trPr>
        <w:tc>
          <w:tcPr>
            <w:tcW w:w="116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The Grove at</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shd w:val="clear" w:color="auto" w:fill="CCEEFF"/>
              </w:rPr>
              <w:t>(3) (5)</w:t>
            </w:r>
          </w:p>
        </w:tc>
        <w:tc>
          <w:tcPr>
            <w:tcW w:w="1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New York-Northern New Jersey-</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123,935</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53,004</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192,000</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w w:val="96"/>
              </w:rPr>
              <w:t>Lululemon / Anthropologie / Pottery Barn /</w:t>
            </w:r>
          </w:p>
        </w:tc>
      </w:tr>
      <w:tr>
        <w:trPr>
          <w:trHeight w:val="176"/>
        </w:trPr>
        <w:tc>
          <w:tcPr>
            <w:tcW w:w="116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Shrewsbury</w:t>
            </w:r>
          </w:p>
        </w:tc>
        <w:tc>
          <w:tcPr>
            <w:tcW w:w="44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Long Island, NY-NJ-PA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Williams-Sonoma</w:t>
            </w:r>
          </w:p>
        </w:tc>
      </w:tr>
      <w:tr>
        <w:trPr>
          <w:trHeight w:val="173"/>
        </w:trPr>
        <w:tc>
          <w:tcPr>
            <w:tcW w:w="1160" w:type="dxa"/>
            <w:vAlign w:val="bottom"/>
            <w:gridSpan w:val="4"/>
          </w:tcPr>
          <w:p>
            <w:pPr>
              <w:ind w:left="40"/>
              <w:spacing w:after="0"/>
              <w:rPr>
                <w:sz w:val="20"/>
                <w:szCs w:val="20"/>
                <w:color w:val="auto"/>
              </w:rPr>
            </w:pPr>
            <w:r>
              <w:rPr>
                <w:rFonts w:ascii="Arial" w:cs="Arial" w:eastAsia="Arial" w:hAnsi="Arial"/>
                <w:sz w:val="13"/>
                <w:szCs w:val="13"/>
                <w:color w:val="auto"/>
              </w:rPr>
              <w:t>Troy</w:t>
            </w:r>
          </w:p>
        </w:tc>
        <w:tc>
          <w:tcPr>
            <w:tcW w:w="440" w:type="dxa"/>
            <w:vAlign w:val="bottom"/>
          </w:tcPr>
          <w:p>
            <w:pPr>
              <w:spacing w:after="0"/>
              <w:rPr>
                <w:sz w:val="15"/>
                <w:szCs w:val="15"/>
                <w:color w:val="auto"/>
              </w:rPr>
            </w:pPr>
          </w:p>
        </w:tc>
        <w:tc>
          <w:tcPr>
            <w:tcW w:w="1960" w:type="dxa"/>
            <w:vAlign w:val="bottom"/>
            <w:gridSpan w:val="2"/>
          </w:tcPr>
          <w:p>
            <w:pPr>
              <w:ind w:left="40"/>
              <w:spacing w:after="0"/>
              <w:rPr>
                <w:sz w:val="20"/>
                <w:szCs w:val="20"/>
                <w:color w:val="auto"/>
              </w:rPr>
            </w:pPr>
            <w:r>
              <w:rPr>
                <w:rFonts w:ascii="Arial" w:cs="Arial" w:eastAsia="Arial" w:hAnsi="Arial"/>
                <w:sz w:val="13"/>
                <w:szCs w:val="13"/>
                <w:color w:val="auto"/>
              </w:rPr>
              <w:t>Newark, NJ</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35,165</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211,000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67%</w:t>
            </w: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60" w:type="dxa"/>
            <w:vAlign w:val="bottom"/>
          </w:tcPr>
          <w:p>
            <w:pPr>
              <w:spacing w:after="0"/>
              <w:rPr>
                <w:sz w:val="20"/>
                <w:szCs w:val="20"/>
                <w:color w:val="auto"/>
              </w:rPr>
            </w:pPr>
            <w:r>
              <w:rPr>
                <w:rFonts w:ascii="Arial" w:cs="Arial" w:eastAsia="Arial" w:hAnsi="Arial"/>
                <w:sz w:val="13"/>
                <w:szCs w:val="13"/>
                <w:color w:val="auto"/>
              </w:rPr>
              <w:t>L.A. Fitness / Michaels</w:t>
            </w:r>
          </w:p>
        </w:tc>
      </w:tr>
      <w:tr>
        <w:trPr>
          <w:trHeight w:val="97"/>
        </w:trPr>
        <w:tc>
          <w:tcPr>
            <w:tcW w:w="4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540" w:type="dxa"/>
            <w:vAlign w:val="bottom"/>
            <w:tcBorders>
              <w:bottom w:val="single" w:sz="8" w:color="CCEEFF"/>
            </w:tcBorders>
          </w:tcPr>
          <w:p>
            <w:pPr>
              <w:spacing w:after="0"/>
              <w:rPr>
                <w:sz w:val="8"/>
                <w:szCs w:val="8"/>
                <w:color w:val="auto"/>
              </w:rPr>
            </w:pPr>
          </w:p>
        </w:tc>
        <w:tc>
          <w:tcPr>
            <w:tcW w:w="240" w:type="dxa"/>
            <w:vAlign w:val="bottom"/>
            <w:tcBorders>
              <w:bottom w:val="single" w:sz="8" w:color="CCEEFF"/>
            </w:tcBorders>
          </w:tcPr>
          <w:p>
            <w:pPr>
              <w:spacing w:after="0"/>
              <w:rPr>
                <w:sz w:val="8"/>
                <w:szCs w:val="8"/>
                <w:color w:val="auto"/>
              </w:rPr>
            </w:pPr>
          </w:p>
        </w:tc>
        <w:tc>
          <w:tcPr>
            <w:tcW w:w="440" w:type="dxa"/>
            <w:vAlign w:val="bottom"/>
            <w:tcBorders>
              <w:bottom w:val="single" w:sz="8" w:color="CCEEFF"/>
            </w:tcBorders>
          </w:tcPr>
          <w:p>
            <w:pPr>
              <w:spacing w:after="0"/>
              <w:rPr>
                <w:sz w:val="8"/>
                <w:szCs w:val="8"/>
                <w:color w:val="auto"/>
              </w:rPr>
            </w:pPr>
          </w:p>
        </w:tc>
        <w:tc>
          <w:tcPr>
            <w:tcW w:w="220" w:type="dxa"/>
            <w:vAlign w:val="bottom"/>
            <w:tcBorders>
              <w:bottom w:val="single" w:sz="8" w:color="CCEEFF"/>
            </w:tcBorders>
          </w:tcPr>
          <w:p>
            <w:pPr>
              <w:spacing w:after="0"/>
              <w:rPr>
                <w:sz w:val="8"/>
                <w:szCs w:val="8"/>
                <w:color w:val="auto"/>
              </w:rPr>
            </w:pPr>
          </w:p>
        </w:tc>
        <w:tc>
          <w:tcPr>
            <w:tcW w:w="174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80" w:type="dxa"/>
            <w:vAlign w:val="bottom"/>
            <w:tcBorders>
              <w:bottom w:val="single" w:sz="8" w:color="CCEEFF"/>
            </w:tcBorders>
          </w:tcPr>
          <w:p>
            <w:pPr>
              <w:spacing w:after="0"/>
              <w:rPr>
                <w:sz w:val="8"/>
                <w:szCs w:val="8"/>
                <w:color w:val="auto"/>
              </w:rPr>
            </w:pPr>
          </w:p>
        </w:tc>
        <w:tc>
          <w:tcPr>
            <w:tcW w:w="236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Total NY Metro/New Jersey</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758,726</w:t>
            </w: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262</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2,832,000</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7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36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149"/>
        </w:trPr>
        <w:tc>
          <w:tcPr>
            <w:tcW w:w="40" w:type="dxa"/>
            <w:vAlign w:val="bottom"/>
            <w:shd w:val="clear" w:color="auto" w:fill="CCEEFF"/>
          </w:tcPr>
          <w:p>
            <w:pPr>
              <w:spacing w:after="0"/>
              <w:rPr>
                <w:sz w:val="12"/>
                <w:szCs w:val="12"/>
                <w:color w:val="auto"/>
              </w:rPr>
            </w:pPr>
          </w:p>
        </w:tc>
        <w:tc>
          <w:tcPr>
            <w:tcW w:w="3520" w:type="dxa"/>
            <w:vAlign w:val="bottom"/>
            <w:gridSpan w:val="6"/>
            <w:shd w:val="clear" w:color="auto" w:fill="CCEEFF"/>
          </w:tcPr>
          <w:p>
            <w:pPr>
              <w:ind w:left="60"/>
              <w:spacing w:after="0"/>
              <w:rPr>
                <w:sz w:val="20"/>
                <w:szCs w:val="20"/>
                <w:color w:val="auto"/>
              </w:rPr>
            </w:pPr>
            <w:r>
              <w:rPr>
                <w:rFonts w:ascii="Arial" w:cs="Arial" w:eastAsia="Arial" w:hAnsi="Arial"/>
                <w:sz w:val="13"/>
                <w:szCs w:val="13"/>
                <w:b w:val="1"/>
                <w:bCs w:val="1"/>
                <w:color w:val="auto"/>
              </w:rPr>
              <w:t>Philadelphia Metropolitan Area</w:t>
            </w: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174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CCEEFF"/>
            </w:tcBorders>
            <w:shd w:val="clear" w:color="auto" w:fill="CCEEFF"/>
          </w:tcPr>
          <w:p>
            <w:pPr>
              <w:spacing w:after="0"/>
              <w:rPr>
                <w:sz w:val="8"/>
                <w:szCs w:val="8"/>
                <w:color w:val="auto"/>
              </w:rPr>
            </w:pPr>
          </w:p>
        </w:tc>
        <w:tc>
          <w:tcPr>
            <w:tcW w:w="2360" w:type="dxa"/>
            <w:vAlign w:val="bottom"/>
            <w:tcBorders>
              <w:top w:val="single" w:sz="8" w:color="CCEEFF"/>
            </w:tcBorders>
            <w:shd w:val="clear" w:color="auto" w:fill="CCEEFF"/>
          </w:tcPr>
          <w:p>
            <w:pPr>
              <w:spacing w:after="0"/>
              <w:rPr>
                <w:sz w:val="8"/>
                <w:szCs w:val="8"/>
                <w:color w:val="auto"/>
              </w:rPr>
            </w:pPr>
          </w:p>
        </w:tc>
      </w:tr>
      <w:tr>
        <w:trPr>
          <w:trHeight w:val="148"/>
        </w:trPr>
        <w:tc>
          <w:tcPr>
            <w:tcW w:w="116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Andorra</w:t>
            </w:r>
          </w:p>
        </w:tc>
        <w:tc>
          <w:tcPr>
            <w:tcW w:w="440" w:type="dxa"/>
            <w:vAlign w:val="bottom"/>
          </w:tcPr>
          <w:p>
            <w:pPr>
              <w:spacing w:after="0"/>
              <w:rPr>
                <w:sz w:val="12"/>
                <w:szCs w:val="12"/>
                <w:color w:val="auto"/>
              </w:rPr>
            </w:pPr>
          </w:p>
        </w:tc>
        <w:tc>
          <w:tcPr>
            <w:tcW w:w="19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Philadelphia, PA-NJ</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25,802</w:t>
            </w:r>
          </w:p>
        </w:tc>
        <w:tc>
          <w:tcPr>
            <w:tcW w:w="660" w:type="dxa"/>
            <w:vAlign w:val="bottom"/>
          </w:tcPr>
          <w:p>
            <w:pPr>
              <w:spacing w:after="0"/>
              <w:rPr>
                <w:sz w:val="12"/>
                <w:szCs w:val="12"/>
                <w:color w:val="auto"/>
              </w:rPr>
            </w:pP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w:t>
            </w:r>
          </w:p>
        </w:tc>
        <w:tc>
          <w:tcPr>
            <w:tcW w:w="10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264,000</w:t>
            </w: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680" w:type="dxa"/>
            <w:vAlign w:val="bottom"/>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24,000</w:t>
            </w:r>
          </w:p>
        </w:tc>
        <w:tc>
          <w:tcPr>
            <w:tcW w:w="880" w:type="dxa"/>
            <w:vAlign w:val="bottom"/>
          </w:tcPr>
          <w:p>
            <w:pPr>
              <w:ind w:left="80"/>
              <w:spacing w:after="0" w:line="148" w:lineRule="exact"/>
              <w:rPr>
                <w:sz w:val="20"/>
                <w:szCs w:val="20"/>
                <w:color w:val="auto"/>
              </w:rPr>
            </w:pPr>
            <w:r>
              <w:rPr>
                <w:rFonts w:ascii="Arial" w:cs="Arial" w:eastAsia="Arial" w:hAnsi="Arial"/>
                <w:sz w:val="13"/>
                <w:szCs w:val="13"/>
                <w:color w:val="auto"/>
              </w:rPr>
              <w:t>Acme</w:t>
            </w:r>
          </w:p>
        </w:tc>
        <w:tc>
          <w:tcPr>
            <w:tcW w:w="2360" w:type="dxa"/>
            <w:vAlign w:val="bottom"/>
          </w:tcPr>
          <w:p>
            <w:pPr>
              <w:spacing w:after="0" w:line="148" w:lineRule="exact"/>
              <w:rPr>
                <w:sz w:val="20"/>
                <w:szCs w:val="20"/>
                <w:color w:val="auto"/>
              </w:rPr>
            </w:pPr>
            <w:r>
              <w:rPr>
                <w:rFonts w:ascii="Arial" w:cs="Arial" w:eastAsia="Arial" w:hAnsi="Arial"/>
                <w:sz w:val="13"/>
                <w:szCs w:val="13"/>
                <w:color w:val="auto"/>
              </w:rPr>
              <w:t>Kohl's / L.A. Fitness / Staples</w:t>
            </w:r>
          </w:p>
        </w:tc>
      </w:tr>
      <w:tr>
        <w:trPr>
          <w:trHeight w:val="168"/>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3"/>
                <w:szCs w:val="13"/>
                <w:color w:val="auto"/>
              </w:rPr>
              <w:t>Markets</w:t>
            </w:r>
          </w:p>
        </w:tc>
        <w:tc>
          <w:tcPr>
            <w:tcW w:w="2360" w:type="dxa"/>
            <w:vAlign w:val="bottom"/>
          </w:tcPr>
          <w:p>
            <w:pPr>
              <w:spacing w:after="0"/>
              <w:rPr>
                <w:sz w:val="14"/>
                <w:szCs w:val="14"/>
                <w:color w:val="auto"/>
              </w:rPr>
            </w:pPr>
          </w:p>
        </w:tc>
      </w:tr>
      <w:tr>
        <w:trPr>
          <w:trHeight w:val="156"/>
        </w:trPr>
        <w:tc>
          <w:tcPr>
            <w:tcW w:w="116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Bala Cynwyd</w:t>
            </w:r>
          </w:p>
        </w:tc>
        <w:tc>
          <w:tcPr>
            <w:tcW w:w="44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40,568</w:t>
            </w:r>
          </w:p>
        </w:tc>
        <w:tc>
          <w:tcPr>
            <w:tcW w:w="6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295,000</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45,000</w:t>
            </w:r>
          </w:p>
        </w:tc>
        <w:tc>
          <w:tcPr>
            <w:tcW w:w="88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Acme</w:t>
            </w: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Lord &amp; Taylor / Michaels / L.A. Fitness</w:t>
            </w:r>
          </w:p>
        </w:tc>
      </w:tr>
      <w:tr>
        <w:trPr>
          <w:trHeight w:val="176"/>
        </w:trPr>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2360" w:type="dxa"/>
            <w:vAlign w:val="bottom"/>
            <w:shd w:val="clear" w:color="auto" w:fill="CCEEFF"/>
          </w:tcPr>
          <w:p>
            <w:pPr>
              <w:spacing w:after="0"/>
              <w:rPr>
                <w:sz w:val="15"/>
                <w:szCs w:val="15"/>
                <w:color w:val="auto"/>
              </w:rPr>
            </w:pPr>
          </w:p>
        </w:tc>
      </w:tr>
      <w:tr>
        <w:trPr>
          <w:trHeight w:val="173"/>
        </w:trPr>
        <w:tc>
          <w:tcPr>
            <w:tcW w:w="1160" w:type="dxa"/>
            <w:vAlign w:val="bottom"/>
            <w:gridSpan w:val="4"/>
          </w:tcPr>
          <w:p>
            <w:pPr>
              <w:ind w:left="40"/>
              <w:spacing w:after="0"/>
              <w:rPr>
                <w:sz w:val="20"/>
                <w:szCs w:val="20"/>
                <w:color w:val="auto"/>
              </w:rPr>
            </w:pPr>
            <w:r>
              <w:rPr>
                <w:rFonts w:ascii="Arial" w:cs="Arial" w:eastAsia="Arial" w:hAnsi="Arial"/>
                <w:sz w:val="13"/>
                <w:szCs w:val="13"/>
                <w:color w:val="auto"/>
              </w:rPr>
              <w:t>Ellisburg</w:t>
            </w:r>
          </w:p>
        </w:tc>
        <w:tc>
          <w:tcPr>
            <w:tcW w:w="440" w:type="dxa"/>
            <w:vAlign w:val="bottom"/>
          </w:tcPr>
          <w:p>
            <w:pPr>
              <w:spacing w:after="0"/>
              <w:rPr>
                <w:sz w:val="15"/>
                <w:szCs w:val="15"/>
                <w:color w:val="auto"/>
              </w:rPr>
            </w:pPr>
          </w:p>
        </w:tc>
        <w:tc>
          <w:tcPr>
            <w:tcW w:w="1960" w:type="dxa"/>
            <w:vAlign w:val="bottom"/>
            <w:gridSpan w:val="2"/>
          </w:tcPr>
          <w:p>
            <w:pPr>
              <w:ind w:left="40"/>
              <w:spacing w:after="0"/>
              <w:rPr>
                <w:sz w:val="20"/>
                <w:szCs w:val="20"/>
                <w:color w:val="auto"/>
              </w:rPr>
            </w:pPr>
            <w:r>
              <w:rPr>
                <w:rFonts w:ascii="Arial" w:cs="Arial" w:eastAsia="Arial" w:hAnsi="Arial"/>
                <w:sz w:val="13"/>
                <w:szCs w:val="13"/>
                <w:color w:val="auto"/>
              </w:rPr>
              <w:t>Philadelphia, PA-NJ</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34,204</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268,000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94%</w:t>
            </w: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47,000</w:t>
            </w:r>
          </w:p>
        </w:tc>
        <w:tc>
          <w:tcPr>
            <w:tcW w:w="880" w:type="dxa"/>
            <w:vAlign w:val="bottom"/>
          </w:tcPr>
          <w:p>
            <w:pPr>
              <w:ind w:left="80"/>
              <w:spacing w:after="0"/>
              <w:rPr>
                <w:sz w:val="20"/>
                <w:szCs w:val="20"/>
                <w:color w:val="auto"/>
              </w:rPr>
            </w:pPr>
            <w:r>
              <w:rPr>
                <w:rFonts w:ascii="Arial" w:cs="Arial" w:eastAsia="Arial" w:hAnsi="Arial"/>
                <w:sz w:val="13"/>
                <w:szCs w:val="13"/>
                <w:color w:val="auto"/>
              </w:rPr>
              <w:t>Whole Foods</w:t>
            </w:r>
          </w:p>
        </w:tc>
        <w:tc>
          <w:tcPr>
            <w:tcW w:w="2360" w:type="dxa"/>
            <w:vAlign w:val="bottom"/>
          </w:tcPr>
          <w:p>
            <w:pPr>
              <w:spacing w:after="0"/>
              <w:rPr>
                <w:sz w:val="20"/>
                <w:szCs w:val="20"/>
                <w:color w:val="auto"/>
              </w:rPr>
            </w:pPr>
            <w:r>
              <w:rPr>
                <w:rFonts w:ascii="Arial" w:cs="Arial" w:eastAsia="Arial" w:hAnsi="Arial"/>
                <w:sz w:val="13"/>
                <w:szCs w:val="13"/>
                <w:color w:val="auto"/>
              </w:rPr>
              <w:t>Buy Buy Baby / Stein Mart</w:t>
            </w:r>
          </w:p>
        </w:tc>
      </w:tr>
      <w:tr>
        <w:trPr>
          <w:trHeight w:val="97"/>
        </w:trPr>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360" w:type="dxa"/>
            <w:vAlign w:val="bottom"/>
          </w:tcPr>
          <w:p>
            <w:pPr>
              <w:spacing w:after="0"/>
              <w:rPr>
                <w:sz w:val="8"/>
                <w:szCs w:val="8"/>
                <w:color w:val="auto"/>
              </w:rPr>
            </w:pPr>
          </w:p>
        </w:tc>
      </w:tr>
      <w:tr>
        <w:trPr>
          <w:trHeight w:val="173"/>
        </w:trPr>
        <w:tc>
          <w:tcPr>
            <w:tcW w:w="116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Flourtown</w:t>
            </w:r>
          </w:p>
        </w:tc>
        <w:tc>
          <w:tcPr>
            <w:tcW w:w="44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16,892</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156,000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75,000</w:t>
            </w:r>
          </w:p>
        </w:tc>
        <w:tc>
          <w:tcPr>
            <w:tcW w:w="88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Movie Tavern</w:t>
            </w:r>
          </w:p>
        </w:tc>
      </w:tr>
      <w:tr>
        <w:trPr>
          <w:trHeight w:val="97"/>
        </w:trPr>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360" w:type="dxa"/>
            <w:vAlign w:val="bottom"/>
            <w:shd w:val="clear" w:color="auto" w:fill="CCEEFF"/>
          </w:tcPr>
          <w:p>
            <w:pPr>
              <w:spacing w:after="0"/>
              <w:rPr>
                <w:sz w:val="8"/>
                <w:szCs w:val="8"/>
                <w:color w:val="auto"/>
              </w:rPr>
            </w:pPr>
          </w:p>
        </w:tc>
      </w:tr>
      <w:tr>
        <w:trPr>
          <w:trHeight w:val="148"/>
        </w:trPr>
        <w:tc>
          <w:tcPr>
            <w:tcW w:w="116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Langhorne Square</w:t>
            </w:r>
          </w:p>
        </w:tc>
        <w:tc>
          <w:tcPr>
            <w:tcW w:w="440" w:type="dxa"/>
            <w:vAlign w:val="bottom"/>
          </w:tcPr>
          <w:p>
            <w:pPr>
              <w:spacing w:after="0"/>
              <w:rPr>
                <w:sz w:val="12"/>
                <w:szCs w:val="12"/>
                <w:color w:val="auto"/>
              </w:rPr>
            </w:pPr>
          </w:p>
        </w:tc>
        <w:tc>
          <w:tcPr>
            <w:tcW w:w="19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Philadelphia, PA-NJ</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21,904</w:t>
            </w:r>
          </w:p>
        </w:tc>
        <w:tc>
          <w:tcPr>
            <w:tcW w:w="660" w:type="dxa"/>
            <w:vAlign w:val="bottom"/>
          </w:tcPr>
          <w:p>
            <w:pPr>
              <w:spacing w:after="0"/>
              <w:rPr>
                <w:sz w:val="12"/>
                <w:szCs w:val="12"/>
                <w:color w:val="auto"/>
              </w:rPr>
            </w:pP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219,000</w:t>
            </w: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55,000</w:t>
            </w:r>
          </w:p>
        </w:tc>
        <w:tc>
          <w:tcPr>
            <w:tcW w:w="880" w:type="dxa"/>
            <w:vAlign w:val="bottom"/>
          </w:tcPr>
          <w:p>
            <w:pPr>
              <w:ind w:left="80"/>
              <w:spacing w:after="0" w:line="148" w:lineRule="exact"/>
              <w:rPr>
                <w:sz w:val="20"/>
                <w:szCs w:val="20"/>
                <w:color w:val="auto"/>
              </w:rPr>
            </w:pPr>
            <w:r>
              <w:rPr>
                <w:rFonts w:ascii="Arial" w:cs="Arial" w:eastAsia="Arial" w:hAnsi="Arial"/>
                <w:sz w:val="13"/>
                <w:szCs w:val="13"/>
                <w:color w:val="auto"/>
              </w:rPr>
              <w:t>Redner's</w:t>
            </w:r>
          </w:p>
        </w:tc>
        <w:tc>
          <w:tcPr>
            <w:tcW w:w="2360" w:type="dxa"/>
            <w:vAlign w:val="bottom"/>
          </w:tcPr>
          <w:p>
            <w:pPr>
              <w:spacing w:after="0" w:line="148" w:lineRule="exact"/>
              <w:rPr>
                <w:sz w:val="20"/>
                <w:szCs w:val="20"/>
                <w:color w:val="auto"/>
              </w:rPr>
            </w:pPr>
            <w:r>
              <w:rPr>
                <w:rFonts w:ascii="Arial" w:cs="Arial" w:eastAsia="Arial" w:hAnsi="Arial"/>
                <w:sz w:val="13"/>
                <w:szCs w:val="13"/>
                <w:color w:val="auto"/>
              </w:rPr>
              <w:t>Marshalls / Planet Fitness</w:t>
            </w:r>
          </w:p>
        </w:tc>
      </w:tr>
      <w:tr>
        <w:trPr>
          <w:trHeight w:val="135"/>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236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3"/>
                <w:szCs w:val="13"/>
                <w:color w:val="auto"/>
              </w:rPr>
              <w:t>Mkts.</w:t>
            </w:r>
          </w:p>
        </w:tc>
        <w:tc>
          <w:tcPr>
            <w:tcW w:w="2360" w:type="dxa"/>
            <w:vAlign w:val="bottom"/>
          </w:tcPr>
          <w:p>
            <w:pPr>
              <w:spacing w:after="0"/>
              <w:rPr>
                <w:sz w:val="14"/>
                <w:szCs w:val="14"/>
                <w:color w:val="auto"/>
              </w:rPr>
            </w:pPr>
          </w:p>
        </w:tc>
      </w:tr>
      <w:tr>
        <w:trPr>
          <w:trHeight w:val="156"/>
        </w:trPr>
        <w:tc>
          <w:tcPr>
            <w:tcW w:w="116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Lawrence Park</w:t>
            </w:r>
          </w:p>
        </w:tc>
        <w:tc>
          <w:tcPr>
            <w:tcW w:w="44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33,140</w:t>
            </w:r>
          </w:p>
        </w:tc>
        <w:tc>
          <w:tcPr>
            <w:tcW w:w="6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364,000</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53,000</w:t>
            </w:r>
          </w:p>
        </w:tc>
        <w:tc>
          <w:tcPr>
            <w:tcW w:w="88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Acme</w:t>
            </w: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w w:val="99"/>
              </w:rPr>
              <w:t>TJ Maxx / HomeGoods / Barnes &amp; Noble</w:t>
            </w:r>
          </w:p>
        </w:tc>
      </w:tr>
      <w:tr>
        <w:trPr>
          <w:trHeight w:val="176"/>
        </w:trPr>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2360" w:type="dxa"/>
            <w:vAlign w:val="bottom"/>
            <w:shd w:val="clear" w:color="auto" w:fill="CCEEFF"/>
          </w:tcPr>
          <w:p>
            <w:pPr>
              <w:spacing w:after="0"/>
              <w:rPr>
                <w:sz w:val="15"/>
                <w:szCs w:val="15"/>
                <w:color w:val="auto"/>
              </w:rPr>
            </w:pPr>
          </w:p>
        </w:tc>
      </w:tr>
      <w:tr>
        <w:trPr>
          <w:trHeight w:val="173"/>
        </w:trPr>
        <w:tc>
          <w:tcPr>
            <w:tcW w:w="1160" w:type="dxa"/>
            <w:vAlign w:val="bottom"/>
            <w:gridSpan w:val="4"/>
          </w:tcPr>
          <w:p>
            <w:pPr>
              <w:ind w:left="40"/>
              <w:spacing w:after="0"/>
              <w:rPr>
                <w:sz w:val="20"/>
                <w:szCs w:val="20"/>
                <w:color w:val="auto"/>
              </w:rPr>
            </w:pPr>
            <w:r>
              <w:rPr>
                <w:rFonts w:ascii="Arial" w:cs="Arial" w:eastAsia="Arial" w:hAnsi="Arial"/>
                <w:sz w:val="13"/>
                <w:szCs w:val="13"/>
                <w:color w:val="auto"/>
              </w:rPr>
              <w:t>Northeast</w:t>
            </w:r>
          </w:p>
        </w:tc>
        <w:tc>
          <w:tcPr>
            <w:tcW w:w="440" w:type="dxa"/>
            <w:vAlign w:val="bottom"/>
          </w:tcPr>
          <w:p>
            <w:pPr>
              <w:spacing w:after="0"/>
              <w:rPr>
                <w:sz w:val="15"/>
                <w:szCs w:val="15"/>
                <w:color w:val="auto"/>
              </w:rPr>
            </w:pPr>
          </w:p>
        </w:tc>
        <w:tc>
          <w:tcPr>
            <w:tcW w:w="1960" w:type="dxa"/>
            <w:vAlign w:val="bottom"/>
            <w:gridSpan w:val="2"/>
          </w:tcPr>
          <w:p>
            <w:pPr>
              <w:ind w:left="40"/>
              <w:spacing w:after="0"/>
              <w:rPr>
                <w:sz w:val="20"/>
                <w:szCs w:val="20"/>
                <w:color w:val="auto"/>
              </w:rPr>
            </w:pPr>
            <w:r>
              <w:rPr>
                <w:rFonts w:ascii="Arial" w:cs="Arial" w:eastAsia="Arial" w:hAnsi="Arial"/>
                <w:sz w:val="13"/>
                <w:szCs w:val="13"/>
                <w:color w:val="auto"/>
              </w:rPr>
              <w:t>Philadelphia, PA-NJ</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28,374</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288,000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86%</w:t>
            </w: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60" w:type="dxa"/>
            <w:vAlign w:val="bottom"/>
          </w:tcPr>
          <w:p>
            <w:pPr>
              <w:spacing w:after="0"/>
              <w:rPr>
                <w:sz w:val="20"/>
                <w:szCs w:val="20"/>
                <w:color w:val="auto"/>
              </w:rPr>
            </w:pPr>
            <w:r>
              <w:rPr>
                <w:rFonts w:ascii="Arial" w:cs="Arial" w:eastAsia="Arial" w:hAnsi="Arial"/>
                <w:sz w:val="13"/>
                <w:szCs w:val="13"/>
                <w:color w:val="auto"/>
              </w:rPr>
              <w:t>Marshalls / Burlington / A.C. Moore</w:t>
            </w:r>
          </w:p>
        </w:tc>
      </w:tr>
      <w:tr>
        <w:trPr>
          <w:trHeight w:val="97"/>
        </w:trPr>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360" w:type="dxa"/>
            <w:vAlign w:val="bottom"/>
          </w:tcPr>
          <w:p>
            <w:pPr>
              <w:spacing w:after="0"/>
              <w:rPr>
                <w:sz w:val="8"/>
                <w:szCs w:val="8"/>
                <w:color w:val="auto"/>
              </w:rPr>
            </w:pPr>
          </w:p>
        </w:tc>
      </w:tr>
      <w:tr>
        <w:trPr>
          <w:trHeight w:val="148"/>
        </w:trPr>
        <w:tc>
          <w:tcPr>
            <w:tcW w:w="116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w w:val="92"/>
              </w:rPr>
              <w:t>Town Center of New</w:t>
            </w:r>
          </w:p>
        </w:tc>
        <w:tc>
          <w:tcPr>
            <w:tcW w:w="44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Philadelphia, PA-NJ</w:t>
            </w: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15,146</w:t>
            </w: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124,000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90%</w:t>
            </w: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36,000</w:t>
            </w:r>
          </w:p>
        </w:tc>
        <w:tc>
          <w:tcPr>
            <w:tcW w:w="88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Giant Food</w:t>
            </w:r>
          </w:p>
        </w:tc>
        <w:tc>
          <w:tcPr>
            <w:tcW w:w="23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Rite Aid / Dollar Tree</w:t>
            </w:r>
          </w:p>
        </w:tc>
      </w:tr>
      <w:tr>
        <w:trPr>
          <w:trHeight w:val="176"/>
        </w:trPr>
        <w:tc>
          <w:tcPr>
            <w:tcW w:w="116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Britain</w:t>
            </w: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747" w:right="239" w:bottom="144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Leased</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Residential</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420" w:type="dxa"/>
            <w:vAlign w:val="bottom"/>
          </w:tcPr>
          <w:p>
            <w:pPr>
              <w:spacing w:after="0"/>
              <w:rPr>
                <w:sz w:val="11"/>
                <w:szCs w:val="11"/>
                <w:color w:val="auto"/>
              </w:rPr>
            </w:pPr>
          </w:p>
        </w:tc>
      </w:tr>
      <w:tr>
        <w:trPr>
          <w:trHeight w:val="174"/>
        </w:trPr>
        <w:tc>
          <w:tcPr>
            <w:tcW w:w="114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Property Name</w:t>
            </w:r>
          </w:p>
        </w:tc>
        <w:tc>
          <w:tcPr>
            <w:tcW w:w="4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Acreage</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GLA (2)</w:t>
            </w: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4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95"/>
        </w:trPr>
        <w:tc>
          <w:tcPr>
            <w:tcW w:w="1140" w:type="dxa"/>
            <w:vAlign w:val="bottom"/>
            <w:gridSpan w:val="6"/>
          </w:tcPr>
          <w:p>
            <w:pPr>
              <w:ind w:left="40"/>
              <w:spacing w:after="0"/>
              <w:rPr>
                <w:sz w:val="20"/>
                <w:szCs w:val="20"/>
                <w:color w:val="auto"/>
              </w:rPr>
            </w:pPr>
            <w:r>
              <w:rPr>
                <w:rFonts w:ascii="Arial" w:cs="Arial" w:eastAsia="Arial" w:hAnsi="Arial"/>
                <w:sz w:val="13"/>
                <w:szCs w:val="13"/>
                <w:color w:val="auto"/>
              </w:rPr>
              <w:t>Willow Grove</w:t>
            </w:r>
          </w:p>
        </w:tc>
        <w:tc>
          <w:tcPr>
            <w:tcW w:w="460" w:type="dxa"/>
            <w:vAlign w:val="bottom"/>
          </w:tcPr>
          <w:p>
            <w:pPr>
              <w:spacing w:after="0"/>
              <w:rPr>
                <w:sz w:val="16"/>
                <w:szCs w:val="16"/>
                <w:color w:val="auto"/>
              </w:rPr>
            </w:pPr>
          </w:p>
        </w:tc>
        <w:tc>
          <w:tcPr>
            <w:tcW w:w="1960" w:type="dxa"/>
            <w:vAlign w:val="bottom"/>
          </w:tcPr>
          <w:p>
            <w:pPr>
              <w:ind w:left="40"/>
              <w:spacing w:after="0"/>
              <w:rPr>
                <w:sz w:val="20"/>
                <w:szCs w:val="20"/>
                <w:color w:val="auto"/>
              </w:rPr>
            </w:pPr>
            <w:r>
              <w:rPr>
                <w:rFonts w:ascii="Arial" w:cs="Arial" w:eastAsia="Arial" w:hAnsi="Arial"/>
                <w:sz w:val="13"/>
                <w:szCs w:val="13"/>
                <w:color w:val="auto"/>
              </w:rPr>
              <w:t>Philadelphia, PA-NJ</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30,094</w:t>
            </w:r>
          </w:p>
        </w:tc>
        <w:tc>
          <w:tcPr>
            <w:tcW w:w="660" w:type="dxa"/>
            <w:vAlign w:val="bottom"/>
          </w:tcPr>
          <w:p>
            <w:pPr>
              <w:spacing w:after="0"/>
              <w:rPr>
                <w:sz w:val="16"/>
                <w:szCs w:val="16"/>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6"/>
                <w:szCs w:val="16"/>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211,000</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96%</w:t>
            </w: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20" w:type="dxa"/>
            <w:vAlign w:val="bottom"/>
          </w:tcPr>
          <w:p>
            <w:pPr>
              <w:ind w:left="60"/>
              <w:spacing w:after="0"/>
              <w:rPr>
                <w:sz w:val="20"/>
                <w:szCs w:val="20"/>
                <w:color w:val="auto"/>
              </w:rPr>
            </w:pPr>
            <w:r>
              <w:rPr>
                <w:rFonts w:ascii="Arial" w:cs="Arial" w:eastAsia="Arial" w:hAnsi="Arial"/>
                <w:sz w:val="13"/>
                <w:szCs w:val="13"/>
                <w:color w:val="auto"/>
                <w:w w:val="96"/>
              </w:rPr>
              <w:t>Marshalls / HomeGoods / Barnes &amp; Noble</w:t>
            </w:r>
          </w:p>
        </w:tc>
      </w:tr>
      <w:tr>
        <w:trPr>
          <w:trHeight w:val="97"/>
        </w:trPr>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73"/>
        </w:trPr>
        <w:tc>
          <w:tcPr>
            <w:tcW w:w="114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Wynnewood</w:t>
            </w:r>
          </w:p>
        </w:tc>
        <w:tc>
          <w:tcPr>
            <w:tcW w:w="460" w:type="dxa"/>
            <w:vAlign w:val="bottom"/>
            <w:shd w:val="clear" w:color="auto" w:fill="CCEEFF"/>
          </w:tcPr>
          <w:p>
            <w:pPr>
              <w:spacing w:after="0"/>
              <w:rPr>
                <w:sz w:val="15"/>
                <w:szCs w:val="15"/>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42,825</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251,000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98,000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Bed, Bath &amp; Beyond / Old Navy / DSW</w:t>
            </w:r>
          </w:p>
        </w:tc>
      </w:tr>
      <w:tr>
        <w:trPr>
          <w:trHeight w:val="97"/>
        </w:trPr>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960" w:type="dxa"/>
            <w:vAlign w:val="bottom"/>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r>
        <w:trPr>
          <w:trHeight w:val="129"/>
        </w:trPr>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60" w:type="dxa"/>
            <w:vAlign w:val="bottom"/>
          </w:tcPr>
          <w:p>
            <w:pPr>
              <w:ind w:left="40"/>
              <w:spacing w:after="0" w:line="129" w:lineRule="exact"/>
              <w:rPr>
                <w:sz w:val="20"/>
                <w:szCs w:val="20"/>
                <w:color w:val="auto"/>
              </w:rPr>
            </w:pPr>
            <w:r>
              <w:rPr>
                <w:rFonts w:ascii="Arial" w:cs="Arial" w:eastAsia="Arial" w:hAnsi="Arial"/>
                <w:sz w:val="13"/>
                <w:szCs w:val="13"/>
                <w:b w:val="1"/>
                <w:bCs w:val="1"/>
                <w:color w:val="auto"/>
                <w:w w:val="98"/>
              </w:rPr>
              <w:t>Total Philadelphia Metropolitan</w:t>
            </w:r>
          </w:p>
        </w:tc>
        <w:tc>
          <w:tcPr>
            <w:tcW w:w="680" w:type="dxa"/>
            <w:vAlign w:val="bottom"/>
          </w:tcPr>
          <w:p>
            <w:pPr>
              <w:jc w:val="right"/>
              <w:ind w:right="57"/>
              <w:spacing w:after="0" w:line="129" w:lineRule="exact"/>
              <w:rPr>
                <w:sz w:val="20"/>
                <w:szCs w:val="20"/>
                <w:color w:val="auto"/>
              </w:rPr>
            </w:pPr>
            <w:r>
              <w:rPr>
                <w:rFonts w:ascii="Arial" w:cs="Arial" w:eastAsia="Arial" w:hAnsi="Arial"/>
                <w:sz w:val="13"/>
                <w:szCs w:val="13"/>
                <w:color w:val="auto"/>
              </w:rPr>
              <w:t>288,949</w:t>
            </w:r>
          </w:p>
        </w:tc>
        <w:tc>
          <w:tcPr>
            <w:tcW w:w="660" w:type="dxa"/>
            <w:vAlign w:val="bottom"/>
          </w:tcPr>
          <w:p>
            <w:pPr>
              <w:spacing w:after="0"/>
              <w:rPr>
                <w:sz w:val="11"/>
                <w:szCs w:val="11"/>
                <w:color w:val="auto"/>
              </w:rPr>
            </w:pPr>
          </w:p>
        </w:tc>
        <w:tc>
          <w:tcPr>
            <w:tcW w:w="560" w:type="dxa"/>
            <w:vAlign w:val="bottom"/>
          </w:tcPr>
          <w:p>
            <w:pPr>
              <w:jc w:val="right"/>
              <w:ind w:right="57"/>
              <w:spacing w:after="0" w:line="129" w:lineRule="exact"/>
              <w:rPr>
                <w:sz w:val="20"/>
                <w:szCs w:val="20"/>
                <w:color w:val="auto"/>
              </w:rPr>
            </w:pPr>
            <w:r>
              <w:rPr>
                <w:rFonts w:ascii="Arial" w:cs="Arial" w:eastAsia="Arial" w:hAnsi="Arial"/>
                <w:sz w:val="13"/>
                <w:szCs w:val="13"/>
                <w:color w:val="auto"/>
              </w:rPr>
              <w:t>210</w:t>
            </w:r>
          </w:p>
        </w:tc>
        <w:tc>
          <w:tcPr>
            <w:tcW w:w="100" w:type="dxa"/>
            <w:vAlign w:val="bottom"/>
          </w:tcPr>
          <w:p>
            <w:pPr>
              <w:spacing w:after="0"/>
              <w:rPr>
                <w:sz w:val="11"/>
                <w:szCs w:val="11"/>
                <w:color w:val="auto"/>
              </w:rPr>
            </w:pPr>
          </w:p>
        </w:tc>
        <w:tc>
          <w:tcPr>
            <w:tcW w:w="640" w:type="dxa"/>
            <w:vAlign w:val="bottom"/>
          </w:tcPr>
          <w:p>
            <w:pPr>
              <w:jc w:val="right"/>
              <w:ind w:right="37"/>
              <w:spacing w:after="0" w:line="129" w:lineRule="exact"/>
              <w:rPr>
                <w:sz w:val="20"/>
                <w:szCs w:val="20"/>
                <w:color w:val="auto"/>
              </w:rPr>
            </w:pPr>
            <w:r>
              <w:rPr>
                <w:rFonts w:ascii="Arial" w:cs="Arial" w:eastAsia="Arial" w:hAnsi="Arial"/>
                <w:sz w:val="13"/>
                <w:szCs w:val="13"/>
                <w:color w:val="auto"/>
                <w:w w:val="89"/>
              </w:rPr>
              <w:t>2,440,000</w:t>
            </w: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95%</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70"/>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Arial" w:cs="Arial" w:eastAsia="Arial" w:hAnsi="Arial"/>
                <w:sz w:val="13"/>
                <w:szCs w:val="13"/>
                <w:b w:val="1"/>
                <w:bCs w:val="1"/>
                <w:color w:val="auto"/>
              </w:rPr>
              <w:t>Area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222"/>
        </w:trPr>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r>
      <w:tr>
        <w:trPr>
          <w:trHeight w:val="149"/>
        </w:trPr>
        <w:tc>
          <w:tcPr>
            <w:tcW w:w="40" w:type="dxa"/>
            <w:vAlign w:val="bottom"/>
          </w:tcPr>
          <w:p>
            <w:pPr>
              <w:spacing w:after="0"/>
              <w:rPr>
                <w:sz w:val="12"/>
                <w:szCs w:val="12"/>
                <w:color w:val="auto"/>
              </w:rPr>
            </w:pPr>
          </w:p>
        </w:tc>
        <w:tc>
          <w:tcPr>
            <w:tcW w:w="1100" w:type="dxa"/>
            <w:vAlign w:val="bottom"/>
            <w:gridSpan w:val="5"/>
          </w:tcPr>
          <w:p>
            <w:pPr>
              <w:ind w:left="60"/>
              <w:spacing w:after="0"/>
              <w:rPr>
                <w:sz w:val="20"/>
                <w:szCs w:val="20"/>
                <w:color w:val="auto"/>
              </w:rPr>
            </w:pPr>
            <w:r>
              <w:rPr>
                <w:rFonts w:ascii="Arial" w:cs="Arial" w:eastAsia="Arial" w:hAnsi="Arial"/>
                <w:sz w:val="13"/>
                <w:szCs w:val="13"/>
                <w:b w:val="1"/>
                <w:bCs w:val="1"/>
                <w:color w:val="auto"/>
              </w:rPr>
              <w:t>New England</w:t>
            </w:r>
          </w:p>
        </w:tc>
        <w:tc>
          <w:tcPr>
            <w:tcW w:w="4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48"/>
        </w:trPr>
        <w:tc>
          <w:tcPr>
            <w:tcW w:w="114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Assembly Row /</w:t>
            </w:r>
          </w:p>
        </w:tc>
        <w:tc>
          <w:tcPr>
            <w:tcW w:w="4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7"/>
              </w:rPr>
              <w:t>(4)</w:t>
            </w:r>
          </w:p>
        </w:tc>
        <w:tc>
          <w:tcPr>
            <w:tcW w:w="19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3"/>
              </w:rPr>
              <w:t>Boston-Cambridge-Quincy, MA-NH</w:t>
            </w: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672,452</w:t>
            </w: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761,000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w:t>
            </w: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TJ Maxx / AMC / LEGOLAND Discovery</w:t>
            </w:r>
          </w:p>
        </w:tc>
      </w:tr>
      <w:tr>
        <w:trPr>
          <w:trHeight w:val="135"/>
        </w:trPr>
        <w:tc>
          <w:tcPr>
            <w:tcW w:w="1140" w:type="dxa"/>
            <w:vAlign w:val="bottom"/>
            <w:gridSpan w:val="6"/>
            <w:shd w:val="clear" w:color="auto" w:fill="CCEEFF"/>
          </w:tcPr>
          <w:p>
            <w:pPr>
              <w:ind w:left="40"/>
              <w:spacing w:after="0" w:line="135" w:lineRule="exact"/>
              <w:rPr>
                <w:sz w:val="20"/>
                <w:szCs w:val="20"/>
                <w:color w:val="auto"/>
              </w:rPr>
            </w:pPr>
            <w:r>
              <w:rPr>
                <w:rFonts w:ascii="Arial" w:cs="Arial" w:eastAsia="Arial" w:hAnsi="Arial"/>
                <w:sz w:val="13"/>
                <w:szCs w:val="13"/>
                <w:color w:val="auto"/>
              </w:rPr>
              <w:t>Assembly Square</w:t>
            </w:r>
          </w:p>
        </w:tc>
        <w:tc>
          <w:tcPr>
            <w:tcW w:w="46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Center / Multiple Restaurants &amp; Outlets</w:t>
            </w:r>
          </w:p>
        </w:tc>
      </w:tr>
      <w:tr>
        <w:trPr>
          <w:trHeight w:val="176"/>
        </w:trPr>
        <w:tc>
          <w:tcPr>
            <w:tcW w:w="114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Marketplace</w:t>
            </w:r>
          </w:p>
        </w:tc>
        <w:tc>
          <w:tcPr>
            <w:tcW w:w="4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148"/>
        </w:trPr>
        <w:tc>
          <w:tcPr>
            <w:tcW w:w="114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Atlantic Plaza</w:t>
            </w:r>
          </w:p>
        </w:tc>
        <w:tc>
          <w:tcPr>
            <w:tcW w:w="460" w:type="dxa"/>
            <w:vAlign w:val="bottom"/>
          </w:tcPr>
          <w:p>
            <w:pPr>
              <w:spacing w:after="0"/>
              <w:rPr>
                <w:sz w:val="12"/>
                <w:szCs w:val="12"/>
                <w:color w:val="auto"/>
              </w:rPr>
            </w:pP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w w:val="90"/>
              </w:rPr>
              <w:t>Boston-Worcester-Lawrence-Lowell-</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25,434</w:t>
            </w:r>
          </w:p>
        </w:tc>
        <w:tc>
          <w:tcPr>
            <w:tcW w:w="660" w:type="dxa"/>
            <w:vAlign w:val="bottom"/>
          </w:tcPr>
          <w:p>
            <w:pPr>
              <w:spacing w:after="0"/>
              <w:rPr>
                <w:sz w:val="12"/>
                <w:szCs w:val="12"/>
                <w:color w:val="auto"/>
              </w:rPr>
            </w:pP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123,000</w:t>
            </w: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64,000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8"/>
              </w:rPr>
              <w:t>Stop &amp; Shop</w:t>
            </w:r>
          </w:p>
        </w:tc>
        <w:tc>
          <w:tcPr>
            <w:tcW w:w="242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Arial" w:cs="Arial" w:eastAsia="Arial" w:hAnsi="Arial"/>
                <w:sz w:val="13"/>
                <w:szCs w:val="13"/>
                <w:color w:val="auto"/>
              </w:rPr>
              <w:t>Brockton, MA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56"/>
        </w:trPr>
        <w:tc>
          <w:tcPr>
            <w:tcW w:w="114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Campus Plaza</w:t>
            </w:r>
          </w:p>
        </w:tc>
        <w:tc>
          <w:tcPr>
            <w:tcW w:w="460" w:type="dxa"/>
            <w:vAlign w:val="bottom"/>
            <w:shd w:val="clear" w:color="auto" w:fill="CCEEFF"/>
          </w:tcPr>
          <w:p>
            <w:pPr>
              <w:spacing w:after="0"/>
              <w:rPr>
                <w:sz w:val="13"/>
                <w:szCs w:val="13"/>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Boston-Worcester-Lawrence-Lowell-</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30,393</w:t>
            </w:r>
          </w:p>
        </w:tc>
        <w:tc>
          <w:tcPr>
            <w:tcW w:w="6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116,000</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Burlington</w:t>
            </w:r>
          </w:p>
        </w:tc>
      </w:tr>
      <w:tr>
        <w:trPr>
          <w:trHeight w:val="176"/>
        </w:trPr>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Brockton, MA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173"/>
        </w:trPr>
        <w:tc>
          <w:tcPr>
            <w:tcW w:w="1140" w:type="dxa"/>
            <w:vAlign w:val="bottom"/>
            <w:gridSpan w:val="6"/>
          </w:tcPr>
          <w:p>
            <w:pPr>
              <w:ind w:left="40"/>
              <w:spacing w:after="0"/>
              <w:rPr>
                <w:sz w:val="20"/>
                <w:szCs w:val="20"/>
                <w:color w:val="auto"/>
              </w:rPr>
            </w:pPr>
            <w:r>
              <w:rPr>
                <w:rFonts w:ascii="Arial" w:cs="Arial" w:eastAsia="Arial" w:hAnsi="Arial"/>
                <w:sz w:val="13"/>
                <w:szCs w:val="13"/>
                <w:color w:val="auto"/>
                <w:w w:val="97"/>
              </w:rPr>
              <w:t>Chelsea Commons</w:t>
            </w:r>
          </w:p>
        </w:tc>
        <w:tc>
          <w:tcPr>
            <w:tcW w:w="46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Arial" w:cs="Arial" w:eastAsia="Arial" w:hAnsi="Arial"/>
                <w:sz w:val="13"/>
                <w:szCs w:val="13"/>
                <w:color w:val="auto"/>
                <w:w w:val="93"/>
              </w:rPr>
              <w:t>Boston-Cambridge-Quincy, MA-NH</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42,849</w:t>
            </w:r>
          </w:p>
        </w:tc>
        <w:tc>
          <w:tcPr>
            <w:tcW w:w="660" w:type="dxa"/>
            <w:vAlign w:val="bottom"/>
          </w:tcPr>
          <w:p>
            <w:pPr>
              <w:jc w:val="right"/>
              <w:ind w:right="59"/>
              <w:spacing w:after="0"/>
              <w:rPr>
                <w:sz w:val="20"/>
                <w:szCs w:val="20"/>
                <w:color w:val="auto"/>
              </w:rPr>
            </w:pPr>
            <w:r>
              <w:rPr>
                <w:rFonts w:ascii="Arial" w:cs="Arial" w:eastAsia="Arial" w:hAnsi="Arial"/>
                <w:sz w:val="13"/>
                <w:szCs w:val="13"/>
                <w:color w:val="auto"/>
              </w:rPr>
              <w:t>6,500</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222,000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56</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16,000</w:t>
            </w:r>
          </w:p>
        </w:tc>
        <w:tc>
          <w:tcPr>
            <w:tcW w:w="820" w:type="dxa"/>
            <w:vAlign w:val="bottom"/>
          </w:tcPr>
          <w:p>
            <w:pPr>
              <w:ind w:left="80"/>
              <w:spacing w:after="0"/>
              <w:rPr>
                <w:sz w:val="20"/>
                <w:szCs w:val="20"/>
                <w:color w:val="auto"/>
              </w:rPr>
            </w:pPr>
            <w:r>
              <w:rPr>
                <w:rFonts w:ascii="Arial" w:cs="Arial" w:eastAsia="Arial" w:hAnsi="Arial"/>
                <w:sz w:val="13"/>
                <w:szCs w:val="13"/>
                <w:color w:val="auto"/>
              </w:rPr>
              <w:t>Sav-A-Lot</w:t>
            </w:r>
          </w:p>
        </w:tc>
        <w:tc>
          <w:tcPr>
            <w:tcW w:w="2420" w:type="dxa"/>
            <w:vAlign w:val="bottom"/>
          </w:tcPr>
          <w:p>
            <w:pPr>
              <w:ind w:left="60"/>
              <w:spacing w:after="0"/>
              <w:rPr>
                <w:sz w:val="20"/>
                <w:szCs w:val="20"/>
                <w:color w:val="auto"/>
              </w:rPr>
            </w:pPr>
            <w:r>
              <w:rPr>
                <w:rFonts w:ascii="Arial" w:cs="Arial" w:eastAsia="Arial" w:hAnsi="Arial"/>
                <w:sz w:val="13"/>
                <w:szCs w:val="13"/>
                <w:color w:val="auto"/>
              </w:rPr>
              <w:t>Home Depot / Planet Fitness</w:t>
            </w:r>
          </w:p>
        </w:tc>
      </w:tr>
      <w:tr>
        <w:trPr>
          <w:trHeight w:val="97"/>
        </w:trPr>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73"/>
        </w:trPr>
        <w:tc>
          <w:tcPr>
            <w:tcW w:w="114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Dedham Plaza</w:t>
            </w:r>
          </w:p>
        </w:tc>
        <w:tc>
          <w:tcPr>
            <w:tcW w:w="460" w:type="dxa"/>
            <w:vAlign w:val="bottom"/>
            <w:shd w:val="clear" w:color="auto" w:fill="CCEEFF"/>
          </w:tcPr>
          <w:p>
            <w:pPr>
              <w:spacing w:after="0"/>
              <w:rPr>
                <w:sz w:val="15"/>
                <w:szCs w:val="15"/>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3"/>
              </w:rPr>
              <w:t>Boston-Cambridge-Quincy, MA-NH</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38,533</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241,000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80,000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Star Market</w:t>
            </w:r>
          </w:p>
        </w:tc>
        <w:tc>
          <w:tcPr>
            <w:tcW w:w="2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Planet Fitness</w:t>
            </w:r>
          </w:p>
        </w:tc>
      </w:tr>
      <w:tr>
        <w:trPr>
          <w:trHeight w:val="97"/>
        </w:trPr>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9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r>
        <w:trPr>
          <w:trHeight w:val="173"/>
        </w:trPr>
        <w:tc>
          <w:tcPr>
            <w:tcW w:w="1140" w:type="dxa"/>
            <w:vAlign w:val="bottom"/>
            <w:gridSpan w:val="6"/>
          </w:tcPr>
          <w:p>
            <w:pPr>
              <w:ind w:left="40"/>
              <w:spacing w:after="0"/>
              <w:rPr>
                <w:sz w:val="20"/>
                <w:szCs w:val="20"/>
                <w:color w:val="auto"/>
              </w:rPr>
            </w:pPr>
            <w:r>
              <w:rPr>
                <w:rFonts w:ascii="Arial" w:cs="Arial" w:eastAsia="Arial" w:hAnsi="Arial"/>
                <w:sz w:val="13"/>
                <w:szCs w:val="13"/>
                <w:color w:val="auto"/>
              </w:rPr>
              <w:t>Linden Square</w:t>
            </w:r>
          </w:p>
        </w:tc>
        <w:tc>
          <w:tcPr>
            <w:tcW w:w="46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Arial" w:cs="Arial" w:eastAsia="Arial" w:hAnsi="Arial"/>
                <w:sz w:val="13"/>
                <w:szCs w:val="13"/>
                <w:color w:val="auto"/>
                <w:w w:val="93"/>
              </w:rPr>
              <w:t>Boston-Cambridge-Quincy, MA-NH</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147,954</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223,000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96%</w:t>
            </w: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50,000</w:t>
            </w:r>
          </w:p>
        </w:tc>
        <w:tc>
          <w:tcPr>
            <w:tcW w:w="820" w:type="dxa"/>
            <w:vAlign w:val="bottom"/>
          </w:tcPr>
          <w:p>
            <w:pPr>
              <w:ind w:left="80"/>
              <w:spacing w:after="0"/>
              <w:rPr>
                <w:sz w:val="20"/>
                <w:szCs w:val="20"/>
                <w:color w:val="auto"/>
              </w:rPr>
            </w:pPr>
            <w:r>
              <w:rPr>
                <w:rFonts w:ascii="Arial" w:cs="Arial" w:eastAsia="Arial" w:hAnsi="Arial"/>
                <w:sz w:val="13"/>
                <w:szCs w:val="13"/>
                <w:color w:val="auto"/>
              </w:rPr>
              <w:t>Roche Bros.</w:t>
            </w:r>
          </w:p>
        </w:tc>
        <w:tc>
          <w:tcPr>
            <w:tcW w:w="2420" w:type="dxa"/>
            <w:vAlign w:val="bottom"/>
          </w:tcPr>
          <w:p>
            <w:pPr>
              <w:ind w:left="6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73"/>
        </w:trPr>
        <w:tc>
          <w:tcPr>
            <w:tcW w:w="114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North Dartmouth</w:t>
            </w:r>
          </w:p>
        </w:tc>
        <w:tc>
          <w:tcPr>
            <w:tcW w:w="460" w:type="dxa"/>
            <w:vAlign w:val="bottom"/>
            <w:shd w:val="clear" w:color="auto" w:fill="CCEEFF"/>
          </w:tcPr>
          <w:p>
            <w:pPr>
              <w:spacing w:after="0"/>
              <w:rPr>
                <w:sz w:val="15"/>
                <w:szCs w:val="15"/>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3"/>
              </w:rPr>
              <w:t>Boston-Cambridge-Quincy, MA-NH</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9,368</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8"/>
              </w:rPr>
              <w:t>Stop &amp; Shop</w:t>
            </w:r>
          </w:p>
        </w:tc>
        <w:tc>
          <w:tcPr>
            <w:tcW w:w="242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9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r>
        <w:trPr>
          <w:trHeight w:val="173"/>
        </w:trPr>
        <w:tc>
          <w:tcPr>
            <w:tcW w:w="1140" w:type="dxa"/>
            <w:vAlign w:val="bottom"/>
            <w:gridSpan w:val="6"/>
          </w:tcPr>
          <w:p>
            <w:pPr>
              <w:ind w:left="40"/>
              <w:spacing w:after="0"/>
              <w:rPr>
                <w:sz w:val="20"/>
                <w:szCs w:val="20"/>
                <w:color w:val="auto"/>
              </w:rPr>
            </w:pPr>
            <w:r>
              <w:rPr>
                <w:rFonts w:ascii="Arial" w:cs="Arial" w:eastAsia="Arial" w:hAnsi="Arial"/>
                <w:sz w:val="13"/>
                <w:szCs w:val="13"/>
                <w:color w:val="auto"/>
                <w:w w:val="98"/>
              </w:rPr>
              <w:t>Queen Anne Plaza</w:t>
            </w:r>
          </w:p>
        </w:tc>
        <w:tc>
          <w:tcPr>
            <w:tcW w:w="46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Arial" w:cs="Arial" w:eastAsia="Arial" w:hAnsi="Arial"/>
                <w:sz w:val="13"/>
                <w:szCs w:val="13"/>
                <w:color w:val="auto"/>
                <w:w w:val="93"/>
              </w:rPr>
              <w:t>Boston-Cambridge-Quincy, MA-NH</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18,294</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149,000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50,000</w:t>
            </w:r>
          </w:p>
        </w:tc>
        <w:tc>
          <w:tcPr>
            <w:tcW w:w="820" w:type="dxa"/>
            <w:vAlign w:val="bottom"/>
          </w:tcPr>
          <w:p>
            <w:pPr>
              <w:ind w:left="80"/>
              <w:spacing w:after="0"/>
              <w:rPr>
                <w:sz w:val="20"/>
                <w:szCs w:val="20"/>
                <w:color w:val="auto"/>
              </w:rPr>
            </w:pPr>
            <w:r>
              <w:rPr>
                <w:rFonts w:ascii="Arial" w:cs="Arial" w:eastAsia="Arial" w:hAnsi="Arial"/>
                <w:sz w:val="13"/>
                <w:szCs w:val="13"/>
                <w:color w:val="auto"/>
              </w:rPr>
              <w:t>Big Y Foods</w:t>
            </w:r>
          </w:p>
        </w:tc>
        <w:tc>
          <w:tcPr>
            <w:tcW w:w="2420" w:type="dxa"/>
            <w:vAlign w:val="bottom"/>
          </w:tcPr>
          <w:p>
            <w:pPr>
              <w:ind w:left="60"/>
              <w:spacing w:after="0"/>
              <w:rPr>
                <w:sz w:val="20"/>
                <w:szCs w:val="20"/>
                <w:color w:val="auto"/>
              </w:rPr>
            </w:pPr>
            <w:r>
              <w:rPr>
                <w:rFonts w:ascii="Arial" w:cs="Arial" w:eastAsia="Arial" w:hAnsi="Arial"/>
                <w:sz w:val="13"/>
                <w:szCs w:val="13"/>
                <w:color w:val="auto"/>
              </w:rPr>
              <w:t>TJ Maxx / HomeGoods</w:t>
            </w:r>
          </w:p>
        </w:tc>
      </w:tr>
      <w:tr>
        <w:trPr>
          <w:trHeight w:val="97"/>
        </w:trPr>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48"/>
        </w:trPr>
        <w:tc>
          <w:tcPr>
            <w:tcW w:w="114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Saugus Plaza</w:t>
            </w:r>
          </w:p>
        </w:tc>
        <w:tc>
          <w:tcPr>
            <w:tcW w:w="460" w:type="dxa"/>
            <w:vAlign w:val="bottom"/>
            <w:shd w:val="clear" w:color="auto" w:fill="CCEEFF"/>
          </w:tcPr>
          <w:p>
            <w:pPr>
              <w:spacing w:after="0"/>
              <w:rPr>
                <w:sz w:val="12"/>
                <w:szCs w:val="12"/>
                <w:color w:val="auto"/>
              </w:rPr>
            </w:pPr>
          </w:p>
        </w:tc>
        <w:tc>
          <w:tcPr>
            <w:tcW w:w="19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3"/>
              </w:rPr>
              <w:t>Boston-Cambridge-Quincy, MA-NH</w:t>
            </w: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15,258</w:t>
            </w: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169,000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55,000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3"/>
              </w:rPr>
              <w:t>Super Stop &amp;</w:t>
            </w:r>
          </w:p>
        </w:tc>
        <w:tc>
          <w:tcPr>
            <w:tcW w:w="24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Kmart</w:t>
            </w:r>
          </w:p>
        </w:tc>
      </w:tr>
      <w:tr>
        <w:trPr>
          <w:trHeight w:val="176"/>
        </w:trPr>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w:t>
            </w:r>
          </w:p>
        </w:tc>
        <w:tc>
          <w:tcPr>
            <w:tcW w:w="242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Arial" w:cs="Arial" w:eastAsia="Arial" w:hAnsi="Arial"/>
                <w:sz w:val="13"/>
                <w:szCs w:val="13"/>
                <w:b w:val="1"/>
                <w:bCs w:val="1"/>
                <w:color w:val="auto"/>
              </w:rPr>
              <w:t>Total New England</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w w:val="93"/>
              </w:rPr>
              <w:t>1,000,535</w:t>
            </w:r>
          </w:p>
        </w:tc>
        <w:tc>
          <w:tcPr>
            <w:tcW w:w="660" w:type="dxa"/>
            <w:vAlign w:val="bottom"/>
          </w:tcPr>
          <w:p>
            <w:pPr>
              <w:spacing w:after="0"/>
              <w:rPr>
                <w:sz w:val="14"/>
                <w:szCs w:val="1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228</w:t>
            </w:r>
          </w:p>
        </w:tc>
        <w:tc>
          <w:tcPr>
            <w:tcW w:w="10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w w:val="89"/>
              </w:rPr>
              <w:t>2,052,000</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96%</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2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420" w:type="dxa"/>
            <w:vAlign w:val="bottom"/>
            <w:shd w:val="clear" w:color="auto" w:fill="CCEEFF"/>
          </w:tcPr>
          <w:p>
            <w:pPr>
              <w:spacing w:after="0"/>
              <w:rPr>
                <w:sz w:val="23"/>
                <w:szCs w:val="23"/>
                <w:color w:val="auto"/>
              </w:rPr>
            </w:pPr>
          </w:p>
        </w:tc>
      </w:tr>
      <w:tr>
        <w:trPr>
          <w:trHeight w:val="149"/>
        </w:trPr>
        <w:tc>
          <w:tcPr>
            <w:tcW w:w="40" w:type="dxa"/>
            <w:vAlign w:val="bottom"/>
          </w:tcPr>
          <w:p>
            <w:pPr>
              <w:spacing w:after="0"/>
              <w:rPr>
                <w:sz w:val="12"/>
                <w:szCs w:val="12"/>
                <w:color w:val="auto"/>
              </w:rPr>
            </w:pPr>
          </w:p>
        </w:tc>
        <w:tc>
          <w:tcPr>
            <w:tcW w:w="1100" w:type="dxa"/>
            <w:vAlign w:val="bottom"/>
            <w:gridSpan w:val="5"/>
          </w:tcPr>
          <w:p>
            <w:pPr>
              <w:ind w:left="60"/>
              <w:spacing w:after="0"/>
              <w:rPr>
                <w:sz w:val="20"/>
                <w:szCs w:val="20"/>
                <w:color w:val="auto"/>
              </w:rPr>
            </w:pPr>
            <w:r>
              <w:rPr>
                <w:rFonts w:ascii="Arial" w:cs="Arial" w:eastAsia="Arial" w:hAnsi="Arial"/>
                <w:sz w:val="13"/>
                <w:szCs w:val="13"/>
                <w:b w:val="1"/>
                <w:bCs w:val="1"/>
                <w:color w:val="auto"/>
              </w:rPr>
              <w:t>South Florida</w:t>
            </w:r>
          </w:p>
        </w:tc>
        <w:tc>
          <w:tcPr>
            <w:tcW w:w="4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73"/>
        </w:trPr>
        <w:tc>
          <w:tcPr>
            <w:tcW w:w="114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Cocowalk</w:t>
            </w: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(3) (8)</w:t>
            </w: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Miami-Ft Lauderdale</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108,837</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222,000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0"/>
              </w:rPr>
              <w:t>Gap / Cinepolis Theaters / Youfit Health Club</w:t>
            </w:r>
          </w:p>
        </w:tc>
      </w:tr>
      <w:tr>
        <w:trPr>
          <w:trHeight w:val="97"/>
        </w:trPr>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9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r>
        <w:trPr>
          <w:trHeight w:val="173"/>
        </w:trPr>
        <w:tc>
          <w:tcPr>
            <w:tcW w:w="1140" w:type="dxa"/>
            <w:vAlign w:val="bottom"/>
            <w:gridSpan w:val="6"/>
          </w:tcPr>
          <w:p>
            <w:pPr>
              <w:ind w:left="40"/>
              <w:spacing w:after="0"/>
              <w:rPr>
                <w:sz w:val="20"/>
                <w:szCs w:val="20"/>
                <w:color w:val="auto"/>
              </w:rPr>
            </w:pPr>
            <w:r>
              <w:rPr>
                <w:rFonts w:ascii="Arial" w:cs="Arial" w:eastAsia="Arial" w:hAnsi="Arial"/>
                <w:sz w:val="13"/>
                <w:szCs w:val="13"/>
                <w:color w:val="auto"/>
              </w:rPr>
              <w:t>Del Mar Village</w:t>
            </w:r>
          </w:p>
        </w:tc>
        <w:tc>
          <w:tcPr>
            <w:tcW w:w="46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Arial" w:cs="Arial" w:eastAsia="Arial" w:hAnsi="Arial"/>
                <w:sz w:val="13"/>
                <w:szCs w:val="13"/>
                <w:color w:val="auto"/>
              </w:rPr>
              <w:t>Miami-Ft Lauderdale</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63,360</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196,000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93%</w:t>
            </w: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44,000</w:t>
            </w:r>
          </w:p>
        </w:tc>
        <w:tc>
          <w:tcPr>
            <w:tcW w:w="820" w:type="dxa"/>
            <w:vAlign w:val="bottom"/>
          </w:tcPr>
          <w:p>
            <w:pPr>
              <w:ind w:left="80"/>
              <w:spacing w:after="0"/>
              <w:rPr>
                <w:sz w:val="20"/>
                <w:szCs w:val="20"/>
                <w:color w:val="auto"/>
              </w:rPr>
            </w:pPr>
            <w:r>
              <w:rPr>
                <w:rFonts w:ascii="Arial" w:cs="Arial" w:eastAsia="Arial" w:hAnsi="Arial"/>
                <w:sz w:val="13"/>
                <w:szCs w:val="13"/>
                <w:color w:val="auto"/>
              </w:rPr>
              <w:t>Winn Dixie</w:t>
            </w:r>
          </w:p>
        </w:tc>
        <w:tc>
          <w:tcPr>
            <w:tcW w:w="2420" w:type="dxa"/>
            <w:vAlign w:val="bottom"/>
          </w:tcPr>
          <w:p>
            <w:pPr>
              <w:ind w:left="6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48"/>
        </w:trPr>
        <w:tc>
          <w:tcPr>
            <w:tcW w:w="114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w w:val="88"/>
              </w:rPr>
              <w:t>The Shops at Sunset</w:t>
            </w:r>
          </w:p>
        </w:tc>
        <w:tc>
          <w:tcPr>
            <w:tcW w:w="4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7"/>
              </w:rPr>
              <w:t>(3)</w:t>
            </w:r>
          </w:p>
        </w:tc>
        <w:tc>
          <w:tcPr>
            <w:tcW w:w="19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Miami-Ft Lauderdale</w:t>
            </w: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121,019</w:t>
            </w:r>
          </w:p>
        </w:tc>
        <w:tc>
          <w:tcPr>
            <w:tcW w:w="660" w:type="dxa"/>
            <w:vAlign w:val="bottom"/>
            <w:shd w:val="clear" w:color="auto" w:fill="CCEEFF"/>
          </w:tcPr>
          <w:p>
            <w:pPr>
              <w:jc w:val="right"/>
              <w:ind w:right="59"/>
              <w:spacing w:after="0" w:line="148" w:lineRule="exact"/>
              <w:rPr>
                <w:sz w:val="20"/>
                <w:szCs w:val="20"/>
                <w:color w:val="auto"/>
              </w:rPr>
            </w:pPr>
            <w:r>
              <w:rPr>
                <w:rFonts w:ascii="Arial" w:cs="Arial" w:eastAsia="Arial" w:hAnsi="Arial"/>
                <w:sz w:val="13"/>
                <w:szCs w:val="13"/>
                <w:color w:val="auto"/>
              </w:rPr>
              <w:t>68,124</w:t>
            </w:r>
          </w:p>
        </w:tc>
        <w:tc>
          <w:tcPr>
            <w:tcW w:w="5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523,000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82%</w:t>
            </w: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AMC / L.A. Fitness / Barnes &amp; Noble /</w:t>
            </w:r>
          </w:p>
        </w:tc>
      </w:tr>
      <w:tr>
        <w:trPr>
          <w:trHeight w:val="176"/>
        </w:trPr>
        <w:tc>
          <w:tcPr>
            <w:tcW w:w="114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Place</w:t>
            </w:r>
          </w:p>
        </w:tc>
        <w:tc>
          <w:tcPr>
            <w:tcW w:w="4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Restoration Hardware Outlet</w:t>
            </w:r>
          </w:p>
        </w:tc>
      </w:tr>
      <w:tr>
        <w:trPr>
          <w:trHeight w:val="148"/>
        </w:trPr>
        <w:tc>
          <w:tcPr>
            <w:tcW w:w="114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Tower Shops</w:t>
            </w:r>
          </w:p>
        </w:tc>
        <w:tc>
          <w:tcPr>
            <w:tcW w:w="460" w:type="dxa"/>
            <w:vAlign w:val="bottom"/>
          </w:tcPr>
          <w:p>
            <w:pPr>
              <w:spacing w:after="0"/>
              <w:rPr>
                <w:sz w:val="12"/>
                <w:szCs w:val="12"/>
                <w:color w:val="auto"/>
              </w:rPr>
            </w:pP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rPr>
              <w:t>Miami-Ft Lauderdale</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96,788</w:t>
            </w:r>
          </w:p>
        </w:tc>
        <w:tc>
          <w:tcPr>
            <w:tcW w:w="660" w:type="dxa"/>
            <w:vAlign w:val="bottom"/>
          </w:tcPr>
          <w:p>
            <w:pPr>
              <w:spacing w:after="0"/>
              <w:rPr>
                <w:sz w:val="12"/>
                <w:szCs w:val="12"/>
                <w:color w:val="auto"/>
              </w:rPr>
            </w:pP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67</w:t>
            </w:r>
          </w:p>
        </w:tc>
        <w:tc>
          <w:tcPr>
            <w:tcW w:w="10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419,000</w:t>
            </w: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12,000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420" w:type="dxa"/>
            <w:vAlign w:val="bottom"/>
          </w:tcPr>
          <w:p>
            <w:pPr>
              <w:ind w:left="60"/>
              <w:spacing w:after="0" w:line="148" w:lineRule="exact"/>
              <w:rPr>
                <w:sz w:val="20"/>
                <w:szCs w:val="20"/>
                <w:color w:val="auto"/>
              </w:rPr>
            </w:pPr>
            <w:r>
              <w:rPr>
                <w:rFonts w:ascii="Arial" w:cs="Arial" w:eastAsia="Arial" w:hAnsi="Arial"/>
                <w:sz w:val="13"/>
                <w:szCs w:val="13"/>
                <w:color w:val="auto"/>
                <w:w w:val="93"/>
              </w:rPr>
              <w:t>TJ Maxx / Ross Dress For Less / Best Buy /</w:t>
            </w:r>
          </w:p>
        </w:tc>
      </w:tr>
      <w:tr>
        <w:trPr>
          <w:trHeight w:val="170"/>
        </w:trPr>
        <w:tc>
          <w:tcPr>
            <w:tcW w:w="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DSW</w:t>
            </w:r>
          </w:p>
        </w:tc>
      </w:tr>
      <w:tr>
        <w:trPr>
          <w:trHeight w:val="173"/>
        </w:trPr>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South Florida</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390,004</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1,360,000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9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42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149"/>
        </w:trPr>
        <w:tc>
          <w:tcPr>
            <w:tcW w:w="40" w:type="dxa"/>
            <w:vAlign w:val="bottom"/>
            <w:shd w:val="clear" w:color="auto" w:fill="CCEEFF"/>
          </w:tcPr>
          <w:p>
            <w:pPr>
              <w:spacing w:after="0"/>
              <w:rPr>
                <w:sz w:val="12"/>
                <w:szCs w:val="12"/>
                <w:color w:val="auto"/>
              </w:rPr>
            </w:pPr>
          </w:p>
        </w:tc>
        <w:tc>
          <w:tcPr>
            <w:tcW w:w="110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Baltimore</w:t>
            </w:r>
          </w:p>
        </w:tc>
        <w:tc>
          <w:tcPr>
            <w:tcW w:w="46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9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420" w:type="dxa"/>
            <w:vAlign w:val="bottom"/>
            <w:tcBorders>
              <w:top w:val="single" w:sz="8" w:color="CCEEFF"/>
            </w:tcBorders>
            <w:shd w:val="clear" w:color="auto" w:fill="CCEEFF"/>
          </w:tcPr>
          <w:p>
            <w:pPr>
              <w:spacing w:after="0"/>
              <w:rPr>
                <w:sz w:val="8"/>
                <w:szCs w:val="8"/>
                <w:color w:val="auto"/>
              </w:rPr>
            </w:pPr>
          </w:p>
        </w:tc>
      </w:tr>
      <w:tr>
        <w:trPr>
          <w:trHeight w:val="173"/>
        </w:trPr>
        <w:tc>
          <w:tcPr>
            <w:tcW w:w="1140" w:type="dxa"/>
            <w:vAlign w:val="bottom"/>
            <w:gridSpan w:val="6"/>
          </w:tcPr>
          <w:p>
            <w:pPr>
              <w:ind w:left="40"/>
              <w:spacing w:after="0"/>
              <w:rPr>
                <w:sz w:val="20"/>
                <w:szCs w:val="20"/>
                <w:color w:val="auto"/>
              </w:rPr>
            </w:pPr>
            <w:r>
              <w:rPr>
                <w:rFonts w:ascii="Arial" w:cs="Arial" w:eastAsia="Arial" w:hAnsi="Arial"/>
                <w:sz w:val="13"/>
                <w:szCs w:val="13"/>
                <w:color w:val="auto"/>
              </w:rPr>
              <w:t>Governor Plaza</w:t>
            </w:r>
          </w:p>
        </w:tc>
        <w:tc>
          <w:tcPr>
            <w:tcW w:w="46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Arial" w:cs="Arial" w:eastAsia="Arial" w:hAnsi="Arial"/>
                <w:sz w:val="13"/>
                <w:szCs w:val="13"/>
                <w:color w:val="auto"/>
              </w:rPr>
              <w:t>Baltimore, MD</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27,375</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243,000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16,500</w:t>
            </w:r>
          </w:p>
        </w:tc>
        <w:tc>
          <w:tcPr>
            <w:tcW w:w="820" w:type="dxa"/>
            <w:vAlign w:val="bottom"/>
          </w:tcPr>
          <w:p>
            <w:pPr>
              <w:ind w:left="80"/>
              <w:spacing w:after="0"/>
              <w:rPr>
                <w:sz w:val="20"/>
                <w:szCs w:val="20"/>
                <w:color w:val="auto"/>
              </w:rPr>
            </w:pPr>
            <w:r>
              <w:rPr>
                <w:rFonts w:ascii="Arial" w:cs="Arial" w:eastAsia="Arial" w:hAnsi="Arial"/>
                <w:sz w:val="13"/>
                <w:szCs w:val="13"/>
                <w:color w:val="auto"/>
              </w:rPr>
              <w:t>Aldi</w:t>
            </w:r>
          </w:p>
        </w:tc>
        <w:tc>
          <w:tcPr>
            <w:tcW w:w="2420" w:type="dxa"/>
            <w:vAlign w:val="bottom"/>
          </w:tcPr>
          <w:p>
            <w:pPr>
              <w:ind w:left="60"/>
              <w:spacing w:after="0"/>
              <w:rPr>
                <w:sz w:val="20"/>
                <w:szCs w:val="20"/>
                <w:color w:val="auto"/>
              </w:rPr>
            </w:pPr>
            <w:r>
              <w:rPr>
                <w:rFonts w:ascii="Arial" w:cs="Arial" w:eastAsia="Arial" w:hAnsi="Arial"/>
                <w:sz w:val="13"/>
                <w:szCs w:val="13"/>
                <w:color w:val="auto"/>
              </w:rPr>
              <w:t>Dick's Sporting Goods / A.C. Moore</w:t>
            </w:r>
          </w:p>
        </w:tc>
      </w:tr>
      <w:tr>
        <w:trPr>
          <w:trHeight w:val="97"/>
        </w:trPr>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48"/>
        </w:trPr>
        <w:tc>
          <w:tcPr>
            <w:tcW w:w="114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Perring Plaza</w:t>
            </w:r>
          </w:p>
        </w:tc>
        <w:tc>
          <w:tcPr>
            <w:tcW w:w="460" w:type="dxa"/>
            <w:vAlign w:val="bottom"/>
            <w:shd w:val="clear" w:color="auto" w:fill="CCEEFF"/>
          </w:tcPr>
          <w:p>
            <w:pPr>
              <w:spacing w:after="0"/>
              <w:rPr>
                <w:sz w:val="12"/>
                <w:szCs w:val="12"/>
                <w:color w:val="auto"/>
              </w:rPr>
            </w:pPr>
          </w:p>
        </w:tc>
        <w:tc>
          <w:tcPr>
            <w:tcW w:w="19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Baltimore, MD</w:t>
            </w: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30,940</w:t>
            </w: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395,000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58,000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Shoppers</w:t>
            </w:r>
          </w:p>
        </w:tc>
        <w:tc>
          <w:tcPr>
            <w:tcW w:w="24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Home Depot / Micro Center / Burlington</w:t>
            </w:r>
          </w:p>
        </w:tc>
      </w:tr>
      <w:tr>
        <w:trPr>
          <w:trHeight w:val="135"/>
        </w:trPr>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Food</w:t>
            </w:r>
          </w:p>
        </w:tc>
        <w:tc>
          <w:tcPr>
            <w:tcW w:w="242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Warehouse</w:t>
            </w:r>
          </w:p>
        </w:tc>
        <w:tc>
          <w:tcPr>
            <w:tcW w:w="2420" w:type="dxa"/>
            <w:vAlign w:val="bottom"/>
            <w:shd w:val="clear" w:color="auto" w:fill="CCEEFF"/>
          </w:tcPr>
          <w:p>
            <w:pPr>
              <w:spacing w:after="0"/>
              <w:rPr>
                <w:sz w:val="15"/>
                <w:szCs w:val="15"/>
                <w:color w:val="auto"/>
              </w:rPr>
            </w:pPr>
          </w:p>
        </w:tc>
      </w:tr>
      <w:tr>
        <w:trPr>
          <w:trHeight w:val="148"/>
        </w:trPr>
        <w:tc>
          <w:tcPr>
            <w:tcW w:w="114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THE AVENUE at</w:t>
            </w:r>
          </w:p>
        </w:tc>
        <w:tc>
          <w:tcPr>
            <w:tcW w:w="460" w:type="dxa"/>
            <w:vAlign w:val="bottom"/>
          </w:tcPr>
          <w:p>
            <w:pPr>
              <w:jc w:val="center"/>
              <w:spacing w:after="0" w:line="148" w:lineRule="exact"/>
              <w:rPr>
                <w:sz w:val="20"/>
                <w:szCs w:val="20"/>
                <w:color w:val="auto"/>
              </w:rPr>
            </w:pPr>
            <w:r>
              <w:rPr>
                <w:rFonts w:ascii="Arial" w:cs="Arial" w:eastAsia="Arial" w:hAnsi="Arial"/>
                <w:sz w:val="13"/>
                <w:szCs w:val="13"/>
                <w:color w:val="auto"/>
                <w:w w:val="87"/>
              </w:rPr>
              <w:t>(5)</w:t>
            </w: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rPr>
              <w:t>Baltimore, MD</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111,209</w:t>
            </w:r>
          </w:p>
        </w:tc>
        <w:tc>
          <w:tcPr>
            <w:tcW w:w="660" w:type="dxa"/>
            <w:vAlign w:val="bottom"/>
          </w:tcPr>
          <w:p>
            <w:pPr>
              <w:jc w:val="right"/>
              <w:ind w:right="59"/>
              <w:spacing w:after="0" w:line="148" w:lineRule="exact"/>
              <w:rPr>
                <w:sz w:val="20"/>
                <w:szCs w:val="20"/>
                <w:color w:val="auto"/>
              </w:rPr>
            </w:pPr>
            <w:r>
              <w:rPr>
                <w:rFonts w:ascii="Arial" w:cs="Arial" w:eastAsia="Arial" w:hAnsi="Arial"/>
                <w:sz w:val="13"/>
                <w:szCs w:val="13"/>
                <w:color w:val="auto"/>
              </w:rPr>
              <w:t>52,705</w:t>
            </w: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35</w:t>
            </w:r>
          </w:p>
        </w:tc>
        <w:tc>
          <w:tcPr>
            <w:tcW w:w="10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311,000</w:t>
            </w: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20" w:type="dxa"/>
            <w:vAlign w:val="bottom"/>
          </w:tcPr>
          <w:p>
            <w:pPr>
              <w:ind w:left="60"/>
              <w:spacing w:after="0" w:line="148" w:lineRule="exact"/>
              <w:rPr>
                <w:sz w:val="20"/>
                <w:szCs w:val="20"/>
                <w:color w:val="auto"/>
              </w:rPr>
            </w:pPr>
            <w:r>
              <w:rPr>
                <w:rFonts w:ascii="Arial" w:cs="Arial" w:eastAsia="Arial" w:hAnsi="Arial"/>
                <w:sz w:val="13"/>
                <w:szCs w:val="13"/>
                <w:color w:val="auto"/>
              </w:rPr>
              <w:t>AMC / Ulta / Old Navy / Barnes &amp; Noble</w:t>
            </w:r>
          </w:p>
        </w:tc>
      </w:tr>
      <w:tr>
        <w:trPr>
          <w:trHeight w:val="168"/>
        </w:trPr>
        <w:tc>
          <w:tcPr>
            <w:tcW w:w="1140" w:type="dxa"/>
            <w:vAlign w:val="bottom"/>
            <w:gridSpan w:val="6"/>
          </w:tcPr>
          <w:p>
            <w:pPr>
              <w:ind w:left="40"/>
              <w:spacing w:after="0"/>
              <w:rPr>
                <w:sz w:val="20"/>
                <w:szCs w:val="20"/>
                <w:color w:val="auto"/>
              </w:rPr>
            </w:pPr>
            <w:r>
              <w:rPr>
                <w:rFonts w:ascii="Arial" w:cs="Arial" w:eastAsia="Arial" w:hAnsi="Arial"/>
                <w:sz w:val="13"/>
                <w:szCs w:val="13"/>
                <w:color w:val="auto"/>
              </w:rPr>
              <w:t>White Marsh</w:t>
            </w:r>
          </w:p>
        </w:tc>
        <w:tc>
          <w:tcPr>
            <w:tcW w:w="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56"/>
        </w:trPr>
        <w:tc>
          <w:tcPr>
            <w:tcW w:w="114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The Shoppes at</w:t>
            </w:r>
          </w:p>
        </w:tc>
        <w:tc>
          <w:tcPr>
            <w:tcW w:w="460" w:type="dxa"/>
            <w:vAlign w:val="bottom"/>
            <w:shd w:val="clear" w:color="auto" w:fill="CCEEFF"/>
          </w:tcPr>
          <w:p>
            <w:pPr>
              <w:spacing w:after="0"/>
              <w:rPr>
                <w:sz w:val="13"/>
                <w:szCs w:val="13"/>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Baltimore, MD</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17,466</w:t>
            </w:r>
          </w:p>
        </w:tc>
        <w:tc>
          <w:tcPr>
            <w:tcW w:w="6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32,000</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r>
      <w:tr>
        <w:trPr>
          <w:trHeight w:val="176"/>
        </w:trPr>
        <w:tc>
          <w:tcPr>
            <w:tcW w:w="114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w w:val="96"/>
              </w:rPr>
              <w:t>Nottingham Square</w:t>
            </w:r>
          </w:p>
        </w:tc>
        <w:tc>
          <w:tcPr>
            <w:tcW w:w="4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173"/>
        </w:trPr>
        <w:tc>
          <w:tcPr>
            <w:tcW w:w="1140" w:type="dxa"/>
            <w:vAlign w:val="bottom"/>
            <w:gridSpan w:val="6"/>
          </w:tcPr>
          <w:p>
            <w:pPr>
              <w:ind w:left="40"/>
              <w:spacing w:after="0"/>
              <w:rPr>
                <w:sz w:val="20"/>
                <w:szCs w:val="20"/>
                <w:color w:val="auto"/>
              </w:rPr>
            </w:pPr>
            <w:r>
              <w:rPr>
                <w:rFonts w:ascii="Arial" w:cs="Arial" w:eastAsia="Arial" w:hAnsi="Arial"/>
                <w:sz w:val="13"/>
                <w:szCs w:val="13"/>
                <w:color w:val="auto"/>
                <w:w w:val="98"/>
              </w:rPr>
              <w:t>White Marsh Plaza</w:t>
            </w:r>
          </w:p>
        </w:tc>
        <w:tc>
          <w:tcPr>
            <w:tcW w:w="46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Arial" w:cs="Arial" w:eastAsia="Arial" w:hAnsi="Arial"/>
                <w:sz w:val="13"/>
                <w:szCs w:val="13"/>
                <w:color w:val="auto"/>
              </w:rPr>
              <w:t>Baltimore, MD</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25,261</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80,000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96%</w:t>
            </w: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54,000</w:t>
            </w:r>
          </w:p>
        </w:tc>
        <w:tc>
          <w:tcPr>
            <w:tcW w:w="82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42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73"/>
        </w:trPr>
        <w:tc>
          <w:tcPr>
            <w:tcW w:w="114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w w:val="98"/>
              </w:rPr>
              <w:t>White Marsh Other</w:t>
            </w:r>
          </w:p>
        </w:tc>
        <w:tc>
          <w:tcPr>
            <w:tcW w:w="460" w:type="dxa"/>
            <w:vAlign w:val="bottom"/>
            <w:shd w:val="clear" w:color="auto" w:fill="CCEEFF"/>
          </w:tcPr>
          <w:p>
            <w:pPr>
              <w:spacing w:after="0"/>
              <w:rPr>
                <w:sz w:val="15"/>
                <w:szCs w:val="15"/>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Baltimore, MD</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47,915</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73,000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960" w:type="dxa"/>
            <w:vAlign w:val="bottom"/>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Arial" w:cs="Arial" w:eastAsia="Arial" w:hAnsi="Arial"/>
                <w:sz w:val="13"/>
                <w:szCs w:val="13"/>
                <w:b w:val="1"/>
                <w:bCs w:val="1"/>
                <w:color w:val="auto"/>
              </w:rPr>
              <w:t>Total Baltimore</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260,166</w:t>
            </w:r>
          </w:p>
        </w:tc>
        <w:tc>
          <w:tcPr>
            <w:tcW w:w="660" w:type="dxa"/>
            <w:vAlign w:val="bottom"/>
          </w:tcPr>
          <w:p>
            <w:pPr>
              <w:spacing w:after="0"/>
              <w:rPr>
                <w:sz w:val="14"/>
                <w:szCs w:val="1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w w:val="89"/>
              </w:rPr>
              <w:t>1,134,000</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99%</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2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420" w:type="dxa"/>
            <w:vAlign w:val="bottom"/>
            <w:shd w:val="clear" w:color="auto" w:fill="CCEEFF"/>
          </w:tcPr>
          <w:p>
            <w:pPr>
              <w:spacing w:after="0"/>
              <w:rPr>
                <w:sz w:val="23"/>
                <w:szCs w:val="23"/>
                <w:color w:val="auto"/>
              </w:rPr>
            </w:pPr>
          </w:p>
        </w:tc>
      </w:tr>
      <w:tr>
        <w:trPr>
          <w:trHeight w:val="149"/>
        </w:trPr>
        <w:tc>
          <w:tcPr>
            <w:tcW w:w="40" w:type="dxa"/>
            <w:vAlign w:val="bottom"/>
          </w:tcPr>
          <w:p>
            <w:pPr>
              <w:spacing w:after="0"/>
              <w:rPr>
                <w:sz w:val="12"/>
                <w:szCs w:val="12"/>
                <w:color w:val="auto"/>
              </w:rPr>
            </w:pPr>
          </w:p>
        </w:tc>
        <w:tc>
          <w:tcPr>
            <w:tcW w:w="1100" w:type="dxa"/>
            <w:vAlign w:val="bottom"/>
            <w:gridSpan w:val="5"/>
          </w:tcPr>
          <w:p>
            <w:pPr>
              <w:ind w:left="60"/>
              <w:spacing w:after="0"/>
              <w:rPr>
                <w:sz w:val="20"/>
                <w:szCs w:val="20"/>
                <w:color w:val="auto"/>
              </w:rPr>
            </w:pPr>
            <w:r>
              <w:rPr>
                <w:rFonts w:ascii="Arial" w:cs="Arial" w:eastAsia="Arial" w:hAnsi="Arial"/>
                <w:sz w:val="13"/>
                <w:szCs w:val="13"/>
                <w:b w:val="1"/>
                <w:bCs w:val="1"/>
                <w:color w:val="auto"/>
              </w:rPr>
              <w:t>Chicago</w:t>
            </w:r>
          </w:p>
        </w:tc>
        <w:tc>
          <w:tcPr>
            <w:tcW w:w="4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73"/>
        </w:trPr>
        <w:tc>
          <w:tcPr>
            <w:tcW w:w="114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Crossroads</w:t>
            </w:r>
          </w:p>
        </w:tc>
        <w:tc>
          <w:tcPr>
            <w:tcW w:w="460" w:type="dxa"/>
            <w:vAlign w:val="bottom"/>
            <w:shd w:val="clear" w:color="auto" w:fill="CCEEFF"/>
          </w:tcPr>
          <w:p>
            <w:pPr>
              <w:spacing w:after="0"/>
              <w:rPr>
                <w:sz w:val="15"/>
                <w:szCs w:val="15"/>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Chicago, IL</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31,895</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168,000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L.A. Fitness / Binny's / Guitar Center</w:t>
            </w:r>
          </w:p>
        </w:tc>
      </w:tr>
      <w:tr>
        <w:trPr>
          <w:trHeight w:val="97"/>
        </w:trPr>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9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r>
        <w:trPr>
          <w:trHeight w:val="148"/>
        </w:trPr>
        <w:tc>
          <w:tcPr>
            <w:tcW w:w="114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Finley Square</w:t>
            </w:r>
          </w:p>
        </w:tc>
        <w:tc>
          <w:tcPr>
            <w:tcW w:w="460" w:type="dxa"/>
            <w:vAlign w:val="bottom"/>
          </w:tcPr>
          <w:p>
            <w:pPr>
              <w:spacing w:after="0"/>
              <w:rPr>
                <w:sz w:val="12"/>
                <w:szCs w:val="12"/>
                <w:color w:val="auto"/>
              </w:rPr>
            </w:pP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rPr>
              <w:t>Chicago, IL</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36,963</w:t>
            </w:r>
          </w:p>
        </w:tc>
        <w:tc>
          <w:tcPr>
            <w:tcW w:w="660" w:type="dxa"/>
            <w:vAlign w:val="bottom"/>
          </w:tcPr>
          <w:p>
            <w:pPr>
              <w:spacing w:after="0"/>
              <w:rPr>
                <w:sz w:val="12"/>
                <w:szCs w:val="12"/>
                <w:color w:val="auto"/>
              </w:rPr>
            </w:pP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316,000</w:t>
            </w: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20" w:type="dxa"/>
            <w:vAlign w:val="bottom"/>
          </w:tcPr>
          <w:p>
            <w:pPr>
              <w:ind w:left="60"/>
              <w:spacing w:after="0" w:line="148" w:lineRule="exact"/>
              <w:rPr>
                <w:sz w:val="20"/>
                <w:szCs w:val="20"/>
                <w:color w:val="auto"/>
              </w:rPr>
            </w:pPr>
            <w:r>
              <w:rPr>
                <w:rFonts w:ascii="Arial" w:cs="Arial" w:eastAsia="Arial" w:hAnsi="Arial"/>
                <w:sz w:val="13"/>
                <w:szCs w:val="13"/>
                <w:color w:val="auto"/>
              </w:rPr>
              <w:t>Bed, Bath &amp; Beyond / Buy Buy Baby /</w:t>
            </w:r>
          </w:p>
        </w:tc>
      </w:tr>
      <w:tr>
        <w:trPr>
          <w:trHeight w:val="168"/>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ind w:left="60"/>
              <w:spacing w:after="0"/>
              <w:rPr>
                <w:sz w:val="20"/>
                <w:szCs w:val="20"/>
                <w:color w:val="auto"/>
              </w:rPr>
            </w:pPr>
            <w:r>
              <w:rPr>
                <w:rFonts w:ascii="Arial" w:cs="Arial" w:eastAsia="Arial" w:hAnsi="Arial"/>
                <w:sz w:val="13"/>
                <w:szCs w:val="13"/>
                <w:color w:val="auto"/>
              </w:rPr>
              <w:t>Petsmart / Portillo's</w:t>
            </w:r>
          </w:p>
        </w:tc>
      </w:tr>
      <w:tr>
        <w:trPr>
          <w:trHeight w:val="156"/>
        </w:trPr>
        <w:tc>
          <w:tcPr>
            <w:tcW w:w="114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Garden Market</w:t>
            </w:r>
          </w:p>
        </w:tc>
        <w:tc>
          <w:tcPr>
            <w:tcW w:w="460" w:type="dxa"/>
            <w:vAlign w:val="bottom"/>
            <w:shd w:val="clear" w:color="auto" w:fill="CCEEFF"/>
          </w:tcPr>
          <w:p>
            <w:pPr>
              <w:spacing w:after="0"/>
              <w:rPr>
                <w:sz w:val="13"/>
                <w:szCs w:val="13"/>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Chicago, IL</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13,885</w:t>
            </w:r>
          </w:p>
        </w:tc>
        <w:tc>
          <w:tcPr>
            <w:tcW w:w="6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140,000</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63,000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Mariano's</w:t>
            </w:r>
          </w:p>
        </w:tc>
        <w:tc>
          <w:tcPr>
            <w:tcW w:w="2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Walgreens</w:t>
            </w:r>
          </w:p>
        </w:tc>
      </w:tr>
      <w:tr>
        <w:trPr>
          <w:trHeight w:val="176"/>
        </w:trPr>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Fresh Market</w:t>
            </w:r>
          </w:p>
        </w:tc>
        <w:tc>
          <w:tcPr>
            <w:tcW w:w="2420" w:type="dxa"/>
            <w:vAlign w:val="bottom"/>
            <w:shd w:val="clear" w:color="auto" w:fill="CCEEFF"/>
          </w:tcPr>
          <w:p>
            <w:pPr>
              <w:spacing w:after="0"/>
              <w:rPr>
                <w:sz w:val="15"/>
                <w:szCs w:val="15"/>
                <w:color w:val="auto"/>
              </w:rPr>
            </w:pPr>
          </w:p>
        </w:tc>
      </w:tr>
      <w:tr>
        <w:trPr>
          <w:trHeight w:val="148"/>
        </w:trPr>
        <w:tc>
          <w:tcPr>
            <w:tcW w:w="114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North Lake</w:t>
            </w:r>
          </w:p>
        </w:tc>
        <w:tc>
          <w:tcPr>
            <w:tcW w:w="460" w:type="dxa"/>
            <w:vAlign w:val="bottom"/>
          </w:tcPr>
          <w:p>
            <w:pPr>
              <w:spacing w:after="0"/>
              <w:rPr>
                <w:sz w:val="12"/>
                <w:szCs w:val="12"/>
                <w:color w:val="auto"/>
              </w:rPr>
            </w:pP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rPr>
              <w:t>Chicago, IL</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17,443</w:t>
            </w:r>
          </w:p>
        </w:tc>
        <w:tc>
          <w:tcPr>
            <w:tcW w:w="660" w:type="dxa"/>
            <w:vAlign w:val="bottom"/>
          </w:tcPr>
          <w:p>
            <w:pPr>
              <w:spacing w:after="0"/>
              <w:rPr>
                <w:sz w:val="12"/>
                <w:szCs w:val="12"/>
                <w:color w:val="auto"/>
              </w:rPr>
            </w:pP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129,000</w:t>
            </w: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85%</w:t>
            </w: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Jewel Osco</w:t>
            </w:r>
          </w:p>
        </w:tc>
        <w:tc>
          <w:tcPr>
            <w:tcW w:w="2420" w:type="dxa"/>
            <w:vAlign w:val="bottom"/>
          </w:tcPr>
          <w:p>
            <w:pPr>
              <w:spacing w:after="0"/>
              <w:rPr>
                <w:sz w:val="12"/>
                <w:szCs w:val="12"/>
                <w:color w:val="auto"/>
              </w:rPr>
            </w:pPr>
          </w:p>
        </w:tc>
      </w:tr>
      <w:tr>
        <w:trPr>
          <w:trHeight w:val="160"/>
        </w:trPr>
        <w:tc>
          <w:tcPr>
            <w:tcW w:w="1140" w:type="dxa"/>
            <w:vAlign w:val="bottom"/>
            <w:gridSpan w:val="6"/>
          </w:tcPr>
          <w:p>
            <w:pPr>
              <w:ind w:left="40"/>
              <w:spacing w:after="0"/>
              <w:rPr>
                <w:sz w:val="20"/>
                <w:szCs w:val="20"/>
                <w:color w:val="auto"/>
              </w:rPr>
            </w:pPr>
            <w:r>
              <w:rPr>
                <w:rFonts w:ascii="Arial" w:cs="Arial" w:eastAsia="Arial" w:hAnsi="Arial"/>
                <w:sz w:val="13"/>
                <w:szCs w:val="13"/>
                <w:color w:val="auto"/>
              </w:rPr>
              <w:t>Commons</w:t>
            </w:r>
          </w:p>
        </w:tc>
        <w:tc>
          <w:tcPr>
            <w:tcW w:w="4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77,000</w:t>
            </w:r>
          </w:p>
        </w:tc>
        <w:tc>
          <w:tcPr>
            <w:tcW w:w="820" w:type="dxa"/>
            <w:vAlign w:val="bottom"/>
          </w:tcPr>
          <w:p>
            <w:pPr>
              <w:spacing w:after="0"/>
              <w:rPr>
                <w:sz w:val="13"/>
                <w:szCs w:val="13"/>
                <w:color w:val="auto"/>
              </w:rPr>
            </w:pPr>
          </w:p>
        </w:tc>
        <w:tc>
          <w:tcPr>
            <w:tcW w:w="242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747" w:right="239" w:bottom="144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Mortgage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24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 Leased</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Residential</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400" w:type="dxa"/>
            <w:vAlign w:val="bottom"/>
          </w:tcPr>
          <w:p>
            <w:pPr>
              <w:spacing w:after="0"/>
              <w:rPr>
                <w:sz w:val="11"/>
                <w:szCs w:val="11"/>
                <w:color w:val="auto"/>
              </w:rPr>
            </w:pPr>
          </w:p>
        </w:tc>
      </w:tr>
      <w:tr>
        <w:trPr>
          <w:trHeight w:val="174"/>
        </w:trPr>
        <w:tc>
          <w:tcPr>
            <w:tcW w:w="11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Property Name</w:t>
            </w:r>
          </w:p>
        </w:tc>
        <w:tc>
          <w:tcPr>
            <w:tcW w:w="3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MSA Description</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Acreage</w:t>
            </w:r>
          </w:p>
        </w:tc>
        <w:tc>
          <w:tcPr>
            <w:tcW w:w="82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GLA (2)</w:t>
            </w: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4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73"/>
        </w:trPr>
        <w:tc>
          <w:tcPr>
            <w:tcW w:w="11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Riverpoint Center</w:t>
            </w: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w:t>
            </w:r>
          </w:p>
        </w:tc>
        <w:tc>
          <w:tcPr>
            <w:tcW w:w="1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Chicago, IL</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119,987</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211,000</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86,000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Jewel Osco</w:t>
            </w:r>
          </w:p>
        </w:tc>
        <w:tc>
          <w:tcPr>
            <w:tcW w:w="2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 / Old Navy</w:t>
            </w: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tcPr>
          <w:p>
            <w:pPr>
              <w:ind w:left="100"/>
              <w:spacing w:after="0"/>
              <w:rPr>
                <w:sz w:val="20"/>
                <w:szCs w:val="20"/>
                <w:color w:val="auto"/>
              </w:rPr>
            </w:pPr>
            <w:r>
              <w:rPr>
                <w:rFonts w:ascii="Arial" w:cs="Arial" w:eastAsia="Arial" w:hAnsi="Arial"/>
                <w:sz w:val="13"/>
                <w:szCs w:val="13"/>
                <w:b w:val="1"/>
                <w:bCs w:val="1"/>
                <w:color w:val="auto"/>
              </w:rPr>
              <w:t>Total Chicago</w:t>
            </w: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220,173</w:t>
            </w:r>
          </w:p>
        </w:tc>
        <w:tc>
          <w:tcPr>
            <w:tcW w:w="660" w:type="dxa"/>
            <w:vAlign w:val="bottom"/>
          </w:tcPr>
          <w:p>
            <w:pPr>
              <w:spacing w:after="0"/>
              <w:rPr>
                <w:sz w:val="14"/>
                <w:szCs w:val="1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964,000</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94%</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r>
      <w:tr>
        <w:trPr>
          <w:trHeight w:val="149"/>
        </w:trPr>
        <w:tc>
          <w:tcPr>
            <w:tcW w:w="40" w:type="dxa"/>
            <w:vAlign w:val="bottom"/>
          </w:tcPr>
          <w:p>
            <w:pPr>
              <w:spacing w:after="0"/>
              <w:rPr>
                <w:sz w:val="12"/>
                <w:szCs w:val="12"/>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b w:val="1"/>
                <w:bCs w:val="1"/>
                <w:color w:val="auto"/>
              </w:rPr>
              <w:t>Other</w:t>
            </w:r>
          </w:p>
        </w:tc>
        <w:tc>
          <w:tcPr>
            <w:tcW w:w="3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0" w:type="dxa"/>
            <w:vAlign w:val="bottom"/>
          </w:tcPr>
          <w:p>
            <w:pPr>
              <w:spacing w:after="0"/>
              <w:rPr>
                <w:sz w:val="8"/>
                <w:szCs w:val="8"/>
                <w:color w:val="auto"/>
              </w:rPr>
            </w:pPr>
          </w:p>
        </w:tc>
      </w:tr>
      <w:tr>
        <w:trPr>
          <w:trHeight w:val="148"/>
        </w:trPr>
        <w:tc>
          <w:tcPr>
            <w:tcW w:w="110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Barracks Road</w:t>
            </w:r>
          </w:p>
        </w:tc>
        <w:tc>
          <w:tcPr>
            <w:tcW w:w="380" w:type="dxa"/>
            <w:vAlign w:val="bottom"/>
            <w:shd w:val="clear" w:color="auto" w:fill="CCEEFF"/>
          </w:tcPr>
          <w:p>
            <w:pPr>
              <w:spacing w:after="0"/>
              <w:rPr>
                <w:sz w:val="12"/>
                <w:szCs w:val="12"/>
                <w:color w:val="auto"/>
              </w:rPr>
            </w:pPr>
          </w:p>
        </w:tc>
        <w:tc>
          <w:tcPr>
            <w:tcW w:w="19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Charlottesville, VA</w:t>
            </w:r>
          </w:p>
        </w:tc>
        <w:tc>
          <w:tcPr>
            <w:tcW w:w="72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64,292</w:t>
            </w: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498,000</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99,000</w:t>
            </w:r>
          </w:p>
        </w:tc>
        <w:tc>
          <w:tcPr>
            <w:tcW w:w="322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w w:val="92"/>
              </w:rPr>
              <w:t>Harris Teeter / Anthropologie / Nike / Bed, Bath &amp; Beyond /</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2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Old Navy</w:t>
            </w:r>
          </w:p>
        </w:tc>
      </w:tr>
      <w:tr>
        <w:trPr>
          <w:trHeight w:val="173"/>
        </w:trPr>
        <w:tc>
          <w:tcPr>
            <w:tcW w:w="1100" w:type="dxa"/>
            <w:vAlign w:val="bottom"/>
            <w:gridSpan w:val="3"/>
          </w:tcPr>
          <w:p>
            <w:pPr>
              <w:ind w:left="40"/>
              <w:spacing w:after="0"/>
              <w:rPr>
                <w:sz w:val="20"/>
                <w:szCs w:val="20"/>
                <w:color w:val="auto"/>
              </w:rPr>
            </w:pPr>
            <w:r>
              <w:rPr>
                <w:rFonts w:ascii="Arial" w:cs="Arial" w:eastAsia="Arial" w:hAnsi="Arial"/>
                <w:sz w:val="13"/>
                <w:szCs w:val="13"/>
                <w:color w:val="auto"/>
              </w:rPr>
              <w:t>Bristol Plaza</w:t>
            </w:r>
          </w:p>
        </w:tc>
        <w:tc>
          <w:tcPr>
            <w:tcW w:w="380" w:type="dxa"/>
            <w:vAlign w:val="bottom"/>
          </w:tcPr>
          <w:p>
            <w:pPr>
              <w:spacing w:after="0"/>
              <w:rPr>
                <w:sz w:val="15"/>
                <w:szCs w:val="15"/>
                <w:color w:val="auto"/>
              </w:rPr>
            </w:pPr>
          </w:p>
        </w:tc>
        <w:tc>
          <w:tcPr>
            <w:tcW w:w="1980" w:type="dxa"/>
            <w:vAlign w:val="bottom"/>
          </w:tcPr>
          <w:p>
            <w:pPr>
              <w:ind w:left="100"/>
              <w:spacing w:after="0"/>
              <w:rPr>
                <w:sz w:val="20"/>
                <w:szCs w:val="20"/>
                <w:color w:val="auto"/>
              </w:rPr>
            </w:pPr>
            <w:r>
              <w:rPr>
                <w:rFonts w:ascii="Arial" w:cs="Arial" w:eastAsia="Arial" w:hAnsi="Arial"/>
                <w:sz w:val="13"/>
                <w:szCs w:val="13"/>
                <w:color w:val="auto"/>
              </w:rPr>
              <w:t>Hartford, CT</w:t>
            </w: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31,083</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266,000</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96%</w:t>
            </w:r>
          </w:p>
        </w:tc>
        <w:tc>
          <w:tcPr>
            <w:tcW w:w="70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74,000</w:t>
            </w:r>
          </w:p>
        </w:tc>
        <w:tc>
          <w:tcPr>
            <w:tcW w:w="820" w:type="dxa"/>
            <w:vAlign w:val="bottom"/>
          </w:tcPr>
          <w:p>
            <w:pPr>
              <w:ind w:left="80"/>
              <w:spacing w:after="0"/>
              <w:rPr>
                <w:sz w:val="20"/>
                <w:szCs w:val="20"/>
                <w:color w:val="auto"/>
              </w:rPr>
            </w:pPr>
            <w:r>
              <w:rPr>
                <w:rFonts w:ascii="Arial" w:cs="Arial" w:eastAsia="Arial" w:hAnsi="Arial"/>
                <w:sz w:val="13"/>
                <w:szCs w:val="13"/>
                <w:color w:val="auto"/>
                <w:w w:val="98"/>
              </w:rPr>
              <w:t>Stop &amp; Shop</w:t>
            </w:r>
          </w:p>
        </w:tc>
        <w:tc>
          <w:tcPr>
            <w:tcW w:w="2400" w:type="dxa"/>
            <w:vAlign w:val="bottom"/>
          </w:tcPr>
          <w:p>
            <w:pPr>
              <w:ind w:left="60"/>
              <w:spacing w:after="0"/>
              <w:rPr>
                <w:sz w:val="20"/>
                <w:szCs w:val="20"/>
                <w:color w:val="auto"/>
              </w:rPr>
            </w:pPr>
            <w:r>
              <w:rPr>
                <w:rFonts w:ascii="Arial" w:cs="Arial" w:eastAsia="Arial" w:hAnsi="Arial"/>
                <w:sz w:val="13"/>
                <w:szCs w:val="13"/>
                <w:color w:val="auto"/>
              </w:rPr>
              <w:t>TJ Maxx</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0" w:type="dxa"/>
            <w:vAlign w:val="bottom"/>
          </w:tcPr>
          <w:p>
            <w:pPr>
              <w:spacing w:after="0"/>
              <w:rPr>
                <w:sz w:val="8"/>
                <w:szCs w:val="8"/>
                <w:color w:val="auto"/>
              </w:rPr>
            </w:pPr>
          </w:p>
        </w:tc>
      </w:tr>
      <w:tr>
        <w:trPr>
          <w:trHeight w:val="173"/>
        </w:trPr>
        <w:tc>
          <w:tcPr>
            <w:tcW w:w="11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7"/>
              </w:rPr>
              <w:t>Eastgate Crossing</w:t>
            </w:r>
          </w:p>
        </w:tc>
        <w:tc>
          <w:tcPr>
            <w:tcW w:w="380" w:type="dxa"/>
            <w:vAlign w:val="bottom"/>
            <w:shd w:val="clear" w:color="auto" w:fill="CCEEFF"/>
          </w:tcPr>
          <w:p>
            <w:pPr>
              <w:spacing w:after="0"/>
              <w:rPr>
                <w:sz w:val="15"/>
                <w:szCs w:val="15"/>
                <w:color w:val="auto"/>
              </w:rPr>
            </w:pPr>
          </w:p>
        </w:tc>
        <w:tc>
          <w:tcPr>
            <w:tcW w:w="198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9"/>
              </w:rPr>
              <w:t>Raleigh-Durham-Chapel Hill, NC</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31,924</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153,000</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13,000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2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Ulta / Stein Mart / Petco</w:t>
            </w: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0" w:type="dxa"/>
            <w:vAlign w:val="bottom"/>
            <w:shd w:val="clear" w:color="auto" w:fill="CCEEFF"/>
          </w:tcPr>
          <w:p>
            <w:pPr>
              <w:spacing w:after="0"/>
              <w:rPr>
                <w:sz w:val="8"/>
                <w:szCs w:val="8"/>
                <w:color w:val="auto"/>
              </w:rPr>
            </w:pPr>
          </w:p>
        </w:tc>
      </w:tr>
      <w:tr>
        <w:trPr>
          <w:trHeight w:val="173"/>
        </w:trPr>
        <w:tc>
          <w:tcPr>
            <w:tcW w:w="1100" w:type="dxa"/>
            <w:vAlign w:val="bottom"/>
            <w:gridSpan w:val="3"/>
          </w:tcPr>
          <w:p>
            <w:pPr>
              <w:ind w:left="40"/>
              <w:spacing w:after="0"/>
              <w:rPr>
                <w:sz w:val="20"/>
                <w:szCs w:val="20"/>
                <w:color w:val="auto"/>
              </w:rPr>
            </w:pPr>
            <w:r>
              <w:rPr>
                <w:rFonts w:ascii="Arial" w:cs="Arial" w:eastAsia="Arial" w:hAnsi="Arial"/>
                <w:sz w:val="13"/>
                <w:szCs w:val="13"/>
                <w:color w:val="auto"/>
              </w:rPr>
              <w:t>Gratiot Plaza</w:t>
            </w:r>
          </w:p>
        </w:tc>
        <w:tc>
          <w:tcPr>
            <w:tcW w:w="380" w:type="dxa"/>
            <w:vAlign w:val="bottom"/>
          </w:tcPr>
          <w:p>
            <w:pPr>
              <w:spacing w:after="0"/>
              <w:rPr>
                <w:sz w:val="15"/>
                <w:szCs w:val="15"/>
                <w:color w:val="auto"/>
              </w:rPr>
            </w:pPr>
          </w:p>
        </w:tc>
        <w:tc>
          <w:tcPr>
            <w:tcW w:w="1980" w:type="dxa"/>
            <w:vAlign w:val="bottom"/>
          </w:tcPr>
          <w:p>
            <w:pPr>
              <w:ind w:left="100"/>
              <w:spacing w:after="0"/>
              <w:rPr>
                <w:sz w:val="20"/>
                <w:szCs w:val="20"/>
                <w:color w:val="auto"/>
              </w:rPr>
            </w:pPr>
            <w:r>
              <w:rPr>
                <w:rFonts w:ascii="Arial" w:cs="Arial" w:eastAsia="Arial" w:hAnsi="Arial"/>
                <w:sz w:val="13"/>
                <w:szCs w:val="13"/>
                <w:color w:val="auto"/>
              </w:rPr>
              <w:t>Detroit, MI</w:t>
            </w: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19,828</w:t>
            </w:r>
          </w:p>
        </w:tc>
        <w:tc>
          <w:tcPr>
            <w:tcW w:w="66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217,000</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100%</w:t>
            </w:r>
          </w:p>
        </w:tc>
        <w:tc>
          <w:tcPr>
            <w:tcW w:w="70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69,000</w:t>
            </w:r>
          </w:p>
        </w:tc>
        <w:tc>
          <w:tcPr>
            <w:tcW w:w="820" w:type="dxa"/>
            <w:vAlign w:val="bottom"/>
          </w:tcPr>
          <w:p>
            <w:pPr>
              <w:ind w:left="80"/>
              <w:spacing w:after="0"/>
              <w:rPr>
                <w:sz w:val="20"/>
                <w:szCs w:val="20"/>
                <w:color w:val="auto"/>
              </w:rPr>
            </w:pPr>
            <w:r>
              <w:rPr>
                <w:rFonts w:ascii="Arial" w:cs="Arial" w:eastAsia="Arial" w:hAnsi="Arial"/>
                <w:sz w:val="13"/>
                <w:szCs w:val="13"/>
                <w:color w:val="auto"/>
              </w:rPr>
              <w:t>Kroger</w:t>
            </w:r>
          </w:p>
        </w:tc>
        <w:tc>
          <w:tcPr>
            <w:tcW w:w="2400" w:type="dxa"/>
            <w:vAlign w:val="bottom"/>
          </w:tcPr>
          <w:p>
            <w:pPr>
              <w:ind w:left="60"/>
              <w:spacing w:after="0"/>
              <w:rPr>
                <w:sz w:val="20"/>
                <w:szCs w:val="20"/>
                <w:color w:val="auto"/>
              </w:rPr>
            </w:pPr>
            <w:r>
              <w:rPr>
                <w:rFonts w:ascii="Arial" w:cs="Arial" w:eastAsia="Arial" w:hAnsi="Arial"/>
                <w:sz w:val="13"/>
                <w:szCs w:val="13"/>
                <w:color w:val="auto"/>
              </w:rPr>
              <w:t>Bed, Bath &amp; Beyond / Best Buy / DSW</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0" w:type="dxa"/>
            <w:vAlign w:val="bottom"/>
          </w:tcPr>
          <w:p>
            <w:pPr>
              <w:spacing w:after="0"/>
              <w:rPr>
                <w:sz w:val="8"/>
                <w:szCs w:val="8"/>
                <w:color w:val="auto"/>
              </w:rPr>
            </w:pPr>
          </w:p>
        </w:tc>
      </w:tr>
      <w:tr>
        <w:trPr>
          <w:trHeight w:val="173"/>
        </w:trPr>
        <w:tc>
          <w:tcPr>
            <w:tcW w:w="11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Lancaster</w:t>
            </w: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Lancaster, PA</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13,989</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4,907</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127,000</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75,000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Michaels</w:t>
            </w: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00" w:type="dxa"/>
            <w:vAlign w:val="bottom"/>
            <w:shd w:val="clear" w:color="auto" w:fill="CCEEFF"/>
          </w:tcPr>
          <w:p>
            <w:pPr>
              <w:spacing w:after="0"/>
              <w:rPr>
                <w:sz w:val="8"/>
                <w:szCs w:val="8"/>
                <w:color w:val="auto"/>
              </w:rPr>
            </w:pPr>
          </w:p>
        </w:tc>
      </w:tr>
      <w:tr>
        <w:trPr>
          <w:trHeight w:val="173"/>
        </w:trPr>
        <w:tc>
          <w:tcPr>
            <w:tcW w:w="1100" w:type="dxa"/>
            <w:vAlign w:val="bottom"/>
            <w:gridSpan w:val="3"/>
          </w:tcPr>
          <w:p>
            <w:pPr>
              <w:ind w:left="40"/>
              <w:spacing w:after="0"/>
              <w:rPr>
                <w:sz w:val="20"/>
                <w:szCs w:val="20"/>
                <w:color w:val="auto"/>
              </w:rPr>
            </w:pPr>
            <w:r>
              <w:rPr>
                <w:rFonts w:ascii="Arial" w:cs="Arial" w:eastAsia="Arial" w:hAnsi="Arial"/>
                <w:sz w:val="13"/>
                <w:szCs w:val="13"/>
                <w:color w:val="auto"/>
              </w:rPr>
              <w:t>29th Place</w:t>
            </w:r>
          </w:p>
        </w:tc>
        <w:tc>
          <w:tcPr>
            <w:tcW w:w="380" w:type="dxa"/>
            <w:vAlign w:val="bottom"/>
          </w:tcPr>
          <w:p>
            <w:pPr>
              <w:spacing w:after="0"/>
              <w:rPr>
                <w:sz w:val="15"/>
                <w:szCs w:val="15"/>
                <w:color w:val="auto"/>
              </w:rPr>
            </w:pPr>
          </w:p>
        </w:tc>
        <w:tc>
          <w:tcPr>
            <w:tcW w:w="1980" w:type="dxa"/>
            <w:vAlign w:val="bottom"/>
          </w:tcPr>
          <w:p>
            <w:pPr>
              <w:ind w:left="100"/>
              <w:spacing w:after="0"/>
              <w:rPr>
                <w:sz w:val="20"/>
                <w:szCs w:val="20"/>
                <w:color w:val="auto"/>
              </w:rPr>
            </w:pPr>
            <w:r>
              <w:rPr>
                <w:rFonts w:ascii="Arial" w:cs="Arial" w:eastAsia="Arial" w:hAnsi="Arial"/>
                <w:sz w:val="13"/>
                <w:szCs w:val="13"/>
                <w:color w:val="auto"/>
              </w:rPr>
              <w:t>Charlottesville, VA</w:t>
            </w: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40,804</w:t>
            </w:r>
          </w:p>
        </w:tc>
        <w:tc>
          <w:tcPr>
            <w:tcW w:w="660" w:type="dxa"/>
            <w:vAlign w:val="bottom"/>
          </w:tcPr>
          <w:p>
            <w:pPr>
              <w:jc w:val="right"/>
              <w:ind w:right="39"/>
              <w:spacing w:after="0"/>
              <w:rPr>
                <w:sz w:val="20"/>
                <w:szCs w:val="20"/>
                <w:color w:val="auto"/>
              </w:rPr>
            </w:pPr>
            <w:r>
              <w:rPr>
                <w:rFonts w:ascii="Arial" w:cs="Arial" w:eastAsia="Arial" w:hAnsi="Arial"/>
                <w:sz w:val="13"/>
                <w:szCs w:val="13"/>
                <w:color w:val="auto"/>
              </w:rPr>
              <w:t>4,501</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169,000</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97%</w:t>
            </w: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0" w:type="dxa"/>
            <w:vAlign w:val="bottom"/>
          </w:tcPr>
          <w:p>
            <w:pPr>
              <w:ind w:left="60"/>
              <w:spacing w:after="0"/>
              <w:rPr>
                <w:sz w:val="20"/>
                <w:szCs w:val="20"/>
                <w:color w:val="auto"/>
              </w:rPr>
            </w:pPr>
            <w:r>
              <w:rPr>
                <w:rFonts w:ascii="Arial" w:cs="Arial" w:eastAsia="Arial" w:hAnsi="Arial"/>
                <w:sz w:val="13"/>
                <w:szCs w:val="13"/>
                <w:color w:val="auto"/>
                <w:w w:val="97"/>
              </w:rPr>
              <w:t>HomeGoods / DSW / Stein Mart / Staples</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0" w:type="dxa"/>
            <w:vAlign w:val="bottom"/>
          </w:tcPr>
          <w:p>
            <w:pPr>
              <w:spacing w:after="0"/>
              <w:rPr>
                <w:sz w:val="8"/>
                <w:szCs w:val="8"/>
                <w:color w:val="auto"/>
              </w:rPr>
            </w:pPr>
          </w:p>
        </w:tc>
      </w:tr>
      <w:tr>
        <w:trPr>
          <w:trHeight w:val="148"/>
        </w:trPr>
        <w:tc>
          <w:tcPr>
            <w:tcW w:w="110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Willow Lawn</w:t>
            </w:r>
          </w:p>
        </w:tc>
        <w:tc>
          <w:tcPr>
            <w:tcW w:w="380" w:type="dxa"/>
            <w:vAlign w:val="bottom"/>
            <w:shd w:val="clear" w:color="auto" w:fill="CCEEFF"/>
          </w:tcPr>
          <w:p>
            <w:pPr>
              <w:spacing w:after="0"/>
              <w:rPr>
                <w:sz w:val="12"/>
                <w:szCs w:val="12"/>
                <w:color w:val="auto"/>
              </w:rPr>
            </w:pPr>
          </w:p>
        </w:tc>
        <w:tc>
          <w:tcPr>
            <w:tcW w:w="19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Richmond-Petersburg, VA</w:t>
            </w:r>
          </w:p>
        </w:tc>
        <w:tc>
          <w:tcPr>
            <w:tcW w:w="72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93,071</w:t>
            </w: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462,000</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66,000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Kroger</w:t>
            </w:r>
          </w:p>
        </w:tc>
        <w:tc>
          <w:tcPr>
            <w:tcW w:w="24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9"/>
              </w:rPr>
              <w:t>Old Navy / Ross Dress For Less / Gold's</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Gym / DSW</w:t>
            </w: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tcPr>
          <w:p>
            <w:pPr>
              <w:ind w:left="100"/>
              <w:spacing w:after="0"/>
              <w:rPr>
                <w:sz w:val="20"/>
                <w:szCs w:val="20"/>
                <w:color w:val="auto"/>
              </w:rPr>
            </w:pPr>
            <w:r>
              <w:rPr>
                <w:rFonts w:ascii="Arial" w:cs="Arial" w:eastAsia="Arial" w:hAnsi="Arial"/>
                <w:sz w:val="13"/>
                <w:szCs w:val="13"/>
                <w:b w:val="1"/>
                <w:bCs w:val="1"/>
                <w:color w:val="auto"/>
              </w:rPr>
              <w:t>Total Other</w:t>
            </w: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294,991</w:t>
            </w:r>
          </w:p>
        </w:tc>
        <w:tc>
          <w:tcPr>
            <w:tcW w:w="660" w:type="dxa"/>
            <w:vAlign w:val="bottom"/>
          </w:tcPr>
          <w:p>
            <w:pPr>
              <w:spacing w:after="0"/>
              <w:rPr>
                <w:sz w:val="14"/>
                <w:szCs w:val="1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1,892,000</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98%</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0" w:type="dxa"/>
            <w:vAlign w:val="bottom"/>
          </w:tcPr>
          <w:p>
            <w:pPr>
              <w:spacing w:after="0"/>
              <w:rPr>
                <w:sz w:val="7"/>
                <w:szCs w:val="7"/>
                <w:color w:val="auto"/>
              </w:rPr>
            </w:pPr>
          </w:p>
        </w:tc>
      </w:tr>
      <w:tr>
        <w:trPr>
          <w:trHeight w:val="135"/>
        </w:trPr>
        <w:tc>
          <w:tcPr>
            <w:tcW w:w="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19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2400" w:type="dxa"/>
            <w:vAlign w:val="bottom"/>
            <w:tcBorders>
              <w:bottom w:val="single" w:sz="8" w:color="auto"/>
            </w:tcBorders>
            <w:shd w:val="clear" w:color="auto" w:fill="CCEEFF"/>
          </w:tcPr>
          <w:p>
            <w:pPr>
              <w:spacing w:after="0"/>
              <w:rPr>
                <w:sz w:val="11"/>
                <w:szCs w:val="11"/>
                <w:color w:val="auto"/>
              </w:rPr>
            </w:pPr>
          </w:p>
        </w:tc>
      </w:tr>
      <w:tr>
        <w:trPr>
          <w:trHeight w:val="167"/>
        </w:trPr>
        <w:tc>
          <w:tcPr>
            <w:tcW w:w="1100" w:type="dxa"/>
            <w:vAlign w:val="bottom"/>
            <w:gridSpan w:val="3"/>
          </w:tcPr>
          <w:p>
            <w:pPr>
              <w:ind w:left="40"/>
              <w:spacing w:after="0"/>
              <w:rPr>
                <w:sz w:val="20"/>
                <w:szCs w:val="20"/>
                <w:color w:val="auto"/>
              </w:rPr>
            </w:pPr>
            <w:r>
              <w:rPr>
                <w:rFonts w:ascii="Arial" w:cs="Arial" w:eastAsia="Arial" w:hAnsi="Arial"/>
                <w:sz w:val="13"/>
                <w:szCs w:val="13"/>
                <w:b w:val="1"/>
                <w:bCs w:val="1"/>
                <w:color w:val="auto"/>
              </w:rPr>
              <w:t>Grand Total</w:t>
            </w:r>
          </w:p>
        </w:tc>
        <w:tc>
          <w:tcPr>
            <w:tcW w:w="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b w:val="1"/>
                <w:bCs w:val="1"/>
                <w:color w:val="auto"/>
                <w:w w:val="87"/>
              </w:rPr>
              <w:t>$ 7,015,354</w:t>
            </w:r>
          </w:p>
        </w:tc>
        <w:tc>
          <w:tcPr>
            <w:tcW w:w="660" w:type="dxa"/>
            <w:vAlign w:val="bottom"/>
          </w:tcPr>
          <w:p>
            <w:pPr>
              <w:jc w:val="right"/>
              <w:ind w:right="39"/>
              <w:spacing w:after="0"/>
              <w:rPr>
                <w:sz w:val="20"/>
                <w:szCs w:val="20"/>
                <w:color w:val="auto"/>
              </w:rPr>
            </w:pPr>
            <w:r>
              <w:rPr>
                <w:rFonts w:ascii="Arial" w:cs="Arial" w:eastAsia="Arial" w:hAnsi="Arial"/>
                <w:sz w:val="13"/>
                <w:szCs w:val="13"/>
                <w:b w:val="1"/>
                <w:bCs w:val="1"/>
                <w:color w:val="auto"/>
                <w:w w:val="93"/>
              </w:rPr>
              <w:t>$ 536,395</w:t>
            </w: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1,879</w:t>
            </w: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23,134,000</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95%</w:t>
            </w: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rPr>
              <w:t>1,867</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97"/>
        </w:trPr>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1120" w:right="440" w:hanging="1085"/>
        <w:spacing w:after="0" w:line="237" w:lineRule="auto"/>
        <w:tabs>
          <w:tab w:leader="none" w:pos="11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mortgage or capital lease obligations differ from the total reported on the consolidated balance sheet due to the unamortized discount, premium, and/or debt issuance costs on certain mortgage payables.</w:t>
      </w:r>
    </w:p>
    <w:p>
      <w:pPr>
        <w:spacing w:after="0" w:line="28" w:lineRule="exact"/>
        <w:rPr>
          <w:rFonts w:ascii="Arial" w:cs="Arial" w:eastAsia="Arial" w:hAnsi="Arial"/>
          <w:sz w:val="13"/>
          <w:szCs w:val="13"/>
          <w:color w:val="auto"/>
        </w:rPr>
      </w:pPr>
    </w:p>
    <w:p>
      <w:pPr>
        <w:ind w:left="1120" w:right="280" w:hanging="1085"/>
        <w:spacing w:after="0" w:line="237" w:lineRule="auto"/>
        <w:tabs>
          <w:tab w:leader="none" w:pos="11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28" w:lineRule="exact"/>
        <w:rPr>
          <w:rFonts w:ascii="Arial" w:cs="Arial" w:eastAsia="Arial" w:hAnsi="Arial"/>
          <w:sz w:val="13"/>
          <w:szCs w:val="13"/>
          <w:color w:val="auto"/>
        </w:rPr>
      </w:pPr>
    </w:p>
    <w:p>
      <w:pPr>
        <w:ind w:left="1120" w:hanging="1085"/>
        <w:spacing w:after="0"/>
        <w:tabs>
          <w:tab w:leader="none" w:pos="11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Trust has a controlling financial interest in this property.</w:t>
      </w:r>
    </w:p>
    <w:p>
      <w:pPr>
        <w:spacing w:after="0" w:line="39" w:lineRule="exact"/>
        <w:rPr>
          <w:rFonts w:ascii="Arial" w:cs="Arial" w:eastAsia="Arial" w:hAnsi="Arial"/>
          <w:sz w:val="13"/>
          <w:szCs w:val="13"/>
          <w:color w:val="auto"/>
        </w:rPr>
      </w:pPr>
    </w:p>
    <w:p>
      <w:pPr>
        <w:ind w:left="1120" w:hanging="1085"/>
        <w:spacing w:after="0"/>
        <w:tabs>
          <w:tab w:leader="none" w:pos="11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Portion of property is currently under development. See further discussion in the Assembly Row and Pike &amp; Rose schedules.</w:t>
      </w:r>
    </w:p>
    <w:p>
      <w:pPr>
        <w:spacing w:after="0" w:line="39" w:lineRule="exact"/>
        <w:rPr>
          <w:rFonts w:ascii="Arial" w:cs="Arial" w:eastAsia="Arial" w:hAnsi="Arial"/>
          <w:sz w:val="13"/>
          <w:szCs w:val="13"/>
          <w:color w:val="auto"/>
        </w:rPr>
      </w:pPr>
    </w:p>
    <w:p>
      <w:pPr>
        <w:ind w:left="1120" w:right="100" w:hanging="1085"/>
        <w:spacing w:after="0" w:line="237" w:lineRule="auto"/>
        <w:tabs>
          <w:tab w:leader="none" w:pos="11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28" w:lineRule="exact"/>
        <w:rPr>
          <w:rFonts w:ascii="Arial" w:cs="Arial" w:eastAsia="Arial" w:hAnsi="Arial"/>
          <w:sz w:val="13"/>
          <w:szCs w:val="13"/>
          <w:color w:val="auto"/>
        </w:rPr>
      </w:pPr>
    </w:p>
    <w:p>
      <w:pPr>
        <w:ind w:left="1120" w:hanging="1085"/>
        <w:spacing w:after="0"/>
        <w:tabs>
          <w:tab w:leader="none" w:pos="11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All or a portion of property subject to capital lease obligation.</w:t>
      </w:r>
    </w:p>
    <w:p>
      <w:pPr>
        <w:spacing w:after="0" w:line="39" w:lineRule="exact"/>
        <w:rPr>
          <w:rFonts w:ascii="Arial" w:cs="Arial" w:eastAsia="Arial" w:hAnsi="Arial"/>
          <w:sz w:val="13"/>
          <w:szCs w:val="13"/>
          <w:color w:val="auto"/>
        </w:rPr>
      </w:pPr>
    </w:p>
    <w:p>
      <w:pPr>
        <w:ind w:left="1120" w:right="480" w:hanging="1085"/>
        <w:spacing w:after="0" w:line="237" w:lineRule="auto"/>
        <w:tabs>
          <w:tab w:leader="none" w:pos="11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As a result of the purchase price allocation, $6 million of net assets for above/below market leases acquired for Hastings Ranch Plaza were allocated from real estate at cost and $11 million of net liabilities for net below market leases acquired for Riverpoint Center were allocated to real estate at cost.</w:t>
      </w:r>
    </w:p>
    <w:p>
      <w:pPr>
        <w:spacing w:after="0" w:line="28" w:lineRule="exact"/>
        <w:rPr>
          <w:rFonts w:ascii="Arial" w:cs="Arial" w:eastAsia="Arial" w:hAnsi="Arial"/>
          <w:sz w:val="13"/>
          <w:szCs w:val="13"/>
          <w:color w:val="auto"/>
        </w:rPr>
      </w:pPr>
    </w:p>
    <w:p>
      <w:pPr>
        <w:ind w:left="1120" w:hanging="1085"/>
        <w:spacing w:after="0"/>
        <w:tabs>
          <w:tab w:leader="none" w:pos="11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This property includes partial interests in seven buildings in addition to our initial acquisition.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7" w:right="239" w:bottom="1440" w:gutter="0" w:footer="0" w:header="0"/>
        </w:sectPr>
      </w:pPr>
    </w:p>
    <w:bookmarkStart w:id="28" w:name="page29"/>
    <w:bookmarkEnd w:id="28"/>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2017</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523,869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34.91</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$ 31.31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1,884,636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19,672,170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37.55</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4th Quarter 2016</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274,622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37.10</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$ 32.27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1,325,040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9,874,657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35.96</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2016</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427,021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31.25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$ 27.40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1,641,966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15,287,078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35.80</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2016</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91</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372,778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38.21</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$ 34.13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1,522,734</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8,100,475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21.73</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363</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1,598,290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35.08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$ 31.09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6,374,376</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52,934,380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33.12</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rPr>
              <w:t>New Lease Summary - Comparable (2)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288,388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35.45</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$ 30.21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1,509,806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19,226,044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66.67</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4th Quarter 2016</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115,640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45.50</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$ 34.45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1,278,167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9,592,450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82.95</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2016</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168,213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35.12</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$ 28.99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1,030,672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10,692,617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63.57</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2016</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36%</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105,307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43.13</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$ 34.97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858,882</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7,235,818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68.71</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677,548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38.27</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$ 31.37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4,677,527</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46,746,929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68.99</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w w:val="95"/>
              </w:rPr>
              <w:t>Renewal Lease Summary - Comparable (2) (8)</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235,481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34.24</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$ 32.65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374,830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446,126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1.89</w:t>
            </w:r>
          </w:p>
        </w:tc>
        <w:tc>
          <w:tcPr>
            <w:tcW w:w="360" w:type="dxa"/>
            <w:vAlign w:val="bottom"/>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4th Quarter 2016</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64%</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158,982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30.99</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$ 30.69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46,873</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282,207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1.78</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2016</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258,808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28.74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$ 26.37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611,294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4,594,461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17.75</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2016</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64%</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267,471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36.28</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$ 33.79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663,852</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864,657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3.23</w:t>
            </w:r>
          </w:p>
        </w:tc>
        <w:tc>
          <w:tcPr>
            <w:tcW w:w="360" w:type="dxa"/>
            <w:vAlign w:val="bottom"/>
            <w:tcBorders>
              <w:bottom w:val="single" w:sz="8" w:color="auto"/>
            </w:tcBorders>
          </w:tcPr>
          <w:p>
            <w:pPr>
              <w:spacing w:after="0"/>
              <w:rPr>
                <w:sz w:val="22"/>
                <w:szCs w:val="2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920,742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32.72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$ 30.88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1,696,849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6,187,451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6.72</w:t>
            </w:r>
          </w:p>
        </w:tc>
        <w:tc>
          <w:tcPr>
            <w:tcW w:w="36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00" w:type="dxa"/>
            <w:vAlign w:val="bottom"/>
            <w:gridSpan w:val="13"/>
          </w:tcPr>
          <w:p>
            <w:pPr>
              <w:spacing w:after="0"/>
              <w:rPr>
                <w:sz w:val="20"/>
                <w:szCs w:val="20"/>
                <w:color w:val="auto"/>
              </w:rPr>
            </w:pPr>
            <w:r>
              <w:rPr>
                <w:rFonts w:ascii="Arial" w:cs="Arial" w:eastAsia="Arial" w:hAnsi="Arial"/>
                <w:sz w:val="14"/>
                <w:szCs w:val="14"/>
                <w:b w:val="1"/>
                <w:bCs w:val="1"/>
                <w:color w:val="auto"/>
              </w:rPr>
              <w:t>Total Lease Summary - Comparable and Non-comparable (2) (9)</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40" w:type="dxa"/>
            <w:vAlign w:val="bottom"/>
          </w:tcPr>
          <w:p>
            <w:pPr>
              <w:spacing w:after="0"/>
              <w:rPr>
                <w:sz w:val="12"/>
                <w:szCs w:val="12"/>
                <w:color w:val="auto"/>
              </w:rPr>
            </w:pPr>
          </w:p>
        </w:tc>
        <w:tc>
          <w:tcPr>
            <w:tcW w:w="1680" w:type="dxa"/>
            <w:vAlign w:val="bottom"/>
            <w:gridSpan w:val="4"/>
          </w:tcPr>
          <w:p>
            <w:pPr>
              <w:ind w:left="44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2017</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591,765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34.87</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24,718,054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41.77</w:t>
            </w:r>
          </w:p>
        </w:tc>
        <w:tc>
          <w:tcPr>
            <w:tcW w:w="360" w:type="dxa"/>
            <w:vAlign w:val="bottom"/>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4th Quarter 2016</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4"/>
                <w:szCs w:val="14"/>
                <w:color w:val="auto"/>
              </w:rPr>
              <w:t>347,604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38.25</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11,290,441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32.48</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2016</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452,836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32.06</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17,575,645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38.81</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2016</w:t>
            </w: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103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467,364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35.66</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9,864,863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21.11</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1,859,569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35.01</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63,449,003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34.12</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1280" w:hanging="1251"/>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Leases on this report represent retail activity only; office and residential leases are not included.</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Contractual rent represents contractual minimum rent under the new lease for the first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Prior rent represents minimum rent and percentage rent, if any, paid by the prior tenant in the final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Weighted average is determined on the basis of contractual rent for the first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39" w:lineRule="exact"/>
        <w:rPr>
          <w:rFonts w:ascii="Arial" w:cs="Arial" w:eastAsia="Arial" w:hAnsi="Arial"/>
          <w:sz w:val="13"/>
          <w:szCs w:val="13"/>
          <w:color w:val="auto"/>
        </w:rPr>
      </w:pPr>
    </w:p>
    <w:p>
      <w:pPr>
        <w:ind w:left="1280" w:right="80" w:hanging="1251"/>
        <w:spacing w:after="0" w:line="307" w:lineRule="auto"/>
        <w:tabs>
          <w:tab w:leader="none" w:pos="1280" w:val="left"/>
        </w:tabs>
        <w:numPr>
          <w:ilvl w:val="0"/>
          <w:numId w:val="17"/>
        </w:numPr>
        <w:rPr>
          <w:rFonts w:ascii="Arial" w:cs="Arial" w:eastAsia="Arial" w:hAnsi="Arial"/>
          <w:sz w:val="11"/>
          <w:szCs w:val="11"/>
          <w:color w:val="auto"/>
        </w:rPr>
      </w:pPr>
      <w:r>
        <w:rPr>
          <w:rFonts w:ascii="Arial" w:cs="Arial" w:eastAsia="Arial" w:hAnsi="Arial"/>
          <w:sz w:val="11"/>
          <w:szCs w:val="11"/>
          <w:color w:val="auto"/>
        </w:rPr>
        <w:t>Approximately $3.5 million ($2.28 per square foot) in 1st Quarter 2017 and $0.3 million ($0.74 per square foot) in 4th Quarter 2016 of the Tenant Improvements &amp; Incentives are for properties under active redevelopment (e.g. Montrose Crossing and Willow Lawn) and are included in the Projected Cost for those projects on the Summary of Redevelopment Opportunities.</w:t>
      </w:r>
    </w:p>
    <w:p>
      <w:pPr>
        <w:ind w:left="1280" w:hanging="1251"/>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39" w:lineRule="exact"/>
        <w:rPr>
          <w:rFonts w:ascii="Arial" w:cs="Arial" w:eastAsia="Arial" w:hAnsi="Arial"/>
          <w:sz w:val="13"/>
          <w:szCs w:val="13"/>
          <w:color w:val="auto"/>
        </w:rPr>
      </w:pPr>
    </w:p>
    <w:p>
      <w:pPr>
        <w:ind w:left="1280" w:right="60" w:hanging="1251"/>
        <w:spacing w:after="0" w:line="288" w:lineRule="auto"/>
        <w:tabs>
          <w:tab w:leader="none" w:pos="1280"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 Number of Leases Signed, GLA Signed, Contractual Rent Per Sq Ft and Weighted Average Lease Term columns include information for leases signed at our Assembly Row and Pike &amp; Rose projects. The Tenant Improvements &amp; Incentives and Tenant Improvements &amp; Incentives Per Sq Ft columns do not include the tenant improvements and incentives on leases signed for those projects; these amounts for leases signed for Assembly Row and Pike &amp; Rose are included in the Projected Cost column for those projects shown on the Assembly Row and Pike &amp; Rose schedule.</w:t>
      </w:r>
    </w:p>
    <w:p>
      <w:pPr>
        <w:sectPr>
          <w:pgSz w:w="11900" w:h="16838" w:orient="portrait"/>
          <w:cols w:equalWidth="0" w:num="1">
            <w:col w:w="11380"/>
          </w:cols>
          <w:pgMar w:left="260" w:top="976" w:right="25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80"/>
          </w:cols>
          <w:pgMar w:left="260" w:top="976" w:right="259" w:bottom="1440" w:gutter="0" w:footer="0" w:header="0"/>
          <w:type w:val="continuous"/>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257,000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16.45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602,000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860,000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1,711,000</w:t>
            </w: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17.31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942,000</w:t>
            </w: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39.52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2,652,000</w:t>
            </w: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25.20</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19.24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38.87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1,359,000</w:t>
            </w: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17.93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882,000</w:t>
            </w: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40.52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2,241,000</w:t>
            </w: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26.82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20.68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43.28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1,919,000</w:t>
            </w: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17.86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784,000</w:t>
            </w: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40.71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2,702,000</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24.48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21.65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45.11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31.19</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857,000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15.88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471,000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44.63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1,329,000</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26.08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40.31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28.77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526,000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26.20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329,000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46.08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854,000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33.84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2,570,000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22.38</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356,000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45.89</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25.24</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14,473,000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19.73</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7,008,000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41.14</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21,481,000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26.72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461,000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34.07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540,000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459,000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20.92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570,000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40.79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1,029,000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31.93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20.82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40.14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30.26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211,000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23.26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567,000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39.52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778,000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35.11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24.29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46.18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36.86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343,000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23.95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542,000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38.75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885,000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33.02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390,000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41.72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30.54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517,000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20.82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362,000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43.02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878,000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29.96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40.80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32.09</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421,000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26.18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390,000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41.86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812,000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33.72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10,767,000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18.95</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2,236,000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42.26</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13,003,000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22.96</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14,473,000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19.73</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7,008,000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41.14</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21,481,000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26.72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right="60" w:hanging="1125"/>
        <w:spacing w:after="0" w:line="293" w:lineRule="auto"/>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Q1 2017, we changed the definition of an "anchor tenant" from a tenant leasing 15,000 square feet or more, to a tenant leasing 10,000 square feet or more. The table above reflects this updated definition.</w:t>
      </w:r>
    </w:p>
    <w:p>
      <w:pPr>
        <w:spacing w:after="0" w:line="9" w:lineRule="exact"/>
        <w:rPr>
          <w:rFonts w:ascii="Arial" w:cs="Arial" w:eastAsia="Arial" w:hAnsi="Arial"/>
          <w:sz w:val="16"/>
          <w:szCs w:val="16"/>
          <w:color w:val="auto"/>
        </w:rPr>
      </w:pPr>
    </w:p>
    <w:p>
      <w:pPr>
        <w:ind w:left="1160" w:hanging="1125"/>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Minimum Rent reflects in-place contractual (defined as cash-basis excluding rent abatements) rent as of March 31, 2017.</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occupied square footage as of March 31, 2017.</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Portfolio Leased Statistics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2017</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20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1"/>
              </w:rPr>
              <w:t>Overall Portfolio Statistics (1)</w:t>
            </w:r>
          </w:p>
        </w:tc>
        <w:tc>
          <w:tcPr>
            <w:tcW w:w="2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At March 31, 2017</w:t>
            </w:r>
          </w:p>
        </w:tc>
        <w:tc>
          <w:tcPr>
            <w:tcW w:w="6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3"/>
          </w:tcPr>
          <w:p>
            <w:pPr>
              <w:ind w:left="80"/>
              <w:spacing w:after="0"/>
              <w:rPr>
                <w:sz w:val="20"/>
                <w:szCs w:val="20"/>
                <w:color w:val="auto"/>
              </w:rPr>
            </w:pPr>
            <w:r>
              <w:rPr>
                <w:rFonts w:ascii="Arial" w:cs="Arial" w:eastAsia="Arial" w:hAnsi="Arial"/>
                <w:sz w:val="14"/>
                <w:szCs w:val="14"/>
                <w:b w:val="1"/>
                <w:bCs w:val="1"/>
                <w:color w:val="auto"/>
              </w:rPr>
              <w:t>At March 31, 2016</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Arial" w:cs="Arial" w:eastAsia="Arial" w:hAnsi="Arial"/>
                <w:sz w:val="16"/>
                <w:szCs w:val="16"/>
                <w:color w:val="auto"/>
              </w:rPr>
              <w:t>Type</w:t>
            </w:r>
          </w:p>
        </w:tc>
        <w:tc>
          <w:tcPr>
            <w:tcW w:w="1060" w:type="dxa"/>
            <w:vAlign w:val="bottom"/>
            <w:gridSpan w:val="3"/>
          </w:tcPr>
          <w:p>
            <w:pPr>
              <w:jc w:val="right"/>
              <w:ind w:right="40"/>
              <w:spacing w:after="0"/>
              <w:rPr>
                <w:sz w:val="20"/>
                <w:szCs w:val="20"/>
                <w:color w:val="auto"/>
              </w:rPr>
            </w:pPr>
            <w:r>
              <w:rPr>
                <w:rFonts w:ascii="Arial" w:cs="Arial" w:eastAsia="Arial" w:hAnsi="Arial"/>
                <w:sz w:val="16"/>
                <w:szCs w:val="16"/>
                <w:color w:val="auto"/>
              </w:rPr>
              <w:t>Size</w:t>
            </w:r>
          </w:p>
        </w:tc>
        <w:tc>
          <w:tcPr>
            <w:tcW w:w="1480" w:type="dxa"/>
            <w:vAlign w:val="bottom"/>
            <w:gridSpan w:val="3"/>
          </w:tcPr>
          <w:p>
            <w:pPr>
              <w:ind w:left="640"/>
              <w:spacing w:after="0"/>
              <w:rPr>
                <w:sz w:val="20"/>
                <w:szCs w:val="20"/>
                <w:color w:val="auto"/>
              </w:rPr>
            </w:pPr>
            <w:r>
              <w:rPr>
                <w:rFonts w:ascii="Arial" w:cs="Arial" w:eastAsia="Arial" w:hAnsi="Arial"/>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w w:val="87"/>
              </w:rPr>
              <w:t>Leased %</w:t>
            </w:r>
          </w:p>
        </w:tc>
        <w:tc>
          <w:tcPr>
            <w:tcW w:w="1080" w:type="dxa"/>
            <w:vAlign w:val="bottom"/>
            <w:gridSpan w:val="3"/>
          </w:tcPr>
          <w:p>
            <w:pPr>
              <w:ind w:left="740"/>
              <w:spacing w:after="0"/>
              <w:rPr>
                <w:sz w:val="20"/>
                <w:szCs w:val="20"/>
                <w:color w:val="auto"/>
              </w:rPr>
            </w:pPr>
            <w:r>
              <w:rPr>
                <w:rFonts w:ascii="Arial" w:cs="Arial" w:eastAsia="Arial" w:hAnsi="Arial"/>
                <w:sz w:val="16"/>
                <w:szCs w:val="16"/>
                <w:color w:val="auto"/>
              </w:rPr>
              <w:t>Size</w:t>
            </w:r>
          </w:p>
        </w:tc>
        <w:tc>
          <w:tcPr>
            <w:tcW w:w="60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Retail Properties (2) (3) (4) (sf)</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23,134,000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21,884,000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22,230,000</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20,921,000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94.1%</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1,867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96.3%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1,591</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88.2%</w:t>
            </w:r>
          </w:p>
        </w:tc>
      </w:tr>
      <w:tr>
        <w:trPr>
          <w:trHeight w:val="770"/>
        </w:trPr>
        <w:tc>
          <w:tcPr>
            <w:tcW w:w="40" w:type="dxa"/>
            <w:vAlign w:val="bottom"/>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Same Center Statistics (1)</w:t>
            </w:r>
          </w:p>
        </w:tc>
        <w:tc>
          <w:tcPr>
            <w:tcW w:w="270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At March 31, 2017</w:t>
            </w:r>
          </w:p>
        </w:tc>
        <w:tc>
          <w:tcPr>
            <w:tcW w:w="6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3"/>
          </w:tcPr>
          <w:p>
            <w:pPr>
              <w:ind w:left="80"/>
              <w:spacing w:after="0"/>
              <w:rPr>
                <w:sz w:val="20"/>
                <w:szCs w:val="20"/>
                <w:color w:val="auto"/>
              </w:rPr>
            </w:pPr>
            <w:r>
              <w:rPr>
                <w:rFonts w:ascii="Arial" w:cs="Arial" w:eastAsia="Arial" w:hAnsi="Arial"/>
                <w:sz w:val="14"/>
                <w:szCs w:val="14"/>
                <w:b w:val="1"/>
                <w:bCs w:val="1"/>
                <w:color w:val="auto"/>
              </w:rPr>
              <w:t>At March 31, 2016</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Arial" w:cs="Arial" w:eastAsia="Arial" w:hAnsi="Arial"/>
                <w:sz w:val="16"/>
                <w:szCs w:val="16"/>
                <w:color w:val="auto"/>
              </w:rPr>
              <w:t>Type</w:t>
            </w:r>
          </w:p>
        </w:tc>
        <w:tc>
          <w:tcPr>
            <w:tcW w:w="1060" w:type="dxa"/>
            <w:vAlign w:val="bottom"/>
            <w:gridSpan w:val="3"/>
          </w:tcPr>
          <w:p>
            <w:pPr>
              <w:jc w:val="right"/>
              <w:ind w:right="40"/>
              <w:spacing w:after="0"/>
              <w:rPr>
                <w:sz w:val="20"/>
                <w:szCs w:val="20"/>
                <w:color w:val="auto"/>
              </w:rPr>
            </w:pPr>
            <w:r>
              <w:rPr>
                <w:rFonts w:ascii="Arial" w:cs="Arial" w:eastAsia="Arial" w:hAnsi="Arial"/>
                <w:sz w:val="16"/>
                <w:szCs w:val="16"/>
                <w:color w:val="auto"/>
              </w:rPr>
              <w:t>Size</w:t>
            </w:r>
          </w:p>
        </w:tc>
        <w:tc>
          <w:tcPr>
            <w:tcW w:w="1480" w:type="dxa"/>
            <w:vAlign w:val="bottom"/>
            <w:gridSpan w:val="3"/>
          </w:tcPr>
          <w:p>
            <w:pPr>
              <w:ind w:left="640"/>
              <w:spacing w:after="0"/>
              <w:rPr>
                <w:sz w:val="20"/>
                <w:szCs w:val="20"/>
                <w:color w:val="auto"/>
              </w:rPr>
            </w:pPr>
            <w:r>
              <w:rPr>
                <w:rFonts w:ascii="Arial" w:cs="Arial" w:eastAsia="Arial" w:hAnsi="Arial"/>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w w:val="87"/>
              </w:rPr>
              <w:t>Leased %</w:t>
            </w:r>
          </w:p>
        </w:tc>
        <w:tc>
          <w:tcPr>
            <w:tcW w:w="1080" w:type="dxa"/>
            <w:vAlign w:val="bottom"/>
            <w:gridSpan w:val="3"/>
          </w:tcPr>
          <w:p>
            <w:pPr>
              <w:ind w:left="740"/>
              <w:spacing w:after="0"/>
              <w:rPr>
                <w:sz w:val="20"/>
                <w:szCs w:val="20"/>
                <w:color w:val="auto"/>
              </w:rPr>
            </w:pPr>
            <w:r>
              <w:rPr>
                <w:rFonts w:ascii="Arial" w:cs="Arial" w:eastAsia="Arial" w:hAnsi="Arial"/>
                <w:sz w:val="16"/>
                <w:szCs w:val="16"/>
                <w:color w:val="auto"/>
              </w:rPr>
              <w:t>Size</w:t>
            </w:r>
          </w:p>
        </w:tc>
        <w:tc>
          <w:tcPr>
            <w:tcW w:w="60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Retail Properties (2) (4) (5) (sf)</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17,633,000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16,885,000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17,615,000</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16,889,000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95.9%</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37"/>
        </w:trPr>
        <w:tc>
          <w:tcPr>
            <w:tcW w:w="452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Residential Properties (units) (5)</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1,326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38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96.2%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5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95.5%</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67" w:lineRule="exact"/>
        <w:rPr>
          <w:sz w:val="20"/>
          <w:szCs w:val="20"/>
          <w:color w:val="auto"/>
        </w:rPr>
      </w:pPr>
    </w:p>
    <w:p>
      <w:pPr>
        <w:ind w:left="840" w:hanging="805"/>
        <w:spacing w:after="0"/>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840" w:right="100" w:hanging="805"/>
        <w:spacing w:after="0" w:line="293" w:lineRule="auto"/>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 March 31, 2017 leased percentage was 96.9% for anchor tenants and 90.2% for small shop tenants. See footnote 1 on page 26 discussing a change made in Q1 2017 to the definition of an anchor tenant.</w:t>
      </w:r>
    </w:p>
    <w:p>
      <w:pPr>
        <w:spacing w:after="0" w:line="9" w:lineRule="exact"/>
        <w:rPr>
          <w:rFonts w:ascii="Arial" w:cs="Arial" w:eastAsia="Arial" w:hAnsi="Arial"/>
          <w:sz w:val="16"/>
          <w:szCs w:val="16"/>
          <w:color w:val="auto"/>
        </w:rPr>
      </w:pPr>
    </w:p>
    <w:p>
      <w:pPr>
        <w:ind w:left="840" w:right="160" w:hanging="805"/>
        <w:spacing w:after="0" w:line="293" w:lineRule="auto"/>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Occupied percentage was 93.1% and 92.7% at March 31, 2017 and 2016, respectively, and same center occupied percentage was 94.7% and 94.9% at March 31, 2017 and 2016, respectively.</w:t>
      </w:r>
    </w:p>
    <w:p>
      <w:pPr>
        <w:spacing w:after="0" w:line="9" w:lineRule="exact"/>
        <w:rPr>
          <w:rFonts w:ascii="Arial" w:cs="Arial" w:eastAsia="Arial" w:hAnsi="Arial"/>
          <w:sz w:val="16"/>
          <w:szCs w:val="16"/>
          <w:color w:val="auto"/>
        </w:rPr>
      </w:pPr>
    </w:p>
    <w:p>
      <w:pPr>
        <w:ind w:left="840" w:right="40" w:hanging="805"/>
        <w:spacing w:after="0" w:line="293" w:lineRule="auto"/>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 or development. Excludes the six properties where we acquired our Partner's 70% interest on January 13, 2016, as we did not consolidate the properties for the entirety of the quarter ended March 31, 2016.</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2017</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40" w:type="dxa"/>
            <w:vAlign w:val="bottom"/>
            <w:vMerge w:val="restart"/>
          </w:tcPr>
          <w:p>
            <w:pPr>
              <w:jc w:val="center"/>
              <w:ind w:left="20"/>
              <w:spacing w:after="0"/>
              <w:rPr>
                <w:sz w:val="20"/>
                <w:szCs w:val="20"/>
                <w:color w:val="auto"/>
              </w:rPr>
            </w:pPr>
            <w:r>
              <w:rPr>
                <w:rFonts w:ascii="Arial" w:cs="Arial" w:eastAsia="Arial" w:hAnsi="Arial"/>
                <w:sz w:val="14"/>
                <w:szCs w:val="14"/>
                <w:b w:val="1"/>
                <w:bCs w:val="1"/>
                <w:color w:val="auto"/>
                <w:w w:val="94"/>
              </w:rPr>
              <w:t>Credit Ratings</w:t>
            </w:r>
          </w:p>
        </w:tc>
        <w:tc>
          <w:tcPr>
            <w:tcW w:w="2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Annualized Base</w:t>
            </w:r>
          </w:p>
        </w:tc>
        <w:tc>
          <w:tcPr>
            <w:tcW w:w="1600" w:type="dxa"/>
            <w:vAlign w:val="bottom"/>
          </w:tcPr>
          <w:p>
            <w:pPr>
              <w:jc w:val="right"/>
              <w:ind w:right="120"/>
              <w:spacing w:after="0"/>
              <w:rPr>
                <w:sz w:val="20"/>
                <w:szCs w:val="20"/>
                <w:color w:val="auto"/>
              </w:rPr>
            </w:pPr>
            <w:r>
              <w:rPr>
                <w:rFonts w:ascii="Arial" w:cs="Arial" w:eastAsia="Arial" w:hAnsi="Arial"/>
                <w:sz w:val="14"/>
                <w:szCs w:val="14"/>
                <w:b w:val="1"/>
                <w:bCs w:val="1"/>
                <w:color w:val="auto"/>
              </w:rPr>
              <w:t>Percentage of Total</w:t>
            </w:r>
          </w:p>
        </w:tc>
        <w:tc>
          <w:tcPr>
            <w:tcW w:w="920" w:type="dxa"/>
            <w:vAlign w:val="bottom"/>
          </w:tcPr>
          <w:p>
            <w:pPr>
              <w:spacing w:after="0"/>
              <w:rPr>
                <w:sz w:val="14"/>
                <w:szCs w:val="14"/>
                <w:color w:val="auto"/>
              </w:rPr>
            </w:pPr>
          </w:p>
        </w:tc>
        <w:tc>
          <w:tcPr>
            <w:tcW w:w="11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Percentage of</w:t>
            </w:r>
          </w:p>
        </w:tc>
        <w:tc>
          <w:tcPr>
            <w:tcW w:w="720" w:type="dxa"/>
            <w:vAlign w:val="bottom"/>
          </w:tcPr>
          <w:p>
            <w:pPr>
              <w:jc w:val="right"/>
              <w:ind w:right="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9"/>
        </w:trPr>
        <w:tc>
          <w:tcPr>
            <w:tcW w:w="5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Rank</w:t>
            </w:r>
          </w:p>
        </w:tc>
        <w:tc>
          <w:tcPr>
            <w:tcW w:w="32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Tenant Name</w:t>
            </w:r>
          </w:p>
        </w:tc>
        <w:tc>
          <w:tcPr>
            <w:tcW w:w="1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0" w:type="dxa"/>
            <w:vAlign w:val="bottom"/>
          </w:tcPr>
          <w:p>
            <w:pPr>
              <w:jc w:val="right"/>
              <w:ind w:right="120"/>
              <w:spacing w:after="0" w:line="149" w:lineRule="exact"/>
              <w:rPr>
                <w:sz w:val="20"/>
                <w:szCs w:val="20"/>
                <w:color w:val="auto"/>
              </w:rPr>
            </w:pPr>
            <w:r>
              <w:rPr>
                <w:rFonts w:ascii="Arial" w:cs="Arial" w:eastAsia="Arial" w:hAnsi="Arial"/>
                <w:sz w:val="14"/>
                <w:szCs w:val="14"/>
                <w:b w:val="1"/>
                <w:bCs w:val="1"/>
                <w:color w:val="auto"/>
              </w:rPr>
              <w:t>Annualized Base</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1180" w:type="dxa"/>
            <w:vAlign w:val="bottom"/>
            <w:vMerge w:val="continue"/>
          </w:tcPr>
          <w:p>
            <w:pPr>
              <w:spacing w:after="0"/>
              <w:rPr>
                <w:sz w:val="12"/>
                <w:szCs w:val="12"/>
                <w:color w:val="auto"/>
              </w:rPr>
            </w:pPr>
          </w:p>
        </w:tc>
        <w:tc>
          <w:tcPr>
            <w:tcW w:w="72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98"/>
              </w:rPr>
              <w:t>of Stores</w:t>
            </w:r>
          </w:p>
        </w:tc>
        <w:tc>
          <w:tcPr>
            <w:tcW w:w="0" w:type="dxa"/>
            <w:vAlign w:val="bottom"/>
          </w:tcPr>
          <w:p>
            <w:pPr>
              <w:spacing w:after="0"/>
              <w:rPr>
                <w:sz w:val="1"/>
                <w:szCs w:val="1"/>
                <w:color w:val="auto"/>
              </w:rPr>
            </w:pPr>
          </w:p>
        </w:tc>
      </w:tr>
      <w:tr>
        <w:trPr>
          <w:trHeight w:val="192"/>
        </w:trPr>
        <w:tc>
          <w:tcPr>
            <w:tcW w:w="580" w:type="dxa"/>
            <w:vAlign w:val="bottom"/>
            <w:tcBorders>
              <w:bottom w:val="single" w:sz="8" w:color="auto"/>
            </w:tcBorders>
            <w:vMerge w:val="continue"/>
          </w:tcPr>
          <w:p>
            <w:pPr>
              <w:spacing w:after="0"/>
              <w:rPr>
                <w:sz w:val="16"/>
                <w:szCs w:val="16"/>
                <w:color w:val="auto"/>
              </w:rPr>
            </w:pPr>
          </w:p>
        </w:tc>
        <w:tc>
          <w:tcPr>
            <w:tcW w:w="328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(S&amp;P/Moody's/Fitch) (1)</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6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Rent (3)</w:t>
            </w:r>
          </w:p>
        </w:tc>
        <w:tc>
          <w:tcPr>
            <w:tcW w:w="9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Total GLA (3)</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Ahold USA, Inc.</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BBB / Baa2 / BBB</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17,440,000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1,036,000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4.48%</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3280" w:type="dxa"/>
            <w:vAlign w:val="bottom"/>
          </w:tcPr>
          <w:p>
            <w:pPr>
              <w:ind w:left="120"/>
              <w:spacing w:after="0"/>
              <w:rPr>
                <w:sz w:val="20"/>
                <w:szCs w:val="20"/>
                <w:color w:val="auto"/>
              </w:rPr>
            </w:pPr>
            <w:r>
              <w:rPr>
                <w:rFonts w:ascii="Arial" w:cs="Arial" w:eastAsia="Arial" w:hAnsi="Arial"/>
                <w:sz w:val="16"/>
                <w:szCs w:val="16"/>
                <w:color w:val="auto"/>
              </w:rPr>
              <w:t>TJX Companies, The</w:t>
            </w:r>
          </w:p>
        </w:tc>
        <w:tc>
          <w:tcPr>
            <w:tcW w:w="1840" w:type="dxa"/>
            <w:vAlign w:val="bottom"/>
          </w:tcPr>
          <w:p>
            <w:pPr>
              <w:jc w:val="center"/>
              <w:spacing w:after="0"/>
              <w:rPr>
                <w:sz w:val="20"/>
                <w:szCs w:val="20"/>
                <w:color w:val="auto"/>
              </w:rPr>
            </w:pPr>
            <w:r>
              <w:rPr>
                <w:rFonts w:ascii="Arial" w:cs="Arial" w:eastAsia="Arial" w:hAnsi="Arial"/>
                <w:sz w:val="16"/>
                <w:szCs w:val="16"/>
                <w:color w:val="auto"/>
                <w:w w:val="98"/>
              </w:rPr>
              <w:t>A+ / A2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15,634,000</w:t>
            </w:r>
          </w:p>
        </w:tc>
        <w:tc>
          <w:tcPr>
            <w:tcW w:w="1600" w:type="dxa"/>
            <w:vAlign w:val="bottom"/>
          </w:tcPr>
          <w:p>
            <w:pPr>
              <w:jc w:val="right"/>
              <w:spacing w:after="0"/>
              <w:rPr>
                <w:sz w:val="20"/>
                <w:szCs w:val="20"/>
                <w:color w:val="auto"/>
              </w:rPr>
            </w:pPr>
            <w:r>
              <w:rPr>
                <w:rFonts w:ascii="Arial" w:cs="Arial" w:eastAsia="Arial" w:hAnsi="Arial"/>
                <w:sz w:val="16"/>
                <w:szCs w:val="16"/>
                <w:color w:val="auto"/>
              </w:rPr>
              <w:t>2.72%</w:t>
            </w:r>
          </w:p>
        </w:tc>
        <w:tc>
          <w:tcPr>
            <w:tcW w:w="920" w:type="dxa"/>
            <w:vAlign w:val="bottom"/>
          </w:tcPr>
          <w:p>
            <w:pPr>
              <w:jc w:val="right"/>
              <w:spacing w:after="0"/>
              <w:rPr>
                <w:sz w:val="20"/>
                <w:szCs w:val="20"/>
                <w:color w:val="auto"/>
              </w:rPr>
            </w:pPr>
            <w:r>
              <w:rPr>
                <w:rFonts w:ascii="Arial" w:cs="Arial" w:eastAsia="Arial" w:hAnsi="Arial"/>
                <w:sz w:val="16"/>
                <w:szCs w:val="16"/>
                <w:color w:val="auto"/>
              </w:rPr>
              <w:t>885,000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3.83%</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Gap, Inc., The</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BB+ / Baa2 / BB+</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13,230,000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7"/>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3280" w:type="dxa"/>
            <w:vAlign w:val="bottom"/>
          </w:tcPr>
          <w:p>
            <w:pPr>
              <w:ind w:left="120"/>
              <w:spacing w:after="0"/>
              <w:rPr>
                <w:sz w:val="20"/>
                <w:szCs w:val="20"/>
                <w:color w:val="auto"/>
              </w:rPr>
            </w:pPr>
            <w:r>
              <w:rPr>
                <w:rFonts w:ascii="Arial" w:cs="Arial" w:eastAsia="Arial" w:hAnsi="Arial"/>
                <w:sz w:val="16"/>
                <w:szCs w:val="16"/>
                <w:color w:val="auto"/>
              </w:rPr>
              <w:t>Bed, Bath &amp; Beyond, Inc.</w:t>
            </w:r>
          </w:p>
        </w:tc>
        <w:tc>
          <w:tcPr>
            <w:tcW w:w="1840" w:type="dxa"/>
            <w:vAlign w:val="bottom"/>
          </w:tcPr>
          <w:p>
            <w:pPr>
              <w:jc w:val="center"/>
              <w:spacing w:after="0"/>
              <w:rPr>
                <w:sz w:val="20"/>
                <w:szCs w:val="20"/>
                <w:color w:val="auto"/>
              </w:rPr>
            </w:pPr>
            <w:r>
              <w:rPr>
                <w:rFonts w:ascii="Arial" w:cs="Arial" w:eastAsia="Arial" w:hAnsi="Arial"/>
                <w:sz w:val="16"/>
                <w:szCs w:val="16"/>
                <w:color w:val="auto"/>
                <w:w w:val="96"/>
              </w:rPr>
              <w:t>BBB+ / Baa1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13,170,000</w:t>
            </w:r>
          </w:p>
        </w:tc>
        <w:tc>
          <w:tcPr>
            <w:tcW w:w="1600" w:type="dxa"/>
            <w:vAlign w:val="bottom"/>
          </w:tcPr>
          <w:p>
            <w:pPr>
              <w:jc w:val="right"/>
              <w:spacing w:after="0"/>
              <w:rPr>
                <w:sz w:val="20"/>
                <w:szCs w:val="20"/>
                <w:color w:val="auto"/>
              </w:rPr>
            </w:pPr>
            <w:r>
              <w:rPr>
                <w:rFonts w:ascii="Arial" w:cs="Arial" w:eastAsia="Arial" w:hAnsi="Arial"/>
                <w:sz w:val="16"/>
                <w:szCs w:val="16"/>
                <w:color w:val="auto"/>
              </w:rPr>
              <w:t>2.29%</w:t>
            </w:r>
          </w:p>
        </w:tc>
        <w:tc>
          <w:tcPr>
            <w:tcW w:w="920" w:type="dxa"/>
            <w:vAlign w:val="bottom"/>
          </w:tcPr>
          <w:p>
            <w:pPr>
              <w:jc w:val="right"/>
              <w:spacing w:after="0"/>
              <w:rPr>
                <w:sz w:val="20"/>
                <w:szCs w:val="20"/>
                <w:color w:val="auto"/>
              </w:rPr>
            </w:pPr>
            <w:r>
              <w:rPr>
                <w:rFonts w:ascii="Arial" w:cs="Arial" w:eastAsia="Arial" w:hAnsi="Arial"/>
                <w:sz w:val="16"/>
                <w:szCs w:val="16"/>
                <w:color w:val="auto"/>
              </w:rPr>
              <w:t>736,000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3.18%</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Splunk, Inc.</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NR / NR / NR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10,276,000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3280" w:type="dxa"/>
            <w:vAlign w:val="bottom"/>
          </w:tcPr>
          <w:p>
            <w:pPr>
              <w:ind w:left="120"/>
              <w:spacing w:after="0"/>
              <w:rPr>
                <w:sz w:val="20"/>
                <w:szCs w:val="20"/>
                <w:color w:val="auto"/>
              </w:rPr>
            </w:pPr>
            <w:r>
              <w:rPr>
                <w:rFonts w:ascii="Arial" w:cs="Arial" w:eastAsia="Arial" w:hAnsi="Arial"/>
                <w:sz w:val="16"/>
                <w:szCs w:val="16"/>
                <w:color w:val="auto"/>
              </w:rPr>
              <w:t>L.A. Fitness International LLC</w:t>
            </w:r>
          </w:p>
        </w:tc>
        <w:tc>
          <w:tcPr>
            <w:tcW w:w="1840" w:type="dxa"/>
            <w:vAlign w:val="bottom"/>
          </w:tcPr>
          <w:p>
            <w:pPr>
              <w:jc w:val="center"/>
              <w:spacing w:after="0"/>
              <w:rPr>
                <w:sz w:val="20"/>
                <w:szCs w:val="20"/>
                <w:color w:val="auto"/>
              </w:rPr>
            </w:pPr>
            <w:r>
              <w:rPr>
                <w:rFonts w:ascii="Arial" w:cs="Arial" w:eastAsia="Arial" w:hAnsi="Arial"/>
                <w:sz w:val="16"/>
                <w:szCs w:val="16"/>
                <w:color w:val="auto"/>
                <w:w w:val="98"/>
              </w:rPr>
              <w:t>B+ / B2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9,775,000</w:t>
            </w:r>
          </w:p>
        </w:tc>
        <w:tc>
          <w:tcPr>
            <w:tcW w:w="1600" w:type="dxa"/>
            <w:vAlign w:val="bottom"/>
          </w:tcPr>
          <w:p>
            <w:pPr>
              <w:jc w:val="right"/>
              <w:spacing w:after="0"/>
              <w:rPr>
                <w:sz w:val="20"/>
                <w:szCs w:val="20"/>
                <w:color w:val="auto"/>
              </w:rPr>
            </w:pPr>
            <w:r>
              <w:rPr>
                <w:rFonts w:ascii="Arial" w:cs="Arial" w:eastAsia="Arial" w:hAnsi="Arial"/>
                <w:sz w:val="16"/>
                <w:szCs w:val="16"/>
                <w:color w:val="auto"/>
              </w:rPr>
              <w:t>1.70%</w:t>
            </w:r>
          </w:p>
        </w:tc>
        <w:tc>
          <w:tcPr>
            <w:tcW w:w="920" w:type="dxa"/>
            <w:vAlign w:val="bottom"/>
          </w:tcPr>
          <w:p>
            <w:pPr>
              <w:jc w:val="right"/>
              <w:spacing w:after="0"/>
              <w:rPr>
                <w:sz w:val="20"/>
                <w:szCs w:val="20"/>
                <w:color w:val="auto"/>
              </w:rPr>
            </w:pPr>
            <w:r>
              <w:rPr>
                <w:rFonts w:ascii="Arial" w:cs="Arial" w:eastAsia="Arial" w:hAnsi="Arial"/>
                <w:sz w:val="16"/>
                <w:szCs w:val="16"/>
                <w:color w:val="auto"/>
              </w:rPr>
              <w:t>426,000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1.84%</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CVS Corporation</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BBB+ / Baa1 / NR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8,499,000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0.89%</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4"/>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3280" w:type="dxa"/>
            <w:vAlign w:val="bottom"/>
          </w:tcPr>
          <w:p>
            <w:pPr>
              <w:ind w:left="120"/>
              <w:spacing w:after="0"/>
              <w:rPr>
                <w:sz w:val="20"/>
                <w:szCs w:val="20"/>
                <w:color w:val="auto"/>
              </w:rPr>
            </w:pPr>
            <w:r>
              <w:rPr>
                <w:rFonts w:ascii="Arial" w:cs="Arial" w:eastAsia="Arial" w:hAnsi="Arial"/>
                <w:sz w:val="16"/>
                <w:szCs w:val="16"/>
                <w:color w:val="auto"/>
              </w:rPr>
              <w:t>AMC Entertainment Inc.</w:t>
            </w:r>
          </w:p>
        </w:tc>
        <w:tc>
          <w:tcPr>
            <w:tcW w:w="1840" w:type="dxa"/>
            <w:vAlign w:val="bottom"/>
          </w:tcPr>
          <w:p>
            <w:pPr>
              <w:jc w:val="center"/>
              <w:spacing w:after="0"/>
              <w:rPr>
                <w:sz w:val="20"/>
                <w:szCs w:val="20"/>
                <w:color w:val="auto"/>
              </w:rPr>
            </w:pPr>
            <w:r>
              <w:rPr>
                <w:rFonts w:ascii="Arial" w:cs="Arial" w:eastAsia="Arial" w:hAnsi="Arial"/>
                <w:sz w:val="16"/>
                <w:szCs w:val="16"/>
                <w:color w:val="auto"/>
                <w:w w:val="98"/>
              </w:rPr>
              <w:t>B+ / B2 / B</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6,572,000</w:t>
            </w:r>
          </w:p>
        </w:tc>
        <w:tc>
          <w:tcPr>
            <w:tcW w:w="1600" w:type="dxa"/>
            <w:vAlign w:val="bottom"/>
          </w:tcPr>
          <w:p>
            <w:pPr>
              <w:jc w:val="right"/>
              <w:spacing w:after="0"/>
              <w:rPr>
                <w:sz w:val="20"/>
                <w:szCs w:val="20"/>
                <w:color w:val="auto"/>
              </w:rPr>
            </w:pPr>
            <w:r>
              <w:rPr>
                <w:rFonts w:ascii="Arial" w:cs="Arial" w:eastAsia="Arial" w:hAnsi="Arial"/>
                <w:sz w:val="16"/>
                <w:szCs w:val="16"/>
                <w:color w:val="auto"/>
              </w:rPr>
              <w:t>1.14%</w:t>
            </w:r>
          </w:p>
        </w:tc>
        <w:tc>
          <w:tcPr>
            <w:tcW w:w="920" w:type="dxa"/>
            <w:vAlign w:val="bottom"/>
          </w:tcPr>
          <w:p>
            <w:pPr>
              <w:jc w:val="right"/>
              <w:spacing w:after="0"/>
              <w:rPr>
                <w:sz w:val="20"/>
                <w:szCs w:val="20"/>
                <w:color w:val="auto"/>
              </w:rPr>
            </w:pPr>
            <w:r>
              <w:rPr>
                <w:rFonts w:ascii="Arial" w:cs="Arial" w:eastAsia="Arial" w:hAnsi="Arial"/>
                <w:sz w:val="16"/>
                <w:szCs w:val="16"/>
                <w:color w:val="auto"/>
              </w:rPr>
              <w:t>317,000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1.37%</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Ascena Retail Group, Inc. (Dress Barn, Loft,</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BB- / Ba2 / NR</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6,323,000</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0.85%</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3"/>
        </w:trPr>
        <w:tc>
          <w:tcPr>
            <w:tcW w:w="580" w:type="dxa"/>
            <w:vAlign w:val="bottom"/>
            <w:shd w:val="clear" w:color="auto" w:fill="CCEEFF"/>
          </w:tcPr>
          <w:p>
            <w:pPr>
              <w:spacing w:after="0"/>
              <w:rPr>
                <w:sz w:val="17"/>
                <w:szCs w:val="17"/>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Lou &amp; Grey, Ann Taylor, Catherine's, Justice,</w:t>
            </w:r>
          </w:p>
        </w:tc>
        <w:tc>
          <w:tcPr>
            <w:tcW w:w="1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0" w:type="dxa"/>
            <w:vAlign w:val="bottom"/>
            <w:tcBorders>
              <w:bottom w:val="single" w:sz="8" w:color="CCEEFF"/>
            </w:tcBorders>
            <w:shd w:val="clear" w:color="auto" w:fill="CCEEFF"/>
          </w:tcPr>
          <w:p>
            <w:pPr>
              <w:spacing w:after="0"/>
              <w:rPr>
                <w:sz w:val="19"/>
                <w:szCs w:val="19"/>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Lane Bryant)</w:t>
            </w:r>
          </w:p>
        </w:tc>
        <w:tc>
          <w:tcPr>
            <w:tcW w:w="18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3280" w:type="dxa"/>
            <w:vAlign w:val="bottom"/>
          </w:tcPr>
          <w:p>
            <w:pPr>
              <w:ind w:left="120"/>
              <w:spacing w:after="0"/>
              <w:rPr>
                <w:sz w:val="20"/>
                <w:szCs w:val="20"/>
                <w:color w:val="auto"/>
              </w:rPr>
            </w:pPr>
            <w:r>
              <w:rPr>
                <w:rFonts w:ascii="Arial" w:cs="Arial" w:eastAsia="Arial" w:hAnsi="Arial"/>
                <w:sz w:val="16"/>
                <w:szCs w:val="16"/>
                <w:color w:val="auto"/>
              </w:rPr>
              <w:t>Dick's Sporting Goods, Inc.</w:t>
            </w:r>
          </w:p>
        </w:tc>
        <w:tc>
          <w:tcPr>
            <w:tcW w:w="1840" w:type="dxa"/>
            <w:vAlign w:val="bottom"/>
          </w:tcPr>
          <w:p>
            <w:pPr>
              <w:jc w:val="center"/>
              <w:spacing w:after="0"/>
              <w:rPr>
                <w:sz w:val="20"/>
                <w:szCs w:val="20"/>
                <w:color w:val="auto"/>
              </w:rPr>
            </w:pPr>
            <w:r>
              <w:rPr>
                <w:rFonts w:ascii="Arial" w:cs="Arial" w:eastAsia="Arial" w:hAnsi="Arial"/>
                <w:sz w:val="16"/>
                <w:szCs w:val="16"/>
                <w:color w:val="auto"/>
                <w:w w:val="95"/>
              </w:rPr>
              <w:t>NR / NR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6,208,000</w:t>
            </w:r>
          </w:p>
        </w:tc>
        <w:tc>
          <w:tcPr>
            <w:tcW w:w="1600" w:type="dxa"/>
            <w:vAlign w:val="bottom"/>
          </w:tcPr>
          <w:p>
            <w:pPr>
              <w:jc w:val="right"/>
              <w:spacing w:after="0"/>
              <w:rPr>
                <w:sz w:val="20"/>
                <w:szCs w:val="20"/>
                <w:color w:val="auto"/>
              </w:rPr>
            </w:pPr>
            <w:r>
              <w:rPr>
                <w:rFonts w:ascii="Arial" w:cs="Arial" w:eastAsia="Arial" w:hAnsi="Arial"/>
                <w:sz w:val="16"/>
                <w:szCs w:val="16"/>
                <w:color w:val="auto"/>
              </w:rPr>
              <w:t>1.08%</w:t>
            </w:r>
          </w:p>
        </w:tc>
        <w:tc>
          <w:tcPr>
            <w:tcW w:w="920" w:type="dxa"/>
            <w:vAlign w:val="bottom"/>
          </w:tcPr>
          <w:p>
            <w:pPr>
              <w:jc w:val="right"/>
              <w:spacing w:after="0"/>
              <w:rPr>
                <w:sz w:val="20"/>
                <w:szCs w:val="20"/>
                <w:color w:val="auto"/>
              </w:rPr>
            </w:pPr>
            <w:r>
              <w:rPr>
                <w:rFonts w:ascii="Arial" w:cs="Arial" w:eastAsia="Arial" w:hAnsi="Arial"/>
                <w:sz w:val="16"/>
                <w:szCs w:val="16"/>
                <w:color w:val="auto"/>
              </w:rPr>
              <w:t>257,000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1.11%</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DSW, Inc.</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NR / NR / NR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6,147,000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3280" w:type="dxa"/>
            <w:vAlign w:val="bottom"/>
          </w:tcPr>
          <w:p>
            <w:pPr>
              <w:ind w:left="120"/>
              <w:spacing w:after="0"/>
              <w:rPr>
                <w:sz w:val="20"/>
                <w:szCs w:val="20"/>
                <w:color w:val="auto"/>
              </w:rPr>
            </w:pPr>
            <w:r>
              <w:rPr>
                <w:rFonts w:ascii="Arial" w:cs="Arial" w:eastAsia="Arial" w:hAnsi="Arial"/>
                <w:sz w:val="16"/>
                <w:szCs w:val="16"/>
                <w:color w:val="auto"/>
              </w:rPr>
              <w:t>Home Depot, Inc.</w:t>
            </w:r>
          </w:p>
        </w:tc>
        <w:tc>
          <w:tcPr>
            <w:tcW w:w="1840" w:type="dxa"/>
            <w:vAlign w:val="bottom"/>
          </w:tcPr>
          <w:p>
            <w:pPr>
              <w:jc w:val="center"/>
              <w:spacing w:after="0"/>
              <w:rPr>
                <w:sz w:val="20"/>
                <w:szCs w:val="20"/>
                <w:color w:val="auto"/>
              </w:rPr>
            </w:pPr>
            <w:r>
              <w:rPr>
                <w:rFonts w:ascii="Arial" w:cs="Arial" w:eastAsia="Arial" w:hAnsi="Arial"/>
                <w:sz w:val="16"/>
                <w:szCs w:val="16"/>
                <w:color w:val="auto"/>
              </w:rPr>
              <w:t>A / A2 / A</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5,674,000</w:t>
            </w:r>
          </w:p>
        </w:tc>
        <w:tc>
          <w:tcPr>
            <w:tcW w:w="1600" w:type="dxa"/>
            <w:vAlign w:val="bottom"/>
          </w:tcPr>
          <w:p>
            <w:pPr>
              <w:jc w:val="right"/>
              <w:spacing w:after="0"/>
              <w:rPr>
                <w:sz w:val="20"/>
                <w:szCs w:val="20"/>
                <w:color w:val="auto"/>
              </w:rPr>
            </w:pPr>
            <w:r>
              <w:rPr>
                <w:rFonts w:ascii="Arial" w:cs="Arial" w:eastAsia="Arial" w:hAnsi="Arial"/>
                <w:sz w:val="16"/>
                <w:szCs w:val="16"/>
                <w:color w:val="auto"/>
              </w:rPr>
              <w:t>0.99%</w:t>
            </w:r>
          </w:p>
        </w:tc>
        <w:tc>
          <w:tcPr>
            <w:tcW w:w="920" w:type="dxa"/>
            <w:vAlign w:val="bottom"/>
          </w:tcPr>
          <w:p>
            <w:pPr>
              <w:jc w:val="right"/>
              <w:spacing w:after="0"/>
              <w:rPr>
                <w:sz w:val="20"/>
                <w:szCs w:val="20"/>
                <w:color w:val="auto"/>
              </w:rPr>
            </w:pPr>
            <w:r>
              <w:rPr>
                <w:rFonts w:ascii="Arial" w:cs="Arial" w:eastAsia="Arial" w:hAnsi="Arial"/>
                <w:sz w:val="16"/>
                <w:szCs w:val="16"/>
                <w:color w:val="auto"/>
              </w:rPr>
              <w:t>438,000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1.89%</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Best Buy Stores, L.P.</w:t>
            </w:r>
          </w:p>
        </w:tc>
        <w:tc>
          <w:tcPr>
            <w:tcW w:w="1840" w:type="dxa"/>
            <w:vAlign w:val="bottom"/>
            <w:tcBorders>
              <w:bottom w:val="single" w:sz="8" w:color="CCEEFF"/>
            </w:tcBorders>
            <w:shd w:val="clear" w:color="auto" w:fill="CCEEFF"/>
          </w:tcPr>
          <w:p>
            <w:pPr>
              <w:jc w:val="center"/>
              <w:ind w:left="20"/>
              <w:spacing w:after="0"/>
              <w:rPr>
                <w:sz w:val="20"/>
                <w:szCs w:val="20"/>
                <w:color w:val="auto"/>
              </w:rPr>
            </w:pPr>
            <w:r>
              <w:rPr>
                <w:rFonts w:ascii="Arial" w:cs="Arial" w:eastAsia="Arial" w:hAnsi="Arial"/>
                <w:sz w:val="16"/>
                <w:szCs w:val="16"/>
                <w:color w:val="auto"/>
                <w:w w:val="96"/>
              </w:rPr>
              <w:t>BBB- / Baa1 / BBB-</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5,610,000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0.80%</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3280" w:type="dxa"/>
            <w:vAlign w:val="bottom"/>
          </w:tcPr>
          <w:p>
            <w:pPr>
              <w:ind w:left="120"/>
              <w:spacing w:after="0"/>
              <w:rPr>
                <w:sz w:val="20"/>
                <w:szCs w:val="20"/>
                <w:color w:val="auto"/>
              </w:rPr>
            </w:pPr>
            <w:r>
              <w:rPr>
                <w:rFonts w:ascii="Arial" w:cs="Arial" w:eastAsia="Arial" w:hAnsi="Arial"/>
                <w:sz w:val="16"/>
                <w:szCs w:val="16"/>
                <w:color w:val="auto"/>
              </w:rPr>
              <w:t>Barnes &amp; Noble, Inc.</w:t>
            </w:r>
          </w:p>
        </w:tc>
        <w:tc>
          <w:tcPr>
            <w:tcW w:w="1840" w:type="dxa"/>
            <w:vAlign w:val="bottom"/>
          </w:tcPr>
          <w:p>
            <w:pPr>
              <w:jc w:val="center"/>
              <w:spacing w:after="0"/>
              <w:rPr>
                <w:sz w:val="20"/>
                <w:szCs w:val="20"/>
                <w:color w:val="auto"/>
              </w:rPr>
            </w:pPr>
            <w:r>
              <w:rPr>
                <w:rFonts w:ascii="Arial" w:cs="Arial" w:eastAsia="Arial" w:hAnsi="Arial"/>
                <w:sz w:val="16"/>
                <w:szCs w:val="16"/>
                <w:color w:val="auto"/>
                <w:w w:val="95"/>
              </w:rPr>
              <w:t>NR / NR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5,535,000</w:t>
            </w:r>
          </w:p>
        </w:tc>
        <w:tc>
          <w:tcPr>
            <w:tcW w:w="1600" w:type="dxa"/>
            <w:vAlign w:val="bottom"/>
          </w:tcPr>
          <w:p>
            <w:pPr>
              <w:jc w:val="right"/>
              <w:spacing w:after="0"/>
              <w:rPr>
                <w:sz w:val="20"/>
                <w:szCs w:val="20"/>
                <w:color w:val="auto"/>
              </w:rPr>
            </w:pPr>
            <w:r>
              <w:rPr>
                <w:rFonts w:ascii="Arial" w:cs="Arial" w:eastAsia="Arial" w:hAnsi="Arial"/>
                <w:sz w:val="16"/>
                <w:szCs w:val="16"/>
                <w:color w:val="auto"/>
              </w:rPr>
              <w:t>0.96%</w:t>
            </w:r>
          </w:p>
        </w:tc>
        <w:tc>
          <w:tcPr>
            <w:tcW w:w="920" w:type="dxa"/>
            <w:vAlign w:val="bottom"/>
          </w:tcPr>
          <w:p>
            <w:pPr>
              <w:jc w:val="right"/>
              <w:spacing w:after="0"/>
              <w:rPr>
                <w:sz w:val="20"/>
                <w:szCs w:val="20"/>
                <w:color w:val="auto"/>
              </w:rPr>
            </w:pPr>
            <w:r>
              <w:rPr>
                <w:rFonts w:ascii="Arial" w:cs="Arial" w:eastAsia="Arial" w:hAnsi="Arial"/>
                <w:sz w:val="16"/>
                <w:szCs w:val="16"/>
                <w:color w:val="auto"/>
              </w:rPr>
              <w:t>244,000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1.05%</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Michaels Stores, Inc.</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BB- / Ba2 / NR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5,331,000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3280" w:type="dxa"/>
            <w:vAlign w:val="bottom"/>
          </w:tcPr>
          <w:p>
            <w:pPr>
              <w:ind w:left="120"/>
              <w:spacing w:after="0"/>
              <w:rPr>
                <w:sz w:val="20"/>
                <w:szCs w:val="20"/>
                <w:color w:val="auto"/>
              </w:rPr>
            </w:pPr>
            <w:r>
              <w:rPr>
                <w:rFonts w:ascii="Arial" w:cs="Arial" w:eastAsia="Arial" w:hAnsi="Arial"/>
                <w:sz w:val="16"/>
                <w:szCs w:val="16"/>
                <w:color w:val="auto"/>
              </w:rPr>
              <w:t>Bank of America, N.A.</w:t>
            </w:r>
          </w:p>
        </w:tc>
        <w:tc>
          <w:tcPr>
            <w:tcW w:w="1840" w:type="dxa"/>
            <w:vAlign w:val="bottom"/>
          </w:tcPr>
          <w:p>
            <w:pPr>
              <w:jc w:val="center"/>
              <w:spacing w:after="0"/>
              <w:rPr>
                <w:sz w:val="20"/>
                <w:szCs w:val="20"/>
                <w:color w:val="auto"/>
              </w:rPr>
            </w:pPr>
            <w:r>
              <w:rPr>
                <w:rFonts w:ascii="Arial" w:cs="Arial" w:eastAsia="Arial" w:hAnsi="Arial"/>
                <w:sz w:val="16"/>
                <w:szCs w:val="16"/>
                <w:color w:val="auto"/>
                <w:w w:val="96"/>
              </w:rPr>
              <w:t>BBB+ / Baa1 / A</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5,185,000</w:t>
            </w:r>
          </w:p>
        </w:tc>
        <w:tc>
          <w:tcPr>
            <w:tcW w:w="1600" w:type="dxa"/>
            <w:vAlign w:val="bottom"/>
          </w:tcPr>
          <w:p>
            <w:pPr>
              <w:jc w:val="right"/>
              <w:spacing w:after="0"/>
              <w:rPr>
                <w:sz w:val="20"/>
                <w:szCs w:val="20"/>
                <w:color w:val="auto"/>
              </w:rPr>
            </w:pPr>
            <w:r>
              <w:rPr>
                <w:rFonts w:ascii="Arial" w:cs="Arial" w:eastAsia="Arial" w:hAnsi="Arial"/>
                <w:sz w:val="16"/>
                <w:szCs w:val="16"/>
                <w:color w:val="auto"/>
              </w:rPr>
              <w:t>0.90%</w:t>
            </w:r>
          </w:p>
        </w:tc>
        <w:tc>
          <w:tcPr>
            <w:tcW w:w="920" w:type="dxa"/>
            <w:vAlign w:val="bottom"/>
          </w:tcPr>
          <w:p>
            <w:pPr>
              <w:jc w:val="right"/>
              <w:spacing w:after="0"/>
              <w:rPr>
                <w:sz w:val="20"/>
                <w:szCs w:val="20"/>
                <w:color w:val="auto"/>
              </w:rPr>
            </w:pPr>
            <w:r>
              <w:rPr>
                <w:rFonts w:ascii="Arial" w:cs="Arial" w:eastAsia="Arial" w:hAnsi="Arial"/>
                <w:sz w:val="16"/>
                <w:szCs w:val="16"/>
                <w:color w:val="auto"/>
              </w:rPr>
              <w:t>97,000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0.42%</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Nordstrom, Inc.</w:t>
            </w:r>
          </w:p>
        </w:tc>
        <w:tc>
          <w:tcPr>
            <w:tcW w:w="1840" w:type="dxa"/>
            <w:vAlign w:val="bottom"/>
            <w:tcBorders>
              <w:bottom w:val="single" w:sz="8" w:color="CCEEFF"/>
            </w:tcBorders>
            <w:shd w:val="clear" w:color="auto" w:fill="CCEEFF"/>
          </w:tcPr>
          <w:p>
            <w:pPr>
              <w:jc w:val="center"/>
              <w:ind w:left="20"/>
              <w:spacing w:after="0"/>
              <w:rPr>
                <w:sz w:val="20"/>
                <w:szCs w:val="20"/>
                <w:color w:val="auto"/>
              </w:rPr>
            </w:pPr>
            <w:r>
              <w:rPr>
                <w:rFonts w:ascii="Arial" w:cs="Arial" w:eastAsia="Arial" w:hAnsi="Arial"/>
                <w:sz w:val="16"/>
                <w:szCs w:val="16"/>
                <w:color w:val="auto"/>
                <w:w w:val="96"/>
              </w:rPr>
              <w:t>BBB+ / Baa1 / BBB+</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4,913,000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0.84%</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4"/>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3280" w:type="dxa"/>
            <w:vAlign w:val="bottom"/>
          </w:tcPr>
          <w:p>
            <w:pPr>
              <w:ind w:left="120"/>
              <w:spacing w:after="0"/>
              <w:rPr>
                <w:sz w:val="20"/>
                <w:szCs w:val="20"/>
                <w:color w:val="auto"/>
              </w:rPr>
            </w:pPr>
            <w:r>
              <w:rPr>
                <w:rFonts w:ascii="Arial" w:cs="Arial" w:eastAsia="Arial" w:hAnsi="Arial"/>
                <w:sz w:val="16"/>
                <w:szCs w:val="16"/>
                <w:color w:val="auto"/>
              </w:rPr>
              <w:t>AB Acquisition LLC (Acme, Safeway)</w:t>
            </w:r>
          </w:p>
        </w:tc>
        <w:tc>
          <w:tcPr>
            <w:tcW w:w="1840" w:type="dxa"/>
            <w:vAlign w:val="bottom"/>
          </w:tcPr>
          <w:p>
            <w:pPr>
              <w:jc w:val="center"/>
              <w:spacing w:after="0"/>
              <w:rPr>
                <w:sz w:val="20"/>
                <w:szCs w:val="20"/>
                <w:color w:val="auto"/>
              </w:rPr>
            </w:pPr>
            <w:r>
              <w:rPr>
                <w:rFonts w:ascii="Arial" w:cs="Arial" w:eastAsia="Arial" w:hAnsi="Arial"/>
                <w:sz w:val="16"/>
                <w:szCs w:val="16"/>
                <w:color w:val="auto"/>
                <w:w w:val="95"/>
              </w:rPr>
              <w:t>NR / B1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4,786,000</w:t>
            </w:r>
          </w:p>
        </w:tc>
        <w:tc>
          <w:tcPr>
            <w:tcW w:w="1600" w:type="dxa"/>
            <w:vAlign w:val="bottom"/>
          </w:tcPr>
          <w:p>
            <w:pPr>
              <w:jc w:val="right"/>
              <w:spacing w:after="0"/>
              <w:rPr>
                <w:sz w:val="20"/>
                <w:szCs w:val="20"/>
                <w:color w:val="auto"/>
              </w:rPr>
            </w:pPr>
            <w:r>
              <w:rPr>
                <w:rFonts w:ascii="Arial" w:cs="Arial" w:eastAsia="Arial" w:hAnsi="Arial"/>
                <w:sz w:val="16"/>
                <w:szCs w:val="16"/>
                <w:color w:val="auto"/>
              </w:rPr>
              <w:t>0.83%</w:t>
            </w:r>
          </w:p>
        </w:tc>
        <w:tc>
          <w:tcPr>
            <w:tcW w:w="920" w:type="dxa"/>
            <w:vAlign w:val="bottom"/>
          </w:tcPr>
          <w:p>
            <w:pPr>
              <w:jc w:val="right"/>
              <w:spacing w:after="0"/>
              <w:rPr>
                <w:sz w:val="20"/>
                <w:szCs w:val="20"/>
                <w:color w:val="auto"/>
              </w:rPr>
            </w:pPr>
            <w:r>
              <w:rPr>
                <w:rFonts w:ascii="Arial" w:cs="Arial" w:eastAsia="Arial" w:hAnsi="Arial"/>
                <w:sz w:val="16"/>
                <w:szCs w:val="16"/>
                <w:color w:val="auto"/>
              </w:rPr>
              <w:t>489,000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2.11%</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Kroger Co., The</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BBB / Baa1 / BBB</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4,677,000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3280" w:type="dxa"/>
            <w:vAlign w:val="bottom"/>
          </w:tcPr>
          <w:p>
            <w:pPr>
              <w:ind w:left="120"/>
              <w:spacing w:after="0"/>
              <w:rPr>
                <w:sz w:val="20"/>
                <w:szCs w:val="20"/>
                <w:color w:val="auto"/>
              </w:rPr>
            </w:pPr>
            <w:r>
              <w:rPr>
                <w:rFonts w:ascii="Arial" w:cs="Arial" w:eastAsia="Arial" w:hAnsi="Arial"/>
                <w:sz w:val="16"/>
                <w:szCs w:val="16"/>
                <w:color w:val="auto"/>
              </w:rPr>
              <w:t>Whole Foods Market, Inc.</w:t>
            </w:r>
          </w:p>
        </w:tc>
        <w:tc>
          <w:tcPr>
            <w:tcW w:w="1840" w:type="dxa"/>
            <w:vAlign w:val="bottom"/>
          </w:tcPr>
          <w:p>
            <w:pPr>
              <w:jc w:val="center"/>
              <w:spacing w:after="0"/>
              <w:rPr>
                <w:sz w:val="20"/>
                <w:szCs w:val="20"/>
                <w:color w:val="auto"/>
              </w:rPr>
            </w:pPr>
            <w:r>
              <w:rPr>
                <w:rFonts w:ascii="Arial" w:cs="Arial" w:eastAsia="Arial" w:hAnsi="Arial"/>
                <w:sz w:val="16"/>
                <w:szCs w:val="16"/>
                <w:color w:val="auto"/>
                <w:w w:val="96"/>
              </w:rPr>
              <w:t>BBB- / Baa3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4,425,000</w:t>
            </w:r>
          </w:p>
        </w:tc>
        <w:tc>
          <w:tcPr>
            <w:tcW w:w="1600" w:type="dxa"/>
            <w:vAlign w:val="bottom"/>
          </w:tcPr>
          <w:p>
            <w:pPr>
              <w:jc w:val="right"/>
              <w:spacing w:after="0"/>
              <w:rPr>
                <w:sz w:val="20"/>
                <w:szCs w:val="20"/>
                <w:color w:val="auto"/>
              </w:rPr>
            </w:pPr>
            <w:r>
              <w:rPr>
                <w:rFonts w:ascii="Arial" w:cs="Arial" w:eastAsia="Arial" w:hAnsi="Arial"/>
                <w:sz w:val="16"/>
                <w:szCs w:val="16"/>
                <w:color w:val="auto"/>
              </w:rPr>
              <w:t>0.77%</w:t>
            </w:r>
          </w:p>
        </w:tc>
        <w:tc>
          <w:tcPr>
            <w:tcW w:w="920" w:type="dxa"/>
            <w:vAlign w:val="bottom"/>
          </w:tcPr>
          <w:p>
            <w:pPr>
              <w:jc w:val="right"/>
              <w:spacing w:after="0"/>
              <w:rPr>
                <w:sz w:val="20"/>
                <w:szCs w:val="20"/>
                <w:color w:val="auto"/>
              </w:rPr>
            </w:pPr>
            <w:r>
              <w:rPr>
                <w:rFonts w:ascii="Arial" w:cs="Arial" w:eastAsia="Arial" w:hAnsi="Arial"/>
                <w:sz w:val="16"/>
                <w:szCs w:val="16"/>
                <w:color w:val="auto"/>
              </w:rPr>
              <w:t>167,000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0.72%</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Ross Stores, Inc.</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A- / A3 / NR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4,245,000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3280" w:type="dxa"/>
            <w:vAlign w:val="bottom"/>
          </w:tcPr>
          <w:p>
            <w:pPr>
              <w:ind w:left="120"/>
              <w:spacing w:after="0"/>
              <w:rPr>
                <w:sz w:val="20"/>
                <w:szCs w:val="20"/>
                <w:color w:val="auto"/>
              </w:rPr>
            </w:pPr>
            <w:r>
              <w:rPr>
                <w:rFonts w:ascii="Arial" w:cs="Arial" w:eastAsia="Arial" w:hAnsi="Arial"/>
                <w:sz w:val="16"/>
                <w:szCs w:val="16"/>
                <w:color w:val="auto"/>
              </w:rPr>
              <w:t>Saks &amp; Company</w:t>
            </w:r>
          </w:p>
        </w:tc>
        <w:tc>
          <w:tcPr>
            <w:tcW w:w="1840" w:type="dxa"/>
            <w:vAlign w:val="bottom"/>
          </w:tcPr>
          <w:p>
            <w:pPr>
              <w:jc w:val="center"/>
              <w:spacing w:after="0"/>
              <w:rPr>
                <w:sz w:val="20"/>
                <w:szCs w:val="20"/>
                <w:color w:val="auto"/>
              </w:rPr>
            </w:pPr>
            <w:r>
              <w:rPr>
                <w:rFonts w:ascii="Arial" w:cs="Arial" w:eastAsia="Arial" w:hAnsi="Arial"/>
                <w:sz w:val="16"/>
                <w:szCs w:val="16"/>
                <w:color w:val="auto"/>
                <w:w w:val="98"/>
              </w:rPr>
              <w:t>B+ / B1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4,090,000</w:t>
            </w:r>
          </w:p>
        </w:tc>
        <w:tc>
          <w:tcPr>
            <w:tcW w:w="1600" w:type="dxa"/>
            <w:vAlign w:val="bottom"/>
          </w:tcPr>
          <w:p>
            <w:pPr>
              <w:jc w:val="right"/>
              <w:spacing w:after="0"/>
              <w:rPr>
                <w:sz w:val="20"/>
                <w:szCs w:val="20"/>
                <w:color w:val="auto"/>
              </w:rPr>
            </w:pPr>
            <w:r>
              <w:rPr>
                <w:rFonts w:ascii="Arial" w:cs="Arial" w:eastAsia="Arial" w:hAnsi="Arial"/>
                <w:sz w:val="16"/>
                <w:szCs w:val="16"/>
                <w:color w:val="auto"/>
              </w:rPr>
              <w:t>0.71%</w:t>
            </w:r>
          </w:p>
        </w:tc>
        <w:tc>
          <w:tcPr>
            <w:tcW w:w="920" w:type="dxa"/>
            <w:vAlign w:val="bottom"/>
          </w:tcPr>
          <w:p>
            <w:pPr>
              <w:jc w:val="right"/>
              <w:spacing w:after="0"/>
              <w:rPr>
                <w:sz w:val="20"/>
                <w:szCs w:val="20"/>
                <w:color w:val="auto"/>
              </w:rPr>
            </w:pPr>
            <w:r>
              <w:rPr>
                <w:rFonts w:ascii="Arial" w:cs="Arial" w:eastAsia="Arial" w:hAnsi="Arial"/>
                <w:sz w:val="16"/>
                <w:szCs w:val="16"/>
                <w:color w:val="auto"/>
              </w:rPr>
              <w:t>100,000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0.43%</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Starbucks Corporation</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A / A2 / 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3,958,000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0.29%</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3280" w:type="dxa"/>
            <w:vAlign w:val="bottom"/>
          </w:tcPr>
          <w:p>
            <w:pPr>
              <w:ind w:left="120"/>
              <w:spacing w:after="0"/>
              <w:rPr>
                <w:sz w:val="20"/>
                <w:szCs w:val="20"/>
                <w:color w:val="auto"/>
              </w:rPr>
            </w:pPr>
            <w:r>
              <w:rPr>
                <w:rFonts w:ascii="Arial" w:cs="Arial" w:eastAsia="Arial" w:hAnsi="Arial"/>
                <w:sz w:val="16"/>
                <w:szCs w:val="16"/>
                <w:color w:val="auto"/>
              </w:rPr>
              <w:t>Staples, Inc.</w:t>
            </w:r>
          </w:p>
        </w:tc>
        <w:tc>
          <w:tcPr>
            <w:tcW w:w="1840" w:type="dxa"/>
            <w:vAlign w:val="bottom"/>
          </w:tcPr>
          <w:p>
            <w:pPr>
              <w:jc w:val="center"/>
              <w:spacing w:after="0"/>
              <w:rPr>
                <w:sz w:val="20"/>
                <w:szCs w:val="20"/>
                <w:color w:val="auto"/>
              </w:rPr>
            </w:pPr>
            <w:r>
              <w:rPr>
                <w:rFonts w:ascii="Arial" w:cs="Arial" w:eastAsia="Arial" w:hAnsi="Arial"/>
                <w:sz w:val="16"/>
                <w:szCs w:val="16"/>
                <w:color w:val="auto"/>
                <w:w w:val="96"/>
              </w:rPr>
              <w:t>BBB- / Baa2 / BB+</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3,884,000</w:t>
            </w:r>
          </w:p>
        </w:tc>
        <w:tc>
          <w:tcPr>
            <w:tcW w:w="1600" w:type="dxa"/>
            <w:vAlign w:val="bottom"/>
          </w:tcPr>
          <w:p>
            <w:pPr>
              <w:jc w:val="right"/>
              <w:spacing w:after="0"/>
              <w:rPr>
                <w:sz w:val="20"/>
                <w:szCs w:val="20"/>
                <w:color w:val="auto"/>
              </w:rPr>
            </w:pPr>
            <w:r>
              <w:rPr>
                <w:rFonts w:ascii="Arial" w:cs="Arial" w:eastAsia="Arial" w:hAnsi="Arial"/>
                <w:sz w:val="16"/>
                <w:szCs w:val="16"/>
                <w:color w:val="auto"/>
              </w:rPr>
              <w:t>0.68%</w:t>
            </w:r>
          </w:p>
        </w:tc>
        <w:tc>
          <w:tcPr>
            <w:tcW w:w="920" w:type="dxa"/>
            <w:vAlign w:val="bottom"/>
          </w:tcPr>
          <w:p>
            <w:pPr>
              <w:jc w:val="right"/>
              <w:spacing w:after="0"/>
              <w:rPr>
                <w:sz w:val="20"/>
                <w:szCs w:val="20"/>
                <w:color w:val="auto"/>
              </w:rPr>
            </w:pPr>
            <w:r>
              <w:rPr>
                <w:rFonts w:ascii="Arial" w:cs="Arial" w:eastAsia="Arial" w:hAnsi="Arial"/>
                <w:sz w:val="16"/>
                <w:szCs w:val="16"/>
                <w:color w:val="auto"/>
              </w:rPr>
              <w:t>171,000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0.74%</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Wells Fargo Bank, N.A.</w:t>
            </w:r>
          </w:p>
        </w:tc>
        <w:tc>
          <w:tcPr>
            <w:tcW w:w="1840" w:type="dxa"/>
            <w:vAlign w:val="bottom"/>
            <w:tcBorders>
              <w:bottom w:val="single" w:sz="8" w:color="CCEEFF"/>
            </w:tcBorders>
            <w:shd w:val="clear" w:color="auto" w:fill="CCEEFF"/>
          </w:tcPr>
          <w:p>
            <w:pPr>
              <w:jc w:val="center"/>
              <w:ind w:left="20"/>
              <w:spacing w:after="0"/>
              <w:rPr>
                <w:sz w:val="20"/>
                <w:szCs w:val="20"/>
                <w:color w:val="auto"/>
              </w:rPr>
            </w:pPr>
            <w:r>
              <w:rPr>
                <w:rFonts w:ascii="Arial" w:cs="Arial" w:eastAsia="Arial" w:hAnsi="Arial"/>
                <w:sz w:val="16"/>
                <w:szCs w:val="16"/>
                <w:color w:val="auto"/>
              </w:rPr>
              <w:t>A / A2 / AA-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3,804,000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0.21%</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97"/>
        </w:trPr>
        <w:tc>
          <w:tcPr>
            <w:tcW w:w="580" w:type="dxa"/>
            <w:vAlign w:val="bottom"/>
            <w:tcBorders>
              <w:bottom w:val="single" w:sz="8" w:color="CCEEFF"/>
            </w:tcBorders>
          </w:tcPr>
          <w:p>
            <w:pPr>
              <w:spacing w:after="0"/>
              <w:rPr>
                <w:sz w:val="24"/>
                <w:szCs w:val="24"/>
                <w:color w:val="auto"/>
              </w:rPr>
            </w:pPr>
          </w:p>
        </w:tc>
        <w:tc>
          <w:tcPr>
            <w:tcW w:w="32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Totals - Top 25 Tenants</w:t>
            </w:r>
          </w:p>
        </w:tc>
        <w:tc>
          <w:tcPr>
            <w:tcW w:w="18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179,391,000</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31.24%</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8,049,000</w:t>
            </w:r>
          </w:p>
        </w:tc>
        <w:tc>
          <w:tcPr>
            <w:tcW w:w="1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34.79%</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57"/>
        </w:trPr>
        <w:tc>
          <w:tcPr>
            <w:tcW w:w="580" w:type="dxa"/>
            <w:vAlign w:val="bottom"/>
            <w:shd w:val="clear" w:color="auto" w:fill="CCEEFF"/>
          </w:tcPr>
          <w:p>
            <w:pPr>
              <w:spacing w:after="0"/>
              <w:rPr>
                <w:sz w:val="22"/>
                <w:szCs w:val="22"/>
                <w:color w:val="auto"/>
              </w:rPr>
            </w:pPr>
          </w:p>
        </w:tc>
        <w:tc>
          <w:tcPr>
            <w:tcW w:w="328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80" w:type="dxa"/>
            <w:vAlign w:val="bottom"/>
          </w:tcPr>
          <w:p>
            <w:pPr>
              <w:ind w:left="120"/>
              <w:spacing w:after="0"/>
              <w:rPr>
                <w:sz w:val="20"/>
                <w:szCs w:val="20"/>
                <w:color w:val="auto"/>
              </w:rPr>
            </w:pPr>
            <w:r>
              <w:rPr>
                <w:rFonts w:ascii="Arial" w:cs="Arial" w:eastAsia="Arial" w:hAnsi="Arial"/>
                <w:sz w:val="16"/>
                <w:szCs w:val="16"/>
                <w:color w:val="auto"/>
              </w:rPr>
              <w:t>Total:</w:t>
            </w:r>
          </w:p>
        </w:tc>
        <w:tc>
          <w:tcPr>
            <w:tcW w:w="18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574,164,000</w:t>
            </w:r>
          </w:p>
        </w:tc>
        <w:tc>
          <w:tcPr>
            <w:tcW w:w="1600" w:type="dxa"/>
            <w:vAlign w:val="bottom"/>
          </w:tcPr>
          <w:p>
            <w:pPr>
              <w:jc w:val="right"/>
              <w:ind w:right="1280"/>
              <w:spacing w:after="0"/>
              <w:rPr>
                <w:sz w:val="20"/>
                <w:szCs w:val="20"/>
                <w:color w:val="auto"/>
              </w:rPr>
            </w:pPr>
            <w:r>
              <w:rPr>
                <w:rFonts w:ascii="Arial" w:cs="Arial" w:eastAsia="Arial" w:hAnsi="Arial"/>
                <w:sz w:val="16"/>
                <w:szCs w:val="16"/>
                <w:color w:val="auto"/>
              </w:rPr>
              <w:t>(2)</w:t>
            </w:r>
          </w:p>
        </w:tc>
        <w:tc>
          <w:tcPr>
            <w:tcW w:w="920" w:type="dxa"/>
            <w:vAlign w:val="bottom"/>
          </w:tcPr>
          <w:p>
            <w:pPr>
              <w:jc w:val="right"/>
              <w:spacing w:after="0"/>
              <w:rPr>
                <w:sz w:val="20"/>
                <w:szCs w:val="20"/>
                <w:color w:val="auto"/>
              </w:rPr>
            </w:pPr>
            <w:r>
              <w:rPr>
                <w:rFonts w:ascii="Arial" w:cs="Arial" w:eastAsia="Arial" w:hAnsi="Arial"/>
                <w:sz w:val="16"/>
                <w:szCs w:val="16"/>
                <w:color w:val="auto"/>
              </w:rPr>
              <w:t>23,134,000</w:t>
            </w:r>
          </w:p>
        </w:tc>
        <w:tc>
          <w:tcPr>
            <w:tcW w:w="1180" w:type="dxa"/>
            <w:vAlign w:val="bottom"/>
          </w:tcPr>
          <w:p>
            <w:pPr>
              <w:jc w:val="right"/>
              <w:ind w:right="840"/>
              <w:spacing w:after="0"/>
              <w:rPr>
                <w:sz w:val="20"/>
                <w:szCs w:val="20"/>
                <w:color w:val="auto"/>
              </w:rPr>
            </w:pPr>
            <w:r>
              <w:rPr>
                <w:rFonts w:ascii="Arial" w:cs="Arial" w:eastAsia="Arial" w:hAnsi="Arial"/>
                <w:sz w:val="16"/>
                <w:szCs w:val="16"/>
                <w:color w:val="auto"/>
              </w:rPr>
              <w:t>(4)</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2,883</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00" w:hanging="665"/>
        <w:spacing w:after="0"/>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Credit ratings are as of March 31, 2017. Subsequent rating changes have not been reflected.</w:t>
      </w:r>
    </w:p>
    <w:p>
      <w:pPr>
        <w:spacing w:after="0" w:line="86" w:lineRule="exact"/>
        <w:rPr>
          <w:rFonts w:ascii="Arial" w:cs="Arial" w:eastAsia="Arial" w:hAnsi="Arial"/>
          <w:sz w:val="16"/>
          <w:szCs w:val="16"/>
          <w:color w:val="auto"/>
        </w:rPr>
      </w:pPr>
    </w:p>
    <w:p>
      <w:pPr>
        <w:ind w:left="700" w:hanging="665"/>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aggregate, annualized in-place contractual (defined as cash-basis excluding rent abatements) minimum rent for all occupied spaces as of March 31, 2017.</w:t>
      </w:r>
    </w:p>
    <w:p>
      <w:pPr>
        <w:spacing w:after="0" w:line="122" w:lineRule="exact"/>
        <w:rPr>
          <w:rFonts w:ascii="Arial" w:cs="Arial" w:eastAsia="Arial" w:hAnsi="Arial"/>
          <w:sz w:val="14"/>
          <w:szCs w:val="14"/>
          <w:color w:val="auto"/>
        </w:rPr>
      </w:pPr>
    </w:p>
    <w:p>
      <w:pPr>
        <w:ind w:left="700" w:hanging="665"/>
        <w:spacing w:after="0"/>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86" w:lineRule="exact"/>
        <w:rPr>
          <w:rFonts w:ascii="Arial" w:cs="Arial" w:eastAsia="Arial" w:hAnsi="Arial"/>
          <w:sz w:val="16"/>
          <w:szCs w:val="16"/>
          <w:color w:val="auto"/>
        </w:rPr>
      </w:pPr>
    </w:p>
    <w:p>
      <w:pPr>
        <w:ind w:left="700" w:hanging="665"/>
        <w:spacing w:after="0"/>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32" w:name="page33"/>
    <w:bookmarkEnd w:id="3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2017</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provides a reconciliation of the range of estimated earnings per diluted share to estimated FFO per diluted share for the full year 2017.</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Estimates do not include the impact from potential acquisitions, potential dispositions, or land sale gains which have not closed as of May 3, 2017.</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Full Year 2017 Guidance Range</w:t>
            </w:r>
          </w:p>
        </w:tc>
      </w:tr>
      <w:tr>
        <w:trPr>
          <w:trHeight w:val="27"/>
        </w:trPr>
        <w:tc>
          <w:tcPr>
            <w:tcW w:w="8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480"/>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Low</w:t>
            </w: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High</w:t>
            </w: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net income available to common shareholders, per diluted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gain on sale of real estate, net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Estimated depreciation and amortization of real estate</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amortization of initial direct costs of leases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r>
      <w:tr>
        <w:trPr>
          <w:trHeight w:val="257"/>
        </w:trPr>
        <w:tc>
          <w:tcPr>
            <w:tcW w:w="8700" w:type="dxa"/>
            <w:vAlign w:val="bottom"/>
          </w:tcPr>
          <w:p>
            <w:pPr>
              <w:ind w:left="40"/>
              <w:spacing w:after="0"/>
              <w:rPr>
                <w:sz w:val="20"/>
                <w:szCs w:val="20"/>
                <w:color w:val="auto"/>
              </w:rPr>
            </w:pPr>
            <w:r>
              <w:rPr>
                <w:rFonts w:ascii="Arial" w:cs="Arial" w:eastAsia="Arial" w:hAnsi="Arial"/>
                <w:sz w:val="18"/>
                <w:szCs w:val="18"/>
                <w:color w:val="auto"/>
              </w:rPr>
              <w:t>Estimated FFO per diluted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5.85</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5.93</w:t>
            </w:r>
          </w:p>
        </w:tc>
      </w:tr>
      <w:tr>
        <w:trPr>
          <w:trHeight w:val="20"/>
        </w:trPr>
        <w:tc>
          <w:tcPr>
            <w:tcW w:w="8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See Glossary of Terms. Individual items may not add up to total due to rounding.</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2"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a non-GAAP measure that means net income or loss plus depreciation and amortization, net interest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months ended March 31, 2017 and 2016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5"/>
              </w:rPr>
              <w:t>Three Months Ended</w:t>
            </w:r>
          </w:p>
        </w:tc>
      </w:tr>
      <w:tr>
        <w:trPr>
          <w:trHeight w:val="276"/>
        </w:trPr>
        <w:tc>
          <w:tcPr>
            <w:tcW w:w="8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9"/>
              </w:rPr>
              <w:t>March 31,</w:t>
            </w:r>
          </w:p>
        </w:tc>
        <w:tc>
          <w:tcPr>
            <w:tcW w:w="820" w:type="dxa"/>
            <w:vAlign w:val="bottom"/>
            <w:tcBorders>
              <w:bottom w:val="single" w:sz="8" w:color="auto"/>
            </w:tcBorders>
          </w:tcPr>
          <w:p>
            <w:pPr>
              <w:spacing w:after="0"/>
              <w:rPr>
                <w:sz w:val="24"/>
                <w:szCs w:val="24"/>
                <w:color w:val="auto"/>
              </w:rPr>
            </w:pP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21"/>
                <w:szCs w:val="2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58,070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79,063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51,379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47,799</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23,758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23,729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133,101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150,488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Gain on sale of real estate and change in control of interests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(25,726)</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132,923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124,762</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Funds From Operations (FFO): </w:t>
      </w:r>
      <w:r>
        <w:rPr>
          <w:rFonts w:ascii="Arial" w:cs="Arial" w:eastAsia="Arial" w:hAnsi="Arial"/>
          <w:sz w:val="17"/>
          <w:szCs w:val="17"/>
          <w:color w:val="auto"/>
        </w:rPr>
        <w:t>FFO is a supplemental measure of real estate companies' operating performances. The National Association of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Trusts (“NAREIT”) defines FFO as follows: net income, computed in accordance with GAAP plus real estate related depreciation and amortization and excluding extraordinary items and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operated, and consolidated for the entirety</w:t>
      </w:r>
      <w:r>
        <w:rPr>
          <w:rFonts w:ascii="Arial" w:cs="Arial" w:eastAsia="Arial" w:hAnsi="Arial"/>
          <w:sz w:val="18"/>
          <w:szCs w:val="18"/>
          <w:b w:val="1"/>
          <w:bCs w:val="1"/>
          <w:color w:val="auto"/>
        </w:rPr>
        <w:t xml:space="preserve"> </w:t>
      </w:r>
      <w:r>
        <w:rPr>
          <w:rFonts w:ascii="Arial" w:cs="Arial" w:eastAsia="Arial" w:hAnsi="Arial"/>
          <w:sz w:val="18"/>
          <w:szCs w:val="18"/>
          <w:color w:val="auto"/>
        </w:rPr>
        <w:t>of both periods being compared, excludes properties that were redeveloped, expanded or under development and properties purchased or sold at any time during the periods being compared. Same center growth statistics are calculated on a GAAP basis.</w:t>
      </w:r>
    </w:p>
    <w:p>
      <w:pPr>
        <w:spacing w:after="0" w:line="17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3"/>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2019-12-29T07:01:02Z</dcterms:created>
  <dcterms:modified xsi:type="dcterms:W3CDTF">2019-12-29T07:01:02Z</dcterms:modified>
</cp:coreProperties>
</file>