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9, 2004</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333-119487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58" w:lineRule="exact"/>
        <w:rPr>
          <w:sz w:val="24"/>
          <w:szCs w:val="24"/>
          <w:color w:val="auto"/>
        </w:rPr>
      </w:pPr>
    </w:p>
    <w:tbl>
      <w:tblPr>
        <w:tblLayout w:type="fixed"/>
        <w:tblInd w:w="1220" w:type="dxa"/>
        <w:tblCellMar>
          <w:top w:w="0" w:type="dxa"/>
          <w:left w:w="0" w:type="dxa"/>
          <w:bottom w:w="0" w:type="dxa"/>
          <w:right w:w="0" w:type="dxa"/>
        </w:tblCellMar>
      </w:tblPr>
      <w:tr>
        <w:trPr>
          <w:trHeight w:val="178"/>
        </w:trPr>
        <w:tc>
          <w:tcPr>
            <w:tcW w:w="8980" w:type="dxa"/>
            <w:vAlign w:val="bottom"/>
            <w:gridSpan w:val="3"/>
          </w:tcPr>
          <w:p>
            <w:pPr>
              <w:ind w:left="29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45"/>
        </w:trPr>
        <w:tc>
          <w:tcPr>
            <w:tcW w:w="3520" w:type="dxa"/>
            <w:vAlign w:val="bottom"/>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3500" w:type="dxa"/>
            <w:vAlign w:val="bottom"/>
          </w:tcPr>
          <w:p>
            <w:pPr>
              <w:spacing w:after="0"/>
              <w:rPr>
                <w:sz w:val="12"/>
                <w:szCs w:val="12"/>
                <w:color w:val="auto"/>
              </w:rPr>
            </w:pPr>
          </w:p>
        </w:tc>
      </w:tr>
      <w:tr>
        <w:trPr>
          <w:trHeight w:val="368"/>
        </w:trPr>
        <w:tc>
          <w:tcPr>
            <w:tcW w:w="3520" w:type="dxa"/>
            <w:vAlign w:val="bottom"/>
          </w:tcPr>
          <w:p>
            <w:pPr>
              <w:jc w:val="center"/>
              <w:ind w:right="165"/>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54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52-0782497</w:t>
            </w:r>
          </w:p>
        </w:tc>
      </w:tr>
      <w:tr>
        <w:trPr>
          <w:trHeight w:val="149"/>
        </w:trPr>
        <w:tc>
          <w:tcPr>
            <w:tcW w:w="3520" w:type="dxa"/>
            <w:vAlign w:val="bottom"/>
          </w:tcPr>
          <w:p>
            <w:pPr>
              <w:jc w:val="center"/>
              <w:ind w:right="165"/>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1960" w:type="dxa"/>
            <w:vAlign w:val="bottom"/>
          </w:tcPr>
          <w:p>
            <w:pPr>
              <w:spacing w:after="0"/>
              <w:rPr>
                <w:sz w:val="12"/>
                <w:szCs w:val="12"/>
                <w:color w:val="auto"/>
              </w:rPr>
            </w:pPr>
          </w:p>
        </w:tc>
        <w:tc>
          <w:tcPr>
            <w:tcW w:w="3500" w:type="dxa"/>
            <w:vAlign w:val="bottom"/>
          </w:tcPr>
          <w:p>
            <w:pPr>
              <w:jc w:val="center"/>
              <w:ind w:lef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49"/>
        </w:trPr>
        <w:tc>
          <w:tcPr>
            <w:tcW w:w="3520" w:type="dxa"/>
            <w:vAlign w:val="bottom"/>
          </w:tcPr>
          <w:p>
            <w:pPr>
              <w:jc w:val="center"/>
              <w:ind w:right="165"/>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Incorporation or</w:t>
            </w:r>
          </w:p>
        </w:tc>
        <w:tc>
          <w:tcPr>
            <w:tcW w:w="1960" w:type="dxa"/>
            <w:vAlign w:val="bottom"/>
          </w:tcPr>
          <w:p>
            <w:pPr>
              <w:spacing w:after="0"/>
              <w:rPr>
                <w:sz w:val="12"/>
                <w:szCs w:val="12"/>
                <w:color w:val="auto"/>
              </w:rPr>
            </w:pPr>
          </w:p>
        </w:tc>
        <w:tc>
          <w:tcPr>
            <w:tcW w:w="3500" w:type="dxa"/>
            <w:vAlign w:val="bottom"/>
          </w:tcPr>
          <w:p>
            <w:pPr>
              <w:jc w:val="center"/>
              <w:ind w:lef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Identification Number)</w:t>
            </w:r>
          </w:p>
        </w:tc>
      </w:tr>
      <w:tr>
        <w:trPr>
          <w:trHeight w:val="178"/>
        </w:trPr>
        <w:tc>
          <w:tcPr>
            <w:tcW w:w="35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w w:val="95"/>
              </w:rPr>
              <w:t>Organization)</w:t>
            </w:r>
          </w:p>
        </w:tc>
        <w:tc>
          <w:tcPr>
            <w:tcW w:w="196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416"/>
        </w:trPr>
        <w:tc>
          <w:tcPr>
            <w:tcW w:w="3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500" w:type="dxa"/>
            <w:vAlign w:val="bottom"/>
          </w:tcPr>
          <w:p>
            <w:pPr>
              <w:jc w:val="center"/>
              <w:ind w:left="400"/>
              <w:spacing w:after="0"/>
              <w:rPr>
                <w:sz w:val="20"/>
                <w:szCs w:val="20"/>
                <w:color w:val="auto"/>
              </w:rPr>
            </w:pPr>
            <w:r>
              <w:rPr>
                <w:rFonts w:ascii="Times New Roman" w:cs="Times New Roman" w:eastAsia="Times New Roman" w:hAnsi="Times New Roman"/>
                <w:sz w:val="18"/>
                <w:szCs w:val="18"/>
                <w:b w:val="1"/>
                <w:bCs w:val="1"/>
                <w:color w:val="auto"/>
                <w:w w:val="97"/>
              </w:rPr>
              <w:t>Dawn M. Becker</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500" w:type="dxa"/>
            <w:vAlign w:val="bottom"/>
          </w:tcPr>
          <w:p>
            <w:pPr>
              <w:jc w:val="center"/>
              <w:ind w:left="380"/>
              <w:spacing w:after="0"/>
              <w:rPr>
                <w:sz w:val="20"/>
                <w:szCs w:val="20"/>
                <w:color w:val="auto"/>
              </w:rPr>
            </w:pPr>
            <w:r>
              <w:rPr>
                <w:rFonts w:ascii="Times New Roman" w:cs="Times New Roman" w:eastAsia="Times New Roman" w:hAnsi="Times New Roman"/>
                <w:sz w:val="18"/>
                <w:szCs w:val="18"/>
                <w:b w:val="1"/>
                <w:bCs w:val="1"/>
                <w:color w:val="auto"/>
                <w:w w:val="97"/>
              </w:rPr>
              <w:t>Senior Vice President, General Counsel,</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500" w:type="dxa"/>
            <w:vAlign w:val="bottom"/>
          </w:tcPr>
          <w:p>
            <w:pPr>
              <w:jc w:val="center"/>
              <w:ind w:left="380"/>
              <w:spacing w:after="0"/>
              <w:rPr>
                <w:sz w:val="20"/>
                <w:szCs w:val="20"/>
                <w:color w:val="auto"/>
              </w:rPr>
            </w:pPr>
            <w:r>
              <w:rPr>
                <w:rFonts w:ascii="Times New Roman" w:cs="Times New Roman" w:eastAsia="Times New Roman" w:hAnsi="Times New Roman"/>
                <w:sz w:val="18"/>
                <w:szCs w:val="18"/>
                <w:b w:val="1"/>
                <w:bCs w:val="1"/>
                <w:color w:val="auto"/>
                <w:w w:val="97"/>
              </w:rPr>
              <w:t>Secretary</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500" w:type="dxa"/>
            <w:vAlign w:val="bottom"/>
          </w:tcPr>
          <w:p>
            <w:pPr>
              <w:jc w:val="center"/>
              <w:ind w:left="380"/>
              <w:spacing w:after="0"/>
              <w:rPr>
                <w:sz w:val="20"/>
                <w:szCs w:val="20"/>
                <w:color w:val="auto"/>
              </w:rPr>
            </w:pPr>
            <w:r>
              <w:rPr>
                <w:rFonts w:ascii="Times New Roman" w:cs="Times New Roman" w:eastAsia="Times New Roman" w:hAnsi="Times New Roman"/>
                <w:sz w:val="18"/>
                <w:szCs w:val="18"/>
                <w:b w:val="1"/>
                <w:bCs w:val="1"/>
                <w:color w:val="auto"/>
                <w:w w:val="97"/>
              </w:rPr>
              <w:t>Federal Realty Investment Trust</w:t>
            </w:r>
          </w:p>
        </w:tc>
      </w:tr>
      <w:tr>
        <w:trPr>
          <w:trHeight w:val="216"/>
        </w:trPr>
        <w:tc>
          <w:tcPr>
            <w:tcW w:w="3520" w:type="dxa"/>
            <w:vAlign w:val="bottom"/>
          </w:tcPr>
          <w:p>
            <w:pPr>
              <w:jc w:val="center"/>
              <w:ind w:right="165"/>
              <w:spacing w:after="0"/>
              <w:rPr>
                <w:sz w:val="20"/>
                <w:szCs w:val="20"/>
                <w:color w:val="auto"/>
              </w:rPr>
            </w:pPr>
            <w:r>
              <w:rPr>
                <w:rFonts w:ascii="Times New Roman" w:cs="Times New Roman" w:eastAsia="Times New Roman" w:hAnsi="Times New Roman"/>
                <w:sz w:val="18"/>
                <w:szCs w:val="18"/>
                <w:b w:val="1"/>
                <w:bCs w:val="1"/>
                <w:color w:val="auto"/>
                <w:w w:val="97"/>
              </w:rPr>
              <w:t>1626 East Jefferson Street</w:t>
            </w:r>
          </w:p>
        </w:tc>
        <w:tc>
          <w:tcPr>
            <w:tcW w:w="1960" w:type="dxa"/>
            <w:vAlign w:val="bottom"/>
          </w:tcPr>
          <w:p>
            <w:pPr>
              <w:spacing w:after="0"/>
              <w:rPr>
                <w:sz w:val="18"/>
                <w:szCs w:val="18"/>
                <w:color w:val="auto"/>
              </w:rPr>
            </w:pPr>
          </w:p>
        </w:tc>
        <w:tc>
          <w:tcPr>
            <w:tcW w:w="3500" w:type="dxa"/>
            <w:vAlign w:val="bottom"/>
          </w:tcPr>
          <w:p>
            <w:pPr>
              <w:jc w:val="center"/>
              <w:ind w:left="380"/>
              <w:spacing w:after="0"/>
              <w:rPr>
                <w:sz w:val="20"/>
                <w:szCs w:val="20"/>
                <w:color w:val="auto"/>
              </w:rPr>
            </w:pPr>
            <w:r>
              <w:rPr>
                <w:rFonts w:ascii="Times New Roman" w:cs="Times New Roman" w:eastAsia="Times New Roman" w:hAnsi="Times New Roman"/>
                <w:sz w:val="18"/>
                <w:szCs w:val="18"/>
                <w:b w:val="1"/>
                <w:bCs w:val="1"/>
                <w:color w:val="auto"/>
                <w:w w:val="97"/>
              </w:rPr>
              <w:t>1626 East Jefferson Street</w:t>
            </w:r>
          </w:p>
        </w:tc>
      </w:tr>
      <w:tr>
        <w:trPr>
          <w:trHeight w:val="216"/>
        </w:trPr>
        <w:tc>
          <w:tcPr>
            <w:tcW w:w="3520" w:type="dxa"/>
            <w:vAlign w:val="bottom"/>
          </w:tcPr>
          <w:p>
            <w:pPr>
              <w:jc w:val="center"/>
              <w:ind w:right="145"/>
              <w:spacing w:after="0"/>
              <w:rPr>
                <w:sz w:val="20"/>
                <w:szCs w:val="20"/>
                <w:color w:val="auto"/>
              </w:rPr>
            </w:pPr>
            <w:r>
              <w:rPr>
                <w:rFonts w:ascii="Times New Roman" w:cs="Times New Roman" w:eastAsia="Times New Roman" w:hAnsi="Times New Roman"/>
                <w:sz w:val="18"/>
                <w:szCs w:val="18"/>
                <w:b w:val="1"/>
                <w:bCs w:val="1"/>
                <w:color w:val="auto"/>
                <w:w w:val="97"/>
              </w:rPr>
              <w:t>Rockville, Maryland 20852</w:t>
            </w:r>
          </w:p>
        </w:tc>
        <w:tc>
          <w:tcPr>
            <w:tcW w:w="1960" w:type="dxa"/>
            <w:vAlign w:val="bottom"/>
          </w:tcPr>
          <w:p>
            <w:pPr>
              <w:spacing w:after="0"/>
              <w:rPr>
                <w:sz w:val="18"/>
                <w:szCs w:val="18"/>
                <w:color w:val="auto"/>
              </w:rPr>
            </w:pPr>
          </w:p>
        </w:tc>
        <w:tc>
          <w:tcPr>
            <w:tcW w:w="3500" w:type="dxa"/>
            <w:vAlign w:val="bottom"/>
          </w:tcPr>
          <w:p>
            <w:pPr>
              <w:jc w:val="center"/>
              <w:ind w:left="400"/>
              <w:spacing w:after="0"/>
              <w:rPr>
                <w:sz w:val="20"/>
                <w:szCs w:val="20"/>
                <w:color w:val="auto"/>
              </w:rPr>
            </w:pPr>
            <w:r>
              <w:rPr>
                <w:rFonts w:ascii="Times New Roman" w:cs="Times New Roman" w:eastAsia="Times New Roman" w:hAnsi="Times New Roman"/>
                <w:sz w:val="18"/>
                <w:szCs w:val="18"/>
                <w:b w:val="1"/>
                <w:bCs w:val="1"/>
                <w:color w:val="auto"/>
                <w:w w:val="97"/>
              </w:rPr>
              <w:t>Rockville, Maryland 20852</w:t>
            </w:r>
          </w:p>
        </w:tc>
      </w:tr>
      <w:tr>
        <w:trPr>
          <w:trHeight w:val="229"/>
        </w:trPr>
        <w:tc>
          <w:tcPr>
            <w:tcW w:w="3520" w:type="dxa"/>
            <w:vAlign w:val="bottom"/>
          </w:tcPr>
          <w:p>
            <w:pPr>
              <w:jc w:val="center"/>
              <w:ind w:right="145"/>
              <w:spacing w:after="0"/>
              <w:rPr>
                <w:sz w:val="20"/>
                <w:szCs w:val="20"/>
                <w:color w:val="auto"/>
              </w:rPr>
            </w:pPr>
            <w:r>
              <w:rPr>
                <w:rFonts w:ascii="Times New Roman" w:cs="Times New Roman" w:eastAsia="Times New Roman" w:hAnsi="Times New Roman"/>
                <w:sz w:val="18"/>
                <w:szCs w:val="18"/>
                <w:b w:val="1"/>
                <w:bCs w:val="1"/>
                <w:color w:val="auto"/>
                <w:w w:val="97"/>
              </w:rPr>
              <w:t>(301) 998-8100</w:t>
            </w:r>
          </w:p>
        </w:tc>
        <w:tc>
          <w:tcPr>
            <w:tcW w:w="54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(301) 998-8100</w:t>
            </w:r>
          </w:p>
        </w:tc>
      </w:tr>
      <w:tr>
        <w:trPr>
          <w:trHeight w:val="149"/>
        </w:trPr>
        <w:tc>
          <w:tcPr>
            <w:tcW w:w="3520" w:type="dxa"/>
            <w:vAlign w:val="bottom"/>
          </w:tcPr>
          <w:p>
            <w:pPr>
              <w:jc w:val="center"/>
              <w:ind w:right="165"/>
              <w:spacing w:after="0" w:line="149" w:lineRule="exact"/>
              <w:rPr>
                <w:sz w:val="20"/>
                <w:szCs w:val="20"/>
                <w:color w:val="auto"/>
              </w:rPr>
            </w:pPr>
            <w:r>
              <w:rPr>
                <w:rFonts w:ascii="Times New Roman" w:cs="Times New Roman" w:eastAsia="Times New Roman" w:hAnsi="Times New Roman"/>
                <w:sz w:val="14"/>
                <w:szCs w:val="14"/>
                <w:b w:val="1"/>
                <w:bCs w:val="1"/>
                <w:color w:val="auto"/>
                <w:w w:val="95"/>
              </w:rPr>
              <w:t>(Address, Including Zip Code, and Telephone Number,</w:t>
            </w:r>
          </w:p>
        </w:tc>
        <w:tc>
          <w:tcPr>
            <w:tcW w:w="1960" w:type="dxa"/>
            <w:vAlign w:val="bottom"/>
          </w:tcPr>
          <w:p>
            <w:pPr>
              <w:spacing w:after="0"/>
              <w:rPr>
                <w:sz w:val="12"/>
                <w:szCs w:val="12"/>
                <w:color w:val="auto"/>
              </w:rPr>
            </w:pPr>
          </w:p>
        </w:tc>
        <w:tc>
          <w:tcPr>
            <w:tcW w:w="3500" w:type="dxa"/>
            <w:vAlign w:val="bottom"/>
          </w:tcPr>
          <w:p>
            <w:pPr>
              <w:jc w:val="center"/>
              <w:ind w:left="4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(Name, Address, Including Zip Code, and Telephone</w:t>
            </w:r>
          </w:p>
        </w:tc>
      </w:tr>
      <w:tr>
        <w:trPr>
          <w:trHeight w:val="149"/>
        </w:trPr>
        <w:tc>
          <w:tcPr>
            <w:tcW w:w="3520" w:type="dxa"/>
            <w:vAlign w:val="bottom"/>
          </w:tcPr>
          <w:p>
            <w:pPr>
              <w:jc w:val="center"/>
              <w:ind w:right="165"/>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Including Area Code, of Registrant’s Principal Executive</w:t>
            </w:r>
          </w:p>
        </w:tc>
        <w:tc>
          <w:tcPr>
            <w:tcW w:w="1960" w:type="dxa"/>
            <w:vAlign w:val="bottom"/>
          </w:tcPr>
          <w:p>
            <w:pPr>
              <w:spacing w:after="0"/>
              <w:rPr>
                <w:sz w:val="12"/>
                <w:szCs w:val="12"/>
                <w:color w:val="auto"/>
              </w:rPr>
            </w:pPr>
          </w:p>
        </w:tc>
        <w:tc>
          <w:tcPr>
            <w:tcW w:w="3500" w:type="dxa"/>
            <w:vAlign w:val="bottom"/>
          </w:tcPr>
          <w:p>
            <w:pPr>
              <w:jc w:val="center"/>
              <w:ind w:left="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Including Area Code, of Agent for Service)</w:t>
            </w:r>
          </w:p>
        </w:tc>
      </w:tr>
      <w:tr>
        <w:trPr>
          <w:trHeight w:val="178"/>
        </w:trPr>
        <w:tc>
          <w:tcPr>
            <w:tcW w:w="35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w w:val="94"/>
              </w:rPr>
              <w:t>Offices)</w:t>
            </w:r>
          </w:p>
        </w:tc>
        <w:tc>
          <w:tcPr>
            <w:tcW w:w="1960" w:type="dxa"/>
            <w:vAlign w:val="bottom"/>
          </w:tcPr>
          <w:p>
            <w:pPr>
              <w:spacing w:after="0"/>
              <w:rPr>
                <w:sz w:val="15"/>
                <w:szCs w:val="15"/>
                <w:color w:val="auto"/>
              </w:rPr>
            </w:pPr>
          </w:p>
        </w:tc>
        <w:tc>
          <w:tcPr>
            <w:tcW w:w="3500" w:type="dxa"/>
            <w:vAlign w:val="bottom"/>
          </w:tcPr>
          <w:p>
            <w:pPr>
              <w:spacing w:after="0"/>
              <w:rPr>
                <w:sz w:val="15"/>
                <w:szCs w:val="15"/>
                <w:color w:val="auto"/>
              </w:rPr>
            </w:pPr>
          </w:p>
        </w:tc>
      </w:tr>
    </w:tbl>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Sylvia M. Mahaffey, Esq.</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Shaw Pittman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2300 N Street, N.W.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118745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39" w:lineRule="exact"/>
        <w:rPr>
          <w:sz w:val="24"/>
          <w:szCs w:val="24"/>
          <w:color w:val="auto"/>
        </w:rPr>
      </w:pPr>
    </w:p>
    <w:p>
      <w:pPr>
        <w:ind w:right="6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Approximate date the registrant proposes to begin selling securities to the public: </w:t>
      </w:r>
      <w:r>
        <w:rPr>
          <w:rFonts w:ascii="Times New Roman" w:cs="Times New Roman" w:eastAsia="Times New Roman" w:hAnsi="Times New Roman"/>
          <w:sz w:val="18"/>
          <w:szCs w:val="18"/>
          <w:color w:val="auto"/>
        </w:rPr>
        <w:t>From time to time after the effective date of this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w:t>
      </w:r>
    </w:p>
    <w:p>
      <w:pPr>
        <w:spacing w:after="0" w:line="78" w:lineRule="exact"/>
        <w:rPr>
          <w:sz w:val="24"/>
          <w:szCs w:val="24"/>
          <w:color w:val="auto"/>
        </w:rPr>
      </w:pPr>
    </w:p>
    <w:p>
      <w:pPr>
        <w:ind w:left="46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07" w:lineRule="exact"/>
        <w:rPr>
          <w:sz w:val="24"/>
          <w:szCs w:val="24"/>
          <w:color w:val="auto"/>
        </w:rPr>
      </w:pPr>
    </w:p>
    <w:p>
      <w:pPr>
        <w:ind w:right="340" w:firstLine="456"/>
        <w:spacing w:after="0" w:line="232"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in connection with dividend or interest reinvestment plans, check the following box. </w:t>
      </w:r>
      <w:r>
        <w:rPr>
          <w:rFonts w:ascii="MS PGothic" w:cs="MS PGothic" w:eastAsia="MS PGothic" w:hAnsi="MS PGothic"/>
          <w:sz w:val="18"/>
          <w:szCs w:val="18"/>
          <w:color w:val="auto"/>
        </w:rPr>
        <w:t>☒</w:t>
      </w:r>
    </w:p>
    <w:p>
      <w:pPr>
        <w:spacing w:after="0" w:line="117" w:lineRule="exact"/>
        <w:rPr>
          <w:sz w:val="24"/>
          <w:szCs w:val="24"/>
          <w:color w:val="auto"/>
        </w:rPr>
      </w:pPr>
    </w:p>
    <w:p>
      <w:pPr>
        <w:ind w:right="80" w:firstLine="456"/>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17" w:lineRule="exact"/>
        <w:rPr>
          <w:sz w:val="24"/>
          <w:szCs w:val="24"/>
          <w:color w:val="auto"/>
        </w:rPr>
      </w:pPr>
    </w:p>
    <w:p>
      <w:pPr>
        <w:ind w:right="560" w:firstLine="456"/>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90" w:lineRule="exact"/>
        <w:rPr>
          <w:sz w:val="24"/>
          <w:szCs w:val="24"/>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143510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Proposed</w:t>
            </w:r>
          </w:p>
        </w:tc>
        <w:tc>
          <w:tcPr>
            <w:tcW w:w="17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160" w:type="dxa"/>
            <w:vAlign w:val="bottom"/>
          </w:tcPr>
          <w:p>
            <w:pPr>
              <w:jc w:val="center"/>
              <w:ind w:left="887"/>
              <w:spacing w:after="0" w:line="15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Offering</w:t>
            </w:r>
          </w:p>
        </w:tc>
        <w:tc>
          <w:tcPr>
            <w:tcW w:w="17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Proposed Maximum</w:t>
            </w:r>
          </w:p>
        </w:tc>
        <w:tc>
          <w:tcPr>
            <w:tcW w:w="12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000" w:type="dxa"/>
            <w:vAlign w:val="bottom"/>
          </w:tcPr>
          <w:p>
            <w:pPr>
              <w:jc w:val="center"/>
              <w:ind w:left="582"/>
              <w:spacing w:after="0" w:line="149" w:lineRule="exact"/>
              <w:rPr>
                <w:sz w:val="20"/>
                <w:szCs w:val="20"/>
                <w:color w:val="auto"/>
              </w:rPr>
            </w:pPr>
            <w:r>
              <w:rPr>
                <w:rFonts w:ascii="Times New Roman" w:cs="Times New Roman" w:eastAsia="Times New Roman" w:hAnsi="Times New Roman"/>
                <w:sz w:val="14"/>
                <w:szCs w:val="14"/>
                <w:b w:val="1"/>
                <w:bCs w:val="1"/>
                <w:color w:val="auto"/>
                <w:w w:val="96"/>
              </w:rPr>
              <w:t>Title of Each Class of Securities</w:t>
            </w:r>
          </w:p>
        </w:tc>
        <w:tc>
          <w:tcPr>
            <w:tcW w:w="2160" w:type="dxa"/>
            <w:vAlign w:val="bottom"/>
          </w:tcPr>
          <w:p>
            <w:pPr>
              <w:jc w:val="center"/>
              <w:ind w:left="887"/>
              <w:spacing w:after="0" w:line="149" w:lineRule="exact"/>
              <w:rPr>
                <w:sz w:val="20"/>
                <w:szCs w:val="20"/>
                <w:color w:val="auto"/>
              </w:rPr>
            </w:pPr>
            <w:r>
              <w:rPr>
                <w:rFonts w:ascii="Times New Roman" w:cs="Times New Roman" w:eastAsia="Times New Roman" w:hAnsi="Times New Roman"/>
                <w:sz w:val="14"/>
                <w:szCs w:val="14"/>
                <w:b w:val="1"/>
                <w:bCs w:val="1"/>
                <w:color w:val="auto"/>
                <w:w w:val="90"/>
              </w:rPr>
              <w:t>To Be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Price Per</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Aggregate</w:t>
            </w:r>
          </w:p>
        </w:tc>
        <w:tc>
          <w:tcPr>
            <w:tcW w:w="1240" w:type="dxa"/>
            <w:vAlign w:val="bottom"/>
          </w:tcPr>
          <w:p>
            <w:pPr>
              <w:jc w:val="center"/>
              <w:ind w:left="226"/>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76"/>
        </w:trPr>
        <w:tc>
          <w:tcPr>
            <w:tcW w:w="20" w:type="dxa"/>
            <w:vAlign w:val="bottom"/>
          </w:tcPr>
          <w:p>
            <w:pPr>
              <w:spacing w:after="0"/>
              <w:rPr>
                <w:sz w:val="15"/>
                <w:szCs w:val="15"/>
                <w:color w:val="auto"/>
              </w:rPr>
            </w:pPr>
          </w:p>
        </w:tc>
        <w:tc>
          <w:tcPr>
            <w:tcW w:w="5000" w:type="dxa"/>
            <w:vAlign w:val="bottom"/>
            <w:tcBorders>
              <w:bottom w:val="single" w:sz="8" w:color="auto"/>
            </w:tcBorders>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w w:val="93"/>
              </w:rPr>
              <w:t>To Be Registered</w:t>
            </w:r>
          </w:p>
        </w:tc>
        <w:tc>
          <w:tcPr>
            <w:tcW w:w="2160" w:type="dxa"/>
            <w:vAlign w:val="bottom"/>
            <w:tcBorders>
              <w:bottom w:val="single" w:sz="8" w:color="auto"/>
            </w:tcBorders>
          </w:tcPr>
          <w:p>
            <w:pPr>
              <w:jc w:val="center"/>
              <w:ind w:left="907"/>
              <w:spacing w:after="0"/>
              <w:rPr>
                <w:sz w:val="20"/>
                <w:szCs w:val="20"/>
                <w:color w:val="auto"/>
              </w:rPr>
            </w:pPr>
            <w:r>
              <w:rPr>
                <w:rFonts w:ascii="Times New Roman" w:cs="Times New Roman" w:eastAsia="Times New Roman" w:hAnsi="Times New Roman"/>
                <w:sz w:val="14"/>
                <w:szCs w:val="14"/>
                <w:b w:val="1"/>
                <w:bCs w:val="1"/>
                <w:color w:val="auto"/>
                <w:w w:val="97"/>
              </w:rPr>
              <w:t>Registered</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Offering Price</w:t>
            </w:r>
          </w:p>
        </w:tc>
        <w:tc>
          <w:tcPr>
            <w:tcW w:w="1240" w:type="dxa"/>
            <w:vAlign w:val="bottom"/>
            <w:tcBorders>
              <w:bottom w:val="single" w:sz="8" w:color="auto"/>
            </w:tcBorders>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w w:val="97"/>
              </w:rPr>
              <w:t>Registration Fee</w:t>
            </w:r>
          </w:p>
        </w:tc>
      </w:tr>
      <w:tr>
        <w:trPr>
          <w:trHeight w:val="195"/>
        </w:trPr>
        <w:tc>
          <w:tcPr>
            <w:tcW w:w="20" w:type="dxa"/>
            <w:vAlign w:val="bottom"/>
          </w:tcPr>
          <w:p>
            <w:pPr>
              <w:spacing w:after="0"/>
              <w:rPr>
                <w:sz w:val="16"/>
                <w:szCs w:val="16"/>
                <w:color w:val="auto"/>
              </w:rPr>
            </w:pPr>
          </w:p>
        </w:tc>
        <w:tc>
          <w:tcPr>
            <w:tcW w:w="50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Common Shares of Beneficial Interest,</w:t>
            </w:r>
          </w:p>
        </w:tc>
        <w:tc>
          <w:tcPr>
            <w:tcW w:w="2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 value $.01 per share</w:t>
            </w:r>
          </w:p>
        </w:tc>
        <w:tc>
          <w:tcPr>
            <w:tcW w:w="2160" w:type="dxa"/>
            <w:vAlign w:val="bottom"/>
          </w:tcPr>
          <w:p>
            <w:pPr>
              <w:jc w:val="center"/>
              <w:ind w:left="887"/>
              <w:spacing w:after="0"/>
              <w:rPr>
                <w:sz w:val="20"/>
                <w:szCs w:val="20"/>
                <w:color w:val="auto"/>
              </w:rPr>
            </w:pPr>
            <w:r>
              <w:rPr>
                <w:rFonts w:ascii="Times New Roman" w:cs="Times New Roman" w:eastAsia="Times New Roman" w:hAnsi="Times New Roman"/>
                <w:sz w:val="18"/>
                <w:szCs w:val="18"/>
                <w:color w:val="auto"/>
                <w:w w:val="96"/>
              </w:rPr>
              <w:t>40,201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$1,937,688(1)</w:t>
            </w:r>
          </w:p>
        </w:tc>
        <w:tc>
          <w:tcPr>
            <w:tcW w:w="1240" w:type="dxa"/>
            <w:vAlign w:val="bottom"/>
          </w:tcPr>
          <w:p>
            <w:pPr>
              <w:jc w:val="center"/>
              <w:ind w:left="206"/>
              <w:spacing w:after="0"/>
              <w:rPr>
                <w:sz w:val="20"/>
                <w:szCs w:val="20"/>
                <w:color w:val="auto"/>
              </w:rPr>
            </w:pPr>
            <w:r>
              <w:rPr>
                <w:rFonts w:ascii="Times New Roman" w:cs="Times New Roman" w:eastAsia="Times New Roman" w:hAnsi="Times New Roman"/>
                <w:sz w:val="18"/>
                <w:szCs w:val="18"/>
                <w:color w:val="auto"/>
                <w:w w:val="95"/>
              </w:rPr>
              <w:t>$246.00(2)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24" w:lineRule="exact"/>
        <w:rPr>
          <w:sz w:val="24"/>
          <w:szCs w:val="24"/>
          <w:color w:val="auto"/>
        </w:rPr>
      </w:pPr>
    </w:p>
    <w:p>
      <w:pPr>
        <w:ind w:left="460" w:hanging="452"/>
        <w:spacing w:after="0"/>
        <w:tabs>
          <w:tab w:leader="none" w:pos="4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purposes of calculating the registration fee pursuant to Rule 457(c) under the Securities Act of 1933 and based upon prices on the New</w:t>
      </w:r>
    </w:p>
    <w:p>
      <w:pPr>
        <w:sectPr>
          <w:pgSz w:w="11900" w:h="16838" w:orient="portrait"/>
          <w:cols w:equalWidth="0" w:num="1">
            <w:col w:w="11420"/>
          </w:cols>
          <w:pgMar w:left="240" w:top="226" w:right="239" w:bottom="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color w:val="auto"/>
        </w:rPr>
        <w:t>York Stock Exchange on November 5, 2004.</w:t>
      </w:r>
    </w:p>
    <w:p>
      <w:pPr>
        <w:spacing w:after="0" w:line="21" w:lineRule="exact"/>
        <w:rPr>
          <w:sz w:val="20"/>
          <w:szCs w:val="20"/>
          <w:color w:val="auto"/>
        </w:rPr>
      </w:pPr>
    </w:p>
    <w:p>
      <w:pPr>
        <w:ind w:left="460" w:hanging="452"/>
        <w:spacing w:after="0" w:line="255"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is $246.00, $237.00 of which was previously paid in connection with the filing of the registrant’s registration statement on Form S-3, filed October 1, 2004. The remaining amount of the registration fee, $9.00, is being paid in connection with the filing of this registration statement on Form S-3/A.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156845</wp:posOffset>
            </wp:positionV>
            <wp:extent cx="1243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The information in this prospectus is not complete and may be changed. The selling shareholders identified herein may not sell the securities covered by this prospectus until the Securities and Exchange Commission declares the registration statement of which this prospectus is a part effective. This prospectus is not an offer to sell these securities and it is not soliciting an offer to buy these securities in any state where such an offer or sale is not permitted.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Subject to Completion, Dated November 9, 2004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110490</wp:posOffset>
            </wp:positionV>
            <wp:extent cx="4725035" cy="711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2503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Common Shares of Beneficial Interest</w:t>
      </w:r>
    </w:p>
    <w:p>
      <w:pPr>
        <w:spacing w:after="0" w:line="178" w:lineRule="exact"/>
        <w:rPr>
          <w:sz w:val="20"/>
          <w:szCs w:val="20"/>
          <w:color w:val="auto"/>
        </w:rPr>
      </w:pPr>
    </w:p>
    <w:p>
      <w:pPr>
        <w:ind w:left="460"/>
        <w:spacing w:after="0"/>
        <w:tabs>
          <w:tab w:leader="none" w:pos="10280" w:val="left"/>
        </w:tabs>
        <w:rPr>
          <w:sz w:val="20"/>
          <w:szCs w:val="20"/>
          <w:color w:val="auto"/>
        </w:rPr>
      </w:pPr>
      <w:r>
        <w:rPr>
          <w:rFonts w:ascii="Times New Roman" w:cs="Times New Roman" w:eastAsia="Times New Roman" w:hAnsi="Times New Roman"/>
          <w:sz w:val="18"/>
          <w:szCs w:val="18"/>
          <w:color w:val="auto"/>
        </w:rPr>
        <w:t>The persons listed herein, who are shareholders of Federal Realty Investment Trust, may offer and sell from time to time up to</w:t>
      </w:r>
      <w:r>
        <w:rPr>
          <w:sz w:val="20"/>
          <w:szCs w:val="20"/>
          <w:color w:val="auto"/>
        </w:rPr>
        <w:tab/>
      </w:r>
      <w:r>
        <w:rPr>
          <w:rFonts w:ascii="Times New Roman" w:cs="Times New Roman" w:eastAsia="Times New Roman" w:hAnsi="Times New Roman"/>
          <w:sz w:val="16"/>
          <w:szCs w:val="16"/>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5952490</wp:posOffset>
            </wp:positionH>
            <wp:positionV relativeFrom="paragraph">
              <wp:posOffset>-10160</wp:posOffset>
            </wp:positionV>
            <wp:extent cx="557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of beneficial interest under this prospectus. We refer to such persons as the selling shareholders. We are registering the offered shares as required under the terms of a registration rights agreement between the selling shareholders and us. Our registration of the offered shares does not mean that any of the selling shareholders will offer or sell any of the offered shares. We will receive no proceeds of any sales of the offered shares by the selling shareholders, but we will incur expenses in connection with the offering.</w:t>
      </w:r>
    </w:p>
    <w:p>
      <w:pPr>
        <w:spacing w:after="0" w:line="12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selling shareholders may sell the offered shares in public or private transactions, on or off the New York Stock Exchange, at prevailing market prices or at privately negotiated prices. The selling shareholders may sell the offered shares directly or through agents or broker-dealers acting as principal or agent, or in a distribution by underwriters.</w:t>
      </w:r>
    </w:p>
    <w:p>
      <w:pPr>
        <w:spacing w:after="0" w:line="119" w:lineRule="exact"/>
        <w:rPr>
          <w:sz w:val="20"/>
          <w:szCs w:val="20"/>
          <w:color w:val="auto"/>
        </w:rPr>
      </w:pPr>
    </w:p>
    <w:p>
      <w:pPr>
        <w:ind w:left="460" w:right="4360"/>
        <w:spacing w:after="0" w:line="47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Our common shares are listed on the New York Stock Exchange under the symbol “FRT.” </w:t>
      </w:r>
      <w:r>
        <w:rPr>
          <w:rFonts w:ascii="Times New Roman" w:cs="Times New Roman" w:eastAsia="Times New Roman" w:hAnsi="Times New Roman"/>
          <w:sz w:val="16"/>
          <w:szCs w:val="16"/>
          <w:b w:val="1"/>
          <w:bCs w:val="1"/>
          <w:color w:val="auto"/>
        </w:rPr>
        <w:t xml:space="preserve">Investing in our common shares involves risks. See “ </w:t>
      </w:r>
      <w:hyperlink w:anchor="page6">
        <w:r>
          <w:rPr>
            <w:rFonts w:ascii="Times New Roman" w:cs="Times New Roman" w:eastAsia="Times New Roman" w:hAnsi="Times New Roman"/>
            <w:sz w:val="16"/>
            <w:szCs w:val="16"/>
            <w:b w:val="1"/>
            <w:bCs w:val="1"/>
            <w:u w:val="single" w:color="auto"/>
            <w:color w:val="0000EE"/>
          </w:rPr>
          <w:t>Risk Factors</w:t>
        </w:r>
      </w:hyperlink>
      <w:r>
        <w:rPr>
          <w:rFonts w:ascii="Times New Roman" w:cs="Times New Roman" w:eastAsia="Times New Roman" w:hAnsi="Times New Roman"/>
          <w:sz w:val="16"/>
          <w:szCs w:val="16"/>
          <w:b w:val="1"/>
          <w:bCs w:val="1"/>
          <w:color w:val="auto"/>
        </w:rPr>
        <w:t>” beginning on page 4.</w:t>
      </w:r>
    </w:p>
    <w:p>
      <w:pPr>
        <w:spacing w:after="0" w:line="1" w:lineRule="exact"/>
        <w:rPr>
          <w:sz w:val="20"/>
          <w:szCs w:val="20"/>
          <w:color w:val="auto"/>
        </w:rPr>
      </w:pPr>
    </w:p>
    <w:p>
      <w:pPr>
        <w:ind w:right="3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offered shares, or determined if this prospectus is truthful or complete. Any representation to the contrary is a criminal offense.</w:t>
      </w:r>
    </w:p>
    <w:p>
      <w:pPr>
        <w:spacing w:after="0" w:line="88" w:lineRule="exact"/>
        <w:rPr>
          <w:sz w:val="20"/>
          <w:szCs w:val="20"/>
          <w:color w:val="auto"/>
        </w:rPr>
      </w:pPr>
    </w:p>
    <w:tbl>
      <w:tblPr>
        <w:tblLayout w:type="fixed"/>
        <w:tblInd w:w="3720" w:type="dxa"/>
        <w:tblCellMar>
          <w:top w:w="0" w:type="dxa"/>
          <w:left w:w="0" w:type="dxa"/>
          <w:bottom w:w="0" w:type="dxa"/>
          <w:right w:w="0" w:type="dxa"/>
        </w:tblCellMar>
      </w:tblPr>
      <w:tr>
        <w:trPr>
          <w:trHeight w:val="207"/>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The date of this prospectus is</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2004.</w:t>
            </w:r>
          </w:p>
        </w:tc>
      </w:tr>
      <w:tr>
        <w:trPr>
          <w:trHeight w:val="20"/>
        </w:trPr>
        <w:tc>
          <w:tcPr>
            <w:tcW w:w="2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20" w:type="dxa"/>
            <w:vAlign w:val="bottom"/>
            <w:gridSpan w:val="2"/>
          </w:tcPr>
          <w:p>
            <w:pPr>
              <w:jc w:val="right"/>
              <w:ind w:right="4692"/>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1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95"/>
        </w:trPr>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9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4200" w:type="dxa"/>
            <w:vAlign w:val="bottom"/>
            <w:gridSpan w:val="1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About This Prospectus</w:t>
              </w:r>
            </w:hyperlink>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4200" w:type="dxa"/>
            <w:vAlign w:val="bottom"/>
            <w:gridSpan w:val="12"/>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Disclosure Regarding Forward-Looking Statements</w:t>
              </w:r>
            </w:hyperlink>
          </w:p>
        </w:tc>
        <w:tc>
          <w:tcPr>
            <w:tcW w:w="7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36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The Trust</w:t>
              </w:r>
            </w:hyperlink>
          </w:p>
        </w:tc>
        <w:tc>
          <w:tcPr>
            <w:tcW w:w="560" w:type="dxa"/>
            <w:vAlign w:val="bottom"/>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Risk Factors</w:t>
              </w:r>
            </w:hyperlink>
          </w:p>
        </w:tc>
        <w:tc>
          <w:tcPr>
            <w:tcW w:w="3300" w:type="dxa"/>
            <w:vAlign w:val="bottom"/>
            <w:gridSpan w:val="9"/>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4200" w:type="dxa"/>
            <w:vAlign w:val="bottom"/>
            <w:gridSpan w:val="12"/>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Use of Proceeds</w:t>
              </w:r>
            </w:hyperlink>
          </w:p>
        </w:tc>
        <w:tc>
          <w:tcPr>
            <w:tcW w:w="7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4200" w:type="dxa"/>
            <w:vAlign w:val="bottom"/>
            <w:gridSpan w:val="12"/>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Selling Shareholders</w:t>
              </w:r>
            </w:hyperlink>
          </w:p>
        </w:tc>
        <w:tc>
          <w:tcPr>
            <w:tcW w:w="7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4200" w:type="dxa"/>
            <w:vAlign w:val="bottom"/>
            <w:gridSpan w:val="12"/>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Federal Income Tax Considerations</w:t>
              </w:r>
            </w:hyperlink>
          </w:p>
        </w:tc>
        <w:tc>
          <w:tcPr>
            <w:tcW w:w="7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25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Plan of Distribution</w:t>
              </w:r>
            </w:hyperlink>
          </w:p>
        </w:tc>
        <w:tc>
          <w:tcPr>
            <w:tcW w:w="1700" w:type="dxa"/>
            <w:vAlign w:val="bottom"/>
            <w:gridSpan w:val="4"/>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4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Experts</w:t>
              </w:r>
            </w:hyperlink>
          </w:p>
        </w:tc>
        <w:tc>
          <w:tcPr>
            <w:tcW w:w="2740" w:type="dxa"/>
            <w:vAlign w:val="bottom"/>
            <w:gridSpan w:val="6"/>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28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Notice Regarding Arthur Andersen LLP</w:t>
              </w:r>
            </w:hyperlink>
          </w:p>
        </w:tc>
        <w:tc>
          <w:tcPr>
            <w:tcW w:w="1360" w:type="dxa"/>
            <w:vAlign w:val="bottom"/>
            <w:gridSpan w:val="2"/>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4200" w:type="dxa"/>
            <w:vAlign w:val="bottom"/>
            <w:gridSpan w:val="12"/>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Legal Matters</w:t>
              </w:r>
            </w:hyperlink>
          </w:p>
        </w:tc>
        <w:tc>
          <w:tcPr>
            <w:tcW w:w="7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980" w:type="dxa"/>
            <w:vAlign w:val="bottom"/>
            <w:gridSpan w:val="4"/>
            <w:shd w:val="clear" w:color="auto" w:fill="0000EE"/>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4200" w:type="dxa"/>
            <w:vAlign w:val="bottom"/>
            <w:gridSpan w:val="12"/>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Where You Can Find More Information</w:t>
              </w:r>
            </w:hyperlink>
          </w:p>
        </w:tc>
        <w:tc>
          <w:tcPr>
            <w:tcW w:w="7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0"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This prospectus is part of a registration statement on Form S-3 that we filed with the Commission under the Securities Act of 1933. This prospectus and any accompanying prospectus supplement do not contain all of the information included in the registration statement. For further information, we refer you to the registration statement, including its exhibits. Statements contained in this prospectus and any accompanying prospectus supplement about the provisions or contents of any agreement or other document are not necessarily complete. If the Commission’s rules and regulations require that such agreement or document be filed as an exhibit to the registration statement, please see that agreement or document for a complete description of these matters. You should not assume that the information in this prospectus or any prospectus supplement is accurate as of any date other than the date on the front of each document.</w:t>
      </w:r>
    </w:p>
    <w:p>
      <w:pPr>
        <w:spacing w:after="0" w:line="97"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offered shares. Each time a selling shareholder sells any of the offered shares, the selling shareholder will provide you with this prospectus and a prospectus supplement, if applicable, that will contain specific information about the terms of that offering. The prospectus supplement may also add, update or change any information contained in this prospectus. You should read both this prospectus and any prospectus supplement together with additional information described under the heading “Where You Can Find More Information.”</w:t>
      </w:r>
    </w:p>
    <w:p>
      <w:pPr>
        <w:spacing w:after="0" w:line="123"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As used in this prospectus, references to “we,” “our,” the “Trust” and “Federal Realty” and similar references are to Federal Realty Investment Trust, a Maryland real estate investment trust and its consolidated subsidiaries. As used in this prospectus, references to the “selling shareholders” and similar references are to the persons listed herein, who are shareholders 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Investment Trust and who may offer and sell from time to time up to 40,201 common shares of beneficial interest under this prospectus.</w:t>
      </w:r>
    </w:p>
    <w:p>
      <w:pPr>
        <w:spacing w:after="0" w:line="15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6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Some statements made in this prospectus and the documents incorporated herein by reference contain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the results of operations or plans expressed or implied by such forward-looking statements. Given these uncertainties, we caution you not to place undue reliance on any forward-looking statements that we make, including those in this prospectus. Such factors include, but are not limited to, the risk factors described below, and include the following:</w:t>
      </w:r>
    </w:p>
    <w:p>
      <w:pPr>
        <w:spacing w:after="0" w:line="44" w:lineRule="exact"/>
        <w:rPr>
          <w:sz w:val="20"/>
          <w:szCs w:val="20"/>
          <w:color w:val="auto"/>
        </w:rPr>
      </w:pPr>
    </w:p>
    <w:p>
      <w:pPr>
        <w:ind w:left="800" w:hanging="34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or that we may be unable to renew leases or re-let space at favorable rents as leases expire;</w:t>
      </w:r>
    </w:p>
    <w:p>
      <w:pPr>
        <w:spacing w:after="0" w:line="76" w:lineRule="exact"/>
        <w:rPr>
          <w:rFonts w:ascii="Times New Roman" w:cs="Times New Roman" w:eastAsia="Times New Roman" w:hAnsi="Times New Roman"/>
          <w:sz w:val="18"/>
          <w:szCs w:val="18"/>
          <w:color w:val="auto"/>
        </w:rPr>
      </w:pPr>
    </w:p>
    <w:p>
      <w:pPr>
        <w:ind w:left="800" w:right="120" w:hanging="346"/>
        <w:spacing w:after="0" w:line="275"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25" w:lineRule="exact"/>
        <w:rPr>
          <w:rFonts w:ascii="Times New Roman" w:cs="Times New Roman" w:eastAsia="Times New Roman" w:hAnsi="Times New Roman"/>
          <w:sz w:val="18"/>
          <w:szCs w:val="18"/>
          <w:color w:val="auto"/>
        </w:rPr>
      </w:pPr>
    </w:p>
    <w:p>
      <w:pPr>
        <w:ind w:left="800" w:right="80" w:hanging="346"/>
        <w:spacing w:after="0" w:line="258"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 occupancy levels at our properties and the amount of rent that we receive from our properties may be lower than expected, that new acquisitions and our development, construction and renovation projects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41"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w:t>
      </w:r>
    </w:p>
    <w:p>
      <w:pPr>
        <w:spacing w:after="0" w:line="76" w:lineRule="exact"/>
        <w:rPr>
          <w:rFonts w:ascii="Times New Roman" w:cs="Times New Roman" w:eastAsia="Times New Roman" w:hAnsi="Times New Roman"/>
          <w:sz w:val="18"/>
          <w:szCs w:val="18"/>
          <w:color w:val="auto"/>
        </w:rPr>
      </w:pPr>
    </w:p>
    <w:p>
      <w:pPr>
        <w:ind w:left="800" w:right="220" w:hanging="346"/>
        <w:spacing w:after="0" w:line="262"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7" w:lineRule="exact"/>
        <w:rPr>
          <w:rFonts w:ascii="Times New Roman" w:cs="Times New Roman" w:eastAsia="Times New Roman" w:hAnsi="Times New Roman"/>
          <w:sz w:val="18"/>
          <w:szCs w:val="18"/>
          <w:color w:val="auto"/>
        </w:rPr>
      </w:pPr>
    </w:p>
    <w:p>
      <w:pPr>
        <w:ind w:left="800" w:right="220" w:hanging="346"/>
        <w:spacing w:after="0" w:line="262"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19"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We identify forward-looking statements in this prospectus and other materials filed or to be filed by us with the Securities and Exchange Commission, or the Commission, and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80"/>
        <w:spacing w:after="0" w:line="310" w:lineRule="auto"/>
        <w:rPr>
          <w:sz w:val="20"/>
          <w:szCs w:val="20"/>
          <w:color w:val="auto"/>
        </w:rPr>
      </w:pPr>
      <w:r>
        <w:rPr>
          <w:rFonts w:ascii="Times New Roman" w:cs="Times New Roman" w:eastAsia="Times New Roman" w:hAnsi="Times New Roman"/>
          <w:sz w:val="16"/>
          <w:szCs w:val="16"/>
          <w:color w:val="auto"/>
        </w:rPr>
        <w:t>incorporated by reference into this prospectus by using words or phrases such as “anticipate,” “believe,” “estimate,” “expect,” “intend,” “may be,” “objective,” “plan,” “predict,” “project” and “will be” and similar words or phrases, or the negatives thereof or other similar variations thereof or comparable terminology. Except as required by law, we make no promise to update any of the forward-looking statements as a result of new information, future events, or otherwise.</w:t>
      </w:r>
    </w:p>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TRUST</w:t>
      </w:r>
    </w:p>
    <w:p>
      <w:pPr>
        <w:spacing w:after="0" w:line="16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are an equity real estate investment trust specializing in the ownership, management, development and redevelopment of high quality retail and mixed-use properties. As of June 30, 2004, we owned or had an interest in 62 community and neighborhood shopping centers comprising approximately 14.1 million square feet, primarily located in densely populated and affluent communities throughout the Northeast and Mid-Atlantic United States, as well as California. In addition, we owned 49 urban and retail mixed-use properties comprising almost 2.8 million square feet and one apartment complex, primarily located in strategic metropolitan markets in the Northeast and Mid-Atlantic regions and California. In total, our properties were 94.2% leased at June 30, 2004, 93.1% leased at December 31, 2003 and 93.1% leased at June 30, 2003. We have paid quarterly dividends to our shareholders continuously since our founding in 1962, and have increased our dividend rate for 36 consecutive years.</w:t>
      </w:r>
    </w:p>
    <w:p>
      <w:pPr>
        <w:spacing w:after="0" w:line="128"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We operate our business on an asset management model, where focused teams are responsible for a portfolio of assets. We have divided our portfolio of properties into three operating regions: the Northeast, Mid-Atlantic and West. Each region is operated under the direction of an asset manager, with dedicated leasing, property management and financial staff who are responsible for day to day operating decisions.</w:t>
      </w:r>
    </w:p>
    <w:p>
      <w:pPr>
        <w:spacing w:after="0" w:line="119"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Our principal executive offices are located at 1626 East Jefferson Street, Rockville, Maryland 20852 and our telephone number is (301) 998-8100. Our Web site address is www.federalrealty.com. The information contained on our Web site is not a part of this prospectus.</w:t>
      </w:r>
    </w:p>
    <w:p>
      <w:pPr>
        <w:spacing w:after="0" w:line="10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our properties may be reduced or limited if the retail operations of our tenants are not successful.</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for reimbursement of real estate taxes and expenses of operating the property. The amount of rent and expense reimbursements we receive from our tenants generally will depend in part on the success of our tenants’ retail operations, making us vulnerable to general economic downturns and other conditions affecting the retail industry. Any reduction in our tenants’ ability to pay base rent, percentage rent or other charges, including the filing by any of our tenants for bankruptcy protection, may adversely affect our financial condition and results of operations.</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455" w:right="2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increase our net income depends on the success and continued presence of our shopping center “anchor” tenants.</w:t>
      </w:r>
    </w:p>
    <w:p>
      <w:pPr>
        <w:spacing w:after="0" w:line="79" w:lineRule="exact"/>
        <w:rPr>
          <w:sz w:val="20"/>
          <w:szCs w:val="20"/>
          <w:color w:val="auto"/>
        </w:rPr>
      </w:pPr>
    </w:p>
    <w:p>
      <w:pPr>
        <w:ind w:right="420" w:firstLine="456"/>
        <w:spacing w:after="0" w:line="258" w:lineRule="auto"/>
        <w:rPr>
          <w:sz w:val="20"/>
          <w:szCs w:val="20"/>
          <w:color w:val="auto"/>
        </w:rPr>
      </w:pPr>
      <w:r>
        <w:rPr>
          <w:rFonts w:ascii="Times New Roman" w:cs="Times New Roman" w:eastAsia="Times New Roman" w:hAnsi="Times New Roman"/>
          <w:sz w:val="18"/>
          <w:szCs w:val="18"/>
          <w:color w:val="auto"/>
        </w:rPr>
        <w:t>Our net income could be adversely affected in the event of a downturn in the business, or the bankruptcy or insolvency, of any anchor store or anchor tenant. The closing of one or more anchor stores prior to the expiration of the lease of that store or the termination of a lease by one or more of a property’s anchor tenants could adversely affect that property and result in lease terminations by, or reductions in rent from, other tenants whose leases may permit termination or rent reduction in those circumstances or whose own operations may suffer as a result. This could reduce our net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experience difficulty or delay in renewing leases or re-leasing space.</w:t>
      </w:r>
    </w:p>
    <w:p>
      <w:pPr>
        <w:spacing w:after="0" w:line="7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derive most of our revenue directly or indirectly from rent received from our tenants. We are subject to the risks that, upon expiration or termination of leases, whether by their terms, as a result of a tenant bankruptcy or otherwise, leases for space in our properties may not be renewed, the space may not be re-leased, or the terms of renewal or re-lease, including the cost of required renovations or concessions to tenants, may be less favorable than current lease terms. As a result, our results of operations and our net income could be reduced.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amount of debt we have and the restrictions imposed by that debt could adversely affect our business and financial condition.</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a substantial amount of debt. As of June 30, 2004, we had approximately $1.3 billion of debt outstanding. Of that outstanding debt, approximately $253 million was secured by 12 of our properties and approximately $159 million represented capital lease obligations on 11 of our properties. All of our secured debt and senior notes and virtually all of our capital lease obligations are fixed rate debt. Our organizational documents do not limit the level or amount of debt that we may incur. We do not have a policy limiting the ratio of our debt to total capitalization or assets. The amount of our debt outstanding from time to time could have important consequences to our shareholders. For example, it could:</w:t>
      </w:r>
    </w:p>
    <w:p>
      <w:pPr>
        <w:spacing w:after="0" w:line="44" w:lineRule="exact"/>
        <w:rPr>
          <w:sz w:val="20"/>
          <w:szCs w:val="20"/>
          <w:color w:val="auto"/>
        </w:rPr>
      </w:pPr>
    </w:p>
    <w:p>
      <w:pPr>
        <w:ind w:left="800" w:right="80" w:hanging="346"/>
        <w:spacing w:after="0" w:line="275"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25"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make distributions on our outstanding common shares and preferred shares;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difficult to satisfy our debt service requirements;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increased amounts of our cash flow from operations to payments on our variable rate, unhedged debt if interest rates rise;</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factors that affect the profitability of our business;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455" w:right="2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right="20" w:hanging="346"/>
        <w:spacing w:after="0" w:line="275"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any additional debt or equity financing we may need in the future for working capital, debt refinancing, capital expenditures, acquisitions, redevelopment or other general corporate purposes or to obtain such financing on favorable terms; and</w:t>
      </w:r>
    </w:p>
    <w:p>
      <w:pPr>
        <w:spacing w:after="0" w:line="25" w:lineRule="exact"/>
        <w:rPr>
          <w:rFonts w:ascii="Times New Roman" w:cs="Times New Roman" w:eastAsia="Times New Roman" w:hAnsi="Times New Roman"/>
          <w:sz w:val="18"/>
          <w:szCs w:val="18"/>
          <w:color w:val="auto"/>
        </w:rPr>
      </w:pPr>
    </w:p>
    <w:p>
      <w:pPr>
        <w:ind w:left="800" w:right="600" w:hanging="346"/>
        <w:spacing w:after="0" w:line="275"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conducting our business, which may place us at a disadvantage compared to competitors with less debt or debt with less restrictive terms.</w:t>
      </w:r>
    </w:p>
    <w:p>
      <w:pPr>
        <w:spacing w:after="0" w:line="10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2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b w:val="1"/>
          <w:bCs w:val="1"/>
          <w:color w:val="auto"/>
        </w:rPr>
        <w:t>We are obligated to comply with financial and other covenants in our debt that could restrict our operating activities, and the failure to comply could result in defaults that accelerate payment under our debt.</w:t>
      </w:r>
    </w:p>
    <w:p>
      <w:pPr>
        <w:spacing w:after="0" w:line="24"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Our credit facility and term loans include financial covenants that may limit our operating activities in the future. These covenants require us, among other things, to:</w:t>
      </w:r>
    </w:p>
    <w:p>
      <w:pPr>
        <w:spacing w:after="0" w:line="25" w:lineRule="exact"/>
        <w:rPr>
          <w:sz w:val="20"/>
          <w:szCs w:val="20"/>
          <w:color w:val="auto"/>
        </w:rPr>
      </w:pPr>
    </w:p>
    <w:p>
      <w:pPr>
        <w:ind w:left="800" w:hanging="346"/>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amount of debt as a percentage of total asset value to less than .55 to 1 (we maintained a ratio of .47 to 1 as of June 30, 2004);</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amount of secured debt as a percentage of total asset value to less than .30 to 1 (we maintained a ratio of .15 to 1 as of June 30, 2004);</w:t>
      </w:r>
    </w:p>
    <w:p>
      <w:pPr>
        <w:spacing w:after="0" w:line="76" w:lineRule="exact"/>
        <w:rPr>
          <w:rFonts w:ascii="Times New Roman" w:cs="Times New Roman" w:eastAsia="Times New Roman" w:hAnsi="Times New Roman"/>
          <w:sz w:val="18"/>
          <w:szCs w:val="18"/>
          <w:color w:val="auto"/>
        </w:rPr>
      </w:pPr>
    </w:p>
    <w:p>
      <w:pPr>
        <w:ind w:left="800" w:right="260" w:hanging="346"/>
        <w:spacing w:after="0" w:line="275"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amount of debt so that our interest and other fixed charge coverage will exceed 1.75 to 1 (we maintained a ratio of 2.22 to 1 as of June 30, 2004);</w:t>
      </w:r>
    </w:p>
    <w:p>
      <w:pPr>
        <w:spacing w:after="0" w:line="25" w:lineRule="exact"/>
        <w:rPr>
          <w:rFonts w:ascii="Times New Roman" w:cs="Times New Roman" w:eastAsia="Times New Roman" w:hAnsi="Times New Roman"/>
          <w:sz w:val="18"/>
          <w:szCs w:val="18"/>
          <w:color w:val="auto"/>
        </w:rPr>
      </w:pPr>
    </w:p>
    <w:p>
      <w:pPr>
        <w:ind w:left="800" w:hanging="346"/>
        <w:spacing w:after="0" w:line="275"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amount of unsecured debt so that unencumbered asset value to unsecured debt will equal or exceed 1.75 to 1 (we maintained a ratio of 2.72 to 1 as of June 30, 2004); and</w:t>
      </w:r>
    </w:p>
    <w:p>
      <w:pPr>
        <w:spacing w:after="0" w:line="25" w:lineRule="exact"/>
        <w:rPr>
          <w:rFonts w:ascii="Times New Roman" w:cs="Times New Roman" w:eastAsia="Times New Roman" w:hAnsi="Times New Roman"/>
          <w:sz w:val="18"/>
          <w:szCs w:val="18"/>
          <w:color w:val="auto"/>
        </w:rPr>
      </w:pPr>
    </w:p>
    <w:p>
      <w:pPr>
        <w:ind w:left="800" w:right="620" w:hanging="346"/>
        <w:spacing w:after="0" w:line="275"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total cost of development projects under construction to 15% or less of total asset value (the budgeted total cost of our projects under construction at June 30, 2004 represented 3.6% of gross asset value).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45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Because these covenants are calculated in accordance with the terms of our credit facility, there is no relevant reconciliation to these ratios under generally accepted accounting principles.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also obligated to comply with additional covenants, including, among others, provisions:</w:t>
      </w:r>
    </w:p>
    <w:p>
      <w:pPr>
        <w:spacing w:after="0" w:line="77" w:lineRule="exact"/>
        <w:rPr>
          <w:sz w:val="20"/>
          <w:szCs w:val="20"/>
          <w:color w:val="auto"/>
        </w:rPr>
      </w:pPr>
    </w:p>
    <w:p>
      <w:pPr>
        <w:ind w:left="800" w:hanging="346"/>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the maintenance of property securing a mortgage;</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our ability to pledge assets or create other liens;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our ability to incur additional debt;</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our ability to amend or modify existing leases;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our ability to enter into transactions with affiliates; and</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our ability to consolidate, merge or sell all or substantially all of our assets.</w:t>
      </w:r>
    </w:p>
    <w:p>
      <w:pPr>
        <w:spacing w:after="0" w:line="158" w:lineRule="exact"/>
        <w:rPr>
          <w:sz w:val="20"/>
          <w:szCs w:val="20"/>
          <w:color w:val="auto"/>
        </w:rPr>
      </w:pPr>
    </w:p>
    <w:p>
      <w:pPr>
        <w:ind w:right="60" w:firstLine="456"/>
        <w:spacing w:after="0" w:line="293" w:lineRule="auto"/>
        <w:rPr>
          <w:sz w:val="20"/>
          <w:szCs w:val="20"/>
          <w:color w:val="auto"/>
        </w:rPr>
      </w:pPr>
      <w:r>
        <w:rPr>
          <w:rFonts w:ascii="Times New Roman" w:cs="Times New Roman" w:eastAsia="Times New Roman" w:hAnsi="Times New Roman"/>
          <w:sz w:val="16"/>
          <w:szCs w:val="16"/>
          <w:color w:val="auto"/>
        </w:rPr>
        <w:t>As of June 30, 2004, we were in compliance with all of our financial covenants. If we were to breach any of our debt covenants, including the listed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development activities are inherently risky.</w:t>
      </w:r>
    </w:p>
    <w:p>
      <w:pPr>
        <w:spacing w:after="0" w:line="77"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ground-up development of improvements on real property, as opposed to the renovation and redevelopment of existing improvements,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presents substantial risks. We do not intend to initiate any new large-scale mixed-use, ground-up development projects; however, we do intend to complete the development of remaining phases of projects we have already started, such as Bethesda Row in Bethesda, Maryland and Santana Row in San Jose, California. If the additional phases of these projects are not successful, it may adversely affect our financial condition and results of operations.</w:t>
      </w:r>
    </w:p>
    <w:p>
      <w:pPr>
        <w:spacing w:after="0" w:line="121"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In addition to the risks associated with real estate investment in general as described elsewhere, the risks associated with our remaining development activities include:</w:t>
      </w:r>
    </w:p>
    <w:p>
      <w:pPr>
        <w:spacing w:after="0" w:line="25" w:lineRule="exact"/>
        <w:rPr>
          <w:sz w:val="20"/>
          <w:szCs w:val="20"/>
          <w:color w:val="auto"/>
        </w:rPr>
      </w:pPr>
    </w:p>
    <w:p>
      <w:pPr>
        <w:ind w:left="5620" w:right="1340" w:hanging="5166"/>
        <w:spacing w:after="0" w:line="447"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lag between commencement and completion subjects us to greater risks due to fluctuation in the general economy; -7-</w:t>
      </w:r>
    </w:p>
    <w:p>
      <w:pPr>
        <w:sectPr>
          <w:pgSz w:w="11900" w:h="16838" w:orient="portrait"/>
          <w:cols w:equalWidth="0" w:num="1">
            <w:col w:w="11320"/>
          </w:cols>
          <w:pgMar w:left="240" w:top="455" w:right="3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hanging="346"/>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inability to obtain construction or permanent financing on favorable terms;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 of money and time on projects that may never be completed;</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projected rental rates or anticipated pace of lease-up;</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higher-than-estimated construction costs, including labor and material costs; and</w:t>
      </w:r>
    </w:p>
    <w:p>
      <w:pPr>
        <w:spacing w:after="0" w:line="76" w:lineRule="exact"/>
        <w:rPr>
          <w:rFonts w:ascii="Times New Roman" w:cs="Times New Roman" w:eastAsia="Times New Roman" w:hAnsi="Times New Roman"/>
          <w:sz w:val="18"/>
          <w:szCs w:val="18"/>
          <w:color w:val="auto"/>
        </w:rPr>
      </w:pPr>
    </w:p>
    <w:p>
      <w:pPr>
        <w:ind w:left="800" w:right="480" w:hanging="346"/>
        <w:spacing w:after="0" w:line="275" w:lineRule="auto"/>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delay in completion of the project because of a number of factors, including weather, labor disruptions, construction delays or delays in receipt of zoning or other regulatory approvals, or acts of God (such as fires, earthquakes or floods).</w:t>
      </w:r>
    </w:p>
    <w:p>
      <w:pPr>
        <w:spacing w:after="0" w:line="10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Santana Row</w:t>
      </w:r>
      <w:r>
        <w:rPr>
          <w:rFonts w:ascii="Times New Roman" w:cs="Times New Roman" w:eastAsia="Times New Roman" w:hAnsi="Times New Roman"/>
          <w:sz w:val="18"/>
          <w:szCs w:val="18"/>
          <w:color w:val="auto"/>
        </w:rPr>
        <w:t>. Santana Row is the largest project we have undertaken, and if it is not successful it could have a material adverse effect on our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and results of operations. We have made a full and final settlement with the insurance company relating to the August 19, 2002 fire at the property. All proceeds from that insurance settlement have been reflected in our 2003 financial statements with the exception of approximately $3 million which will be included as income in our 2004 financial statements. We are currently in the process of constructing Phases III and IV of the project. Phase III consists of the addition of a new art screen cinema and a small amount of additional retail space. The movie theater has been pre-leased and the tenant is responsible for constructing the new improvements. Our cost of completing Phase III is estimated to be approximately $3.8 million. Phase IV of the project consists of rebuilding on Building 7 256 residential units that were destroyed by the August 2002 fire. We have estimated the incremental cost of completing Phase IV to be approximately $58 million.</w:t>
      </w:r>
    </w:p>
    <w:p>
      <w:pPr>
        <w:spacing w:after="0" w:line="127"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success of Santana Row will depend on many factors which cannot be assured and are not entirely within our control. These factors include, among others, the demand for retail and residential space, the cost of operations, including utilities and insurance, the availability and cost of capital, and the general economy, particularly in and around the Silicon Valley. In addition, our financial condition and results of operations may be adversely affected by delays or cost overruns in completing Phase III, Phase IV or future phases of Santana Row, by an inability to achieve the market rents that were projected when the project was commenced, or by slower than projected lease-up of the project.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Redevelopments and acquisitions may fail to perform as expected.</w:t>
      </w:r>
    </w:p>
    <w:p>
      <w:pPr>
        <w:spacing w:after="0" w:line="79"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Our investment strategy is focused on the redevelopment and acquisition of community and neighborhood shopping centers that are anchored by grocery stores, drugstores or high volume, value-oriented retailers that provide consumer necessities. The redevelopment and acquisition of properties entails risks that include the following, any of which could adversely affect our results of operations and our ability to meet our obligations:</w:t>
      </w:r>
    </w:p>
    <w:p>
      <w:pPr>
        <w:spacing w:after="0" w:line="38" w:lineRule="exact"/>
        <w:rPr>
          <w:sz w:val="20"/>
          <w:szCs w:val="20"/>
          <w:color w:val="auto"/>
        </w:rPr>
      </w:pPr>
    </w:p>
    <w:p>
      <w:pPr>
        <w:ind w:left="800" w:hanging="346"/>
        <w:spacing w:after="0" w:line="275"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costs to improve, reposition or redevelop a property may prove to be too low, or the time we estimate to complete the improvement, repositioning or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redevelopment may be too short, and in either case, the property may fail to achieve the returns we have projected, either temporarily or for a longer time;</w:t>
      </w:r>
    </w:p>
    <w:p>
      <w:pPr>
        <w:spacing w:after="0" w:line="293" w:lineRule="exact"/>
        <w:rPr>
          <w:sz w:val="20"/>
          <w:szCs w:val="20"/>
          <w:color w:val="auto"/>
        </w:rPr>
      </w:pPr>
    </w:p>
    <w:p>
      <w:pPr>
        <w:ind w:left="800" w:hanging="346"/>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identify suitable properties to acquire or may be unable to complete the acquisition of the properties we identify;</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integrate any acquisitions into our existing operations successfully;</w:t>
      </w:r>
    </w:p>
    <w:p>
      <w:pPr>
        <w:spacing w:after="0" w:line="76" w:lineRule="exact"/>
        <w:rPr>
          <w:rFonts w:ascii="Times New Roman" w:cs="Times New Roman" w:eastAsia="Times New Roman" w:hAnsi="Times New Roman"/>
          <w:sz w:val="18"/>
          <w:szCs w:val="18"/>
          <w:color w:val="auto"/>
        </w:rPr>
      </w:pPr>
    </w:p>
    <w:p>
      <w:pPr>
        <w:ind w:left="800" w:hanging="346"/>
        <w:spacing w:after="0" w:line="275"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properties we redevelop or acquire may fail to achieve within the time frames we project the occupancy or rental rates we project at the time we make the decision to invest, which may result in the properties’ failure to achieve the returns we projected;</w:t>
      </w:r>
    </w:p>
    <w:p>
      <w:pPr>
        <w:spacing w:after="0" w:line="25" w:lineRule="exact"/>
        <w:rPr>
          <w:rFonts w:ascii="Times New Roman" w:cs="Times New Roman" w:eastAsia="Times New Roman" w:hAnsi="Times New Roman"/>
          <w:sz w:val="18"/>
          <w:szCs w:val="18"/>
          <w:color w:val="auto"/>
        </w:rPr>
      </w:pPr>
    </w:p>
    <w:p>
      <w:pPr>
        <w:ind w:left="800" w:right="40" w:hanging="346"/>
        <w:spacing w:after="0" w:line="275"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pre-acquisition evaluation of the physical condition of each new investment may not detect certain defects or identify necessary repairs until after the property is acquired, which could significantly increase our total acquisition costs; and</w:t>
      </w:r>
    </w:p>
    <w:p>
      <w:pPr>
        <w:spacing w:after="0" w:line="25" w:lineRule="exact"/>
        <w:rPr>
          <w:rFonts w:ascii="Times New Roman" w:cs="Times New Roman" w:eastAsia="Times New Roman" w:hAnsi="Times New Roman"/>
          <w:sz w:val="18"/>
          <w:szCs w:val="18"/>
          <w:color w:val="auto"/>
        </w:rPr>
      </w:pPr>
    </w:p>
    <w:p>
      <w:pPr>
        <w:ind w:left="800" w:right="80" w:hanging="346"/>
        <w:spacing w:after="0" w:line="275"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investigation of a property or building prior to our acquisition, and any representations we may receive from the seller, may fail to reveal various liabilities, which could reduce the cash flow from the property or increase our acquisition cost.</w:t>
      </w:r>
    </w:p>
    <w:p>
      <w:pPr>
        <w:spacing w:after="0" w:line="106"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In addition, to complete our redevelopments, it is often necessary for us to take space out of service for a period of time which, on at least a temporary basis, increases vacancy and decreases revenue at the property.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grow will be limited if we cannot obtain additional capital.</w:t>
      </w:r>
    </w:p>
    <w:p>
      <w:pPr>
        <w:spacing w:after="0" w:line="7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required to distribute to our shareholders at least 90% of our REIT taxable income each year to continue to qualify as a real estate investment trust, or REIT, for federal income tax purposes. As a result, we must rely primarily upon the availability of debt or equity capital, which may or may not be available on favorable terms or at all. The debt could include mortgage loans from third parties or the sale of debt securities. Equity capital could include our common shares or preferred shares. We cannot guarantee that additional financing, refinancing or other capital will be available in the amounts we desire or on favorable terms. Our access to debt or equity capital depends on a number of factors, including the market’s perception of our growth potential, our ability to pay dividends, and our current and potential future earnings. Depending on the outcome of these factors, we could experience delay or difficulty in implementing our growth strategy on satisfactory terms, or be unable to implement this strategy.</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20"/>
          </w:cols>
          <w:pgMar w:left="240" w:top="455" w:right="3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Rising interest rates could adversely affect our cash flow and the market price of our outstanding debt and preferred shares.</w:t>
      </w:r>
    </w:p>
    <w:p>
      <w:pPr>
        <w:spacing w:after="0" w:line="79"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Of our approximately $1.3 billion of debt outstanding as of December 31, 2003, approximately $186 million bears interest at variable rates and was unhedged. We also may borrow additional funds at variable interest rates in the future. Increases in interest rates would increase our interest expense on our variable rate debt and reduce our cash flow, which could adversely affect our ability to service our debt and meet our other obligations and also could reduce the amount we are able to distribute to our shareholders. Although we have in the past and may in the future enter into hedging arrangements or other transactions as to a portion of our variable rate debt to limit our exposure to rising interest rates, the amounts we are required to pay under the variable rate debt to which the hedging or similar arrangements relate may increase in the event of non-performance by the counterparties to any of our hedging arrangements. In addition, an increase in market interest rates may lead purchasers of our securities, both debt and preferred, to demand a higher annual yield, which could adversely affect the market price of our outstanding debt securities and preferred shares and the cost of issuing additional debt securities or preferred shares.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performance and value are subject to general risks associated with the real estate industry.</w:t>
      </w:r>
    </w:p>
    <w:p>
      <w:pPr>
        <w:spacing w:after="0" w:line="79"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38" w:lineRule="exact"/>
        <w:rPr>
          <w:sz w:val="20"/>
          <w:szCs w:val="20"/>
          <w:color w:val="auto"/>
        </w:rPr>
      </w:pPr>
    </w:p>
    <w:p>
      <w:pPr>
        <w:ind w:left="800" w:hanging="346"/>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the areas where our properties are located;</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local real estate market conditions, such as oversupply or reduction in demand;</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tenant preferences that reduce the attractiveness of our properties to tenants;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zoning or regulatory restrictions;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market rental rates;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that may increase or decrease energy costs and other weather-related expenses;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need to periodically repair, renovate and re-lease space; and</w:t>
      </w:r>
    </w:p>
    <w:p>
      <w:pPr>
        <w:spacing w:after="0" w:line="76" w:lineRule="exact"/>
        <w:rPr>
          <w:rFonts w:ascii="Times New Roman" w:cs="Times New Roman" w:eastAsia="Times New Roman" w:hAnsi="Times New Roman"/>
          <w:sz w:val="18"/>
          <w:szCs w:val="18"/>
          <w:color w:val="auto"/>
        </w:rPr>
      </w:pPr>
    </w:p>
    <w:p>
      <w:pPr>
        <w:ind w:left="800" w:right="20" w:hanging="346"/>
        <w:spacing w:after="0" w:line="262"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20"/>
          </w:cols>
          <w:pgMar w:left="240" w:top="455" w:right="3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Many real estate costs are fixed, even if income from our properties decreases.</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investment.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develop may not produce any significant revenue immediately, and properties that we redevelop, renovate or reposition may produce reduced rents during the redevelopment, renovation or repositioning. In those events, the cash flow from existing operations may be insufficient to pay the operating expenses and debt service associated with those properties until the properties are fully leased.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may limit our ability to purchase new properties and generate sufficient income from tenants.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Numerous commercial developers and real estate companies compete with us in seeking tenants for our existing properties and properties for acquisition.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competition may:</w:t>
      </w:r>
    </w:p>
    <w:p>
      <w:pPr>
        <w:spacing w:after="0" w:line="64" w:lineRule="exact"/>
        <w:rPr>
          <w:sz w:val="20"/>
          <w:szCs w:val="20"/>
          <w:color w:val="auto"/>
        </w:rPr>
      </w:pPr>
    </w:p>
    <w:p>
      <w:pPr>
        <w:ind w:left="800" w:hanging="346"/>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properties available for acquisition;</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cost of properties available for acquisition;</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rents payable to us;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 with our ability to attract and retain tenants;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to increased vacancy rates at our properties; and</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ability to minimize expenses of operation.</w:t>
      </w:r>
    </w:p>
    <w:p>
      <w:pPr>
        <w:spacing w:after="0" w:line="158"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Retailers at our properties also face increasing competition from outlet stores, discount shopping clubs, and other forms of marketing of goods, such as direct mail, internet marketing and telemarketing.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1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20"/>
          </w:cols>
          <w:pgMar w:left="240" w:top="455" w:right="3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sell properties when appropriate because real estate investments are illiquid.</w:t>
      </w:r>
    </w:p>
    <w:p>
      <w:pPr>
        <w:spacing w:after="0" w:line="7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Our inability to respond quickly to adverse changes in the performance of our investments could have an adverse effect on our ability to meet our obligations and make distributions to our 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insurance coverage on our properties may be inadequate or may become inadequate.</w:t>
      </w:r>
    </w:p>
    <w:p>
      <w:pPr>
        <w:spacing w:after="0" w:line="7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As of June 30, 2004, we carry comprehensive insurance on all of our properties, including insurance for liability, fire, flood, and rental loss. We also carry earthquake insurance on all of our properties in California and environmental insurance on most of our properties. These earthquake and environmental policies contain coverage limitations. We believe this coverage is of the type and amount customarily obtained for or by an owner of real property assets. We intend to obtain similar insurance coverage on subsequently acquired properties.</w:t>
      </w:r>
    </w:p>
    <w:p>
      <w:pPr>
        <w:spacing w:after="0" w:line="123" w:lineRule="exact"/>
        <w:rPr>
          <w:sz w:val="20"/>
          <w:szCs w:val="20"/>
          <w:color w:val="auto"/>
        </w:rPr>
      </w:pPr>
    </w:p>
    <w:p>
      <w:pPr>
        <w:ind w:right="60" w:firstLine="456"/>
        <w:spacing w:after="0" w:line="288" w:lineRule="auto"/>
        <w:rPr>
          <w:sz w:val="20"/>
          <w:szCs w:val="20"/>
          <w:color w:val="auto"/>
        </w:rPr>
      </w:pPr>
      <w:r>
        <w:rPr>
          <w:rFonts w:ascii="Times New Roman" w:cs="Times New Roman" w:eastAsia="Times New Roman" w:hAnsi="Times New Roman"/>
          <w:sz w:val="16"/>
          <w:szCs w:val="16"/>
          <w:color w:val="auto"/>
        </w:rPr>
        <w:t>As a consequence of the September 11, 2001 terrorist attacks and other significant losses incurred by the insurance industry, the availability of insurance coverage has decreased and the prices for insurance have increased. As a result, we may be unable to renew or duplicate our current insurance coverage in adequate amounts or at reasonable prices when the policies expire.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Events such as these could adversely affect our results of operations and our ability to meet our obligations, including distributions to our shareholders.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have limited flexibility in dealing with our jointly owned investments.</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organizational documents do not limit the amount of funds that we may invest in properties and assets jointly with other persons or entities and as of August 30, 2004, we hold eleven shopping centers and eight urban retail and mixed-use properties jointly with other persons.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and that those partners or co-investors might be in a position to take action contrary to our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suggestions or instructions, or in opposition to our policies or objectives. Although we hold the managing general partnership or membership interest in all 19 of our existing co-investments as of August 30, 2004, we must obtain the consent of the co-investor or meet defined criteria to sell or to finance nine of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123"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In addition, we have created a new joint venture for purposes of acquiring properties. Although we are the manager of that entity, we are the minority equity owner. Under the joint venture arrangement, our partner’s consent is required to take certain actions with respect to the properties acquired by the venture, and as a result, we may not be able to take actions that we believe are necessary or desirable to protect or increase the value of the property or the property’s income, or to act quickly if circumstances change or we believe an action is required. In particular, our partner’s consent is required to do the following:</w:t>
      </w:r>
    </w:p>
    <w:p>
      <w:pPr>
        <w:spacing w:after="0" w:line="9" w:lineRule="exact"/>
        <w:rPr>
          <w:sz w:val="20"/>
          <w:szCs w:val="20"/>
          <w:color w:val="auto"/>
        </w:rPr>
      </w:pPr>
    </w:p>
    <w:p>
      <w:pPr>
        <w:ind w:left="800" w:hanging="346"/>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modify leases with, or enforce remedies against, anchor tenants;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repairs, renovations or other changes or improvements to properties, the cost of which exceeds approved budgets; and</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property or finance or refinance the property with secured debt.</w:t>
      </w:r>
    </w:p>
    <w:p>
      <w:pPr>
        <w:spacing w:after="0" w:line="158"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Under the terms of our partnership, certain acquisition opportunities that become available to us are required to be offered first to the joint venture. This requirement will result in conflicts of interest and could limit our ability to acquire properties for our own account which could, in turn, limit our ability to grow. Our investment in this joint venture is also subject to the risks described above for jointly owned investments.</w:t>
      </w:r>
    </w:p>
    <w:p>
      <w:pPr>
        <w:spacing w:after="0" w:line="119"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In addition, because we act as property manager and leasing agent for the joint venture, there may be potential conflicts of interest within management in allocating time and resources between us and the joint venture.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laws and regulations could reduce the value or profitability of our properties.</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properly to remediate contamination at any of our properties may adversely affect our ability to sell or lease those properties or to borrow using those properties as collateral. The costs or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25"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 operating expenditures and other costs associated with complying with these laws and regulations, which will adversely affect their potential profitability.</w:t>
      </w:r>
    </w:p>
    <w:p>
      <w:pPr>
        <w:spacing w:after="0" w:line="1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Americans with Disabilities Act of 1990 could require us to take remedial steps with respect to existing or newly acquired properties.</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the Act, or of other federal, state or local laws, also may change in the future and restrict further renovations of our properties with respect to access for disabled persons. Future compliance with the Act may require expensive changes to the 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revenues generated by our tenants could be negatively affected by various federal, state and local laws to which they are subject.</w:t>
      </w:r>
    </w:p>
    <w:p>
      <w:pPr>
        <w:spacing w:after="0" w:line="7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18"/>
          <w:szCs w:val="18"/>
          <w:b w:val="1"/>
          <w:bCs w:val="1"/>
          <w:color w:val="auto"/>
        </w:rPr>
        <w:t>Failure to qualify as a REIT for federal income tax purposes would cause us to be taxed as a corporation, which would substantially reduce funds available for payment of distributions.</w:t>
      </w:r>
    </w:p>
    <w:p>
      <w:pPr>
        <w:spacing w:after="0" w:line="2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believe that we are organized and qualified as a REIT for federal income tax purposes and currently intend to operate in a manner that will allow us to continue to qualify as a REIT under the Internal Revenue Code of 1986, as amended (“Code”). However, the IRS may determine that we are not qualified as such. In addition, we may not remain qualified as a REIT in the future.</w:t>
      </w:r>
    </w:p>
    <w:p>
      <w:pPr>
        <w:spacing w:after="0" w:line="119"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other income. Satisfying this requirement could be difficult, for example, if defaults by tenants were to reduce the amount of income from qualifying rents. Also, we must make annual distributions to shareholders of at least 90% of our REIT taxable income (excluding capital gains). In addition, new legislation, new regulations, new administrative interpretations or new court decisions may significantly change the tax laws with respect to qualification as a REIT or the federal income tax consequences of such qualification.</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fail to qualify as a REIT:</w:t>
      </w:r>
    </w:p>
    <w:p>
      <w:pPr>
        <w:spacing w:after="0" w:line="77" w:lineRule="exact"/>
        <w:rPr>
          <w:sz w:val="20"/>
          <w:szCs w:val="20"/>
          <w:color w:val="auto"/>
        </w:rPr>
      </w:pPr>
    </w:p>
    <w:p>
      <w:pPr>
        <w:ind w:left="800" w:hanging="346"/>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not be allowed a deduction for distributions to shareholders in computing taxable income;</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subject to federal income tax at regular corporate rates;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the federal alternative minimum tax;</w:t>
      </w:r>
    </w:p>
    <w:p>
      <w:pPr>
        <w:spacing w:after="0" w:line="76" w:lineRule="exact"/>
        <w:rPr>
          <w:rFonts w:ascii="Times New Roman" w:cs="Times New Roman" w:eastAsia="Times New Roman" w:hAnsi="Times New Roman"/>
          <w:sz w:val="18"/>
          <w:szCs w:val="18"/>
          <w:color w:val="auto"/>
        </w:rPr>
      </w:pPr>
    </w:p>
    <w:p>
      <w:pPr>
        <w:ind w:left="800" w:right="240" w:hanging="346"/>
        <w:spacing w:after="0" w:line="275"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are entitled to relief under specific statutory provisions, we could not elect to be taxed as a REIT for four taxable years following the year during which we were disqualified;</w:t>
      </w:r>
    </w:p>
    <w:p>
      <w:pPr>
        <w:spacing w:after="0" w:line="25" w:lineRule="exact"/>
        <w:rPr>
          <w:rFonts w:ascii="Times New Roman" w:cs="Times New Roman" w:eastAsia="Times New Roman" w:hAnsi="Times New Roman"/>
          <w:sz w:val="18"/>
          <w:szCs w:val="18"/>
          <w:color w:val="auto"/>
        </w:rPr>
      </w:pPr>
    </w:p>
    <w:p>
      <w:pPr>
        <w:ind w:left="800" w:right="300" w:hanging="346"/>
        <w:spacing w:after="0" w:line="275"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required to pay significant income taxes, which would substantially reduce the funds available for investment or for distribution to our shareholders for each year in which we failed or were not permitted to qualify, and</w:t>
      </w:r>
    </w:p>
    <w:p>
      <w:pPr>
        <w:spacing w:after="0" w:line="25"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 longer be required by law to make any distributions to our shareholders.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required to incur additional debt to qualify as a REIT.</w:t>
      </w:r>
    </w:p>
    <w:p>
      <w:pPr>
        <w:spacing w:after="0" w:line="79" w:lineRule="exact"/>
        <w:rPr>
          <w:sz w:val="20"/>
          <w:szCs w:val="20"/>
          <w:color w:val="auto"/>
        </w:rPr>
      </w:pPr>
    </w:p>
    <w:p>
      <w:pPr>
        <w:jc w:val="both"/>
        <w:ind w:right="300" w:firstLine="456"/>
        <w:spacing w:after="0" w:line="262" w:lineRule="auto"/>
        <w:rPr>
          <w:sz w:val="20"/>
          <w:szCs w:val="20"/>
          <w:color w:val="auto"/>
        </w:rPr>
      </w:pPr>
      <w:r>
        <w:rPr>
          <w:rFonts w:ascii="Times New Roman" w:cs="Times New Roman" w:eastAsia="Times New Roman" w:hAnsi="Times New Roman"/>
          <w:sz w:val="18"/>
          <w:szCs w:val="18"/>
          <w:color w:val="auto"/>
        </w:rPr>
        <w:t>As a REIT, we must make annual distributions to shareholders of at least 90% of our REIT taxable income. We are subject to income tax on amounts of undistributed REIT taxable income and net capital gain. In addition, we would be subject to a 4% excise tax if we fail to distribute sufficient income to meet a minimum distribution test based on our ordinary income, capital gain and aggregate undistributed income from prior years.</w:t>
      </w:r>
    </w:p>
    <w:p>
      <w:pPr>
        <w:spacing w:after="0" w:line="119"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We intend to make distributions to shareholders to comply with the Code’s distribution provisions and to avoid federal income and excise tax. We may need to borrow funds to meet our distribution requirements because:</w:t>
      </w:r>
    </w:p>
    <w:p>
      <w:pPr>
        <w:spacing w:after="0" w:line="25" w:lineRule="exact"/>
        <w:rPr>
          <w:sz w:val="20"/>
          <w:szCs w:val="20"/>
          <w:color w:val="auto"/>
        </w:rPr>
      </w:pPr>
    </w:p>
    <w:p>
      <w:pPr>
        <w:ind w:left="800" w:hanging="346"/>
        <w:spacing w:after="0"/>
        <w:tabs>
          <w:tab w:leader="none" w:pos="8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income may not be matched by our related expenses at the time the income is considered received for purposes of determining taxable income; and</w:t>
      </w:r>
    </w:p>
    <w:p>
      <w:pPr>
        <w:spacing w:after="0" w:line="99" w:lineRule="exact"/>
        <w:rPr>
          <w:rFonts w:ascii="Times New Roman" w:cs="Times New Roman" w:eastAsia="Times New Roman" w:hAnsi="Times New Roman"/>
          <w:sz w:val="16"/>
          <w:szCs w:val="16"/>
          <w:color w:val="auto"/>
        </w:rPr>
      </w:pPr>
    </w:p>
    <w:p>
      <w:pPr>
        <w:ind w:left="800" w:hanging="346"/>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non-deductible capital expenditures, creation of reserves, or debt service requirements may reduce available cash but not taxable income.</w:t>
      </w:r>
    </w:p>
    <w:p>
      <w:pPr>
        <w:spacing w:after="0" w:line="158"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In these circumstances, we might have to borrow funds on unfavorable terms and we may have to borrow funds even if our management believes the market conditions make borrowing financially unattractive.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maintain our status as a REIT, we limit the amount of shares any one shareholder can own.</w:t>
      </w:r>
    </w:p>
    <w:p>
      <w:pPr>
        <w:spacing w:after="0" w:line="79"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 Code imposes certain limitations on the ownership of the stock of a REIT. For example, not more than 50% in value of our outstanding shares of capital stock may be owned, actually or constructively, by five or fewer individuals (as defined in the Code).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of series of preferred shares (or the acquisition of an interest in an entity that owns common shares or preferred shares), by an individual or entity could cause that individual or entity (or another) to own constructively more than 9.8% in value of the outstanding stock. If that happened, either the transfer or ownership would be void or the shares would be transferred to a charitable trust and then sold to someone who can own those shares without violating the 9.8% ownership limit.</w:t>
      </w:r>
    </w:p>
    <w:p>
      <w:pPr>
        <w:spacing w:after="0" w:line="130"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cannot assure you we will continue to pay dividends at historical rates.</w:t>
      </w:r>
    </w:p>
    <w:p>
      <w:pPr>
        <w:spacing w:after="0" w:line="79"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25" w:lineRule="exact"/>
        <w:rPr>
          <w:sz w:val="20"/>
          <w:szCs w:val="20"/>
          <w:color w:val="auto"/>
        </w:rPr>
      </w:pPr>
    </w:p>
    <w:p>
      <w:pPr>
        <w:ind w:left="800" w:hanging="346"/>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results of future operations;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lease terms by tenants;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loan covenants; and</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finance, develop or redevelop and lease additional properties at attractive rates.</w:t>
      </w:r>
    </w:p>
    <w:p>
      <w:pPr>
        <w:spacing w:after="0" w:line="15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we do not maintain or increase the dividend rate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tax and anti-takeover provisions of our declaration of trust and bylaws may inhibit a change of our control.</w:t>
      </w:r>
    </w:p>
    <w:p>
      <w:pPr>
        <w:spacing w:after="0" w:line="7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42" w:lineRule="exact"/>
        <w:rPr>
          <w:sz w:val="20"/>
          <w:szCs w:val="20"/>
          <w:color w:val="auto"/>
        </w:rPr>
      </w:pPr>
    </w:p>
    <w:p>
      <w:pPr>
        <w:ind w:left="800" w:hanging="346"/>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REIT ownership limit described above;</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our preferred shares with powers, preferences or rights to be determined by the Board of Trustees;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fixed-size Board of Trustees consisting of three classes of trustees;</w:t>
      </w:r>
    </w:p>
    <w:p>
      <w:pPr>
        <w:spacing w:after="0" w:line="76" w:lineRule="exact"/>
        <w:rPr>
          <w:rFonts w:ascii="Times New Roman" w:cs="Times New Roman" w:eastAsia="Times New Roman" w:hAnsi="Times New Roman"/>
          <w:sz w:val="18"/>
          <w:szCs w:val="18"/>
          <w:color w:val="auto"/>
        </w:rPr>
      </w:pPr>
    </w:p>
    <w:p>
      <w:pPr>
        <w:ind w:left="800" w:right="120" w:hanging="346"/>
        <w:spacing w:after="0" w:line="275"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our shareholders may be called by the chairman of the Board, by the chief executive officer, by the president, by one-third of the trustees or by shareholders possessing no less than 25% of all the votes entitled to be cast at the meeting;</w:t>
      </w:r>
    </w:p>
    <w:p>
      <w:pPr>
        <w:spacing w:after="0" w:line="25"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Trustees, without a shareholder vote, can classify or reclassify unissued</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40"/>
          </w:cols>
          <w:pgMar w:left="240" w:top="455" w:right="3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beneficial interest, including the reclassification of common shares into preferred shares and vice-versa;</w:t>
      </w:r>
    </w:p>
    <w:p>
      <w:pPr>
        <w:spacing w:after="0" w:line="293" w:lineRule="exact"/>
        <w:rPr>
          <w:sz w:val="20"/>
          <w:szCs w:val="20"/>
          <w:color w:val="auto"/>
        </w:rPr>
      </w:pPr>
    </w:p>
    <w:p>
      <w:pPr>
        <w:ind w:left="800" w:hanging="346"/>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two-thirds shareholder vote is required to approve some amendments to the declaration of trust;</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advance-notice requirements for proposals to be presented at shareholder meetings; and</w:t>
      </w:r>
    </w:p>
    <w:p>
      <w:pPr>
        <w:spacing w:after="0" w:line="76" w:lineRule="exact"/>
        <w:rPr>
          <w:rFonts w:ascii="Times New Roman" w:cs="Times New Roman" w:eastAsia="Times New Roman" w:hAnsi="Times New Roman"/>
          <w:sz w:val="18"/>
          <w:szCs w:val="18"/>
          <w:color w:val="auto"/>
        </w:rPr>
      </w:pPr>
    </w:p>
    <w:p>
      <w:pPr>
        <w:ind w:left="800" w:hanging="346"/>
        <w:spacing w:after="0" w:line="339" w:lineRule="auto"/>
        <w:tabs>
          <w:tab w:leader="none" w:pos="8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shareholder rights plan that provides, among other things, that when specified events occur, our shareholders will be entitled to purchase from us a number of common shares equal in value to two times the purchase price, which initially will be equal to $65 per share, subject to certain adjustments.</w:t>
      </w:r>
    </w:p>
    <w:p>
      <w:pPr>
        <w:spacing w:after="0" w:line="6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25"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fifty percent of the shareholders entitled to vote, and, upon such repeal, may, to the extent provided by any successor bylaw, apply to any prior or subsequent control share acquisition.</w:t>
      </w:r>
    </w:p>
    <w:p>
      <w:pPr>
        <w:spacing w:after="0" w:line="82"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b w:val="1"/>
          <w:bCs w:val="1"/>
          <w:color w:val="auto"/>
        </w:rPr>
        <w:t>We may amend or revise our business policies without your approval, and we have adopted a business plan that involves changes in our operational policies.</w:t>
      </w:r>
    </w:p>
    <w:p>
      <w:pPr>
        <w:spacing w:after="0" w:line="24" w:lineRule="exact"/>
        <w:rPr>
          <w:sz w:val="20"/>
          <w:szCs w:val="20"/>
          <w:color w:val="auto"/>
        </w:rPr>
      </w:pPr>
    </w:p>
    <w:p>
      <w:pPr>
        <w:jc w:val="both"/>
        <w:ind w:right="200" w:firstLine="456"/>
        <w:spacing w:after="0" w:line="258" w:lineRule="auto"/>
        <w:rPr>
          <w:sz w:val="20"/>
          <w:szCs w:val="20"/>
          <w:color w:val="auto"/>
        </w:rPr>
      </w:pPr>
      <w:r>
        <w:rPr>
          <w:rFonts w:ascii="Times New Roman" w:cs="Times New Roman" w:eastAsia="Times New Roman" w:hAnsi="Times New Roman"/>
          <w:sz w:val="18"/>
          <w:szCs w:val="18"/>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23"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In addition, in February of 2002, our Board of Trustees adopted a business plan that focuses on our investment in neighborhood and community shopping centers, principally through redevelopments and acquisitions. If our new business plan is not successful, it could have a material adverse effect on our financial condition and results of operations.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455" w:right="2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0" w:lineRule="exact"/>
        <w:rPr>
          <w:sz w:val="20"/>
          <w:szCs w:val="20"/>
          <w:color w:val="auto"/>
        </w:rPr>
      </w:pPr>
    </w:p>
    <w:p>
      <w:pPr>
        <w:jc w:val="both"/>
        <w:ind w:right="140" w:firstLine="456"/>
        <w:spacing w:after="0" w:line="310" w:lineRule="auto"/>
        <w:rPr>
          <w:sz w:val="20"/>
          <w:szCs w:val="20"/>
          <w:color w:val="auto"/>
        </w:rPr>
      </w:pPr>
      <w:r>
        <w:rPr>
          <w:rFonts w:ascii="Times New Roman" w:cs="Times New Roman" w:eastAsia="Times New Roman" w:hAnsi="Times New Roman"/>
          <w:sz w:val="16"/>
          <w:szCs w:val="16"/>
          <w:color w:val="auto"/>
        </w:rPr>
        <w:t>We will not receive any of the proceeds from sales of the common shares covered by this prospectus by the selling shareholders. We will pay all costs and expenses incurred in connection with the offering of the offered shares, other than any brokerage fees and commissions, fees and disbursements of legal counsel for the selling shareholders and share transfer and other taxes attributable to the sale of the common shares, which will be paid by the selling shareholders.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16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selling shareholders received the common shares in connection with a transaction in which, pursuant to the terms of the partnership agreement of one of our partnerships, an unaffiliated partner merged with and into one of our subsidiaries with the stockholders of the unaffiliated partner receiving the common shares in exchange for such partner’s partnership interests. The following table provides the name of each selling shareholder and the number of common shares that may be offered by each selling shareholder. The address for each selling shareholder is c/o CIM Group, LLC, 6922 Hollywood Boulevard, Suite 900, Los Angeles, California 90028. Since the selling shareholders may sell all, some or none of the offered shares, no estimate can be made of the number of offered shares that will be sold by the selling shareholders or that will be owned by the selling shareholders upon completion of the offering. The offered shares represent approximately .10% of our total common shares outstanding as of October 28, 2004.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26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6"/>
              </w:rPr>
              <w:t>Shares Beneficially</w:t>
            </w: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2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260" w:type="dxa"/>
            <w:vAlign w:val="bottom"/>
            <w:gridSpan w:val="4"/>
          </w:tcPr>
          <w:p>
            <w:pPr>
              <w:jc w:val="center"/>
              <w:ind w:right="580"/>
              <w:spacing w:after="0" w:line="139" w:lineRule="exact"/>
              <w:rPr>
                <w:sz w:val="20"/>
                <w:szCs w:val="20"/>
                <w:color w:val="auto"/>
              </w:rPr>
            </w:pPr>
            <w:r>
              <w:rPr>
                <w:rFonts w:ascii="Times New Roman" w:cs="Times New Roman" w:eastAsia="Times New Roman" w:hAnsi="Times New Roman"/>
                <w:sz w:val="14"/>
                <w:szCs w:val="14"/>
                <w:b w:val="1"/>
                <w:bCs w:val="1"/>
                <w:color w:val="auto"/>
                <w:w w:val="96"/>
              </w:rPr>
              <w:t>Owned Prior to the</w:t>
            </w: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100" w:type="dxa"/>
            <w:vAlign w:val="bottom"/>
            <w:gridSpan w:val="2"/>
          </w:tcPr>
          <w:p>
            <w:pPr>
              <w:jc w:val="center"/>
              <w:ind w:left="532"/>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After the Offering</w:t>
            </w:r>
            <w:r>
              <w:rPr>
                <w:rFonts w:ascii="Times New Roman" w:cs="Times New Roman" w:eastAsia="Times New Roman" w:hAnsi="Times New Roman"/>
                <w:sz w:val="22"/>
                <w:szCs w:val="22"/>
                <w:b w:val="1"/>
                <w:bCs w:val="1"/>
                <w:color w:val="auto"/>
                <w:vertAlign w:val="superscript"/>
              </w:rPr>
              <w:t>(1)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10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58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5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74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88"/>
              </w:rPr>
              <w:t>Percent</w:t>
            </w:r>
            <w:r>
              <w:rPr>
                <w:rFonts w:ascii="Times New Roman" w:cs="Times New Roman" w:eastAsia="Times New Roman" w:hAnsi="Times New Roman"/>
                <w:sz w:val="22"/>
                <w:szCs w:val="22"/>
                <w:b w:val="1"/>
                <w:bCs w:val="1"/>
                <w:color w:val="auto"/>
                <w:w w:val="88"/>
                <w:vertAlign w:val="superscript"/>
              </w:rPr>
              <w:t>(2)</w:t>
            </w: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 Being</w:t>
            </w:r>
          </w:p>
        </w:tc>
        <w:tc>
          <w:tcPr>
            <w:tcW w:w="15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Beneficially</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85"/>
              </w:rPr>
              <w:t>Percent</w:t>
            </w:r>
            <w:r>
              <w:rPr>
                <w:rFonts w:ascii="Times New Roman" w:cs="Times New Roman" w:eastAsia="Times New Roman" w:hAnsi="Times New Roman"/>
                <w:sz w:val="22"/>
                <w:szCs w:val="22"/>
                <w:b w:val="1"/>
                <w:bCs w:val="1"/>
                <w:color w:val="auto"/>
                <w:w w:val="85"/>
                <w:vertAlign w:val="superscript"/>
              </w:rPr>
              <w:t>(2)</w:t>
            </w:r>
          </w:p>
        </w:tc>
        <w:tc>
          <w:tcPr>
            <w:tcW w:w="0" w:type="dxa"/>
            <w:vAlign w:val="bottom"/>
          </w:tcPr>
          <w:p>
            <w:pPr>
              <w:spacing w:after="0"/>
              <w:rPr>
                <w:sz w:val="1"/>
                <w:szCs w:val="1"/>
                <w:color w:val="auto"/>
              </w:rPr>
            </w:pPr>
          </w:p>
        </w:tc>
      </w:tr>
      <w:tr>
        <w:trPr>
          <w:trHeight w:val="271"/>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3640" w:type="dxa"/>
            <w:vAlign w:val="bottom"/>
          </w:tcPr>
          <w:p>
            <w:pPr>
              <w:spacing w:after="0"/>
              <w:rPr>
                <w:sz w:val="23"/>
                <w:szCs w:val="23"/>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3"/>
              </w:rPr>
              <w:t>Owned</w:t>
            </w:r>
          </w:p>
        </w:tc>
        <w:tc>
          <w:tcPr>
            <w:tcW w:w="1160" w:type="dxa"/>
            <w:vAlign w:val="bottom"/>
            <w:gridSpan w:val="2"/>
            <w:vMerge w:val="continue"/>
          </w:tcPr>
          <w:p>
            <w:pPr>
              <w:spacing w:after="0"/>
              <w:rPr>
                <w:sz w:val="23"/>
                <w:szCs w:val="23"/>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4"/>
              </w:rPr>
              <w:t>Offered</w:t>
            </w: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7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2100" w:type="dxa"/>
            <w:vAlign w:val="bottom"/>
            <w:tcBorders>
              <w:top w:val="single" w:sz="8" w:color="auto"/>
            </w:tcBorders>
          </w:tcPr>
          <w:p>
            <w:pPr>
              <w:spacing w:after="0"/>
              <w:rPr>
                <w:sz w:val="9"/>
                <w:szCs w:val="9"/>
                <w:color w:val="auto"/>
              </w:rPr>
            </w:pPr>
          </w:p>
        </w:tc>
        <w:tc>
          <w:tcPr>
            <w:tcW w:w="36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Ressler</w:t>
            </w:r>
          </w:p>
        </w:tc>
        <w:tc>
          <w:tcPr>
            <w:tcW w:w="47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55,402</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20,101</w:t>
            </w:r>
          </w:p>
        </w:tc>
        <w:tc>
          <w:tcPr>
            <w:tcW w:w="15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35,301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Shaul Kuba</w:t>
            </w:r>
          </w:p>
        </w:tc>
        <w:tc>
          <w:tcPr>
            <w:tcW w:w="47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61,586</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10,050</w:t>
            </w: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51,536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Avraham Shemesh</w:t>
            </w:r>
          </w:p>
        </w:tc>
        <w:tc>
          <w:tcPr>
            <w:tcW w:w="47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61,586</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10,050</w:t>
            </w:r>
          </w:p>
        </w:tc>
        <w:tc>
          <w:tcPr>
            <w:tcW w:w="15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51,536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Assuming the sale of all of the shares being offered under this registration statement.</w:t>
      </w:r>
    </w:p>
    <w:p>
      <w:pPr>
        <w:spacing w:after="0" w:line="64" w:lineRule="exact"/>
        <w:rPr>
          <w:rFonts w:ascii="Times New Roman" w:cs="Times New Roman" w:eastAsia="Times New Roman" w:hAnsi="Times New Roman"/>
          <w:sz w:val="22"/>
          <w:szCs w:val="22"/>
          <w:color w:val="auto"/>
          <w:vertAlign w:val="superscript"/>
        </w:rPr>
      </w:pPr>
    </w:p>
    <w:p>
      <w:pPr>
        <w:ind w:left="460" w:hanging="452"/>
        <w:spacing w:after="0" w:line="207" w:lineRule="auto"/>
        <w:tabs>
          <w:tab w:leader="none" w:pos="46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Based upon 52,112,089 common shares outstanding as of October 28, 2004.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INCOME TAX CONSIDERATIONS</w:t>
      </w:r>
    </w:p>
    <w:p>
      <w:pPr>
        <w:spacing w:after="0" w:line="16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following sections summarize the material federal income tax issues that you may consider relevant. Because this section is a summary, it does not address all of the tax issues that may be important to you. In addition, this section does not address the tax issues that may be important to certain types of shareholders that are subject to special treatment under the federal income tax laws, such as insurance companies, tax-exempt organizations (except to the extent discussed in “— Taxation of Tax — Exempt U.S. Shareholders” below), financial institutions and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broker-dealers, and non-U.S. individuals and foreign corporations (except to the extent discussed in “— Taxation of Non-U.S. Shareholders” below).</w:t>
      </w:r>
    </w:p>
    <w:p>
      <w:pPr>
        <w:spacing w:after="0" w:line="158"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06"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Company</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19"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In the opinion of our tax counsel, Shaw Pittman LLP, (i) we qualified as a REIT under Sections 856 through 859 of the Code with respect to our taxable years ended through December 31, 2001;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Shaw Pittman LLP will not monitor our compliance with the requirements for REIT qualification on an ongoing basis. Accordingly, our actual operating results may not satisfy the qualification tests. For a discussion of the tax treatment of us and our shareholders if we fail to qualify as a REIT, see “— Requirements for REIT Qualification — Failure to Qualify.”</w:t>
      </w:r>
    </w:p>
    <w:p>
      <w:pPr>
        <w:spacing w:after="0" w:line="125" w:lineRule="exact"/>
        <w:rPr>
          <w:sz w:val="20"/>
          <w:szCs w:val="20"/>
          <w:color w:val="auto"/>
        </w:rPr>
      </w:pPr>
    </w:p>
    <w:p>
      <w:pPr>
        <w:jc w:val="both"/>
        <w:ind w:right="480" w:firstLine="456"/>
        <w:spacing w:after="0" w:line="262" w:lineRule="auto"/>
        <w:rPr>
          <w:sz w:val="20"/>
          <w:szCs w:val="20"/>
          <w:color w:val="auto"/>
        </w:rPr>
      </w:pPr>
      <w:r>
        <w:rPr>
          <w:rFonts w:ascii="Times New Roman" w:cs="Times New Roman" w:eastAsia="Times New Roman" w:hAnsi="Times New Roman"/>
          <w:sz w:val="18"/>
          <w:szCs w:val="18"/>
          <w:color w:val="auto"/>
        </w:rPr>
        <w:t>As a REIT, we generally will not be subject to federal income tax on the taxable income that we distribute to our shareholders. The benefit of that tax treatment is that it avoids the “double taxation” (i.e., at both the corporate and stockholder levels) that generally results from owning stock in a corporation. However, we will be subject to federal tax in the following circumstances:</w:t>
      </w:r>
    </w:p>
    <w:p>
      <w:pPr>
        <w:spacing w:after="0" w:line="38" w:lineRule="exact"/>
        <w:rPr>
          <w:sz w:val="20"/>
          <w:szCs w:val="20"/>
          <w:color w:val="auto"/>
        </w:rPr>
      </w:pPr>
    </w:p>
    <w:p>
      <w:pPr>
        <w:ind w:left="800" w:right="20" w:hanging="346"/>
        <w:spacing w:after="0" w:line="275" w:lineRule="auto"/>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hanging="346"/>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the “alternative minimum tax” on any items of tax preference that we do not distribute or allocate to our shareholders;</w:t>
      </w:r>
    </w:p>
    <w:p>
      <w:pPr>
        <w:spacing w:after="0" w:line="76" w:lineRule="exact"/>
        <w:rPr>
          <w:rFonts w:ascii="Times New Roman" w:cs="Times New Roman" w:eastAsia="Times New Roman" w:hAnsi="Times New Roman"/>
          <w:sz w:val="18"/>
          <w:szCs w:val="18"/>
          <w:color w:val="auto"/>
        </w:rPr>
      </w:pPr>
    </w:p>
    <w:p>
      <w:pPr>
        <w:ind w:left="800" w:right="160" w:hanging="346"/>
        <w:spacing w:after="0" w:line="275"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25" w:lineRule="exact"/>
        <w:rPr>
          <w:rFonts w:ascii="Times New Roman" w:cs="Times New Roman" w:eastAsia="Times New Roman" w:hAnsi="Times New Roman"/>
          <w:sz w:val="18"/>
          <w:szCs w:val="18"/>
          <w:color w:val="auto"/>
        </w:rPr>
      </w:pPr>
    </w:p>
    <w:p>
      <w:pPr>
        <w:ind w:left="800" w:right="140" w:hanging="346"/>
        <w:spacing w:after="0" w:line="275"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25" w:lineRule="exact"/>
        <w:rPr>
          <w:rFonts w:ascii="Times New Roman" w:cs="Times New Roman" w:eastAsia="Times New Roman" w:hAnsi="Times New Roman"/>
          <w:sz w:val="18"/>
          <w:szCs w:val="18"/>
          <w:color w:val="auto"/>
        </w:rPr>
      </w:pPr>
    </w:p>
    <w:p>
      <w:pPr>
        <w:ind w:left="800" w:right="180" w:hanging="346"/>
        <w:spacing w:after="0" w:line="289" w:lineRule="auto"/>
        <w:tabs>
          <w:tab w:leader="none" w:pos="8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satisfy the 75% gross income test or the 95% gross income test (as described below under “— Requirements for REIT Qualification — Income Tests”), and nonetheless continue to qualify as a REIT because we meet certain other requirements, we will pay a 100% tax on the greater of</w:t>
      </w:r>
    </w:p>
    <w:p>
      <w:pPr>
        <w:spacing w:after="0" w:line="1" w:lineRule="exact"/>
        <w:rPr>
          <w:rFonts w:ascii="Times New Roman" w:cs="Times New Roman" w:eastAsia="Times New Roman" w:hAnsi="Times New Roman"/>
          <w:sz w:val="16"/>
          <w:szCs w:val="16"/>
          <w:color w:val="auto"/>
        </w:rPr>
      </w:pPr>
    </w:p>
    <w:p>
      <w:pPr>
        <w:ind w:left="80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the amount by which 90% of our gross income (excluding gross income from prohibited transactions) exceeds our qualifying income under the 95% gross income test, or (ii) the amount of which 75% of our gross income (excluding gross income from prohibited transactions) exceeds our qualifying income under the 75% gross income test, multiplied, in either case, by a fraction intended to reflect our profitability;</w:t>
      </w:r>
    </w:p>
    <w:p>
      <w:pPr>
        <w:spacing w:after="0" w:line="43" w:lineRule="exact"/>
        <w:rPr>
          <w:rFonts w:ascii="Times New Roman" w:cs="Times New Roman" w:eastAsia="Times New Roman" w:hAnsi="Times New Roman"/>
          <w:sz w:val="16"/>
          <w:szCs w:val="16"/>
          <w:color w:val="auto"/>
        </w:rPr>
      </w:pPr>
    </w:p>
    <w:p>
      <w:pPr>
        <w:ind w:left="800" w:right="120" w:hanging="346"/>
        <w:spacing w:after="0" w:line="262"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37"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or</w:t>
      </w:r>
    </w:p>
    <w:p>
      <w:pPr>
        <w:spacing w:after="0" w:line="76" w:lineRule="exact"/>
        <w:rPr>
          <w:rFonts w:ascii="Times New Roman" w:cs="Times New Roman" w:eastAsia="Times New Roman" w:hAnsi="Times New Roman"/>
          <w:sz w:val="18"/>
          <w:szCs w:val="18"/>
          <w:color w:val="auto"/>
        </w:rPr>
      </w:pPr>
    </w:p>
    <w:p>
      <w:pPr>
        <w:ind w:left="800" w:right="140" w:hanging="346"/>
        <w:spacing w:after="0" w:line="256"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REIT Qualification</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qualify as a REIT, we must meet the following requirements:</w:t>
      </w:r>
    </w:p>
    <w:p>
      <w:pPr>
        <w:spacing w:after="0" w:line="158" w:lineRule="exact"/>
        <w:rPr>
          <w:sz w:val="20"/>
          <w:szCs w:val="20"/>
          <w:color w:val="auto"/>
        </w:rPr>
      </w:pPr>
    </w:p>
    <w:p>
      <w:pPr>
        <w:ind w:left="640" w:hanging="17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by one or more trustees or directors;</w:t>
      </w:r>
    </w:p>
    <w:p>
      <w:pPr>
        <w:spacing w:after="0" w:line="157"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beneficial ownership is evidenced by transferable shares, or by transferable certificates of beneficial interest;</w:t>
      </w:r>
    </w:p>
    <w:p>
      <w:pPr>
        <w:spacing w:after="0" w:line="157"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taxable as a domestic corporation, but for Sections 856 through 860 of the Code;</w:t>
      </w:r>
    </w:p>
    <w:p>
      <w:pPr>
        <w:spacing w:after="0" w:line="157"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neither a financial institution nor an insurance company subject to certain provisions of the Code;</w:t>
      </w:r>
    </w:p>
    <w:p>
      <w:pPr>
        <w:spacing w:after="0" w:line="157"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100 persons are beneficial owners of our shares or ownership certificates;</w:t>
      </w:r>
    </w:p>
    <w:p>
      <w:pPr>
        <w:spacing w:after="0" w:line="157" w:lineRule="exact"/>
        <w:rPr>
          <w:rFonts w:ascii="Times New Roman" w:cs="Times New Roman" w:eastAsia="Times New Roman" w:hAnsi="Times New Roman"/>
          <w:sz w:val="18"/>
          <w:szCs w:val="18"/>
          <w:color w:val="auto"/>
        </w:rPr>
      </w:pPr>
    </w:p>
    <w:p>
      <w:pPr>
        <w:ind w:firstLine="464"/>
        <w:spacing w:after="0" w:line="275" w:lineRule="auto"/>
        <w:tabs>
          <w:tab w:leader="none" w:pos="6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106" w:lineRule="exact"/>
        <w:rPr>
          <w:rFonts w:ascii="Times New Roman" w:cs="Times New Roman" w:eastAsia="Times New Roman" w:hAnsi="Times New Roman"/>
          <w:sz w:val="18"/>
          <w:szCs w:val="18"/>
          <w:color w:val="auto"/>
        </w:rPr>
      </w:pPr>
    </w:p>
    <w:p>
      <w:pPr>
        <w:ind w:right="480" w:firstLine="464"/>
        <w:spacing w:after="0" w:line="275" w:lineRule="auto"/>
        <w:tabs>
          <w:tab w:leader="none" w:pos="6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 to be a REIT (or have made such election for a previous taxable year) and satisfy all relevant filing and other administrative requirements established by the Internal Revenue Service that must be met to elect and maintain REIT status;</w:t>
      </w:r>
    </w:p>
    <w:p>
      <w:pPr>
        <w:spacing w:after="0" w:line="106" w:lineRule="exact"/>
        <w:rPr>
          <w:rFonts w:ascii="Times New Roman" w:cs="Times New Roman" w:eastAsia="Times New Roman" w:hAnsi="Times New Roman"/>
          <w:sz w:val="18"/>
          <w:szCs w:val="18"/>
          <w:color w:val="auto"/>
        </w:rPr>
      </w:pPr>
    </w:p>
    <w:p>
      <w:pPr>
        <w:ind w:right="160" w:firstLine="464"/>
        <w:spacing w:after="0" w:line="275" w:lineRule="auto"/>
        <w:tabs>
          <w:tab w:leader="none" w:pos="6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calendar year for federal income tax purposes and comply with the record keeping requirements of the Code and the related regulations of the U.S. Department of Treasury (“Treasury”); and</w:t>
      </w:r>
    </w:p>
    <w:p>
      <w:pPr>
        <w:spacing w:after="0" w:line="106"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meet certain other qualification tests, described below, regarding the nature of our income and assets.</w:t>
      </w:r>
    </w:p>
    <w:p>
      <w:pPr>
        <w:spacing w:after="0" w:line="158"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28"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We believe we have issued sufficient common shares with sufficient diversity of ownership to satisfy requirements 5 and 6 set forth above. In addition, our declaration of trust restricts the ownership and transfer of the common shares so that we should continue to satisfy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requirements 5 and 6. The provisions of our declaration of trust restricting the ownership and transfer of the common shares are described in “Description of Shares of Beneficial Interest-Restrictions on Ownership and Transfer.”</w:t>
      </w:r>
    </w:p>
    <w:p>
      <w:pPr>
        <w:spacing w:after="0" w:line="106"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they are not subject to federal corporate income taxation, though they may be subject to state and local taxation.</w:t>
      </w:r>
    </w:p>
    <w:p>
      <w:pPr>
        <w:spacing w:after="0" w:line="99" w:lineRule="exact"/>
        <w:rPr>
          <w:sz w:val="20"/>
          <w:szCs w:val="20"/>
          <w:color w:val="auto"/>
        </w:rPr>
      </w:pPr>
    </w:p>
    <w:p>
      <w:pPr>
        <w:jc w:val="both"/>
        <w:ind w:right="240" w:firstLine="456"/>
        <w:spacing w:after="0" w:line="258" w:lineRule="auto"/>
        <w:rPr>
          <w:sz w:val="20"/>
          <w:szCs w:val="20"/>
          <w:color w:val="auto"/>
        </w:rPr>
      </w:pPr>
      <w:r>
        <w:rPr>
          <w:rFonts w:ascii="Times New Roman" w:cs="Times New Roman" w:eastAsia="Times New Roman" w:hAnsi="Times New Roman"/>
          <w:sz w:val="18"/>
          <w:szCs w:val="18"/>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liabilities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Tests</w:t>
      </w:r>
      <w:r>
        <w:rPr>
          <w:rFonts w:ascii="Times New Roman" w:cs="Times New Roman" w:eastAsia="Times New Roman" w:hAnsi="Times New Roman"/>
          <w:sz w:val="18"/>
          <w:szCs w:val="18"/>
          <w:color w:val="auto"/>
        </w:rPr>
        <w:t>. We must satisfy two gross income tests annually to maintain our qualification as a REIT:</w:t>
      </w:r>
    </w:p>
    <w:p>
      <w:pPr>
        <w:spacing w:after="0" w:line="79" w:lineRule="exact"/>
        <w:rPr>
          <w:sz w:val="20"/>
          <w:szCs w:val="20"/>
          <w:color w:val="auto"/>
        </w:rPr>
      </w:pPr>
    </w:p>
    <w:p>
      <w:pPr>
        <w:ind w:left="800" w:right="60" w:hanging="346"/>
        <w:spacing w:after="0" w:line="256"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 from real property,” interest on debt secured by mortgages on real property or on interests in real property, and dividends or other distributions on and gain from the sale of shares in other REITs; and</w:t>
      </w:r>
    </w:p>
    <w:p>
      <w:pPr>
        <w:spacing w:after="0" w:line="44" w:lineRule="exact"/>
        <w:rPr>
          <w:rFonts w:ascii="Times New Roman" w:cs="Times New Roman" w:eastAsia="Times New Roman" w:hAnsi="Times New Roman"/>
          <w:sz w:val="18"/>
          <w:szCs w:val="18"/>
          <w:color w:val="auto"/>
        </w:rPr>
      </w:pPr>
    </w:p>
    <w:p>
      <w:pPr>
        <w:ind w:left="800" w:hanging="346"/>
        <w:spacing w:after="0" w:line="262"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 of our gross income (excluding gross income from prohibited transactions)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paragraphs discuss the specific application of these tests to us.</w:t>
      </w:r>
    </w:p>
    <w:p>
      <w:pPr>
        <w:spacing w:after="0" w:line="156"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Rental Income</w:t>
      </w:r>
      <w:r>
        <w:rPr>
          <w:rFonts w:ascii="Times New Roman" w:cs="Times New Roman" w:eastAsia="Times New Roman" w:hAnsi="Times New Roman"/>
          <w:sz w:val="18"/>
          <w:szCs w:val="18"/>
          <w:color w:val="auto"/>
        </w:rPr>
        <w:t>. Our primary source of income derives from leasing properties. Rent that we receive from real property that we own and lease to tenants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“rents from real property” (which is qualifying income for purposes of the 75% and 95% gross income tests) only if several conditions are met under the REIT tax rules:</w:t>
      </w:r>
    </w:p>
    <w:p>
      <w:pPr>
        <w:spacing w:after="0" w:line="35" w:lineRule="exact"/>
        <w:rPr>
          <w:sz w:val="20"/>
          <w:szCs w:val="20"/>
          <w:color w:val="auto"/>
        </w:rPr>
      </w:pPr>
    </w:p>
    <w:p>
      <w:pPr>
        <w:ind w:left="800" w:right="80" w:hanging="346"/>
        <w:spacing w:after="0" w:line="262" w:lineRule="auto"/>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rent must not be based, in whole or in part, on the income or profits of any person although, generally, rent may be based on a fixed percentage or percentages of receipts or sales. We have not entered into any lease based in whole or part on the net income of any person and do not anticipate entering into such arrangements.</w:t>
      </w:r>
    </w:p>
    <w:p>
      <w:pPr>
        <w:spacing w:after="0" w:line="37" w:lineRule="exact"/>
        <w:rPr>
          <w:rFonts w:ascii="Times New Roman" w:cs="Times New Roman" w:eastAsia="Times New Roman" w:hAnsi="Times New Roman"/>
          <w:sz w:val="18"/>
          <w:szCs w:val="18"/>
          <w:color w:val="auto"/>
        </w:rPr>
      </w:pPr>
    </w:p>
    <w:p>
      <w:pPr>
        <w:ind w:left="800" w:right="20" w:hanging="346"/>
        <w:spacing w:after="0" w:line="253" w:lineRule="auto"/>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46" w:lineRule="exact"/>
        <w:rPr>
          <w:rFonts w:ascii="Times New Roman" w:cs="Times New Roman" w:eastAsia="Times New Roman" w:hAnsi="Times New Roman"/>
          <w:sz w:val="18"/>
          <w:szCs w:val="18"/>
          <w:color w:val="auto"/>
        </w:rPr>
      </w:pPr>
    </w:p>
    <w:p>
      <w:pPr>
        <w:ind w:left="800" w:right="80" w:hanging="346"/>
        <w:spacing w:after="0" w:line="255" w:lineRule="auto"/>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rent from a taxable REIT subsidiary which would, but for this exception, be considered rent from a related party tenant, the space leased to the taxable 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44" w:lineRule="exact"/>
        <w:rPr>
          <w:rFonts w:ascii="Times New Roman" w:cs="Times New Roman" w:eastAsia="Times New Roman" w:hAnsi="Times New Roman"/>
          <w:sz w:val="18"/>
          <w:szCs w:val="18"/>
          <w:color w:val="auto"/>
        </w:rPr>
      </w:pPr>
    </w:p>
    <w:p>
      <w:pPr>
        <w:ind w:left="800" w:right="220" w:hanging="346"/>
        <w:spacing w:after="0" w:line="258" w:lineRule="auto"/>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rent attributable to any personal property leased in connection with a lease of property is no more than 15% of the total rent received under the lease. In general, we have not leased a significant 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hanging="346"/>
        <w:spacing w:after="0" w:line="254" w:lineRule="auto"/>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must not operate or manage our property or furnish or render services to our tenants, other than through an “independent contractor” who is adequately 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Based on the foregoing, we believe that rent from leases should qualify as “rents from real property” for purposes of the 75% and 95% gross income tests.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above, however, the IRS may not assert successfully a contrary position and, therefore, prevent us from qualifying as a REIT.</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an ongoing basis, we will use our best efforts not to:</w:t>
      </w:r>
    </w:p>
    <w:p>
      <w:pPr>
        <w:spacing w:after="0" w:line="77" w:lineRule="exact"/>
        <w:rPr>
          <w:sz w:val="20"/>
          <w:szCs w:val="20"/>
          <w:color w:val="auto"/>
        </w:rPr>
      </w:pPr>
    </w:p>
    <w:p>
      <w:pPr>
        <w:ind w:left="800" w:right="160" w:hanging="346"/>
        <w:spacing w:after="0" w:line="275" w:lineRule="auto"/>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rent for any property that is based in whole or in part on the income or profits of any person (except by reason of being based on a percentage of receipts or sales, as described above);</w:t>
      </w:r>
    </w:p>
    <w:p>
      <w:pPr>
        <w:spacing w:after="0" w:line="25" w:lineRule="exact"/>
        <w:rPr>
          <w:rFonts w:ascii="Times New Roman" w:cs="Times New Roman" w:eastAsia="Times New Roman" w:hAnsi="Times New Roman"/>
          <w:sz w:val="18"/>
          <w:szCs w:val="18"/>
          <w:color w:val="auto"/>
        </w:rPr>
      </w:pPr>
    </w:p>
    <w:p>
      <w:pPr>
        <w:ind w:left="800" w:right="340" w:hanging="346"/>
        <w:spacing w:after="0" w:line="262" w:lineRule="auto"/>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37" w:lineRule="exact"/>
        <w:rPr>
          <w:rFonts w:ascii="Times New Roman" w:cs="Times New Roman" w:eastAsia="Times New Roman" w:hAnsi="Times New Roman"/>
          <w:sz w:val="18"/>
          <w:szCs w:val="18"/>
          <w:color w:val="auto"/>
        </w:rPr>
      </w:pPr>
    </w:p>
    <w:p>
      <w:pPr>
        <w:ind w:left="800" w:right="100" w:hanging="346"/>
        <w:spacing w:after="0" w:line="275" w:lineRule="auto"/>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25" w:lineRule="exact"/>
        <w:rPr>
          <w:rFonts w:ascii="Times New Roman" w:cs="Times New Roman" w:eastAsia="Times New Roman" w:hAnsi="Times New Roman"/>
          <w:sz w:val="18"/>
          <w:szCs w:val="18"/>
          <w:color w:val="auto"/>
        </w:rPr>
      </w:pPr>
    </w:p>
    <w:p>
      <w:pPr>
        <w:jc w:val="both"/>
        <w:ind w:left="800" w:right="20" w:hanging="346"/>
        <w:spacing w:after="0" w:line="262" w:lineRule="auto"/>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Because the Code provisions applicable to REITs are complex, however, we may fail to meet one or more of the foregoing.</w:t>
      </w:r>
    </w:p>
    <w:p>
      <w:pPr>
        <w:spacing w:after="0" w:line="156" w:lineRule="exact"/>
        <w:rPr>
          <w:sz w:val="20"/>
          <w:szCs w:val="20"/>
          <w:color w:val="auto"/>
        </w:rPr>
      </w:pPr>
    </w:p>
    <w:p>
      <w:pPr>
        <w:ind w:right="1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Tax on Income From Property Acquired in Foreclosure</w:t>
      </w:r>
      <w:r>
        <w:rPr>
          <w:rFonts w:ascii="Times New Roman" w:cs="Times New Roman" w:eastAsia="Times New Roman" w:hAnsi="Times New Roman"/>
          <w:sz w:val="18"/>
          <w:szCs w:val="18"/>
          <w:color w:val="auto"/>
        </w:rPr>
        <w:t>. We will be subject to tax at the maximum corporate rate on any income from foreclosure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income that would be qualifying income for purposes of the 75% gross income test), less expenses directly</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connected to the production of such income. “Foreclosure property” is any real property including interests in real property) and any personal property incident to such real property:</w:t>
      </w:r>
    </w:p>
    <w:p>
      <w:pPr>
        <w:spacing w:after="0" w:line="25" w:lineRule="exact"/>
        <w:rPr>
          <w:sz w:val="20"/>
          <w:szCs w:val="20"/>
          <w:color w:val="auto"/>
        </w:rPr>
      </w:pPr>
    </w:p>
    <w:p>
      <w:pPr>
        <w:ind w:left="800" w:right="280" w:hanging="346"/>
        <w:spacing w:after="0" w:line="275" w:lineRule="auto"/>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acquired by a REIT at a foreclosure sale, or having otherwise become the owner or in possession of the property by agreement or process of law, after a default (or imminent default) on a lease of such property or on an debt owed to the REIT secured by the property;</w:t>
      </w:r>
    </w:p>
    <w:p>
      <w:pPr>
        <w:spacing w:after="0" w:line="25"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related loan was acquired by the REIT at a time when default was not imminent or anticipated; and</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REIT makes a proper election to treat the property as foreclosure property.</w:t>
      </w:r>
    </w:p>
    <w:p>
      <w:pPr>
        <w:spacing w:after="0" w:line="158" w:lineRule="exact"/>
        <w:rPr>
          <w:sz w:val="20"/>
          <w:szCs w:val="20"/>
          <w:color w:val="auto"/>
        </w:rPr>
      </w:pPr>
    </w:p>
    <w:p>
      <w:pPr>
        <w:jc w:val="both"/>
        <w:ind w:firstLine="456"/>
        <w:spacing w:after="0" w:line="325" w:lineRule="auto"/>
        <w:rPr>
          <w:sz w:val="20"/>
          <w:szCs w:val="20"/>
          <w:color w:val="auto"/>
        </w:rPr>
      </w:pPr>
      <w:r>
        <w:rPr>
          <w:rFonts w:ascii="Times New Roman" w:cs="Times New Roman" w:eastAsia="Times New Roman" w:hAnsi="Times New Roman"/>
          <w:sz w:val="16"/>
          <w:szCs w:val="16"/>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1" w:lineRule="exact"/>
        <w:rPr>
          <w:sz w:val="20"/>
          <w:szCs w:val="20"/>
          <w:color w:val="auto"/>
        </w:rPr>
      </w:pPr>
    </w:p>
    <w:p>
      <w:pPr>
        <w:ind w:left="800" w:right="260" w:hanging="346"/>
        <w:spacing w:after="0" w:line="275"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third taxable year following the taxable year in which the REIT acquired the property (or longer if an extension is granted by the Secretary of the Treasury);</w:t>
      </w:r>
    </w:p>
    <w:p>
      <w:pPr>
        <w:spacing w:after="0" w:line="25" w:lineRule="exact"/>
        <w:rPr>
          <w:rFonts w:ascii="Times New Roman" w:cs="Times New Roman" w:eastAsia="Times New Roman" w:hAnsi="Times New Roman"/>
          <w:sz w:val="18"/>
          <w:szCs w:val="18"/>
          <w:color w:val="auto"/>
        </w:rPr>
      </w:pPr>
    </w:p>
    <w:p>
      <w:pPr>
        <w:ind w:left="800" w:right="180" w:hanging="346"/>
        <w:spacing w:after="0" w:line="26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37" w:lineRule="exact"/>
        <w:rPr>
          <w:rFonts w:ascii="Times New Roman" w:cs="Times New Roman" w:eastAsia="Times New Roman" w:hAnsi="Times New Roman"/>
          <w:sz w:val="18"/>
          <w:szCs w:val="18"/>
          <w:color w:val="auto"/>
        </w:rPr>
      </w:pPr>
    </w:p>
    <w:p>
      <w:pPr>
        <w:ind w:left="800" w:right="40" w:hanging="346"/>
        <w:spacing w:after="0" w:line="275"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25" w:lineRule="exact"/>
        <w:rPr>
          <w:rFonts w:ascii="Times New Roman" w:cs="Times New Roman" w:eastAsia="Times New Roman" w:hAnsi="Times New Roman"/>
          <w:sz w:val="18"/>
          <w:szCs w:val="18"/>
          <w:color w:val="auto"/>
        </w:rPr>
      </w:pPr>
    </w:p>
    <w:p>
      <w:pPr>
        <w:ind w:left="800" w:right="200" w:hanging="346"/>
        <w:spacing w:after="0" w:line="339" w:lineRule="auto"/>
        <w:tabs>
          <w:tab w:leader="none" w:pos="8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59"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Tax on Prohibited Transactions</w:t>
      </w:r>
      <w:r>
        <w:rPr>
          <w:rFonts w:ascii="Times New Roman" w:cs="Times New Roman" w:eastAsia="Times New Roman" w:hAnsi="Times New Roman"/>
          <w:sz w:val="18"/>
          <w:szCs w:val="18"/>
          <w:color w:val="auto"/>
        </w:rPr>
        <w:t>. A REIT will incur a 100% tax on net income derived from any “prohibited transaction.” A “prohibited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is a sale or other disposition of property (other than foreclosure property) that the REIT holds primarily for sale to customers in the ordinary course of a trade or business. We believe that none of our assets are held for sale to customers and that a sale of any such asset would not be in the ordinary course of its business. Whether a REIT holds an asset “primarily for sale to customers in the ordinary course of a trade or business” depends, however, on the facts and circumstances in effect from time to time, including those related to a particular asset. Nevertheless, we will attempt to</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45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comply with the terms of safe-harbor provisions in the Code prescribing when an asset sale will not be characterized as a prohibited transaction. We may fail to comply with such safe-harbor provisions or may own property that could be characterized as property held “primarily for sale to customers in the ordinary course of a trade or business.”</w:t>
      </w:r>
    </w:p>
    <w:p>
      <w:pPr>
        <w:spacing w:after="0" w:line="117"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Tax and Deduction Limits on Certain Transactions with Taxable REIT Subsidiaries</w:t>
      </w:r>
      <w:r>
        <w:rPr>
          <w:rFonts w:ascii="Times New Roman" w:cs="Times New Roman" w:eastAsia="Times New Roman" w:hAnsi="Times New Roman"/>
          <w:sz w:val="18"/>
          <w:szCs w:val="18"/>
          <w:color w:val="auto"/>
        </w:rPr>
        <w:t>. A REIT will incur a 100% tax on certain transactions between a REIT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Relief from Consequences of Failing to Meet Income Tests</w:t>
      </w:r>
      <w:r>
        <w:rPr>
          <w:rFonts w:ascii="Times New Roman" w:cs="Times New Roman" w:eastAsia="Times New Roman" w:hAnsi="Times New Roman"/>
          <w:sz w:val="18"/>
          <w:szCs w:val="18"/>
          <w:color w:val="auto"/>
        </w:rPr>
        <w:t>. If we fail to satisfy one or both of the 75% and 95% gross income tests for any taxable year,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nevertheless may qualify as a REIT for such year if we qualify for relief under certain provisions of the Code. Those relief provisions generally will be available if our failure to meet such tests is due to reasonable cause and not due to willful neglect, we attach a schedule of the sources of our income to our tax return, and any incorrect information on the schedule was not due to fraud with intent to evade tax. We may not qualify for the relief provisions in all circumstances. In addition, as discussed above in “— Taxation of the Company,” even if the relief provisions apply, we would incur a 100% tax on the greater of (i) the amount by which 90% of our gross income (excluding gross income from prohibited transactions) exceeds our qualifying income under the 95% gross income test, or (ii) the amount by which 75% of our gross income (excluding gross income from prohibited transactions) exceeds our qualifying income under the 75% gross income test, multiplied, in either case, by a fraction intended to reflect our profitability.</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Asset Tests</w:t>
      </w:r>
      <w:r>
        <w:rPr>
          <w:rFonts w:ascii="Times New Roman" w:cs="Times New Roman" w:eastAsia="Times New Roman" w:hAnsi="Times New Roman"/>
          <w:sz w:val="18"/>
          <w:szCs w:val="18"/>
          <w:color w:val="auto"/>
        </w:rPr>
        <w:t>. To maintain our qualification as a REIT, we also must satisfy two asset tests at the close of each quarter of each taxable year:</w:t>
      </w:r>
    </w:p>
    <w:p>
      <w:pPr>
        <w:spacing w:after="0" w:line="79" w:lineRule="exact"/>
        <w:rPr>
          <w:sz w:val="20"/>
          <w:szCs w:val="20"/>
          <w:color w:val="auto"/>
        </w:rPr>
      </w:pPr>
    </w:p>
    <w:p>
      <w:pPr>
        <w:ind w:left="800" w:right="440" w:hanging="346"/>
        <w:spacing w:after="0" w:line="275"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consist of cash or cash items (including certain receivables), government securities, “real estate assets,” or qualifying temporary investments (the “75% asset test”).</w:t>
      </w:r>
    </w:p>
    <w:p>
      <w:pPr>
        <w:spacing w:after="0" w:line="25" w:lineRule="exact"/>
        <w:rPr>
          <w:rFonts w:ascii="Times New Roman" w:cs="Times New Roman" w:eastAsia="Times New Roman" w:hAnsi="Times New Roman"/>
          <w:sz w:val="18"/>
          <w:szCs w:val="18"/>
          <w:color w:val="auto"/>
        </w:rPr>
      </w:pPr>
    </w:p>
    <w:p>
      <w:pPr>
        <w:ind w:left="800" w:right="160" w:hanging="346"/>
        <w:spacing w:after="0" w:line="275"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assets” include interests in real property, interests in mortgages on real property and stock in other REITs. We believe that the properties qualify as real estate assets.</w:t>
      </w:r>
    </w:p>
    <w:p>
      <w:pPr>
        <w:spacing w:after="0" w:line="25" w:lineRule="exact"/>
        <w:rPr>
          <w:rFonts w:ascii="Times New Roman" w:cs="Times New Roman" w:eastAsia="Times New Roman" w:hAnsi="Times New Roman"/>
          <w:sz w:val="18"/>
          <w:szCs w:val="18"/>
          <w:color w:val="auto"/>
        </w:rPr>
      </w:pPr>
    </w:p>
    <w:p>
      <w:pPr>
        <w:jc w:val="both"/>
        <w:ind w:left="800" w:right="220" w:hanging="346"/>
        <w:spacing w:after="0" w:line="262"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right="40" w:hanging="346"/>
        <w:spacing w:after="0" w:line="275"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25" w:lineRule="exact"/>
        <w:rPr>
          <w:rFonts w:ascii="Times New Roman" w:cs="Times New Roman" w:eastAsia="Times New Roman" w:hAnsi="Times New Roman"/>
          <w:sz w:val="18"/>
          <w:szCs w:val="18"/>
          <w:color w:val="auto"/>
        </w:rPr>
      </w:pPr>
    </w:p>
    <w:p>
      <w:pPr>
        <w:ind w:left="800" w:hanging="346"/>
        <w:spacing w:after="0" w:line="256"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 (B) we may not own more than 10% of the voting power or value of any one issuer’s outstanding securities, which does not include our equity ownership in other REITs, any qualified REIT subsidiary, or any taxable REIT subsidiary (the “10% asset test”), and (C) the value of our securities in one or more taxable REIT subsidiaries may not exceed 20% of the value of our total assets.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select future investments so as to comply with the asset tests.</w:t>
      </w:r>
    </w:p>
    <w:p>
      <w:pPr>
        <w:spacing w:after="0" w:line="15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If we failed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23" w:lineRule="exact"/>
        <w:rPr>
          <w:sz w:val="20"/>
          <w:szCs w:val="20"/>
          <w:color w:val="auto"/>
        </w:rPr>
      </w:pPr>
    </w:p>
    <w:p>
      <w:pPr>
        <w:ind w:right="1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Distribution Requirements</w:t>
      </w:r>
      <w:r>
        <w:rPr>
          <w:rFonts w:ascii="Times New Roman" w:cs="Times New Roman" w:eastAsia="Times New Roman" w:hAnsi="Times New Roman"/>
          <w:sz w:val="18"/>
          <w:szCs w:val="18"/>
          <w:color w:val="auto"/>
        </w:rPr>
        <w:t>. Each taxable year, we must distribute dividends (other than capital gain dividends and deemed distributions of retained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21"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We must pay such distributions in the taxable year to which they relate, or in the following taxable year if we declare the distribution before we timely file our federal income tax return for such year and pay the distribution on or before the first regular dividend payment date after such declaration.</w:t>
      </w:r>
    </w:p>
    <w:p>
      <w:pPr>
        <w:spacing w:after="0" w:line="106"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auto"/>
        </w:rPr>
        <w:t>distributed any such retained amount. We have made, and we intend to continue to make, timely distributions sufficient to satisfy the annual distribution requirements.</w:t>
      </w:r>
    </w:p>
    <w:p>
      <w:pPr>
        <w:spacing w:after="0" w:line="10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w:t>
      </w:r>
    </w:p>
    <w:p>
      <w:pPr>
        <w:spacing w:after="0" w:line="12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21" w:lineRule="exact"/>
        <w:rPr>
          <w:sz w:val="20"/>
          <w:szCs w:val="20"/>
          <w:color w:val="auto"/>
        </w:rPr>
      </w:pPr>
    </w:p>
    <w:p>
      <w:pPr>
        <w:ind w:right="1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Record Keeping Requirements</w:t>
      </w:r>
      <w:r>
        <w:rPr>
          <w:rFonts w:ascii="Times New Roman" w:cs="Times New Roman" w:eastAsia="Times New Roman" w:hAnsi="Times New Roman"/>
          <w:sz w:val="18"/>
          <w:szCs w:val="18"/>
          <w:color w:val="auto"/>
        </w:rPr>
        <w:t>. We must maintain certain records to qualify as a REIT. In addition, to avoid a monetary penalty, we must request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basis certain information from our shareholders designed to disclose the actual ownership of our outstanding stock. We have complied, and we intend to continue to comply, with such requirements.</w:t>
      </w:r>
    </w:p>
    <w:p>
      <w:pPr>
        <w:spacing w:after="0" w:line="11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Failure to Qualify</w:t>
      </w:r>
      <w:r>
        <w:rPr>
          <w:rFonts w:ascii="Times New Roman" w:cs="Times New Roman" w:eastAsia="Times New Roman" w:hAnsi="Times New Roman"/>
          <w:sz w:val="18"/>
          <w:szCs w:val="18"/>
          <w:color w:val="auto"/>
        </w:rPr>
        <w:t>. If we failed to qualify as a REIT in any taxable year, and no relief provision applied, we would be subject to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any applicable alternative minimum tax) on our taxable income at regular corporate rates. In calculating our taxable income in a year in which we failed to qualify as a REIT, we would not be able to deduct amounts paid out to shareholders. In fact, we would not be required to distribute any amounts to shareholders in such year. In such event, to the extent of our current and accumulated earnings and profits, all distributions to shareholders would be taxable as ordinary income. Such distributions would, however, be “qualified dividend income,” which is taxable at long-term capital gain rates for individual stockholders.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Taxable U.S. Shareholders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herein, the term “U.S. shareholder” means a holder of common shares that for U.S. federal income tax purposes is</w:t>
      </w:r>
    </w:p>
    <w:p>
      <w:pPr>
        <w:spacing w:after="0" w:line="77" w:lineRule="exact"/>
        <w:rPr>
          <w:sz w:val="20"/>
          <w:szCs w:val="20"/>
          <w:color w:val="auto"/>
        </w:rPr>
      </w:pPr>
    </w:p>
    <w:p>
      <w:pPr>
        <w:ind w:left="800" w:hanging="346"/>
        <w:spacing w:after="0"/>
        <w:tabs>
          <w:tab w:leader="none" w:pos="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60"/>
          </w:cols>
          <w:pgMar w:left="240" w:top="455" w:right="29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hanging="346"/>
        <w:spacing w:after="0"/>
        <w:tabs>
          <w:tab w:leader="none" w:pos="8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partnership, or other entity created or organized in or under the laws of the United States, any of its states or the District of Columbia;</w:t>
      </w:r>
    </w:p>
    <w:p>
      <w:pPr>
        <w:spacing w:after="0" w:line="99" w:lineRule="exact"/>
        <w:rPr>
          <w:rFonts w:ascii="Times New Roman" w:cs="Times New Roman" w:eastAsia="Times New Roman" w:hAnsi="Times New Roman"/>
          <w:sz w:val="16"/>
          <w:szCs w:val="16"/>
          <w:color w:val="auto"/>
        </w:rPr>
      </w:pPr>
    </w:p>
    <w:p>
      <w:pPr>
        <w:ind w:left="800" w:hanging="346"/>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76" w:lineRule="exact"/>
        <w:rPr>
          <w:rFonts w:ascii="Times New Roman" w:cs="Times New Roman" w:eastAsia="Times New Roman" w:hAnsi="Times New Roman"/>
          <w:sz w:val="18"/>
          <w:szCs w:val="18"/>
          <w:color w:val="auto"/>
        </w:rPr>
      </w:pPr>
    </w:p>
    <w:p>
      <w:pPr>
        <w:ind w:left="800" w:right="60" w:hanging="346"/>
        <w:spacing w:after="0" w:line="258" w:lineRule="auto"/>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with respect to which (A) a U.S. court is able to exercise primary supervision over the administration of such trust and (B) one or more U.S. persons have the authority to control all substantial decisions of the trust. Notwithstanding the preceding sentence, to the extent provided in the Treasury regulations, some trusts in existence on August 20, 1996, and treated as United States persons prior to this date that elect to continue to be treated as United States persons, shall be considered United States shareholders.</w:t>
      </w:r>
    </w:p>
    <w:p>
      <w:pPr>
        <w:spacing w:after="0" w:line="123"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If a partnership, including an entity that is treated as a partnership for U.S. federal income tax purposes, is a beneficial owner of our common stock, the treatment of a partner in the partnership will generally depend on the status of the partner and the activities of the partnership.</w:t>
      </w:r>
    </w:p>
    <w:p>
      <w:pPr>
        <w:spacing w:after="0" w:line="104" w:lineRule="exact"/>
        <w:rPr>
          <w:sz w:val="20"/>
          <w:szCs w:val="20"/>
          <w:color w:val="auto"/>
        </w:rPr>
      </w:pPr>
    </w:p>
    <w:p>
      <w:pPr>
        <w:jc w:val="both"/>
        <w:ind w:right="12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Dividends and Other U.S. Shareholder Distributions. </w:t>
      </w:r>
      <w:r>
        <w:rPr>
          <w:rFonts w:ascii="Times New Roman" w:cs="Times New Roman" w:eastAsia="Times New Roman" w:hAnsi="Times New Roman"/>
          <w:sz w:val="16"/>
          <w:szCs w:val="16"/>
          <w:color w:val="auto"/>
        </w:rPr>
        <w:t>As long as we qualify as a REIT, a taxable U.S. shareholder must take into account distributions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common shares out of our current or accumulated earnings and profits (and that we do not designate as capital gain dividends or retained long-term capital gain) as ordinary income. Such distributions will not qualify for the dividends received deduction generally available to corporations.</w:t>
      </w:r>
    </w:p>
    <w:p>
      <w:pPr>
        <w:spacing w:after="0" w:line="8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2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 U.S. shareholder will recognize distributions that we designate as capital gain dividends as long-term capital gain (to the extent they do not exceed our actual net capital gain for the taxable year) without regard to the period for which the U.S. shareholder has held its common shares. Subject to certain limitations, we will designate our capital gain dividends as either 20% or 25% rate distributions. A corporate U.S. shareholder, however, may be required to treat up to 20% of certain capital gain dividends as ordinary income.</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240" w:top="455" w:right="31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receive in a taxable year. In that case, a U.S. shareholder would be taxed on its proportionate share of our undistributed long-term capital gain. The U.S. shareholder would receive a credit or refund for its proportionate share of the tax we paid. The U.S. shareholder would increase the basis in its stock by the amount of its proportionate share of our undistributed long-term capital gain, minus its share of the tax we paid.</w:t>
      </w:r>
    </w:p>
    <w:p>
      <w:pPr>
        <w:spacing w:after="0" w:line="123"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A U.S. shareholder will not incur tax on a distribution to the extent it exceeds our current and accumulated earnings and profits if such distribution does not exceed the adjusted basis of the U.S. shareholder’s common shares. Instead, such distribution in excess of earnings and profits will reduce the adjusted basis of such common shares. To the extent a distribution exceeds both our current and accumulated earnings and profits and the U.S. shareholder’s adjusted basis in its common shares, the U.S. shareholder will recognize long-term capital gain (or short-term capital gain if the common shares have been held for one year or less), assuming the common shares are a capital asset in the hands of the U.S. shareholder. In addition, if we declare a distribution in October, November, or December of any year that is payable to a U.S. shareholder of record on a specified date in any such month, such distribution shall be treated as both paid by us and received by the U.S. shareholder on December 31 of such year, provided that we actually pay the distribution during January of the following calendar year. We will notify U.S. shareholders after the close of our taxable year as to the portions of the distributions attributable to that year that constitute ordinary income or capital gain dividends.</w:t>
      </w:r>
    </w:p>
    <w:p>
      <w:pPr>
        <w:spacing w:after="0" w:line="12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Taxation of U.S. Shareholders on the Disposition of the Common Shares</w:t>
      </w:r>
      <w:r>
        <w:rPr>
          <w:rFonts w:ascii="Times New Roman" w:cs="Times New Roman" w:eastAsia="Times New Roman" w:hAnsi="Times New Roman"/>
          <w:sz w:val="18"/>
          <w:szCs w:val="18"/>
          <w:color w:val="auto"/>
        </w:rPr>
        <w:t>. In general, a U.S. shareholder who is not a dealer in securities must treat any gain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loss realized upon a taxable disposition of the common shares as long-term capital gain or loss if the U.S. shareholder has held the common stock for more than one year and otherwise as short-term capital gain or loss. However, a U.S. shareholder must treat any loss upon a sale or exchange of common shares held by such shareholder for six months or less (after applying certain holding period rules) as a long-term capital loss to the extent of capital gain dividends and other distributions from us that such U.S. shareholder treats as long-term capital gain. All or a portion of any loss a U.S. shareholder realizes upon a taxable disposition of the common shares may be disallowed if the U.S. shareholder purchases additional common shares within the 61-day period beginning 30 days before and ending 30 days after the disposition.</w:t>
      </w:r>
    </w:p>
    <w:p>
      <w:pPr>
        <w:spacing w:after="0" w:line="122"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Capital Gains and Losses</w:t>
      </w:r>
      <w:r>
        <w:rPr>
          <w:rFonts w:ascii="Times New Roman" w:cs="Times New Roman" w:eastAsia="Times New Roman" w:hAnsi="Times New Roman"/>
          <w:sz w:val="18"/>
          <w:szCs w:val="18"/>
          <w:color w:val="auto"/>
        </w:rPr>
        <w:t>. A taxpayer generally must hold a capital asset for more than one year for gain or loss derived from its sale or exchange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long-term capital gain or loss. The highest marginal individual income tax rate on ordinary income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tax rate differential between capital gain 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6"/>
          <w:szCs w:val="16"/>
          <w:color w:val="auto"/>
        </w:rPr>
        <w:t>ordinary income for non-corporate taxpayers is significant. A U.S. shareholder required to include retained long-term capital gains in income will be deemed to have paid, in the taxable year of the inclusion, its proportionate share of the tax paid by us in respect of such undistributed net capital gains. U.S. shareholders subject to these rules will be allowed a credit or a refund, as the case may be, for the tax deemed to have been paid by such shareholders. U.S. shareholders will increase their basis in their common shares by the difference between the amount of such includible gains and the tax deemed paid by the U.S. shareholder in respect of such gains. In addition, the characterization of income as capital gain or ordinary income may affect the deductibility of capital losses. A non-corporate taxpayer generally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97" w:lineRule="exact"/>
        <w:rPr>
          <w:sz w:val="20"/>
          <w:szCs w:val="20"/>
          <w:color w:val="auto"/>
        </w:rPr>
      </w:pPr>
    </w:p>
    <w:p>
      <w:pPr>
        <w:ind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The Jobs and Growth Tax Relief Reconciliation Act of 2003. </w:t>
      </w:r>
      <w:r>
        <w:rPr>
          <w:rFonts w:ascii="Times New Roman" w:cs="Times New Roman" w:eastAsia="Times New Roman" w:hAnsi="Times New Roman"/>
          <w:sz w:val="16"/>
          <w:szCs w:val="16"/>
          <w:color w:val="auto"/>
        </w:rPr>
        <w:t>Under the Act, which was signed into law on May 28, 2003, the maximum tax rate on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long-term capital gains of domestic non-corporate taxpayers is reduced to 15% for taxable years beginning on or before December 31, 2008. The Act also reduced the tax rate on “qualified dividend income” to the maximum capital gains rate. Because, as a REIT, we are not generally subject to tax on the portion of our REIT taxable income or capital gains distributed to our shareholders, our distributions are not generally eligible for this new tax rate on dividends. As a result, our ordinary REIT distributions continue to be taxed at the higher tax rates applicable to ordinary income. However, the new 15% rate does generally apply to:</w:t>
      </w:r>
    </w:p>
    <w:p>
      <w:pPr>
        <w:spacing w:after="0" w:line="12" w:lineRule="exact"/>
        <w:rPr>
          <w:sz w:val="20"/>
          <w:szCs w:val="20"/>
          <w:color w:val="auto"/>
        </w:rPr>
      </w:pPr>
    </w:p>
    <w:p>
      <w:pPr>
        <w:ind w:left="800" w:hanging="346"/>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long-term capital gain, if any, recognized on the disposition of our shares;</w:t>
      </w:r>
    </w:p>
    <w:p>
      <w:pPr>
        <w:spacing w:after="0" w:line="76" w:lineRule="exact"/>
        <w:rPr>
          <w:rFonts w:ascii="Times New Roman" w:cs="Times New Roman" w:eastAsia="Times New Roman" w:hAnsi="Times New Roman"/>
          <w:sz w:val="18"/>
          <w:szCs w:val="18"/>
          <w:color w:val="auto"/>
        </w:rPr>
      </w:pPr>
    </w:p>
    <w:p>
      <w:pPr>
        <w:ind w:left="800" w:right="200" w:hanging="346"/>
        <w:spacing w:after="0" w:line="275" w:lineRule="auto"/>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we designate as long-term capital gain dividends (except to the extent attributable to real estate depreciation, in which case the 25% tax rate applies);</w:t>
      </w:r>
    </w:p>
    <w:p>
      <w:pPr>
        <w:spacing w:after="0" w:line="25"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attributable to dividends we receive from non-REIT corporations; and</w:t>
      </w:r>
    </w:p>
    <w:p>
      <w:pPr>
        <w:spacing w:after="0" w:line="76" w:lineRule="exact"/>
        <w:rPr>
          <w:rFonts w:ascii="Times New Roman" w:cs="Times New Roman" w:eastAsia="Times New Roman" w:hAnsi="Times New Roman"/>
          <w:sz w:val="18"/>
          <w:szCs w:val="18"/>
          <w:color w:val="auto"/>
        </w:rPr>
      </w:pPr>
    </w:p>
    <w:p>
      <w:pPr>
        <w:ind w:left="800" w:right="60" w:hanging="346"/>
        <w:spacing w:after="0" w:line="275" w:lineRule="auto"/>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 extent attributable to income upon which we have paid corporate tax (for example, the tax we would pay if we distributed less than all of our taxable REIT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further legislation, the maximum tax rate on long-term capital gains will revert to 20% in 2009.</w:t>
      </w:r>
    </w:p>
    <w:p>
      <w:pPr>
        <w:spacing w:after="0" w:line="15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Information Reporting Requirements and Back-up Withholding</w:t>
      </w:r>
      <w:r>
        <w:rPr>
          <w:rFonts w:ascii="Times New Roman" w:cs="Times New Roman" w:eastAsia="Times New Roman" w:hAnsi="Times New Roman"/>
          <w:sz w:val="18"/>
          <w:szCs w:val="18"/>
          <w:color w:val="auto"/>
        </w:rPr>
        <w:t>. We will report to our shareholders and to the IRS the amount of distributions we pay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calendar year, and the amount of tax we withhold, if any. Under the backup withholding rules, a shareholder may be subject to backup withholding (at the rate of 28% through December 31, 2010 and thereafter at a rate of 31%) with respect to distributions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subject to penalties imposed by the IRS. Any amount paid as back-up withholding will be creditable against the shareholder’s income tax liability. In addition, we may be required to withhold a portion of capital gain distributions to any shareholders who fail to certify their non-foreign status to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79"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common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common stock.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it were a pension trust) divided by our total gross income for the year in which we pay the dividends. The UBTI rule applies to a pension trust holding more than 10% of our shares only if:</w:t>
      </w:r>
    </w:p>
    <w:p>
      <w:pPr>
        <w:spacing w:after="0" w:line="50" w:lineRule="exact"/>
        <w:rPr>
          <w:sz w:val="20"/>
          <w:szCs w:val="20"/>
          <w:color w:val="auto"/>
        </w:rPr>
      </w:pPr>
    </w:p>
    <w:p>
      <w:pPr>
        <w:ind w:left="800" w:hanging="346"/>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UBTI Percentage is at least 5%;</w:t>
      </w:r>
    </w:p>
    <w:p>
      <w:pPr>
        <w:spacing w:after="0" w:line="76" w:lineRule="exact"/>
        <w:rPr>
          <w:rFonts w:ascii="Times New Roman" w:cs="Times New Roman" w:eastAsia="Times New Roman" w:hAnsi="Times New Roman"/>
          <w:sz w:val="18"/>
          <w:szCs w:val="18"/>
          <w:color w:val="auto"/>
        </w:rPr>
      </w:pPr>
    </w:p>
    <w:p>
      <w:pPr>
        <w:ind w:left="800" w:hanging="346"/>
        <w:spacing w:after="0" w:line="275" w:lineRule="auto"/>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25" w:lineRule="exact"/>
        <w:rPr>
          <w:rFonts w:ascii="Times New Roman" w:cs="Times New Roman" w:eastAsia="Times New Roman" w:hAnsi="Times New Roman"/>
          <w:sz w:val="18"/>
          <w:szCs w:val="18"/>
          <w:color w:val="auto"/>
        </w:rPr>
      </w:pPr>
    </w:p>
    <w:p>
      <w:pPr>
        <w:ind w:left="800" w:right="640" w:hanging="346"/>
        <w:spacing w:after="0" w:line="275" w:lineRule="auto"/>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06"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be allowed a credit or refund of the tax deemed paid by such entities in respect of such includible gains.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79"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The rules governing U.S. federal income taxation of non-U.S. shareholders are complex. This section is only a summary of such rules. We urge non-U.S. shareholders to consult their own tax advisors to determine the impact of federal, state, and local income tax laws on ownership of common shares, including any reporting requirements. As used herein, the term “non-U.S. shareholder” means any beneficial owner of our shares that is not a U.S. shareholder.</w:t>
      </w:r>
    </w:p>
    <w:p>
      <w:pPr>
        <w:spacing w:after="0" w:line="82"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i w:val="1"/>
          <w:iCs w:val="1"/>
          <w:color w:val="auto"/>
        </w:rPr>
        <w:t>Ordinary Dividends</w:t>
      </w:r>
      <w:r>
        <w:rPr>
          <w:rFonts w:ascii="Times New Roman" w:cs="Times New Roman" w:eastAsia="Times New Roman" w:hAnsi="Times New Roman"/>
          <w:sz w:val="16"/>
          <w:szCs w:val="16"/>
          <w:color w:val="auto"/>
        </w:rPr>
        <w:t>. A non-U.S. shareholder that receives a distribution that is not attributable to gain from our sale or exchange of U.S. real property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 income tax on the distribution at graduated rates, in the same manner as U.S. shareholders are taxed with respect to such distributions (and also may be subject to the 30% branch profits tax in the case of a non-U.S. shareholder that is a non-U.S. corporation). We plan to withhold U.S. income tax at the rate of 30% on the gross amount of any such distribution paid to a non-U.S. shareholder unless (i) a lower treaty rate applies and the non-U.S. shareholder (or beneficial owner in the case of shares owned through a pass-through entity that is not acting as a withholding foreign partnership or trust) provides IRS Form W-8BEN to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318"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Return of Capital</w:t>
      </w:r>
      <w:r>
        <w:rPr>
          <w:rFonts w:ascii="Times New Roman" w:cs="Times New Roman" w:eastAsia="Times New Roman" w:hAnsi="Times New Roman"/>
          <w:sz w:val="18"/>
          <w:szCs w:val="18"/>
          <w:color w:val="auto"/>
        </w:rPr>
        <w:t>. A non-U.S. shareholder will not incur tax on a distribution to the extent it exceeds our current and accumulated earnings and profits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distribution does not exceed the adjusted basis of its common shares. Instead, such distribution in excess of earnings and profits will reduce the adjusted basis of such common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common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60"/>
          </w:cols>
          <w:pgMar w:left="240" w:top="455" w:right="2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Capital Gain Dividends</w:t>
      </w:r>
      <w:r>
        <w:rPr>
          <w:rFonts w:ascii="Times New Roman" w:cs="Times New Roman" w:eastAsia="Times New Roman" w:hAnsi="Times New Roman"/>
          <w:sz w:val="18"/>
          <w:szCs w:val="18"/>
          <w:color w:val="auto"/>
        </w:rPr>
        <w:t>. For any year in which we qualify as a REIT, a non-U.S. shareholder will incur tax on distributions that are attributable to gain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5"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17" w:lineRule="exact"/>
        <w:rPr>
          <w:sz w:val="20"/>
          <w:szCs w:val="20"/>
          <w:color w:val="auto"/>
        </w:rPr>
      </w:pPr>
    </w:p>
    <w:p>
      <w:pPr>
        <w:ind w:right="120" w:firstLine="456"/>
        <w:spacing w:after="0" w:line="291" w:lineRule="auto"/>
        <w:rPr>
          <w:sz w:val="20"/>
          <w:szCs w:val="20"/>
          <w:color w:val="auto"/>
        </w:rPr>
      </w:pPr>
      <w:r>
        <w:rPr>
          <w:rFonts w:ascii="Times New Roman" w:cs="Times New Roman" w:eastAsia="Times New Roman" w:hAnsi="Times New Roman"/>
          <w:sz w:val="16"/>
          <w:szCs w:val="16"/>
          <w:i w:val="1"/>
          <w:iCs w:val="1"/>
          <w:color w:val="auto"/>
        </w:rPr>
        <w:t>Sale of Shares</w:t>
      </w:r>
      <w:r>
        <w:rPr>
          <w:rFonts w:ascii="Times New Roman" w:cs="Times New Roman" w:eastAsia="Times New Roman" w:hAnsi="Times New Roman"/>
          <w:sz w:val="16"/>
          <w:szCs w:val="16"/>
          <w:color w:val="auto"/>
        </w:rPr>
        <w:t>. A non-U.S. shareholder generally will not incur tax under FIRPTA on gain from the sale of its common shares as long as we are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“domestically controlled REIT.” A “domestically controlled REIT” is a REIT in which at all times during a specified testing period non-U.S. persons held, directly or indirectly, less than 50% in value of the stock. We anticipate that we will continue to be a “domestically controlled REIT.” In addition, a non-U.S. shareholder that owns, actually or constructively, 5% or less of outstanding common shares at all times during a specified testing period will not incur tax under FIRPTA if the common shares are “regularly traded” on an established securities market. If neither of these exceptions were to apply, the gain on the sale of the common shares would be taxed under FIRPTA, in which case a non-U.S. shareholder would be taxed in the same manner as U.S. shareholders with respect to such gain (subject to applicable alternative minimum tax and a special alternative minimum tax in the case of nonresident alien individuals.</w:t>
      </w:r>
    </w:p>
    <w:p>
      <w:pPr>
        <w:spacing w:after="0" w:line="10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 non-U.S. shareholder will incur tax on gain not subject to FIRPTA if (1) the gain is effectively connected with the non-U.S. shareholder’s U.S. trade or business, in which case the non-U.S. shareholder will be subject to the same treatment as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60"/>
          </w:cols>
          <w:pgMar w:left="240" w:top="455" w:right="29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Back-up Withholding</w:t>
      </w:r>
      <w:r>
        <w:rPr>
          <w:rFonts w:ascii="Times New Roman" w:cs="Times New Roman" w:eastAsia="Times New Roman" w:hAnsi="Times New Roman"/>
          <w:sz w:val="18"/>
          <w:szCs w:val="18"/>
          <w:color w:val="auto"/>
        </w:rPr>
        <w:t>. Back-up withholding tax (which generally is withholding at the rate of 28% through December 31, 2010 and thereafter at a rate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on certain payments to persons that fail to furnish certain information under the United States information reporting requirements) and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47" w:lineRule="exact"/>
        <w:rPr>
          <w:sz w:val="20"/>
          <w:szCs w:val="20"/>
          <w:color w:val="auto"/>
        </w:rPr>
      </w:pPr>
    </w:p>
    <w:p>
      <w:pPr>
        <w:ind w:left="800" w:hanging="346"/>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U.S. person;</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(generally, a foreign corporation controlled by U.S. shareholders) for U.S. tax purposes; or</w:t>
      </w:r>
    </w:p>
    <w:p>
      <w:pPr>
        <w:spacing w:after="0" w:line="76" w:lineRule="exact"/>
        <w:rPr>
          <w:rFonts w:ascii="Times New Roman" w:cs="Times New Roman" w:eastAsia="Times New Roman" w:hAnsi="Times New Roman"/>
          <w:sz w:val="18"/>
          <w:szCs w:val="18"/>
          <w:color w:val="auto"/>
        </w:rPr>
      </w:pPr>
    </w:p>
    <w:p>
      <w:pPr>
        <w:ind w:left="800" w:right="140" w:hanging="346"/>
        <w:spacing w:after="0" w:line="275"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foreign partnership, if at any time during its tax year 50% or more of its income or capital interest are held by U.S. persons or if it is engaged in the conduct of a trade or business in the U.S.,</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Tax Consequences</w:t>
      </w:r>
    </w:p>
    <w:p>
      <w:pPr>
        <w:spacing w:after="0" w:line="77" w:lineRule="exact"/>
        <w:rPr>
          <w:sz w:val="20"/>
          <w:szCs w:val="20"/>
          <w:color w:val="auto"/>
        </w:rPr>
      </w:pPr>
    </w:p>
    <w:p>
      <w:pPr>
        <w:jc w:val="both"/>
        <w:ind w:right="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State and Local Taxes</w:t>
      </w:r>
      <w:r>
        <w:rPr>
          <w:rFonts w:ascii="Times New Roman" w:cs="Times New Roman" w:eastAsia="Times New Roman" w:hAnsi="Times New Roman"/>
          <w:sz w:val="18"/>
          <w:szCs w:val="18"/>
          <w:color w:val="auto"/>
        </w:rPr>
        <w:t>. We and/or you may be subject to state and local tax in various states and localities, including those states and localities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1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common shares covered by this prospectus.</w:t>
      </w:r>
    </w:p>
    <w:p>
      <w:pPr>
        <w:spacing w:after="0" w:line="15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sale or distribution of all or any portion of the commons shares covered by this prospectus may be effected from time to time by the selling shareholders, or any of their pledgees, donees, transferees or other successors in interest to the selling shareholders. The sales may be made directly, indirectly through brokers or dealers or in a distribution by one or more underwriters on a firm commitment or best efforts basis, in the over-the-counter market, on any national securities exchange or automated quotation system on which the common shares covered by this prospectus may be listed or traded, in privately negotiated transactions, to or through a market maker, or through any other legally available means. In addition, the sales will be made at market prices prevailing at the time of sale, at prices related to such prevailing market prices or at negotiated prices.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methods by which the common shares covered by this prospectus may be sold or distributed include:</w:t>
      </w:r>
    </w:p>
    <w:p>
      <w:pPr>
        <w:spacing w:after="0" w:line="77" w:lineRule="exact"/>
        <w:rPr>
          <w:sz w:val="20"/>
          <w:szCs w:val="20"/>
          <w:color w:val="auto"/>
        </w:rPr>
      </w:pPr>
    </w:p>
    <w:p>
      <w:pPr>
        <w:ind w:left="800" w:right="60" w:hanging="346"/>
        <w:spacing w:after="0" w:line="275" w:lineRule="auto"/>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(which may involve crosses) in which the broker or dealer so engaged will attempt to sell the common shares covered by this prospectus as agent but may position and resell a portion of the block as principal to facilitate the transaction;</w:t>
      </w:r>
    </w:p>
    <w:p>
      <w:pPr>
        <w:spacing w:after="0" w:line="25"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 by such broker or dealer for its account pursuant to this prospectus;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distributions as part of the liquidation and winding up of the affairs of any selling shareholder or successor in interest that is an entity;</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to a lender as collateral to secure loans, credit or other financing arrangements and any subsequent foreclosure, if any, thereunder; or</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legally available means.</w:t>
      </w:r>
    </w:p>
    <w:p>
      <w:pPr>
        <w:spacing w:after="0" w:line="158"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In effecting sales, brokers or dealers engaged by the selling shareholders may arrange for other brokers or dealers to participate. Any public offering price and any discount, concession or commission allowed or reallowed or paid to dealers may be changed from time to time and, as to any particular underwriter, broker, dealer or agent, may be in excess of those customary in the types of transactions involved.</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selling shareholders may from time to time sell all or a portion of the common shares covered by this prospectus short and deliver those securities to cover the short sale or sales, or may deliver the common shares covered by this prospectus upon the exercise, settlement or closing of a call equivalent position or a put equivalent position. The selling shareholders also may enter into hedging transactions with brokers, dealers or other financial institutions, which may in turn engage in short sales of the common shares covered by this prospectus in the course of hedging the positions they assume.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The selling shareholders and the brokers or dealers participating in the distribution of the common shares covered by this prospectus may be deemed “underwriters” within the meaning of the Securities Act. Any profit on the sale of the common shares covered by this prospectus by the selling shareholders and any discounts, concessions or commissions received by any such brokers or dealers may be regarded as underwriting commissions under the Securities Act.</w:t>
      </w:r>
    </w:p>
    <w:p>
      <w:pPr>
        <w:spacing w:after="0" w:line="8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sale or distribution of the common shares covered by this prospectus, the rules of the Commission permit any underwriter to engage in certain transactions that stabilize the price of the common shares covered by this prospectus. These transactions may consist of bids or purchases for the purpose of pegging, fixing or maintaining the price of the common shares covered by this prospectus.</w:t>
      </w:r>
    </w:p>
    <w:p>
      <w:pPr>
        <w:spacing w:after="0" w:line="119"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Underwriters, brokers, dealers or agents may be entitled, under agreements with us, to indemnification against the contribution toward certain civil liabilities, including liabilities under the Securities Act.</w:t>
      </w:r>
    </w:p>
    <w:p>
      <w:pPr>
        <w:spacing w:after="0" w:line="10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will pay all expenses in connection with the registration of the common shares covered by this prospectus. The selling shareholders will pay for any brokerage or underwriting commissions and taxes of any kind (including, without limitation, transfer taxes) with respect to any disposition, sale or transfer of the common shares covered by this prospectus.</w:t>
      </w:r>
    </w:p>
    <w:p>
      <w:pPr>
        <w:spacing w:after="0" w:line="119"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The common shares covered by this prospectus not sold pursuant to the registration statement on Form S-3 of which this prospectus is a part may be subject to certain restrictions under the Securities Act and could be sold, if at all, only pursuant to Rule 144 or another exemption from the registration requirements of the Securities Act. In general, under Rule 144, a person (or persons whose offered shares are aggregated) who has satisfied a one-year holding period may, under certain circumstances, sell within any three-month period a number of the common shares covered by this prospectus which does not exceed the greater of one percent of the our outstanding common shares or the average weekly reported trading volume of the common shares covered by this prospectus during the four calendar weeks prior to such sale. Rule 144 also permits, under certain circumstances, the sale of the common shares covered by this prospectus by a person who is not an affiliate of ours and who has satisfied a two-year holding period without any volume limitation. Therefore, both during and after the effectiveness of the registration statement, selling shareholders may sell the common shares covered by this prospectus pursuant to Rule 144.</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consolidated balance sheets as of December 31, 2003 and December 31, 2002, and the consolidated statements of operations, common shareholders’ equity and cash flows for the years ended December 31, 2003 and December 31, 2002 appearing in our Annual Report on Form 10-K, as amended, for the fiscal years ended December 31, 2003, and incorporated by reference into this prospectus, have been audited by Grant Thornton LLP, independent registered public accounting firm, as indicated in their report with respect thereto, and have been</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60"/>
          </w:cols>
          <w:pgMar w:left="240" w:top="455" w:right="2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herein in reliance upon the authority of said firm as experts in giving said report.</w:t>
      </w:r>
    </w:p>
    <w:p>
      <w:pPr>
        <w:spacing w:after="0" w:line="158"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consolidated balance sheet as of December 31, 2001 and the consolidated statements of operations, common shareholders’ equity and cash flows for the year ended December 31, 2001 appearing in our Annual Report on Form 10-K for the year ended December 31, 2001 and incorporated by reference into this prospectus and elsewhere in the registration statement, have been audited by Arthur Andersen LLP.</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REGARDING ARTHUR ANDERSEN LLP</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On June 4, 2002, we announced that we had appointed Grant Thornton LLP as our independent auditor for fiscal year 2002, replacing Arthur Andersen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LLP.</w:t>
      </w:r>
    </w:p>
    <w:p>
      <w:pPr>
        <w:spacing w:after="0" w:line="14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Section 11(a) of the Securities Act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the registration statement (unless it is provided that at the time of the acquisition the person knew of the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the registration statement, report or valuation which purports to have been prepared or certified by the accountant.</w:t>
      </w:r>
    </w:p>
    <w:p>
      <w:pPr>
        <w:spacing w:after="0" w:line="12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Prior to the date of this prospectus, the Arthur Andersen partners who reviewed our audited financial statements, as of December 31, 2001, resigned from Arthur Andersen. As a result, after reasonable efforts, we have been unable to obtain Arthur Andersen’s written consent to the incorporation by reference into this registration statement of its audit reports with respect to those financial statements.</w:t>
      </w:r>
    </w:p>
    <w:p>
      <w:pPr>
        <w:spacing w:after="0" w:line="119"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Under these circumstances, Rule 437a under the Securities Act permits us to file this registration statement without a written consent from Arthur Andersen. Accordingly, Arthur Andersen will not be liable to you under Section 11(a) of the Securities Act because it has not consented to being named as an expert in the registration statement.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0" w:lineRule="exact"/>
        <w:rPr>
          <w:sz w:val="20"/>
          <w:szCs w:val="20"/>
          <w:color w:val="auto"/>
        </w:rPr>
      </w:pPr>
    </w:p>
    <w:p>
      <w:pPr>
        <w:jc w:val="both"/>
        <w:ind w:right="420" w:firstLine="456"/>
        <w:spacing w:after="0" w:line="310" w:lineRule="auto"/>
        <w:rPr>
          <w:sz w:val="20"/>
          <w:szCs w:val="20"/>
          <w:color w:val="auto"/>
        </w:rPr>
      </w:pPr>
      <w:r>
        <w:rPr>
          <w:rFonts w:ascii="Times New Roman" w:cs="Times New Roman" w:eastAsia="Times New Roman" w:hAnsi="Times New Roman"/>
          <w:sz w:val="16"/>
          <w:szCs w:val="16"/>
          <w:color w:val="auto"/>
        </w:rPr>
        <w:t>The validity of the offered shares and the accuracy of the discussion under “Federal Income Tax Considerations” will be passed upon for us by Shaw Pittman LLP, Washington, D.C. If any portion of the offered shares is distributed in an underwritten offering or through agents, certain legal matters may be passed upon for any agents or underwriters by counsel for such agents or underwriters identified in the applicable prospectus supplement.</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455" w:right="2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0" w:lineRule="exact"/>
        <w:rPr>
          <w:sz w:val="20"/>
          <w:szCs w:val="20"/>
          <w:color w:val="auto"/>
        </w:rPr>
      </w:pPr>
    </w:p>
    <w:p>
      <w:pPr>
        <w:ind w:right="120" w:firstLine="456"/>
        <w:spacing w:after="0" w:line="325" w:lineRule="auto"/>
        <w:rPr>
          <w:sz w:val="20"/>
          <w:szCs w:val="20"/>
          <w:color w:val="auto"/>
        </w:rPr>
      </w:pPr>
      <w:r>
        <w:rPr>
          <w:rFonts w:ascii="Times New Roman" w:cs="Times New Roman" w:eastAsia="Times New Roman" w:hAnsi="Times New Roman"/>
          <w:sz w:val="16"/>
          <w:szCs w:val="16"/>
          <w:color w:val="auto"/>
        </w:rPr>
        <w:t>We file annual, quarterly and special reports, proxy statements and other information with the Commission. Our Commission filings are available to the public over the Commission’s website at http://www.sec.gov. You may also read and copy any document we file at the Commission’s Public Reference Room at:</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Public Reference Section</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Room 1200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450 Fifth Street, N.W.</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call the Commission at (800) SEC-0330 for further information on the operating rules and procedures for the public reference room.</w:t>
      </w:r>
    </w:p>
    <w:p>
      <w:pPr>
        <w:spacing w:after="0" w:line="158"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Commission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Commission will automatically update and supersede this information. We incorporate by reference the documents listed below as well as any future filings made with the Commission under Sections 13(a), 13(c), 14, or 15(d) of the Securities Exchange Act from the date of the initial registration statement and prior to the effectiveness of this registration statement, and any filings made from the date of this prospectus until we sell all of the securities under this prospectus as supplemented.</w:t>
      </w:r>
    </w:p>
    <w:p>
      <w:pPr>
        <w:spacing w:after="0" w:line="45" w:lineRule="exact"/>
        <w:rPr>
          <w:sz w:val="20"/>
          <w:szCs w:val="20"/>
          <w:color w:val="auto"/>
        </w:rPr>
      </w:pPr>
    </w:p>
    <w:p>
      <w:pPr>
        <w:ind w:left="800" w:hanging="346"/>
        <w:spacing w:after="0" w:line="275" w:lineRule="auto"/>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2003 filed March 15, 2004, as amended by the Form 10-K/A filed March 26, 2004 and the Form 10-K/A filed March 31, 2004.</w:t>
      </w:r>
    </w:p>
    <w:p>
      <w:pPr>
        <w:spacing w:after="0" w:line="25"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fiscal quarter ended March 31, 2004.</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fiscal quarter ended June 30, 2004.</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January 26, 2004.</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March 11, 2004.</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April 5, 2004.</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July 13, 2004.</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our common shares contained in the Registration Statement on Form 8-A/A, filed June 6, 2002.</w:t>
      </w:r>
    </w:p>
    <w:p>
      <w:pPr>
        <w:spacing w:after="0" w:line="76" w:lineRule="exact"/>
        <w:rPr>
          <w:rFonts w:ascii="Times New Roman" w:cs="Times New Roman" w:eastAsia="Times New Roman" w:hAnsi="Times New Roman"/>
          <w:sz w:val="18"/>
          <w:szCs w:val="18"/>
          <w:color w:val="auto"/>
        </w:rPr>
      </w:pPr>
    </w:p>
    <w:p>
      <w:pPr>
        <w:ind w:left="800" w:right="240" w:hanging="346"/>
        <w:spacing w:after="0" w:line="339" w:lineRule="auto"/>
        <w:tabs>
          <w:tab w:leader="none" w:pos="8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Description of our Common Share Purchase Rights included in the Registration Statement on Form 8-A/A, filed March 11, 1999 and in the First Amendment to Amended and Restated Rights Agreement, dated as of November 2003, between us and American Stock Transfer &amp; Trust Company.</w:t>
      </w:r>
    </w:p>
    <w:p>
      <w:pPr>
        <w:spacing w:after="0" w:line="61"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In addition, you may request a copy of these filings and any amendments thereto, at no cost, by writing or telephoning us. Those copies will not include exhibits to those documents unless the exhibits are specifically incorporated by reference in the documents or unless you</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request them. You may also request copies of any exhibits to the registration statement. Please direct your request to:</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Dawn M. Becker</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(301) 998-8100</w:t>
      </w:r>
    </w:p>
    <w:p>
      <w:pPr>
        <w:spacing w:after="0" w:line="145"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Our prospectus does not contain all of the information included in the registration statement. We have omitted certain parts of the registration statement in accordance with the rules and regulations of the Commission.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Other Expenses of Issuance and Distribution</w:t>
      </w:r>
    </w:p>
    <w:p>
      <w:pPr>
        <w:spacing w:after="0" w:line="79"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estimated fees and expenses, other than underwriting discounts and commissions, payable by us in connection with the issuance and distribution of the securities being registered:</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Fee</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Duplicating Expenses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15,000.00*</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24,237.00*</w:t>
            </w: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6000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Estimated</w:t>
      </w:r>
    </w:p>
    <w:p>
      <w:pPr>
        <w:spacing w:after="0" w:line="1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Indemnification of Trustees and Officers</w:t>
      </w:r>
    </w:p>
    <w:p>
      <w:pPr>
        <w:spacing w:after="0" w:line="16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to indemnify and advance expenses to any person who served a predecessor of the Registrant in any of the capacities described above and to any employee or agent of the Registrant or a predecessor of the Registrant.</w:t>
      </w:r>
    </w:p>
    <w:p>
      <w:pPr>
        <w:spacing w:after="0" w:line="128"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partner or trustee of such real estate investment trust,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455" w:right="2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6"/>
          <w:szCs w:val="16"/>
          <w:color w:val="auto"/>
        </w:rPr>
        <w:t>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 will,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32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Title 8 of the Corporations and Associations Code of the State of Maryland, as amended, a shareholder or Trustee of a Maryland real estate investment trust is not personally liable for the obligations of the real estate investment trust, except in any case in which a Trustee otherwise would be liable and such liability to the real estate investment trust or its shareholders constitutes bad faith, willful misfeasance, gross negligence or reckless disregard of the Trustee’s duties. Title 1 of the Corporations and Associations Code of the State of Maryland, as amended, permits a corporation to indemnify its present and former Trustees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Trustee or officer was material to the matter giving rise to the proceeding and (i) was committed in bad faith or (ii) was the result of active and deliberate dishonesty, (b) the Trustee or officer actually received an improper personal benefit in money, property or services or (c) in the case of any criminal proceeding, the Trustee or officer had reasonable cause to believe that the act or omission was unlawful. However, a Maryland corporation may not indemnify a Trustee or officer in a suit by or in the right of the trust if such Trustee or officer has been adjudged to be liable to the corporation.</w:t>
      </w:r>
    </w:p>
    <w:p>
      <w:pPr>
        <w:spacing w:after="0" w:line="127"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Trustees, officers or persons controlling the registrant pursuant to the foregoing provisions, the registrant has been informed that in the opinion of the Securities and Exchange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such indemnification is against public policy as expressed in the Securities Act and is therefore unenforceable.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Item 16.</w:t>
            </w:r>
          </w:p>
        </w:tc>
        <w:tc>
          <w:tcPr>
            <w:tcW w:w="320" w:type="dxa"/>
            <w:vAlign w:val="bottom"/>
          </w:tcPr>
          <w:p>
            <w:pPr>
              <w:spacing w:after="0"/>
              <w:rPr>
                <w:sz w:val="20"/>
                <w:szCs w:val="20"/>
                <w:color w:val="auto"/>
              </w:rPr>
            </w:pPr>
          </w:p>
        </w:tc>
        <w:tc>
          <w:tcPr>
            <w:tcW w:w="104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12"/>
        </w:trPr>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160" w:type="dxa"/>
            <w:vAlign w:val="bottom"/>
          </w:tcPr>
          <w:p>
            <w:pPr>
              <w:spacing w:after="0"/>
              <w:rPr>
                <w:sz w:val="8"/>
                <w:szCs w:val="8"/>
                <w:color w:val="auto"/>
              </w:rPr>
            </w:pPr>
          </w:p>
        </w:tc>
      </w:tr>
      <w:tr>
        <w:trPr>
          <w:trHeight w:val="41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8"/>
              </w:rPr>
              <w:t>Specimen Common Share certificate (filed as Exhibit 4(i) to the Trust’s Annual Report on Form 10-K for the year ended December 31, 1999,</w:t>
            </w:r>
          </w:p>
        </w:tc>
      </w:tr>
      <w:tr>
        <w:trPr>
          <w:trHeight w:val="228"/>
        </w:trPr>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and incorporated herein by reference)</w:t>
            </w:r>
          </w:p>
        </w:tc>
      </w:tr>
      <w:tr>
        <w:trPr>
          <w:trHeight w:val="31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8"/>
              </w:rPr>
              <w:t>Amended and Restated Rights Agreement, dated March 11, 1999, between the Trust and American Stock Transfer &amp; Trust Company (filed as</w:t>
            </w:r>
          </w:p>
        </w:tc>
      </w:tr>
      <w:tr>
        <w:trPr>
          <w:trHeight w:val="228"/>
        </w:trPr>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Exhibit 1 to the Trust’s Registration Statement No. 1-07533 on Form 8-A/A filed on March 11, 1999, and incorporated herein by reference)</w:t>
            </w:r>
          </w:p>
        </w:tc>
      </w:tr>
      <w:tr>
        <w:trPr>
          <w:trHeight w:val="31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7"/>
              </w:rPr>
              <w:t>First Amendment to Amended and Restated Rights Agreement, dated as of November 2003, between the Trust and American Stock Transfer &amp;</w:t>
            </w:r>
          </w:p>
        </w:tc>
      </w:tr>
      <w:tr>
        <w:trPr>
          <w:trHeight w:val="216"/>
        </w:trPr>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Trust Company (filed as Exhibit 4.5 to the Trust’s Annual Report on Form 10-K for the year ended December 31, 2003 filed on March 15,</w:t>
            </w:r>
          </w:p>
        </w:tc>
      </w:tr>
      <w:tr>
        <w:trPr>
          <w:trHeight w:val="228"/>
        </w:trPr>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2004, and incorporated herein by reference)</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Opinion of Shaw Pittman LLP regarding the validity of the shares</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Opinion of Shaw Pittman LLP regarding certain tax matters</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Consent of Grant Thornton LLP, independent public accountants (filed herewith)</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32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Consent of Shaw Pittman LLP (included in Exhibit 5.1)</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Consent of Shaw Pittman LLP (included in Exhibit 8.1)</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Power of Attorney</w:t>
            </w:r>
          </w:p>
        </w:tc>
      </w:tr>
      <w:tr>
        <w:trPr>
          <w:trHeight w:val="110"/>
        </w:trPr>
        <w:tc>
          <w:tcPr>
            <w:tcW w:w="960" w:type="dxa"/>
            <w:vAlign w:val="bottom"/>
            <w:tcBorders>
              <w:bottom w:val="single" w:sz="8" w:color="auto"/>
            </w:tcBorders>
            <w:gridSpan w:val="2"/>
          </w:tcPr>
          <w:p>
            <w:pPr>
              <w:spacing w:after="0"/>
              <w:rPr>
                <w:sz w:val="9"/>
                <w:szCs w:val="9"/>
                <w:color w:val="auto"/>
              </w:rPr>
            </w:pPr>
          </w:p>
        </w:tc>
        <w:tc>
          <w:tcPr>
            <w:tcW w:w="10400" w:type="dxa"/>
            <w:vAlign w:val="bottom"/>
            <w:gridSpan w:val="3"/>
          </w:tcPr>
          <w:p>
            <w:pPr>
              <w:spacing w:after="0"/>
              <w:rPr>
                <w:sz w:val="9"/>
                <w:szCs w:val="9"/>
                <w:color w:val="auto"/>
              </w:rPr>
            </w:pPr>
          </w:p>
        </w:tc>
      </w:tr>
      <w:tr>
        <w:trPr>
          <w:trHeight w:val="316"/>
        </w:trPr>
        <w:tc>
          <w:tcPr>
            <w:tcW w:w="1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Previously filed.</w:t>
            </w:r>
          </w:p>
        </w:tc>
      </w:tr>
      <w:tr>
        <w:trPr>
          <w:trHeight w:val="365"/>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Item 17.</w:t>
            </w:r>
          </w:p>
        </w:tc>
        <w:tc>
          <w:tcPr>
            <w:tcW w:w="320" w:type="dxa"/>
            <w:vAlign w:val="bottom"/>
          </w:tcPr>
          <w:p>
            <w:pPr>
              <w:spacing w:after="0"/>
              <w:rPr>
                <w:sz w:val="24"/>
                <w:szCs w:val="24"/>
                <w:color w:val="auto"/>
              </w:rPr>
            </w:pPr>
          </w:p>
        </w:tc>
        <w:tc>
          <w:tcPr>
            <w:tcW w:w="104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Undertakings</w:t>
            </w:r>
          </w:p>
        </w:tc>
      </w:tr>
    </w:tbl>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77" w:lineRule="exact"/>
        <w:rPr>
          <w:sz w:val="20"/>
          <w:szCs w:val="20"/>
          <w:color w:val="auto"/>
        </w:rPr>
      </w:pPr>
    </w:p>
    <w:p>
      <w:pPr>
        <w:ind w:left="720" w:hanging="256"/>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76"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76" w:lineRule="exact"/>
        <w:rPr>
          <w:rFonts w:ascii="Times New Roman" w:cs="Times New Roman" w:eastAsia="Times New Roman" w:hAnsi="Times New Roman"/>
          <w:sz w:val="18"/>
          <w:szCs w:val="18"/>
          <w:color w:val="auto"/>
        </w:rPr>
      </w:pPr>
    </w:p>
    <w:p>
      <w:pPr>
        <w:ind w:left="920" w:right="20" w:firstLine="1"/>
        <w:spacing w:after="0" w:line="255" w:lineRule="auto"/>
        <w:tabs>
          <w:tab w:leader="none" w:pos="117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60"/>
          </w:cols>
          <w:pgMar w:left="240" w:top="455" w:right="29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price set forth in the “Calculation of Registration Fee” table in the effective registration statement;</w:t>
      </w:r>
    </w:p>
    <w:p>
      <w:pPr>
        <w:spacing w:after="0" w:line="77" w:lineRule="exact"/>
        <w:rPr>
          <w:sz w:val="20"/>
          <w:szCs w:val="20"/>
          <w:color w:val="auto"/>
        </w:rPr>
      </w:pPr>
    </w:p>
    <w:p>
      <w:pPr>
        <w:ind w:left="920" w:right="60" w:firstLine="1"/>
        <w:spacing w:after="0" w:line="275" w:lineRule="auto"/>
        <w:tabs>
          <w:tab w:leader="none" w:pos="122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this registration statement;</w:t>
      </w:r>
    </w:p>
    <w:p>
      <w:pPr>
        <w:spacing w:after="0" w:line="25" w:lineRule="exact"/>
        <w:rPr>
          <w:sz w:val="20"/>
          <w:szCs w:val="20"/>
          <w:color w:val="auto"/>
        </w:rPr>
      </w:pPr>
    </w:p>
    <w:p>
      <w:pPr>
        <w:jc w:val="both"/>
        <w:ind w:left="460" w:right="200"/>
        <w:spacing w:after="0" w:line="262" w:lineRule="auto"/>
        <w:rPr>
          <w:sz w:val="20"/>
          <w:szCs w:val="20"/>
          <w:color w:val="auto"/>
        </w:rPr>
      </w:pPr>
      <w:r>
        <w:rPr>
          <w:rFonts w:ascii="Times New Roman" w:cs="Times New Roman" w:eastAsia="Times New Roman" w:hAnsi="Times New Roman"/>
          <w:sz w:val="18"/>
          <w:szCs w:val="18"/>
          <w:color w:val="auto"/>
        </w:rPr>
        <w:t>provided, however, that paragraphs (a)(1)(i) and (a)(1)(ii) do not apply if the information required to be included in a post-effective amendment by those paragraphs is contained in the periodic reports filed with or furnished to the Commission by the Registrant pursuant to Section 13 or Section 15(d) of the Securities Exchange Act of 1934 that are incorporated by reference in this registration statement.</w:t>
      </w:r>
    </w:p>
    <w:p>
      <w:pPr>
        <w:spacing w:after="0" w:line="38" w:lineRule="exact"/>
        <w:rPr>
          <w:sz w:val="20"/>
          <w:szCs w:val="20"/>
          <w:color w:val="auto"/>
        </w:rPr>
      </w:pPr>
    </w:p>
    <w:p>
      <w:pPr>
        <w:ind w:left="460" w:right="260" w:firstLine="4"/>
        <w:spacing w:after="0" w:line="262" w:lineRule="auto"/>
        <w:tabs>
          <w:tab w:leader="none" w:pos="70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37" w:lineRule="exact"/>
        <w:rPr>
          <w:rFonts w:ascii="Times New Roman" w:cs="Times New Roman" w:eastAsia="Times New Roman" w:hAnsi="Times New Roman"/>
          <w:sz w:val="18"/>
          <w:szCs w:val="18"/>
          <w:color w:val="auto"/>
        </w:rPr>
      </w:pPr>
    </w:p>
    <w:p>
      <w:pPr>
        <w:ind w:left="460" w:right="200" w:firstLine="4"/>
        <w:spacing w:after="0" w:line="275" w:lineRule="auto"/>
        <w:tabs>
          <w:tab w:leader="none" w:pos="70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25" w:lineRule="exact"/>
        <w:rPr>
          <w:sz w:val="20"/>
          <w:szCs w:val="20"/>
          <w:color w:val="auto"/>
        </w:rPr>
      </w:pPr>
    </w:p>
    <w:p>
      <w:pPr>
        <w:ind w:left="460" w:right="140" w:firstLine="4"/>
        <w:spacing w:after="0" w:line="258" w:lineRule="auto"/>
        <w:tabs>
          <w:tab w:leader="none" w:pos="70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the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41" w:lineRule="exact"/>
        <w:rPr>
          <w:rFonts w:ascii="Times New Roman" w:cs="Times New Roman" w:eastAsia="Times New Roman" w:hAnsi="Times New Roman"/>
          <w:sz w:val="18"/>
          <w:szCs w:val="18"/>
          <w:color w:val="auto"/>
        </w:rPr>
      </w:pPr>
    </w:p>
    <w:p>
      <w:pPr>
        <w:ind w:left="460" w:firstLine="4"/>
        <w:spacing w:after="0" w:line="254" w:lineRule="auto"/>
        <w:tabs>
          <w:tab w:leader="none" w:pos="69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Trustees,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Trustee, officer or controlling person of the registrant in the successful defense of any action, suit or proceeding) is asserted by such Trustee,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ind w:right="200" w:firstLine="45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Rockville, Maryland, on this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November, 2004.</w:t>
      </w:r>
    </w:p>
    <w:p>
      <w:pPr>
        <w:spacing w:after="0" w:line="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Donald C. Wood</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-130175</wp:posOffset>
            </wp:positionV>
            <wp:extent cx="27101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 w:lineRule="exact"/>
        <w:rPr>
          <w:sz w:val="20"/>
          <w:szCs w:val="20"/>
          <w:color w:val="auto"/>
        </w:rPr>
      </w:pPr>
    </w:p>
    <w:p>
      <w:pPr>
        <w:ind w:left="7200"/>
        <w:spacing w:after="0"/>
        <w:tabs>
          <w:tab w:leader="none" w:pos="7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President, Chief Executive Officer and</w:t>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Trustee (Principal Executive Officer)</w:t>
      </w:r>
    </w:p>
    <w:p>
      <w:pPr>
        <w:spacing w:after="0" w:line="15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04" w:lineRule="exact"/>
        <w:rPr>
          <w:sz w:val="20"/>
          <w:szCs w:val="20"/>
          <w:color w:val="auto"/>
        </w:rPr>
      </w:pPr>
    </w:p>
    <w:p>
      <w:pPr>
        <w:ind w:left="2000"/>
        <w:spacing w:after="0"/>
        <w:tabs>
          <w:tab w:leader="none" w:pos="6920" w:val="left"/>
          <w:tab w:leader="none" w:pos="102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71120</wp:posOffset>
            </wp:positionV>
            <wp:extent cx="711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71120</wp:posOffset>
            </wp:positionV>
            <wp:extent cx="3689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71120</wp:posOffset>
            </wp:positionV>
            <wp:extent cx="3346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 Donald C. Wood</w:t>
            </w:r>
          </w:p>
        </w:tc>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President, Chief Executive</w:t>
            </w:r>
          </w:p>
        </w:tc>
        <w:tc>
          <w:tcPr>
            <w:tcW w:w="266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6"/>
              </w:rPr>
              <w:t>November 5, 2004</w:t>
            </w:r>
          </w:p>
        </w:tc>
        <w:tc>
          <w:tcPr>
            <w:tcW w:w="0" w:type="dxa"/>
            <w:vAlign w:val="bottom"/>
          </w:tcPr>
          <w:p>
            <w:pPr>
              <w:spacing w:after="0"/>
              <w:rPr>
                <w:sz w:val="1"/>
                <w:szCs w:val="1"/>
                <w:color w:val="auto"/>
              </w:rPr>
            </w:pPr>
          </w:p>
        </w:tc>
      </w:tr>
      <w:tr>
        <w:trPr>
          <w:trHeight w:val="122"/>
        </w:trPr>
        <w:tc>
          <w:tcPr>
            <w:tcW w:w="4800" w:type="dxa"/>
            <w:vAlign w:val="bottom"/>
            <w:tcBorders>
              <w:bottom w:val="single" w:sz="8" w:color="auto"/>
            </w:tcBorders>
          </w:tcPr>
          <w:p>
            <w:pPr>
              <w:spacing w:after="0"/>
              <w:rPr>
                <w:sz w:val="10"/>
                <w:szCs w:val="10"/>
                <w:color w:val="auto"/>
              </w:rPr>
            </w:pP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Officer and Trustee (principal</w:t>
            </w:r>
          </w:p>
        </w:tc>
        <w:tc>
          <w:tcPr>
            <w:tcW w:w="2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800" w:type="dxa"/>
            <w:vAlign w:val="bottom"/>
          </w:tcPr>
          <w:p>
            <w:pPr>
              <w:spacing w:after="0"/>
              <w:rPr>
                <w:sz w:val="6"/>
                <w:szCs w:val="6"/>
                <w:color w:val="auto"/>
              </w:rPr>
            </w:pPr>
          </w:p>
        </w:tc>
        <w:tc>
          <w:tcPr>
            <w:tcW w:w="3660" w:type="dxa"/>
            <w:vAlign w:val="bottom"/>
            <w:vMerge w:val="continue"/>
          </w:tcPr>
          <w:p>
            <w:pPr>
              <w:spacing w:after="0"/>
              <w:rPr>
                <w:sz w:val="6"/>
                <w:szCs w:val="6"/>
                <w:color w:val="auto"/>
              </w:rPr>
            </w:pPr>
          </w:p>
        </w:tc>
        <w:tc>
          <w:tcPr>
            <w:tcW w:w="2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Donald C. Wood</w:t>
            </w:r>
          </w:p>
        </w:tc>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officer)</w:t>
            </w:r>
          </w:p>
        </w:tc>
        <w:tc>
          <w:tcPr>
            <w:tcW w:w="2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4800" w:type="dxa"/>
            <w:vAlign w:val="bottom"/>
          </w:tcPr>
          <w:p>
            <w:pPr>
              <w:spacing w:after="0"/>
              <w:rPr>
                <w:sz w:val="24"/>
                <w:szCs w:val="24"/>
                <w:color w:val="auto"/>
              </w:rPr>
            </w:pPr>
          </w:p>
        </w:tc>
        <w:tc>
          <w:tcPr>
            <w:tcW w:w="3660" w:type="dxa"/>
            <w:vAlign w:val="bottom"/>
          </w:tcPr>
          <w:p>
            <w:pPr>
              <w:jc w:val="right"/>
              <w:ind w:right="2552"/>
              <w:spacing w:after="0"/>
              <w:rPr>
                <w:sz w:val="20"/>
                <w:szCs w:val="20"/>
                <w:color w:val="auto"/>
              </w:rPr>
            </w:pPr>
            <w:r>
              <w:rPr>
                <w:rFonts w:ascii="Times New Roman" w:cs="Times New Roman" w:eastAsia="Times New Roman" w:hAnsi="Times New Roman"/>
                <w:sz w:val="18"/>
                <w:szCs w:val="18"/>
                <w:color w:val="auto"/>
              </w:rPr>
              <w:t>-5-</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5" w:right="31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2000"/>
        <w:spacing w:after="0"/>
        <w:tabs>
          <w:tab w:leader="none" w:pos="6920" w:val="left"/>
          <w:tab w:leader="none" w:pos="102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71120</wp:posOffset>
            </wp:positionV>
            <wp:extent cx="711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71120</wp:posOffset>
            </wp:positionV>
            <wp:extent cx="3689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71120</wp:posOffset>
            </wp:positionV>
            <wp:extent cx="3346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Larry E. Finger</w:t>
            </w:r>
          </w:p>
        </w:tc>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Vice President and</w:t>
            </w:r>
          </w:p>
        </w:tc>
        <w:tc>
          <w:tcPr>
            <w:tcW w:w="274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6"/>
              </w:rPr>
              <w:t>November 5, 2004</w:t>
            </w:r>
          </w:p>
        </w:tc>
        <w:tc>
          <w:tcPr>
            <w:tcW w:w="0" w:type="dxa"/>
            <w:vAlign w:val="bottom"/>
          </w:tcPr>
          <w:p>
            <w:pPr>
              <w:spacing w:after="0"/>
              <w:rPr>
                <w:sz w:val="1"/>
                <w:szCs w:val="1"/>
                <w:color w:val="auto"/>
              </w:rPr>
            </w:pPr>
          </w:p>
        </w:tc>
      </w:tr>
      <w:tr>
        <w:trPr>
          <w:trHeight w:val="122"/>
        </w:trPr>
        <w:tc>
          <w:tcPr>
            <w:tcW w:w="500" w:type="dxa"/>
            <w:vAlign w:val="bottom"/>
            <w:tcBorders>
              <w:bottom w:val="single" w:sz="8" w:color="auto"/>
            </w:tcBorders>
          </w:tcPr>
          <w:p>
            <w:pPr>
              <w:spacing w:after="0"/>
              <w:rPr>
                <w:sz w:val="10"/>
                <w:szCs w:val="10"/>
                <w:color w:val="auto"/>
              </w:rPr>
            </w:pPr>
          </w:p>
        </w:tc>
        <w:tc>
          <w:tcPr>
            <w:tcW w:w="4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5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Chief Financial Officer and</w:t>
            </w: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4280" w:type="dxa"/>
            <w:vAlign w:val="bottom"/>
          </w:tcPr>
          <w:p>
            <w:pPr>
              <w:spacing w:after="0"/>
              <w:rPr>
                <w:sz w:val="6"/>
                <w:szCs w:val="6"/>
                <w:color w:val="auto"/>
              </w:rPr>
            </w:pPr>
          </w:p>
        </w:tc>
        <w:tc>
          <w:tcPr>
            <w:tcW w:w="20" w:type="dxa"/>
            <w:vAlign w:val="bottom"/>
          </w:tcPr>
          <w:p>
            <w:pPr>
              <w:spacing w:after="0"/>
              <w:rPr>
                <w:sz w:val="6"/>
                <w:szCs w:val="6"/>
                <w:color w:val="auto"/>
              </w:rPr>
            </w:pPr>
          </w:p>
        </w:tc>
        <w:tc>
          <w:tcPr>
            <w:tcW w:w="3580" w:type="dxa"/>
            <w:vAlign w:val="bottom"/>
            <w:vMerge w:val="continue"/>
          </w:tcPr>
          <w:p>
            <w:pPr>
              <w:spacing w:after="0"/>
              <w:rPr>
                <w:sz w:val="6"/>
                <w:szCs w:val="6"/>
                <w:color w:val="auto"/>
              </w:rPr>
            </w:pPr>
          </w:p>
        </w:tc>
        <w:tc>
          <w:tcPr>
            <w:tcW w:w="2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Larry E. Finger</w:t>
            </w:r>
          </w:p>
        </w:tc>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Treasurer (principal</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accounting officer)</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David W. Faeder*</w:t>
            </w:r>
          </w:p>
        </w:tc>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Trustee</w:t>
            </w:r>
          </w:p>
        </w:tc>
        <w:tc>
          <w:tcPr>
            <w:tcW w:w="274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6"/>
              </w:rPr>
              <w:t>November 5, 2004</w:t>
            </w:r>
          </w:p>
        </w:tc>
        <w:tc>
          <w:tcPr>
            <w:tcW w:w="0" w:type="dxa"/>
            <w:vAlign w:val="bottom"/>
          </w:tcPr>
          <w:p>
            <w:pPr>
              <w:spacing w:after="0"/>
              <w:rPr>
                <w:sz w:val="1"/>
                <w:szCs w:val="1"/>
                <w:color w:val="auto"/>
              </w:rPr>
            </w:pPr>
          </w:p>
        </w:tc>
      </w:tr>
      <w:tr>
        <w:trPr>
          <w:trHeight w:val="110"/>
        </w:trPr>
        <w:tc>
          <w:tcPr>
            <w:tcW w:w="50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W. Faeder</w:t>
            </w:r>
          </w:p>
        </w:tc>
        <w:tc>
          <w:tcPr>
            <w:tcW w:w="3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Kristin Gamble*</w:t>
            </w:r>
          </w:p>
        </w:tc>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Trustee</w:t>
            </w:r>
          </w:p>
        </w:tc>
        <w:tc>
          <w:tcPr>
            <w:tcW w:w="274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6"/>
              </w:rPr>
              <w:t>November 5, 2004</w:t>
            </w:r>
          </w:p>
        </w:tc>
        <w:tc>
          <w:tcPr>
            <w:tcW w:w="0" w:type="dxa"/>
            <w:vAlign w:val="bottom"/>
          </w:tcPr>
          <w:p>
            <w:pPr>
              <w:spacing w:after="0"/>
              <w:rPr>
                <w:sz w:val="1"/>
                <w:szCs w:val="1"/>
                <w:color w:val="auto"/>
              </w:rPr>
            </w:pPr>
          </w:p>
        </w:tc>
      </w:tr>
      <w:tr>
        <w:trPr>
          <w:trHeight w:val="110"/>
        </w:trPr>
        <w:tc>
          <w:tcPr>
            <w:tcW w:w="50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Kristin Gamble</w:t>
            </w:r>
          </w:p>
        </w:tc>
        <w:tc>
          <w:tcPr>
            <w:tcW w:w="3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Joseph S. Vassalluzzo*</w:t>
            </w:r>
          </w:p>
        </w:tc>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Trustee</w:t>
            </w:r>
          </w:p>
        </w:tc>
        <w:tc>
          <w:tcPr>
            <w:tcW w:w="274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6"/>
              </w:rPr>
              <w:t>November 5, 2004</w:t>
            </w:r>
          </w:p>
        </w:tc>
        <w:tc>
          <w:tcPr>
            <w:tcW w:w="0" w:type="dxa"/>
            <w:vAlign w:val="bottom"/>
          </w:tcPr>
          <w:p>
            <w:pPr>
              <w:spacing w:after="0"/>
              <w:rPr>
                <w:sz w:val="1"/>
                <w:szCs w:val="1"/>
                <w:color w:val="auto"/>
              </w:rPr>
            </w:pPr>
          </w:p>
        </w:tc>
      </w:tr>
      <w:tr>
        <w:trPr>
          <w:trHeight w:val="110"/>
        </w:trPr>
        <w:tc>
          <w:tcPr>
            <w:tcW w:w="50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 S. Vassalluzzo</w:t>
            </w:r>
          </w:p>
        </w:tc>
        <w:tc>
          <w:tcPr>
            <w:tcW w:w="3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Mark S. Ordan*</w:t>
            </w:r>
          </w:p>
        </w:tc>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Trustee</w:t>
            </w:r>
          </w:p>
        </w:tc>
        <w:tc>
          <w:tcPr>
            <w:tcW w:w="274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6"/>
              </w:rPr>
              <w:t>November 5, 2004</w:t>
            </w:r>
          </w:p>
        </w:tc>
        <w:tc>
          <w:tcPr>
            <w:tcW w:w="0" w:type="dxa"/>
            <w:vAlign w:val="bottom"/>
          </w:tcPr>
          <w:p>
            <w:pPr>
              <w:spacing w:after="0"/>
              <w:rPr>
                <w:sz w:val="1"/>
                <w:szCs w:val="1"/>
                <w:color w:val="auto"/>
              </w:rPr>
            </w:pPr>
          </w:p>
        </w:tc>
      </w:tr>
      <w:tr>
        <w:trPr>
          <w:trHeight w:val="110"/>
        </w:trPr>
        <w:tc>
          <w:tcPr>
            <w:tcW w:w="50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Mark S. Ordan</w:t>
            </w:r>
          </w:p>
        </w:tc>
        <w:tc>
          <w:tcPr>
            <w:tcW w:w="3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Amy B. Lane*</w:t>
            </w:r>
          </w:p>
        </w:tc>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Trustee</w:t>
            </w:r>
          </w:p>
        </w:tc>
        <w:tc>
          <w:tcPr>
            <w:tcW w:w="274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6"/>
              </w:rPr>
              <w:t>November 5, 2004</w:t>
            </w:r>
          </w:p>
        </w:tc>
        <w:tc>
          <w:tcPr>
            <w:tcW w:w="0" w:type="dxa"/>
            <w:vAlign w:val="bottom"/>
          </w:tcPr>
          <w:p>
            <w:pPr>
              <w:spacing w:after="0"/>
              <w:rPr>
                <w:sz w:val="1"/>
                <w:szCs w:val="1"/>
                <w:color w:val="auto"/>
              </w:rPr>
            </w:pPr>
          </w:p>
        </w:tc>
      </w:tr>
      <w:tr>
        <w:trPr>
          <w:trHeight w:val="110"/>
        </w:trPr>
        <w:tc>
          <w:tcPr>
            <w:tcW w:w="50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Amy B. Lane</w:t>
            </w:r>
          </w:p>
        </w:tc>
        <w:tc>
          <w:tcPr>
            <w:tcW w:w="3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Walter F. Loeb*</w:t>
            </w:r>
          </w:p>
        </w:tc>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Trustee</w:t>
            </w:r>
          </w:p>
        </w:tc>
        <w:tc>
          <w:tcPr>
            <w:tcW w:w="274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6"/>
              </w:rPr>
              <w:t>November 5, 2004</w:t>
            </w:r>
          </w:p>
        </w:tc>
        <w:tc>
          <w:tcPr>
            <w:tcW w:w="0" w:type="dxa"/>
            <w:vAlign w:val="bottom"/>
          </w:tcPr>
          <w:p>
            <w:pPr>
              <w:spacing w:after="0"/>
              <w:rPr>
                <w:sz w:val="1"/>
                <w:szCs w:val="1"/>
                <w:color w:val="auto"/>
              </w:rPr>
            </w:pPr>
          </w:p>
        </w:tc>
      </w:tr>
      <w:tr>
        <w:trPr>
          <w:trHeight w:val="110"/>
        </w:trPr>
        <w:tc>
          <w:tcPr>
            <w:tcW w:w="50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Walter F. Loeb</w:t>
            </w:r>
          </w:p>
        </w:tc>
        <w:tc>
          <w:tcPr>
            <w:tcW w:w="3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Dawn M. Becker</w:t>
            </w:r>
          </w:p>
        </w:tc>
        <w:tc>
          <w:tcPr>
            <w:tcW w:w="3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0" w:type="dxa"/>
            <w:vAlign w:val="bottom"/>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0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Dawn M. Becker</w:t>
            </w:r>
          </w:p>
        </w:tc>
        <w:tc>
          <w:tcPr>
            <w:tcW w:w="3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3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5" w:right="5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16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INDEX OF EXHIBITS</w:t>
            </w:r>
          </w:p>
        </w:tc>
      </w:tr>
      <w:tr>
        <w:trPr>
          <w:trHeight w:val="312"/>
        </w:trPr>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72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160" w:type="dxa"/>
            <w:vAlign w:val="bottom"/>
          </w:tcPr>
          <w:p>
            <w:pPr>
              <w:spacing w:after="0"/>
              <w:rPr>
                <w:sz w:val="8"/>
                <w:szCs w:val="8"/>
                <w:color w:val="auto"/>
              </w:rPr>
            </w:pPr>
          </w:p>
        </w:tc>
      </w:tr>
      <w:tr>
        <w:trPr>
          <w:trHeight w:val="41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7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8"/>
              </w:rPr>
              <w:t>Specimen Common Share certificate (filed as Exhibit 4(i) to the Trust’s Annual Report on Form 10-K for the year ended December 31, 1999,</w:t>
            </w:r>
          </w:p>
        </w:tc>
      </w:tr>
      <w:tr>
        <w:trPr>
          <w:trHeight w:val="228"/>
        </w:trPr>
        <w:tc>
          <w:tcPr>
            <w:tcW w:w="640" w:type="dxa"/>
            <w:vAlign w:val="bottom"/>
          </w:tcPr>
          <w:p>
            <w:pPr>
              <w:spacing w:after="0"/>
              <w:rPr>
                <w:sz w:val="19"/>
                <w:szCs w:val="19"/>
                <w:color w:val="auto"/>
              </w:rPr>
            </w:pPr>
          </w:p>
        </w:tc>
        <w:tc>
          <w:tcPr>
            <w:tcW w:w="107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and incorporated herein by reference)</w:t>
            </w:r>
          </w:p>
        </w:tc>
      </w:tr>
      <w:tr>
        <w:trPr>
          <w:trHeight w:val="31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7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8"/>
              </w:rPr>
              <w:t>Amended and Restated Rights Agreement, dated March 11, 1999, between the Trust and American Stock Transfer &amp; Trust Company (filed as</w:t>
            </w:r>
          </w:p>
        </w:tc>
      </w:tr>
      <w:tr>
        <w:trPr>
          <w:trHeight w:val="228"/>
        </w:trPr>
        <w:tc>
          <w:tcPr>
            <w:tcW w:w="640" w:type="dxa"/>
            <w:vAlign w:val="bottom"/>
          </w:tcPr>
          <w:p>
            <w:pPr>
              <w:spacing w:after="0"/>
              <w:rPr>
                <w:sz w:val="19"/>
                <w:szCs w:val="19"/>
                <w:color w:val="auto"/>
              </w:rPr>
            </w:pPr>
          </w:p>
        </w:tc>
        <w:tc>
          <w:tcPr>
            <w:tcW w:w="107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Exhibit 1 to the Trust’s Registration Statement No. 1-07533 on Form 8-A/A filed on March 11, 1999, and incorporated herein by reference)</w:t>
            </w:r>
          </w:p>
        </w:tc>
      </w:tr>
      <w:tr>
        <w:trPr>
          <w:trHeight w:val="31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7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First Amendment to Amended and Restated Rights Agreement, dated as of November 2003, between the Trust and American Stock Transfer &amp;</w:t>
            </w:r>
          </w:p>
        </w:tc>
      </w:tr>
      <w:tr>
        <w:trPr>
          <w:trHeight w:val="216"/>
        </w:trPr>
        <w:tc>
          <w:tcPr>
            <w:tcW w:w="640" w:type="dxa"/>
            <w:vAlign w:val="bottom"/>
          </w:tcPr>
          <w:p>
            <w:pPr>
              <w:spacing w:after="0"/>
              <w:rPr>
                <w:sz w:val="18"/>
                <w:szCs w:val="18"/>
                <w:color w:val="auto"/>
              </w:rPr>
            </w:pPr>
          </w:p>
        </w:tc>
        <w:tc>
          <w:tcPr>
            <w:tcW w:w="107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Trust Company (filed as Exhibit 4.5 to the Trust’s Annual Report on Form 10-K for the year ended December 31, 2003 filed on March 15,</w:t>
            </w:r>
          </w:p>
        </w:tc>
      </w:tr>
      <w:tr>
        <w:trPr>
          <w:trHeight w:val="228"/>
        </w:trPr>
        <w:tc>
          <w:tcPr>
            <w:tcW w:w="640" w:type="dxa"/>
            <w:vAlign w:val="bottom"/>
          </w:tcPr>
          <w:p>
            <w:pPr>
              <w:spacing w:after="0"/>
              <w:rPr>
                <w:sz w:val="19"/>
                <w:szCs w:val="19"/>
                <w:color w:val="auto"/>
              </w:rPr>
            </w:pPr>
          </w:p>
        </w:tc>
        <w:tc>
          <w:tcPr>
            <w:tcW w:w="107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2004, and incorporated herein by reference)</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7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Opinion of Shaw Pittman LLP regarding the validity of the shares</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107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Opinion of Shaw Pittman LLP regarding certain tax matters</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7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Consent of Grant Thornton LLP, independent public accountants (filed herewith)</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7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Consent of Shaw Pittman LLP (included in Exhibit 5.1)</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107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Consent of Shaw Pittman LLP (included in Exhibit 8.1)</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7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60"/>
          </w:cols>
          <w:pgMar w:left="240" w:top="455" w:right="2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7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We have issued our report dated February 5, 2004 accompanying the consolidated financial statements and schedules included in the Annual Report of Federal Realty Investment Trust on Form 10-K, as amended, for the year ended December 31, 2003. We hereby consent to the incorporation by reference of said report in the Registration Statement of Federal Realty Investment Trust on Form S-3/A.</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Vienna, Virginia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9, 2004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1)"/>
      <w:numFmt w:val="decimal"/>
      <w:start w:val="2"/>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Roman"/>
      <w:start w:val="1"/>
    </w:lvl>
  </w:abstractNum>
  <w:abstractNum w:abstractNumId="39">
    <w:nsid w:val="153EA438"/>
    <w:multiLevelType w:val="hybridMultilevel"/>
    <w:lvl w:ilvl="0">
      <w:lvlJc w:val="left"/>
      <w:lvlText w:val="(%1)"/>
      <w:numFmt w:val="lowerRoman"/>
      <w:start w:val="3"/>
    </w:lvl>
  </w:abstractNum>
  <w:abstractNum w:abstractNumId="40">
    <w:nsid w:val="3855585C"/>
    <w:multiLevelType w:val="hybridMultilevel"/>
    <w:lvl w:ilvl="0">
      <w:lvlJc w:val="left"/>
      <w:lvlText w:val="(%1)"/>
      <w:numFmt w:val="decimal"/>
      <w:start w:val="2"/>
    </w:lvl>
  </w:abstractNum>
  <w:abstractNum w:abstractNumId="41">
    <w:nsid w:val="70A64E2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2019-12-13T00:45:36Z</dcterms:created>
  <dcterms:modified xsi:type="dcterms:W3CDTF">2019-12-13T00:45:36Z</dcterms:modified>
</cp:coreProperties>
</file>