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180340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3" w:lineRule="exact"/>
        <w:rPr>
          <w:sz w:val="24"/>
          <w:szCs w:val="24"/>
          <w:color w:val="auto"/>
        </w:rPr>
      </w:pPr>
    </w:p>
    <w:p>
      <w:pPr>
        <w:jc w:val="center"/>
        <w:ind w:right="-2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2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181610</wp:posOffset>
            </wp:positionV>
            <wp:extent cx="15233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396" w:lineRule="exact"/>
        <w:rPr>
          <w:sz w:val="24"/>
          <w:szCs w:val="24"/>
          <w:color w:val="auto"/>
        </w:rPr>
      </w:pPr>
    </w:p>
    <w:p>
      <w:pPr>
        <w:jc w:val="center"/>
        <w:ind w:right="-25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199390</wp:posOffset>
            </wp:positionV>
            <wp:extent cx="15233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59"/>
        <w:spacing w:after="0"/>
        <w:rPr>
          <w:sz w:val="20"/>
          <w:szCs w:val="20"/>
          <w:color w:val="auto"/>
        </w:rPr>
      </w:pPr>
      <w:r>
        <w:rPr>
          <w:rFonts w:ascii="Arial" w:cs="Arial" w:eastAsia="Arial" w:hAnsi="Arial"/>
          <w:sz w:val="24"/>
          <w:szCs w:val="24"/>
          <w:b w:val="1"/>
          <w:bCs w:val="1"/>
          <w:color w:val="auto"/>
        </w:rPr>
        <w:t>CURRENT REPORT</w:t>
      </w:r>
    </w:p>
    <w:p>
      <w:pPr>
        <w:spacing w:after="0" w:line="157"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90"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Date of Report (Date of earliest event reported) December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188595</wp:posOffset>
            </wp:positionV>
            <wp:extent cx="15233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259"/>
        <w:spacing w:after="0"/>
        <w:rPr>
          <w:sz w:val="20"/>
          <w:szCs w:val="20"/>
          <w:color w:val="auto"/>
        </w:rPr>
      </w:pPr>
      <w:r>
        <w:rPr>
          <w:rFonts w:ascii="Arial" w:cs="Arial" w:eastAsia="Arial" w:hAnsi="Arial"/>
          <w:sz w:val="42"/>
          <w:szCs w:val="42"/>
          <w:b w:val="1"/>
          <w:bCs w:val="1"/>
          <w:color w:val="auto"/>
        </w:rPr>
        <w:t>Federal Realty Investment Trust</w:t>
      </w:r>
    </w:p>
    <w:p>
      <w:pPr>
        <w:spacing w:after="0" w:line="49"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188595</wp:posOffset>
            </wp:positionV>
            <wp:extent cx="1523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ectPr>
          <w:pgSz w:w="11900" w:h="16838" w:orient="portrait"/>
          <w:cols w:equalWidth="0" w:num="1">
            <w:col w:w="11160"/>
          </w:cols>
          <w:pgMar w:left="240" w:top="295" w:right="499" w:bottom="1440" w:gutter="0" w:footer="0" w:header="0"/>
        </w:sectPr>
      </w:pPr>
    </w:p>
    <w:p>
      <w:pPr>
        <w:spacing w:after="0" w:line="200" w:lineRule="exact"/>
        <w:rPr>
          <w:sz w:val="24"/>
          <w:szCs w:val="24"/>
          <w:color w:val="auto"/>
        </w:rPr>
      </w:pPr>
    </w:p>
    <w:p>
      <w:pPr>
        <w:spacing w:after="0" w:line="321"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1" w:lineRule="exact"/>
        <w:rPr>
          <w:sz w:val="24"/>
          <w:szCs w:val="24"/>
          <w:color w:val="auto"/>
        </w:rPr>
      </w:pPr>
    </w:p>
    <w:p>
      <w:pPr>
        <w:jc w:val="center"/>
        <w:ind w:right="2340"/>
        <w:spacing w:after="0"/>
        <w:rPr>
          <w:sz w:val="20"/>
          <w:szCs w:val="20"/>
          <w:color w:val="auto"/>
        </w:rPr>
      </w:pPr>
      <w:r>
        <w:rPr>
          <w:rFonts w:ascii="Arial" w:cs="Arial" w:eastAsia="Arial" w:hAnsi="Arial"/>
          <w:sz w:val="15"/>
          <w:szCs w:val="15"/>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5" w:lineRule="exact"/>
        <w:rPr>
          <w:sz w:val="24"/>
          <w:szCs w:val="24"/>
          <w:color w:val="auto"/>
        </w:rPr>
      </w:pPr>
    </w:p>
    <w:p>
      <w:pPr>
        <w:sectPr>
          <w:pgSz w:w="11900" w:h="16838" w:orient="portrait"/>
          <w:cols w:equalWidth="0" w:num="3">
            <w:col w:w="4840" w:space="720"/>
            <w:col w:w="2900" w:space="720"/>
            <w:col w:w="1980"/>
          </w:cols>
          <w:pgMar w:left="240" w:top="295" w:right="499" w:bottom="1440" w:gutter="0" w:footer="0" w:header="0"/>
          <w:type w:val="continuous"/>
        </w:sectPr>
      </w:pPr>
    </w:p>
    <w:p>
      <w:pPr>
        <w:spacing w:after="0" w:line="2" w:lineRule="exact"/>
        <w:rPr>
          <w:sz w:val="24"/>
          <w:szCs w:val="24"/>
          <w:color w:val="auto"/>
        </w:rPr>
      </w:pPr>
    </w:p>
    <w:p>
      <w:pPr>
        <w:jc w:val="center"/>
        <w:ind w:right="840"/>
        <w:spacing w:after="0"/>
        <w:rPr>
          <w:sz w:val="20"/>
          <w:szCs w:val="20"/>
          <w:color w:val="auto"/>
        </w:rPr>
      </w:pPr>
      <w:r>
        <w:rPr>
          <w:rFonts w:ascii="Arial" w:cs="Arial" w:eastAsia="Arial" w:hAnsi="Arial"/>
          <w:sz w:val="11"/>
          <w:szCs w:val="11"/>
          <w:b w:val="1"/>
          <w:bCs w:val="1"/>
          <w:color w:val="auto"/>
        </w:rPr>
        <w:t>(State or other jurisdiction</w:t>
      </w:r>
    </w:p>
    <w:p>
      <w:pPr>
        <w:spacing w:after="0" w:line="21" w:lineRule="exact"/>
        <w:rPr>
          <w:sz w:val="24"/>
          <w:szCs w:val="24"/>
          <w:color w:val="auto"/>
        </w:rPr>
      </w:pPr>
    </w:p>
    <w:p>
      <w:pPr>
        <w:jc w:val="center"/>
        <w:ind w:right="84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1"/>
          <w:szCs w:val="11"/>
          <w:b w:val="1"/>
          <w:bCs w:val="1"/>
          <w:color w:val="auto"/>
        </w:rPr>
        <w:t>(Commission</w:t>
      </w:r>
    </w:p>
    <w:p>
      <w:pPr>
        <w:spacing w:after="0" w:line="2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3"/>
          <w:szCs w:val="13"/>
          <w:b w:val="1"/>
          <w:bCs w:val="1"/>
          <w:color w:val="auto"/>
        </w:rPr>
        <w:t>(IRS Employer</w:t>
      </w:r>
    </w:p>
    <w:p>
      <w:pPr>
        <w:jc w:val="center"/>
        <w:ind w:right="1040"/>
        <w:spacing w:after="0"/>
        <w:rPr>
          <w:sz w:val="20"/>
          <w:szCs w:val="20"/>
          <w:color w:val="auto"/>
        </w:rPr>
      </w:pPr>
      <w:r>
        <w:rPr>
          <w:rFonts w:ascii="Arial" w:cs="Arial" w:eastAsia="Arial" w:hAnsi="Arial"/>
          <w:sz w:val="12"/>
          <w:szCs w:val="12"/>
          <w:b w:val="1"/>
          <w:bCs w:val="1"/>
          <w:color w:val="auto"/>
        </w:rPr>
        <w:t>Identification No.)</w:t>
      </w:r>
    </w:p>
    <w:p>
      <w:pPr>
        <w:spacing w:after="0" w:line="189" w:lineRule="exact"/>
        <w:rPr>
          <w:sz w:val="24"/>
          <w:szCs w:val="24"/>
          <w:color w:val="auto"/>
        </w:rPr>
      </w:pPr>
    </w:p>
    <w:p>
      <w:pPr>
        <w:sectPr>
          <w:pgSz w:w="11900" w:h="16838" w:orient="portrait"/>
          <w:cols w:equalWidth="0" w:num="3">
            <w:col w:w="4740" w:space="720"/>
            <w:col w:w="2900" w:space="720"/>
            <w:col w:w="2080"/>
          </w:cols>
          <w:pgMar w:left="240" w:top="295" w:right="499" w:bottom="1440" w:gutter="0" w:footer="0" w:header="0"/>
          <w:type w:val="continuous"/>
        </w:sectPr>
      </w:pPr>
    </w:p>
    <w:p>
      <w:pPr>
        <w:ind w:left="112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47" w:lineRule="exact"/>
        <w:rPr>
          <w:sz w:val="24"/>
          <w:szCs w:val="24"/>
          <w:color w:val="auto"/>
        </w:rPr>
      </w:pPr>
    </w:p>
    <w:p>
      <w:pPr>
        <w:sectPr>
          <w:pgSz w:w="11900" w:h="16838" w:orient="portrait"/>
          <w:cols w:equalWidth="0" w:num="2">
            <w:col w:w="7560" w:space="720"/>
            <w:col w:w="2880"/>
          </w:cols>
          <w:pgMar w:left="240" w:top="295" w:right="499" w:bottom="1440" w:gutter="0" w:footer="0" w:header="0"/>
          <w:type w:val="continuous"/>
        </w:sectPr>
      </w:pPr>
    </w:p>
    <w:p>
      <w:pPr>
        <w:ind w:left="17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53" w:lineRule="exact"/>
        <w:rPr>
          <w:sz w:val="24"/>
          <w:szCs w:val="24"/>
          <w:color w:val="auto"/>
        </w:rPr>
      </w:pPr>
    </w:p>
    <w:p>
      <w:pPr>
        <w:sectPr>
          <w:pgSz w:w="11900" w:h="16838" w:orient="portrait"/>
          <w:cols w:equalWidth="0" w:num="2">
            <w:col w:w="7660" w:space="720"/>
            <w:col w:w="2780"/>
          </w:cols>
          <w:pgMar w:left="240" w:top="295" w:right="499" w:bottom="1440" w:gutter="0" w:footer="0" w:header="0"/>
          <w:type w:val="continuous"/>
        </w:sectPr>
      </w:pPr>
    </w:p>
    <w:p>
      <w:pPr>
        <w:jc w:val="center"/>
        <w:ind w:right="-279"/>
        <w:spacing w:after="0"/>
        <w:rPr>
          <w:sz w:val="20"/>
          <w:szCs w:val="20"/>
          <w:color w:val="auto"/>
        </w:rPr>
      </w:pPr>
      <w:r>
        <w:rPr>
          <w:rFonts w:ascii="Arial" w:cs="Arial" w:eastAsia="Arial" w:hAnsi="Arial"/>
          <w:sz w:val="17"/>
          <w:szCs w:val="17"/>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191770</wp:posOffset>
            </wp:positionV>
            <wp:extent cx="15233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ind w:firstLine="457"/>
        <w:spacing w:after="0" w:line="282"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57"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10"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10"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10"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139065</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160"/>
          </w:cols>
          <w:pgMar w:left="240" w:top="295" w:right="499" w:bottom="1440" w:gutter="0" w:footer="0" w:header="0"/>
          <w:type w:val="continuous"/>
        </w:sectPr>
      </w:pPr>
    </w:p>
    <w:bookmarkStart w:id="1" w:name="page2"/>
    <w:bookmarkEnd w:id="1"/>
    <w:p>
      <w:pPr>
        <w:spacing w:after="0"/>
        <w:tabs>
          <w:tab w:leader="none" w:pos="10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7" w:lineRule="exact"/>
        <w:rPr>
          <w:sz w:val="20"/>
          <w:szCs w:val="20"/>
          <w:color w:val="auto"/>
        </w:rPr>
      </w:pPr>
    </w:p>
    <w:p>
      <w:pPr>
        <w:ind w:firstLine="457"/>
        <w:spacing w:after="0" w:line="311" w:lineRule="auto"/>
        <w:rPr>
          <w:sz w:val="20"/>
          <w:szCs w:val="20"/>
          <w:color w:val="auto"/>
        </w:rPr>
      </w:pPr>
      <w:r>
        <w:rPr>
          <w:rFonts w:ascii="Arial" w:cs="Arial" w:eastAsia="Arial" w:hAnsi="Arial"/>
          <w:sz w:val="15"/>
          <w:szCs w:val="15"/>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02" w:lineRule="exact"/>
        <w:rPr>
          <w:sz w:val="20"/>
          <w:szCs w:val="20"/>
          <w:color w:val="auto"/>
        </w:rPr>
      </w:pPr>
    </w:p>
    <w:p>
      <w:pPr>
        <w:ind w:right="40" w:firstLine="457"/>
        <w:spacing w:after="0" w:line="282" w:lineRule="auto"/>
        <w:rPr>
          <w:sz w:val="20"/>
          <w:szCs w:val="20"/>
          <w:color w:val="auto"/>
        </w:rPr>
      </w:pPr>
      <w:r>
        <w:rPr>
          <w:rFonts w:ascii="Arial" w:cs="Arial" w:eastAsia="Arial" w:hAnsi="Arial"/>
          <w:sz w:val="17"/>
          <w:szCs w:val="17"/>
          <w:color w:val="auto"/>
        </w:rPr>
        <w:t>On February 15, 2011, Federal Realty Investment Trust issued supplemental data pertaining to its operations, as well as a press release, to report its financial results for the quarter ended December 31, 2010. The supplemental data and press release are furnished as Exhibit 99.1 hereto.</w:t>
      </w:r>
    </w:p>
    <w:p>
      <w:pPr>
        <w:spacing w:after="0" w:line="231"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7" w:lineRule="exact"/>
        <w:rPr>
          <w:sz w:val="20"/>
          <w:szCs w:val="20"/>
          <w:color w:val="auto"/>
        </w:rPr>
      </w:pPr>
    </w:p>
    <w:p>
      <w:pPr>
        <w:ind w:left="900" w:hanging="449"/>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w:t>
      </w:r>
    </w:p>
    <w:p>
      <w:pPr>
        <w:spacing w:after="0" w:line="211"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Supplemental information at December 31, 2010 (including press release dated February 15, 2011)</w:t>
      </w:r>
    </w:p>
    <w:p>
      <w:pPr>
        <w:spacing w:after="0" w:line="325"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SIGNATURES</w:t>
      </w:r>
    </w:p>
    <w:p>
      <w:pPr>
        <w:spacing w:after="0" w:line="176" w:lineRule="exact"/>
        <w:rPr>
          <w:sz w:val="20"/>
          <w:szCs w:val="20"/>
          <w:color w:val="auto"/>
        </w:rPr>
      </w:pPr>
    </w:p>
    <w:p>
      <w:pPr>
        <w:ind w:right="120" w:firstLine="457"/>
        <w:spacing w:after="0" w:line="282"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ind w:left="6300"/>
        <w:spacing w:after="0"/>
        <w:rPr>
          <w:sz w:val="20"/>
          <w:szCs w:val="20"/>
          <w:color w:val="auto"/>
        </w:rPr>
      </w:pPr>
      <w:r>
        <w:rPr>
          <w:rFonts w:ascii="Arial" w:cs="Arial" w:eastAsia="Arial" w:hAnsi="Arial"/>
          <w:sz w:val="17"/>
          <w:szCs w:val="17"/>
          <w:b w:val="1"/>
          <w:bCs w:val="1"/>
          <w:color w:val="auto"/>
        </w:rPr>
        <w:t>FEDERAL REALTY INVESTMENT TRUST</w:t>
      </w:r>
    </w:p>
    <w:p>
      <w:pPr>
        <w:spacing w:after="0" w:line="228" w:lineRule="exact"/>
        <w:rPr>
          <w:sz w:val="20"/>
          <w:szCs w:val="20"/>
          <w:color w:val="auto"/>
        </w:rPr>
      </w:pPr>
    </w:p>
    <w:p>
      <w:pPr>
        <w:spacing w:after="0"/>
        <w:tabs>
          <w:tab w:leader="none" w:pos="6280" w:val="left"/>
        </w:tabs>
        <w:rPr>
          <w:sz w:val="20"/>
          <w:szCs w:val="20"/>
          <w:color w:val="auto"/>
        </w:rPr>
      </w:pPr>
      <w:r>
        <w:rPr>
          <w:rFonts w:ascii="Arial" w:cs="Arial" w:eastAsia="Arial" w:hAnsi="Arial"/>
          <w:sz w:val="17"/>
          <w:szCs w:val="17"/>
          <w:color w:val="auto"/>
        </w:rPr>
        <w:t>Date: February 15, 2011</w:t>
      </w:r>
      <w:r>
        <w:rPr>
          <w:sz w:val="20"/>
          <w:szCs w:val="20"/>
          <w:color w:val="auto"/>
        </w:rPr>
        <w:tab/>
      </w:r>
      <w:r>
        <w:rPr>
          <w:rFonts w:ascii="Arial" w:cs="Arial" w:eastAsia="Arial" w:hAnsi="Arial"/>
          <w:sz w:val="15"/>
          <w:szCs w:val="15"/>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3998595</wp:posOffset>
            </wp:positionH>
            <wp:positionV relativeFrom="paragraph">
              <wp:posOffset>14605</wp:posOffset>
            </wp:positionV>
            <wp:extent cx="32550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5010" cy="8255"/>
                    </a:xfrm>
                    <a:prstGeom prst="rect">
                      <a:avLst/>
                    </a:prstGeom>
                    <a:noFill/>
                  </pic:spPr>
                </pic:pic>
              </a:graphicData>
            </a:graphic>
          </wp:anchor>
        </w:drawing>
      </w:r>
    </w:p>
    <w:p>
      <w:pPr>
        <w:spacing w:after="0" w:line="20"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Andrew P. Blocher</w:t>
      </w:r>
    </w:p>
    <w:p>
      <w:pPr>
        <w:spacing w:after="0" w:line="20"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Senior Vice President-</w:t>
      </w:r>
    </w:p>
    <w:p>
      <w:pPr>
        <w:spacing w:after="0" w:line="14"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Chief Financial Officer and Treasurer</w:t>
      </w:r>
    </w:p>
    <w:p>
      <w:pPr>
        <w:sectPr>
          <w:pgSz w:w="11900" w:h="16838" w:orient="portrait"/>
          <w:cols w:equalWidth="0" w:num="1">
            <w:col w:w="11180"/>
          </w:cols>
          <w:pgMar w:left="240" w:top="271"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EXHIBIT 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0" w:type="dxa"/>
            <w:vAlign w:val="bottom"/>
          </w:tcPr>
          <w:p>
            <w:pPr>
              <w:spacing w:after="0"/>
              <w:rPr>
                <w:sz w:val="20"/>
                <w:szCs w:val="20"/>
                <w:color w:val="auto"/>
              </w:rPr>
            </w:pPr>
            <w:r>
              <w:rPr>
                <w:rFonts w:ascii="Arial" w:cs="Arial" w:eastAsia="Arial" w:hAnsi="Arial"/>
                <w:sz w:val="13"/>
                <w:szCs w:val="13"/>
                <w:color w:val="auto"/>
                <w:w w:val="95"/>
              </w:rPr>
              <w:t>Exh No.</w:t>
            </w:r>
          </w:p>
        </w:tc>
        <w:tc>
          <w:tcPr>
            <w:tcW w:w="10960" w:type="dxa"/>
            <w:vAlign w:val="bottom"/>
            <w:gridSpan w:val="2"/>
          </w:tcPr>
          <w:p>
            <w:pPr>
              <w:ind w:left="560"/>
              <w:spacing w:after="0"/>
              <w:rPr>
                <w:sz w:val="20"/>
                <w:szCs w:val="20"/>
                <w:color w:val="auto"/>
              </w:rPr>
            </w:pPr>
            <w:r>
              <w:rPr>
                <w:rFonts w:ascii="Arial" w:cs="Arial" w:eastAsia="Arial" w:hAnsi="Arial"/>
                <w:sz w:val="13"/>
                <w:szCs w:val="13"/>
                <w:color w:val="auto"/>
              </w:rPr>
              <w:t>Exhibit</w:t>
            </w:r>
          </w:p>
        </w:tc>
      </w:tr>
      <w:tr>
        <w:trPr>
          <w:trHeight w:val="209"/>
        </w:trPr>
        <w:tc>
          <w:tcPr>
            <w:tcW w:w="4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99.1</w:t>
            </w:r>
          </w:p>
        </w:tc>
        <w:tc>
          <w:tcPr>
            <w:tcW w:w="560" w:type="dxa"/>
            <w:vAlign w:val="bottom"/>
          </w:tcPr>
          <w:p>
            <w:pPr>
              <w:spacing w:after="0"/>
              <w:rPr>
                <w:sz w:val="18"/>
                <w:szCs w:val="18"/>
                <w:color w:val="auto"/>
              </w:rPr>
            </w:pPr>
          </w:p>
        </w:tc>
        <w:tc>
          <w:tcPr>
            <w:tcW w:w="104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Supplemental Information at December 31, 2010</w:t>
            </w:r>
          </w:p>
        </w:tc>
      </w:tr>
    </w:tbl>
    <w:p>
      <w:pPr>
        <w:sectPr>
          <w:pgSz w:w="11900" w:h="16838" w:orient="portrait"/>
          <w:cols w:equalWidth="0" w:num="1">
            <w:col w:w="11420"/>
          </w:cols>
          <w:pgMar w:left="240" w:top="275"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SUPPLEMENTAL INFORMATION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2010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6660" w:type="dxa"/>
            <w:vAlign w:val="bottom"/>
          </w:tcPr>
          <w:p>
            <w:pPr>
              <w:jc w:val="right"/>
              <w:ind w:right="4635"/>
              <w:spacing w:after="0"/>
              <w:rPr>
                <w:sz w:val="20"/>
                <w:szCs w:val="20"/>
                <w:color w:val="auto"/>
              </w:rPr>
            </w:pPr>
            <w:r>
              <w:rPr>
                <w:rFonts w:ascii="Arial" w:cs="Arial" w:eastAsia="Arial" w:hAnsi="Arial"/>
                <w:sz w:val="17"/>
                <w:szCs w:val="17"/>
                <w:b w:val="1"/>
                <w:bCs w:val="1"/>
                <w:color w:val="auto"/>
              </w:rPr>
              <w:t>TABLE OF CONTENTS</w:t>
            </w:r>
          </w:p>
        </w:tc>
      </w:tr>
      <w:tr>
        <w:trPr>
          <w:trHeight w:val="406"/>
        </w:trPr>
        <w:tc>
          <w:tcPr>
            <w:tcW w:w="220" w:type="dxa"/>
            <w:vAlign w:val="bottom"/>
          </w:tcPr>
          <w:p>
            <w:pPr>
              <w:jc w:val="right"/>
              <w:spacing w:after="0"/>
              <w:rPr>
                <w:sz w:val="20"/>
                <w:szCs w:val="20"/>
                <w:color w:val="auto"/>
              </w:rPr>
            </w:pPr>
            <w:r>
              <w:rPr>
                <w:rFonts w:ascii="Arial" w:cs="Arial" w:eastAsia="Arial" w:hAnsi="Arial"/>
                <w:sz w:val="17"/>
                <w:szCs w:val="17"/>
                <w:color w:val="auto"/>
                <w:w w:val="84"/>
              </w:rPr>
              <w:t>1.</w:t>
            </w:r>
          </w:p>
        </w:tc>
        <w:tc>
          <w:tcPr>
            <w:tcW w:w="4460" w:type="dxa"/>
            <w:vAlign w:val="bottom"/>
          </w:tcPr>
          <w:p>
            <w:pPr>
              <w:ind w:left="100"/>
              <w:spacing w:after="0"/>
              <w:rPr>
                <w:sz w:val="20"/>
                <w:szCs w:val="20"/>
                <w:color w:val="auto"/>
              </w:rPr>
            </w:pPr>
            <w:r>
              <w:rPr>
                <w:rFonts w:ascii="Arial" w:cs="Arial" w:eastAsia="Arial" w:hAnsi="Arial"/>
                <w:sz w:val="17"/>
                <w:szCs w:val="17"/>
                <w:color w:val="auto"/>
                <w:w w:val="96"/>
              </w:rPr>
              <w:t>Fourth Quarter and Year-End 2010 Earnings Press Release</w:t>
            </w:r>
          </w:p>
        </w:tc>
        <w:tc>
          <w:tcPr>
            <w:tcW w:w="66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09"/>
        </w:trPr>
        <w:tc>
          <w:tcPr>
            <w:tcW w:w="22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4460" w:type="dxa"/>
            <w:vAlign w:val="bottom"/>
          </w:tcPr>
          <w:p>
            <w:pPr>
              <w:ind w:left="100"/>
              <w:spacing w:after="0"/>
              <w:rPr>
                <w:sz w:val="20"/>
                <w:szCs w:val="20"/>
                <w:color w:val="auto"/>
              </w:rPr>
            </w:pPr>
            <w:r>
              <w:rPr>
                <w:rFonts w:ascii="Arial" w:cs="Arial" w:eastAsia="Arial" w:hAnsi="Arial"/>
                <w:sz w:val="17"/>
                <w:szCs w:val="17"/>
                <w:color w:val="auto"/>
              </w:rPr>
              <w:t>Financial Highlights</w:t>
            </w:r>
          </w:p>
        </w:tc>
        <w:tc>
          <w:tcPr>
            <w:tcW w:w="6660" w:type="dxa"/>
            <w:vAlign w:val="bottom"/>
          </w:tcPr>
          <w:p>
            <w:pPr>
              <w:spacing w:after="0"/>
              <w:rPr>
                <w:sz w:val="24"/>
                <w:szCs w:val="24"/>
                <w:color w:val="auto"/>
              </w:rPr>
            </w:pPr>
          </w:p>
        </w:tc>
      </w:tr>
      <w:tr>
        <w:trPr>
          <w:trHeight w:val="210"/>
        </w:trPr>
        <w:tc>
          <w:tcPr>
            <w:tcW w:w="220" w:type="dxa"/>
            <w:vAlign w:val="bottom"/>
          </w:tcPr>
          <w:p>
            <w:pPr>
              <w:spacing w:after="0"/>
              <w:rPr>
                <w:sz w:val="18"/>
                <w:szCs w:val="18"/>
                <w:color w:val="auto"/>
              </w:rPr>
            </w:pPr>
          </w:p>
        </w:tc>
        <w:tc>
          <w:tcPr>
            <w:tcW w:w="4460" w:type="dxa"/>
            <w:vAlign w:val="bottom"/>
          </w:tcPr>
          <w:p>
            <w:pPr>
              <w:ind w:left="280"/>
              <w:spacing w:after="0"/>
              <w:rPr>
                <w:sz w:val="20"/>
                <w:szCs w:val="20"/>
                <w:color w:val="auto"/>
              </w:rPr>
            </w:pPr>
            <w:r>
              <w:rPr>
                <w:rFonts w:ascii="Arial" w:cs="Arial" w:eastAsia="Arial" w:hAnsi="Arial"/>
                <w:sz w:val="17"/>
                <w:szCs w:val="17"/>
                <w:color w:val="auto"/>
              </w:rPr>
              <w:t>Summarized Income Statements</w:t>
            </w:r>
          </w:p>
        </w:tc>
        <w:tc>
          <w:tcPr>
            <w:tcW w:w="66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220" w:type="dxa"/>
            <w:vAlign w:val="bottom"/>
          </w:tcPr>
          <w:p>
            <w:pPr>
              <w:spacing w:after="0"/>
              <w:rPr>
                <w:sz w:val="18"/>
                <w:szCs w:val="18"/>
                <w:color w:val="auto"/>
              </w:rPr>
            </w:pPr>
          </w:p>
        </w:tc>
        <w:tc>
          <w:tcPr>
            <w:tcW w:w="4460" w:type="dxa"/>
            <w:vAlign w:val="bottom"/>
          </w:tcPr>
          <w:p>
            <w:pPr>
              <w:ind w:left="280"/>
              <w:spacing w:after="0"/>
              <w:rPr>
                <w:sz w:val="20"/>
                <w:szCs w:val="20"/>
                <w:color w:val="auto"/>
              </w:rPr>
            </w:pPr>
            <w:r>
              <w:rPr>
                <w:rFonts w:ascii="Arial" w:cs="Arial" w:eastAsia="Arial" w:hAnsi="Arial"/>
                <w:sz w:val="17"/>
                <w:szCs w:val="17"/>
                <w:color w:val="auto"/>
              </w:rPr>
              <w:t>Summarized Balance Sheets</w:t>
            </w:r>
          </w:p>
        </w:tc>
        <w:tc>
          <w:tcPr>
            <w:tcW w:w="66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220" w:type="dxa"/>
            <w:vAlign w:val="bottom"/>
          </w:tcPr>
          <w:p>
            <w:pPr>
              <w:spacing w:after="0"/>
              <w:rPr>
                <w:sz w:val="18"/>
                <w:szCs w:val="18"/>
                <w:color w:val="auto"/>
              </w:rPr>
            </w:pPr>
          </w:p>
        </w:tc>
        <w:tc>
          <w:tcPr>
            <w:tcW w:w="4460" w:type="dxa"/>
            <w:vAlign w:val="bottom"/>
          </w:tcPr>
          <w:p>
            <w:pPr>
              <w:ind w:left="280"/>
              <w:spacing w:after="0"/>
              <w:rPr>
                <w:sz w:val="20"/>
                <w:szCs w:val="20"/>
                <w:color w:val="auto"/>
              </w:rPr>
            </w:pPr>
            <w:r>
              <w:rPr>
                <w:rFonts w:ascii="Arial" w:cs="Arial" w:eastAsia="Arial" w:hAnsi="Arial"/>
                <w:sz w:val="17"/>
                <w:szCs w:val="17"/>
                <w:color w:val="auto"/>
                <w:w w:val="93"/>
              </w:rPr>
              <w:t>Funds From Operations / Summary of Capital Expenditures</w:t>
            </w:r>
          </w:p>
        </w:tc>
        <w:tc>
          <w:tcPr>
            <w:tcW w:w="66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220" w:type="dxa"/>
            <w:vAlign w:val="bottom"/>
          </w:tcPr>
          <w:p>
            <w:pPr>
              <w:spacing w:after="0"/>
              <w:rPr>
                <w:sz w:val="18"/>
                <w:szCs w:val="18"/>
                <w:color w:val="auto"/>
              </w:rPr>
            </w:pPr>
          </w:p>
        </w:tc>
        <w:tc>
          <w:tcPr>
            <w:tcW w:w="4460" w:type="dxa"/>
            <w:vAlign w:val="bottom"/>
          </w:tcPr>
          <w:p>
            <w:pPr>
              <w:ind w:left="280"/>
              <w:spacing w:after="0"/>
              <w:rPr>
                <w:sz w:val="20"/>
                <w:szCs w:val="20"/>
                <w:color w:val="auto"/>
              </w:rPr>
            </w:pPr>
            <w:r>
              <w:rPr>
                <w:rFonts w:ascii="Arial" w:cs="Arial" w:eastAsia="Arial" w:hAnsi="Arial"/>
                <w:sz w:val="17"/>
                <w:szCs w:val="17"/>
                <w:color w:val="auto"/>
              </w:rPr>
              <w:t>Market Data</w:t>
            </w:r>
          </w:p>
        </w:tc>
        <w:tc>
          <w:tcPr>
            <w:tcW w:w="66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220" w:type="dxa"/>
            <w:vAlign w:val="bottom"/>
          </w:tcPr>
          <w:p>
            <w:pPr>
              <w:spacing w:after="0"/>
              <w:rPr>
                <w:sz w:val="18"/>
                <w:szCs w:val="18"/>
                <w:color w:val="auto"/>
              </w:rPr>
            </w:pPr>
          </w:p>
        </w:tc>
        <w:tc>
          <w:tcPr>
            <w:tcW w:w="4460" w:type="dxa"/>
            <w:vAlign w:val="bottom"/>
          </w:tcPr>
          <w:p>
            <w:pPr>
              <w:ind w:left="280"/>
              <w:spacing w:after="0"/>
              <w:rPr>
                <w:sz w:val="20"/>
                <w:szCs w:val="20"/>
                <w:color w:val="auto"/>
              </w:rPr>
            </w:pPr>
            <w:r>
              <w:rPr>
                <w:rFonts w:ascii="Arial" w:cs="Arial" w:eastAsia="Arial" w:hAnsi="Arial"/>
                <w:sz w:val="17"/>
                <w:szCs w:val="17"/>
                <w:color w:val="auto"/>
              </w:rPr>
              <w:t>Components of Rental Income</w:t>
            </w:r>
          </w:p>
        </w:tc>
        <w:tc>
          <w:tcPr>
            <w:tcW w:w="6660" w:type="dxa"/>
            <w:vAlign w:val="bottom"/>
          </w:tcPr>
          <w:p>
            <w:pPr>
              <w:jc w:val="right"/>
              <w:spacing w:after="0"/>
              <w:rPr>
                <w:sz w:val="20"/>
                <w:szCs w:val="20"/>
                <w:color w:val="auto"/>
              </w:rPr>
            </w:pPr>
            <w:r>
              <w:rPr>
                <w:rFonts w:ascii="Arial" w:cs="Arial" w:eastAsia="Arial" w:hAnsi="Arial"/>
                <w:sz w:val="17"/>
                <w:szCs w:val="17"/>
                <w:color w:val="auto"/>
              </w:rPr>
              <w:t>11</w:t>
            </w:r>
          </w:p>
        </w:tc>
      </w:tr>
    </w:tbl>
    <w:p>
      <w:pPr>
        <w:spacing w:after="0" w:line="99" w:lineRule="exact"/>
        <w:rPr>
          <w:sz w:val="20"/>
          <w:szCs w:val="20"/>
          <w:color w:val="auto"/>
        </w:rPr>
      </w:pPr>
    </w:p>
    <w:p>
      <w:pPr>
        <w:ind w:left="320" w:hanging="315"/>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Summary of Debt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7660" w:type="dxa"/>
            <w:vAlign w:val="bottom"/>
          </w:tcPr>
          <w:p>
            <w:pPr>
              <w:ind w:left="240"/>
              <w:spacing w:after="0"/>
              <w:rPr>
                <w:sz w:val="20"/>
                <w:szCs w:val="20"/>
                <w:color w:val="auto"/>
              </w:rPr>
            </w:pPr>
            <w:r>
              <w:rPr>
                <w:rFonts w:ascii="Arial" w:cs="Arial" w:eastAsia="Arial" w:hAnsi="Arial"/>
                <w:sz w:val="17"/>
                <w:szCs w:val="17"/>
                <w:color w:val="auto"/>
              </w:rPr>
              <w:t>Summary of Outstanding Debt and Capital Lease Obligations</w:t>
            </w:r>
          </w:p>
        </w:tc>
        <w:tc>
          <w:tcPr>
            <w:tcW w:w="34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6"/>
        </w:trPr>
        <w:tc>
          <w:tcPr>
            <w:tcW w:w="260" w:type="dxa"/>
            <w:vAlign w:val="bottom"/>
          </w:tcPr>
          <w:p>
            <w:pPr>
              <w:spacing w:after="0"/>
              <w:rPr>
                <w:sz w:val="18"/>
                <w:szCs w:val="18"/>
                <w:color w:val="auto"/>
              </w:rPr>
            </w:pPr>
          </w:p>
        </w:tc>
        <w:tc>
          <w:tcPr>
            <w:tcW w:w="7660" w:type="dxa"/>
            <w:vAlign w:val="bottom"/>
          </w:tcPr>
          <w:p>
            <w:pPr>
              <w:ind w:left="240"/>
              <w:spacing w:after="0"/>
              <w:rPr>
                <w:sz w:val="20"/>
                <w:szCs w:val="20"/>
                <w:color w:val="auto"/>
              </w:rPr>
            </w:pPr>
            <w:r>
              <w:rPr>
                <w:rFonts w:ascii="Arial" w:cs="Arial" w:eastAsia="Arial" w:hAnsi="Arial"/>
                <w:sz w:val="17"/>
                <w:szCs w:val="17"/>
                <w:color w:val="auto"/>
              </w:rPr>
              <w:t>Summary of Debt Maturities</w:t>
            </w:r>
          </w:p>
        </w:tc>
        <w:tc>
          <w:tcPr>
            <w:tcW w:w="34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4.</w:t>
            </w:r>
          </w:p>
        </w:tc>
        <w:tc>
          <w:tcPr>
            <w:tcW w:w="7660" w:type="dxa"/>
            <w:vAlign w:val="bottom"/>
          </w:tcPr>
          <w:p>
            <w:pPr>
              <w:ind w:left="60"/>
              <w:spacing w:after="0"/>
              <w:rPr>
                <w:sz w:val="20"/>
                <w:szCs w:val="20"/>
                <w:color w:val="auto"/>
              </w:rPr>
            </w:pPr>
            <w:r>
              <w:rPr>
                <w:rFonts w:ascii="Arial" w:cs="Arial" w:eastAsia="Arial" w:hAnsi="Arial"/>
                <w:sz w:val="17"/>
                <w:szCs w:val="17"/>
                <w:color w:val="auto"/>
              </w:rPr>
              <w:t>Summary of Redevelopment Opportunities</w:t>
            </w:r>
          </w:p>
        </w:tc>
        <w:tc>
          <w:tcPr>
            <w:tcW w:w="34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5.</w:t>
            </w:r>
          </w:p>
        </w:tc>
        <w:tc>
          <w:tcPr>
            <w:tcW w:w="7660" w:type="dxa"/>
            <w:vAlign w:val="bottom"/>
          </w:tcPr>
          <w:p>
            <w:pPr>
              <w:ind w:left="60"/>
              <w:spacing w:after="0"/>
              <w:rPr>
                <w:sz w:val="20"/>
                <w:szCs w:val="20"/>
                <w:color w:val="auto"/>
              </w:rPr>
            </w:pPr>
            <w:r>
              <w:rPr>
                <w:rFonts w:ascii="Arial" w:cs="Arial" w:eastAsia="Arial" w:hAnsi="Arial"/>
                <w:sz w:val="17"/>
                <w:szCs w:val="17"/>
                <w:color w:val="auto"/>
              </w:rPr>
              <w:t>2010 Significant Acquisitions</w:t>
            </w:r>
          </w:p>
        </w:tc>
        <w:tc>
          <w:tcPr>
            <w:tcW w:w="34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6.</w:t>
            </w:r>
          </w:p>
        </w:tc>
        <w:tc>
          <w:tcPr>
            <w:tcW w:w="7660" w:type="dxa"/>
            <w:vAlign w:val="bottom"/>
          </w:tcPr>
          <w:p>
            <w:pPr>
              <w:ind w:left="60"/>
              <w:spacing w:after="0"/>
              <w:rPr>
                <w:sz w:val="20"/>
                <w:szCs w:val="20"/>
                <w:color w:val="auto"/>
              </w:rPr>
            </w:pPr>
            <w:r>
              <w:rPr>
                <w:rFonts w:ascii="Arial" w:cs="Arial" w:eastAsia="Arial" w:hAnsi="Arial"/>
                <w:sz w:val="17"/>
                <w:szCs w:val="17"/>
                <w:color w:val="auto"/>
              </w:rPr>
              <w:t>Real Estate Status Report</w:t>
            </w:r>
          </w:p>
        </w:tc>
        <w:tc>
          <w:tcPr>
            <w:tcW w:w="34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7.</w:t>
            </w:r>
          </w:p>
        </w:tc>
        <w:tc>
          <w:tcPr>
            <w:tcW w:w="7660" w:type="dxa"/>
            <w:vAlign w:val="bottom"/>
          </w:tcPr>
          <w:p>
            <w:pPr>
              <w:ind w:left="60"/>
              <w:spacing w:after="0"/>
              <w:rPr>
                <w:sz w:val="20"/>
                <w:szCs w:val="20"/>
                <w:color w:val="auto"/>
              </w:rPr>
            </w:pPr>
            <w:r>
              <w:rPr>
                <w:rFonts w:ascii="Arial" w:cs="Arial" w:eastAsia="Arial" w:hAnsi="Arial"/>
                <w:sz w:val="17"/>
                <w:szCs w:val="17"/>
                <w:color w:val="auto"/>
              </w:rPr>
              <w:t>Retail Leasing Summary</w:t>
            </w:r>
          </w:p>
        </w:tc>
        <w:tc>
          <w:tcPr>
            <w:tcW w:w="34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8.</w:t>
            </w:r>
          </w:p>
        </w:tc>
        <w:tc>
          <w:tcPr>
            <w:tcW w:w="7660" w:type="dxa"/>
            <w:vAlign w:val="bottom"/>
          </w:tcPr>
          <w:p>
            <w:pPr>
              <w:ind w:left="60"/>
              <w:spacing w:after="0"/>
              <w:rPr>
                <w:sz w:val="20"/>
                <w:szCs w:val="20"/>
                <w:color w:val="auto"/>
              </w:rPr>
            </w:pPr>
            <w:r>
              <w:rPr>
                <w:rFonts w:ascii="Arial" w:cs="Arial" w:eastAsia="Arial" w:hAnsi="Arial"/>
                <w:sz w:val="17"/>
                <w:szCs w:val="17"/>
                <w:color w:val="auto"/>
              </w:rPr>
              <w:t>Lease Expirations</w:t>
            </w:r>
          </w:p>
        </w:tc>
        <w:tc>
          <w:tcPr>
            <w:tcW w:w="34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9.</w:t>
            </w:r>
          </w:p>
        </w:tc>
        <w:tc>
          <w:tcPr>
            <w:tcW w:w="7660" w:type="dxa"/>
            <w:vAlign w:val="bottom"/>
          </w:tcPr>
          <w:p>
            <w:pPr>
              <w:ind w:left="60"/>
              <w:spacing w:after="0"/>
              <w:rPr>
                <w:sz w:val="20"/>
                <w:szCs w:val="20"/>
                <w:color w:val="auto"/>
              </w:rPr>
            </w:pPr>
            <w:r>
              <w:rPr>
                <w:rFonts w:ascii="Arial" w:cs="Arial" w:eastAsia="Arial" w:hAnsi="Arial"/>
                <w:sz w:val="17"/>
                <w:szCs w:val="17"/>
                <w:color w:val="auto"/>
              </w:rPr>
              <w:t>Portfolio Leased Statistics</w:t>
            </w:r>
          </w:p>
        </w:tc>
        <w:tc>
          <w:tcPr>
            <w:tcW w:w="34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10.</w:t>
            </w:r>
          </w:p>
        </w:tc>
        <w:tc>
          <w:tcPr>
            <w:tcW w:w="7660" w:type="dxa"/>
            <w:vAlign w:val="bottom"/>
          </w:tcPr>
          <w:p>
            <w:pPr>
              <w:ind w:left="60"/>
              <w:spacing w:after="0"/>
              <w:rPr>
                <w:sz w:val="20"/>
                <w:szCs w:val="20"/>
                <w:color w:val="auto"/>
              </w:rPr>
            </w:pPr>
            <w:r>
              <w:rPr>
                <w:rFonts w:ascii="Arial" w:cs="Arial" w:eastAsia="Arial" w:hAnsi="Arial"/>
                <w:sz w:val="17"/>
                <w:szCs w:val="17"/>
                <w:color w:val="auto"/>
              </w:rPr>
              <w:t>Summary of Top 25 Tenants</w:t>
            </w:r>
          </w:p>
        </w:tc>
        <w:tc>
          <w:tcPr>
            <w:tcW w:w="34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11.</w:t>
            </w:r>
          </w:p>
        </w:tc>
        <w:tc>
          <w:tcPr>
            <w:tcW w:w="7660" w:type="dxa"/>
            <w:vAlign w:val="bottom"/>
          </w:tcPr>
          <w:p>
            <w:pPr>
              <w:ind w:left="60"/>
              <w:spacing w:after="0"/>
              <w:rPr>
                <w:sz w:val="20"/>
                <w:szCs w:val="20"/>
                <w:color w:val="auto"/>
              </w:rPr>
            </w:pPr>
            <w:r>
              <w:rPr>
                <w:rFonts w:ascii="Arial" w:cs="Arial" w:eastAsia="Arial" w:hAnsi="Arial"/>
                <w:sz w:val="17"/>
                <w:szCs w:val="17"/>
                <w:color w:val="auto"/>
              </w:rPr>
              <w:t>Reconciliation of Net Income to FFO Guidance</w:t>
            </w:r>
          </w:p>
        </w:tc>
        <w:tc>
          <w:tcPr>
            <w:tcW w:w="34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309"/>
        </w:trPr>
        <w:tc>
          <w:tcPr>
            <w:tcW w:w="260" w:type="dxa"/>
            <w:vAlign w:val="bottom"/>
          </w:tcPr>
          <w:p>
            <w:pPr>
              <w:spacing w:after="0"/>
              <w:rPr>
                <w:sz w:val="20"/>
                <w:szCs w:val="20"/>
                <w:color w:val="auto"/>
              </w:rPr>
            </w:pPr>
            <w:r>
              <w:rPr>
                <w:rFonts w:ascii="Arial" w:cs="Arial" w:eastAsia="Arial" w:hAnsi="Arial"/>
                <w:sz w:val="17"/>
                <w:szCs w:val="17"/>
                <w:color w:val="auto"/>
              </w:rPr>
              <w:t>12.</w:t>
            </w:r>
          </w:p>
        </w:tc>
        <w:tc>
          <w:tcPr>
            <w:tcW w:w="7660" w:type="dxa"/>
            <w:vAlign w:val="bottom"/>
          </w:tcPr>
          <w:p>
            <w:pPr>
              <w:ind w:left="60"/>
              <w:spacing w:after="0"/>
              <w:rPr>
                <w:sz w:val="20"/>
                <w:szCs w:val="20"/>
                <w:color w:val="auto"/>
              </w:rPr>
            </w:pPr>
            <w:r>
              <w:rPr>
                <w:rFonts w:ascii="Arial" w:cs="Arial" w:eastAsia="Arial" w:hAnsi="Arial"/>
                <w:sz w:val="17"/>
                <w:szCs w:val="17"/>
                <w:color w:val="auto"/>
              </w:rPr>
              <w:t>30% Owned Joint Venture Disclosure</w:t>
            </w:r>
          </w:p>
        </w:tc>
        <w:tc>
          <w:tcPr>
            <w:tcW w:w="3420" w:type="dxa"/>
            <w:vAlign w:val="bottom"/>
          </w:tcPr>
          <w:p>
            <w:pPr>
              <w:spacing w:after="0"/>
              <w:rPr>
                <w:sz w:val="24"/>
                <w:szCs w:val="24"/>
                <w:color w:val="auto"/>
              </w:rPr>
            </w:pPr>
          </w:p>
        </w:tc>
      </w:tr>
      <w:tr>
        <w:trPr>
          <w:trHeight w:val="210"/>
        </w:trPr>
        <w:tc>
          <w:tcPr>
            <w:tcW w:w="260" w:type="dxa"/>
            <w:vAlign w:val="bottom"/>
          </w:tcPr>
          <w:p>
            <w:pPr>
              <w:spacing w:after="0"/>
              <w:rPr>
                <w:sz w:val="18"/>
                <w:szCs w:val="18"/>
                <w:color w:val="auto"/>
              </w:rPr>
            </w:pPr>
          </w:p>
        </w:tc>
        <w:tc>
          <w:tcPr>
            <w:tcW w:w="7660" w:type="dxa"/>
            <w:vAlign w:val="bottom"/>
          </w:tcPr>
          <w:p>
            <w:pPr>
              <w:ind w:left="240"/>
              <w:spacing w:after="0"/>
              <w:rPr>
                <w:sz w:val="20"/>
                <w:szCs w:val="20"/>
                <w:color w:val="auto"/>
              </w:rPr>
            </w:pPr>
            <w:r>
              <w:rPr>
                <w:rFonts w:ascii="Arial" w:cs="Arial" w:eastAsia="Arial" w:hAnsi="Arial"/>
                <w:sz w:val="17"/>
                <w:szCs w:val="17"/>
                <w:color w:val="auto"/>
              </w:rPr>
              <w:t>Summarized Income Statements and Balance Sheets</w:t>
            </w:r>
          </w:p>
        </w:tc>
        <w:tc>
          <w:tcPr>
            <w:tcW w:w="34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260" w:type="dxa"/>
            <w:vAlign w:val="bottom"/>
          </w:tcPr>
          <w:p>
            <w:pPr>
              <w:spacing w:after="0"/>
              <w:rPr>
                <w:sz w:val="18"/>
                <w:szCs w:val="18"/>
                <w:color w:val="auto"/>
              </w:rPr>
            </w:pPr>
          </w:p>
        </w:tc>
        <w:tc>
          <w:tcPr>
            <w:tcW w:w="7660" w:type="dxa"/>
            <w:vAlign w:val="bottom"/>
          </w:tcPr>
          <w:p>
            <w:pPr>
              <w:ind w:left="240"/>
              <w:spacing w:after="0"/>
              <w:rPr>
                <w:sz w:val="20"/>
                <w:szCs w:val="20"/>
                <w:color w:val="auto"/>
              </w:rPr>
            </w:pPr>
            <w:r>
              <w:rPr>
                <w:rFonts w:ascii="Arial" w:cs="Arial" w:eastAsia="Arial" w:hAnsi="Arial"/>
                <w:sz w:val="17"/>
                <w:szCs w:val="17"/>
                <w:color w:val="auto"/>
              </w:rPr>
              <w:t>Summary of Outstanding Debt and Debt Maturities</w:t>
            </w:r>
          </w:p>
        </w:tc>
        <w:tc>
          <w:tcPr>
            <w:tcW w:w="34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6"/>
        </w:trPr>
        <w:tc>
          <w:tcPr>
            <w:tcW w:w="260" w:type="dxa"/>
            <w:vAlign w:val="bottom"/>
          </w:tcPr>
          <w:p>
            <w:pPr>
              <w:spacing w:after="0"/>
              <w:rPr>
                <w:sz w:val="18"/>
                <w:szCs w:val="18"/>
                <w:color w:val="auto"/>
              </w:rPr>
            </w:pPr>
          </w:p>
        </w:tc>
        <w:tc>
          <w:tcPr>
            <w:tcW w:w="7660" w:type="dxa"/>
            <w:vAlign w:val="bottom"/>
          </w:tcPr>
          <w:p>
            <w:pPr>
              <w:ind w:left="240"/>
              <w:spacing w:after="0"/>
              <w:rPr>
                <w:sz w:val="20"/>
                <w:szCs w:val="20"/>
                <w:color w:val="auto"/>
              </w:rPr>
            </w:pPr>
            <w:r>
              <w:rPr>
                <w:rFonts w:ascii="Arial" w:cs="Arial" w:eastAsia="Arial" w:hAnsi="Arial"/>
                <w:sz w:val="17"/>
                <w:szCs w:val="17"/>
                <w:color w:val="auto"/>
              </w:rPr>
              <w:t>Real Estate Status Report</w:t>
            </w:r>
          </w:p>
        </w:tc>
        <w:tc>
          <w:tcPr>
            <w:tcW w:w="34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13.</w:t>
            </w:r>
          </w:p>
        </w:tc>
        <w:tc>
          <w:tcPr>
            <w:tcW w:w="7660" w:type="dxa"/>
            <w:vAlign w:val="bottom"/>
          </w:tcPr>
          <w:p>
            <w:pPr>
              <w:ind w:left="60"/>
              <w:spacing w:after="0"/>
              <w:rPr>
                <w:sz w:val="20"/>
                <w:szCs w:val="20"/>
                <w:color w:val="auto"/>
              </w:rPr>
            </w:pPr>
            <w:r>
              <w:rPr>
                <w:rFonts w:ascii="Arial" w:cs="Arial" w:eastAsia="Arial" w:hAnsi="Arial"/>
                <w:sz w:val="17"/>
                <w:szCs w:val="17"/>
                <w:color w:val="auto"/>
              </w:rPr>
              <w:t>Glossary of Terms</w:t>
            </w:r>
          </w:p>
        </w:tc>
        <w:tc>
          <w:tcPr>
            <w:tcW w:w="3420" w:type="dxa"/>
            <w:vAlign w:val="bottom"/>
          </w:tcPr>
          <w:p>
            <w:pPr>
              <w:jc w:val="right"/>
              <w:spacing w:after="0"/>
              <w:rPr>
                <w:sz w:val="20"/>
                <w:szCs w:val="20"/>
                <w:color w:val="auto"/>
              </w:rPr>
            </w:pPr>
            <w:r>
              <w:rPr>
                <w:rFonts w:ascii="Arial" w:cs="Arial" w:eastAsia="Arial" w:hAnsi="Arial"/>
                <w:sz w:val="17"/>
                <w:szCs w:val="17"/>
                <w:color w:val="auto"/>
              </w:rPr>
              <w:t>26</w:t>
            </w: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1626 East Jefferson Street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Rockville, Maryland 20852-4041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301/998-8100</w:t>
      </w:r>
    </w:p>
    <w:p>
      <w:pPr>
        <w:sectPr>
          <w:pgSz w:w="11900" w:h="16838" w:orient="portrait"/>
          <w:cols w:equalWidth="0" w:num="1">
            <w:col w:w="11420"/>
          </w:cols>
          <w:pgMar w:left="240" w:top="127"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Safe Harbor Language</w:t>
      </w:r>
    </w:p>
    <w:p>
      <w:pPr>
        <w:spacing w:after="0" w:line="97"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15, 2011, and include the following:</w:t>
      </w:r>
    </w:p>
    <w:p>
      <w:pPr>
        <w:spacing w:after="0" w:line="54" w:lineRule="exact"/>
        <w:rPr>
          <w:sz w:val="20"/>
          <w:szCs w:val="20"/>
          <w:color w:val="auto"/>
        </w:rPr>
      </w:pPr>
    </w:p>
    <w:p>
      <w:pPr>
        <w:ind w:left="900" w:right="60" w:hanging="331"/>
        <w:spacing w:after="0" w:line="282" w:lineRule="auto"/>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tenants will not pay rent, may vacate early or may file for bankruptcy or that we may be unable to renew leases or re-let space at favorable rents as leases expire;</w:t>
      </w:r>
    </w:p>
    <w:p>
      <w:pPr>
        <w:spacing w:after="0" w:line="38" w:lineRule="exact"/>
        <w:rPr>
          <w:rFonts w:ascii="Arial" w:cs="Arial" w:eastAsia="Arial" w:hAnsi="Arial"/>
          <w:sz w:val="17"/>
          <w:szCs w:val="17"/>
          <w:i w:val="1"/>
          <w:iCs w:val="1"/>
          <w:color w:val="auto"/>
        </w:rPr>
      </w:pPr>
    </w:p>
    <w:p>
      <w:pPr>
        <w:ind w:left="900" w:right="80" w:hanging="331"/>
        <w:spacing w:after="0" w:line="270" w:lineRule="auto"/>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48" w:lineRule="exact"/>
        <w:rPr>
          <w:rFonts w:ascii="Arial" w:cs="Arial" w:eastAsia="Arial" w:hAnsi="Arial"/>
          <w:sz w:val="17"/>
          <w:szCs w:val="17"/>
          <w:i w:val="1"/>
          <w:iCs w:val="1"/>
          <w:color w:val="auto"/>
        </w:rPr>
      </w:pPr>
    </w:p>
    <w:p>
      <w:pPr>
        <w:ind w:left="900" w:hanging="331"/>
        <w:spacing w:after="0" w:line="282" w:lineRule="auto"/>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the number of properties we acquire for our own account, and therefore the amount of capital we invest in acquisitions, may be impacted by our real estate partnerships;</w:t>
      </w:r>
    </w:p>
    <w:p>
      <w:pPr>
        <w:spacing w:after="0" w:line="38" w:lineRule="exact"/>
        <w:rPr>
          <w:rFonts w:ascii="Arial" w:cs="Arial" w:eastAsia="Arial" w:hAnsi="Arial"/>
          <w:sz w:val="17"/>
          <w:szCs w:val="17"/>
          <w:i w:val="1"/>
          <w:iCs w:val="1"/>
          <w:color w:val="auto"/>
        </w:rPr>
      </w:pPr>
    </w:p>
    <w:p>
      <w:pPr>
        <w:ind w:left="900" w:right="20" w:hanging="331"/>
        <w:spacing w:after="0" w:line="265" w:lineRule="auto"/>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54" w:lineRule="exact"/>
        <w:rPr>
          <w:rFonts w:ascii="Arial" w:cs="Arial" w:eastAsia="Arial" w:hAnsi="Arial"/>
          <w:sz w:val="17"/>
          <w:szCs w:val="17"/>
          <w:i w:val="1"/>
          <w:iCs w:val="1"/>
          <w:color w:val="auto"/>
        </w:rPr>
      </w:pPr>
    </w:p>
    <w:p>
      <w:pPr>
        <w:ind w:left="900" w:hanging="331"/>
        <w:spacing w:after="0"/>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growth will be limited if we cannot obtain additional capital;</w:t>
      </w:r>
    </w:p>
    <w:p>
      <w:pPr>
        <w:spacing w:after="0" w:line="92" w:lineRule="exact"/>
        <w:rPr>
          <w:rFonts w:ascii="Arial" w:cs="Arial" w:eastAsia="Arial" w:hAnsi="Arial"/>
          <w:sz w:val="17"/>
          <w:szCs w:val="17"/>
          <w:i w:val="1"/>
          <w:iCs w:val="1"/>
          <w:color w:val="auto"/>
        </w:rPr>
      </w:pPr>
    </w:p>
    <w:p>
      <w:pPr>
        <w:ind w:left="900" w:right="140" w:hanging="331"/>
        <w:spacing w:after="0" w:line="270" w:lineRule="auto"/>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8" w:lineRule="exact"/>
        <w:rPr>
          <w:rFonts w:ascii="Arial" w:cs="Arial" w:eastAsia="Arial" w:hAnsi="Arial"/>
          <w:sz w:val="17"/>
          <w:szCs w:val="17"/>
          <w:i w:val="1"/>
          <w:iCs w:val="1"/>
          <w:color w:val="auto"/>
        </w:rPr>
      </w:pPr>
    </w:p>
    <w:p>
      <w:pPr>
        <w:ind w:left="900" w:right="100" w:hanging="331"/>
        <w:spacing w:after="0" w:line="270" w:lineRule="auto"/>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ind w:right="260"/>
        <w:spacing w:after="0" w:line="322" w:lineRule="auto"/>
        <w:rPr>
          <w:sz w:val="20"/>
          <w:szCs w:val="20"/>
          <w:color w:val="auto"/>
        </w:rPr>
      </w:pPr>
      <w:r>
        <w:rPr>
          <w:rFonts w:ascii="Arial" w:cs="Arial" w:eastAsia="Arial" w:hAnsi="Arial"/>
          <w:sz w:val="15"/>
          <w:szCs w:val="15"/>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15, 2011.</w:t>
      </w:r>
    </w:p>
    <w:p>
      <w:pPr>
        <w:sectPr>
          <w:pgSz w:w="11900" w:h="16838" w:orient="portrait"/>
          <w:cols w:equalWidth="0" w:num="1">
            <w:col w:w="11400"/>
          </w:cols>
          <w:pgMar w:left="240" w:top="271" w:right="2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1315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1315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80" w:type="dxa"/>
            <w:vAlign w:val="bottom"/>
            <w:gridSpan w:val="2"/>
          </w:tcPr>
          <w:p>
            <w:pPr>
              <w:spacing w:after="0"/>
              <w:rPr>
                <w:sz w:val="20"/>
                <w:szCs w:val="20"/>
                <w:color w:val="auto"/>
              </w:rPr>
            </w:pPr>
            <w:r>
              <w:rPr>
                <w:rFonts w:ascii="Arial" w:cs="Arial" w:eastAsia="Arial" w:hAnsi="Arial"/>
                <w:sz w:val="17"/>
                <w:szCs w:val="17"/>
                <w:b w:val="1"/>
                <w:bCs w:val="1"/>
                <w:color w:val="auto"/>
              </w:rPr>
              <w:t>FOR IMMEDIATE RELEASE</w:t>
            </w:r>
          </w:p>
        </w:tc>
        <w:tc>
          <w:tcPr>
            <w:tcW w:w="4980" w:type="dxa"/>
            <w:vAlign w:val="bottom"/>
          </w:tcPr>
          <w:p>
            <w:pPr>
              <w:spacing w:after="0"/>
              <w:rPr>
                <w:sz w:val="19"/>
                <w:szCs w:val="19"/>
                <w:color w:val="auto"/>
              </w:rPr>
            </w:pPr>
          </w:p>
        </w:tc>
      </w:tr>
      <w:tr>
        <w:trPr>
          <w:trHeight w:val="369"/>
        </w:trPr>
        <w:tc>
          <w:tcPr>
            <w:tcW w:w="200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w w:val="92"/>
              </w:rPr>
              <w:t>Investor and Media Inquiries</w:t>
            </w:r>
          </w:p>
        </w:tc>
        <w:tc>
          <w:tcPr>
            <w:tcW w:w="30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21"/>
        </w:trPr>
        <w:tc>
          <w:tcPr>
            <w:tcW w:w="5080" w:type="dxa"/>
            <w:vAlign w:val="bottom"/>
            <w:gridSpan w:val="2"/>
          </w:tcPr>
          <w:p>
            <w:pPr>
              <w:spacing w:after="0"/>
              <w:rPr>
                <w:sz w:val="20"/>
                <w:szCs w:val="20"/>
                <w:color w:val="auto"/>
              </w:rPr>
            </w:pPr>
            <w:r>
              <w:rPr>
                <w:rFonts w:ascii="Arial" w:cs="Arial" w:eastAsia="Arial" w:hAnsi="Arial"/>
                <w:sz w:val="17"/>
                <w:szCs w:val="17"/>
                <w:color w:val="auto"/>
              </w:rPr>
              <w:t>Gina Birdsall</w:t>
            </w:r>
          </w:p>
        </w:tc>
        <w:tc>
          <w:tcPr>
            <w:tcW w:w="4980" w:type="dxa"/>
            <w:vAlign w:val="bottom"/>
          </w:tcPr>
          <w:p>
            <w:pPr>
              <w:ind w:left="2800"/>
              <w:spacing w:after="0"/>
              <w:rPr>
                <w:sz w:val="20"/>
                <w:szCs w:val="20"/>
                <w:color w:val="auto"/>
              </w:rPr>
            </w:pPr>
            <w:r>
              <w:rPr>
                <w:rFonts w:ascii="Arial" w:cs="Arial" w:eastAsia="Arial" w:hAnsi="Arial"/>
                <w:sz w:val="17"/>
                <w:szCs w:val="17"/>
                <w:color w:val="auto"/>
              </w:rPr>
              <w:t>Janelle Stevenson</w:t>
            </w:r>
          </w:p>
        </w:tc>
      </w:tr>
      <w:tr>
        <w:trPr>
          <w:trHeight w:val="210"/>
        </w:trPr>
        <w:tc>
          <w:tcPr>
            <w:tcW w:w="5080" w:type="dxa"/>
            <w:vAlign w:val="bottom"/>
            <w:gridSpan w:val="2"/>
          </w:tcPr>
          <w:p>
            <w:pPr>
              <w:spacing w:after="0"/>
              <w:rPr>
                <w:sz w:val="20"/>
                <w:szCs w:val="20"/>
                <w:color w:val="auto"/>
              </w:rPr>
            </w:pPr>
            <w:r>
              <w:rPr>
                <w:rFonts w:ascii="Arial" w:cs="Arial" w:eastAsia="Arial" w:hAnsi="Arial"/>
                <w:sz w:val="17"/>
                <w:szCs w:val="17"/>
                <w:color w:val="auto"/>
              </w:rPr>
              <w:t>Investor Relations</w:t>
            </w:r>
          </w:p>
        </w:tc>
        <w:tc>
          <w:tcPr>
            <w:tcW w:w="4980" w:type="dxa"/>
            <w:vAlign w:val="bottom"/>
          </w:tcPr>
          <w:p>
            <w:pPr>
              <w:ind w:left="2800"/>
              <w:spacing w:after="0"/>
              <w:rPr>
                <w:sz w:val="20"/>
                <w:szCs w:val="20"/>
                <w:color w:val="auto"/>
              </w:rPr>
            </w:pPr>
            <w:r>
              <w:rPr>
                <w:rFonts w:ascii="Arial" w:cs="Arial" w:eastAsia="Arial" w:hAnsi="Arial"/>
                <w:sz w:val="17"/>
                <w:szCs w:val="17"/>
                <w:color w:val="auto"/>
              </w:rPr>
              <w:t>Corporate Communications</w:t>
            </w:r>
          </w:p>
        </w:tc>
      </w:tr>
      <w:tr>
        <w:trPr>
          <w:trHeight w:val="210"/>
        </w:trPr>
        <w:tc>
          <w:tcPr>
            <w:tcW w:w="2000" w:type="dxa"/>
            <w:vAlign w:val="bottom"/>
          </w:tcPr>
          <w:p>
            <w:pPr>
              <w:spacing w:after="0"/>
              <w:rPr>
                <w:sz w:val="20"/>
                <w:szCs w:val="20"/>
                <w:color w:val="auto"/>
              </w:rPr>
            </w:pPr>
            <w:r>
              <w:rPr>
                <w:rFonts w:ascii="Arial" w:cs="Arial" w:eastAsia="Arial" w:hAnsi="Arial"/>
                <w:sz w:val="17"/>
                <w:szCs w:val="17"/>
                <w:color w:val="auto"/>
              </w:rPr>
              <w:t>301/998-8265</w:t>
            </w:r>
          </w:p>
        </w:tc>
        <w:tc>
          <w:tcPr>
            <w:tcW w:w="3080" w:type="dxa"/>
            <w:vAlign w:val="bottom"/>
          </w:tcPr>
          <w:p>
            <w:pPr>
              <w:spacing w:after="0"/>
              <w:rPr>
                <w:sz w:val="18"/>
                <w:szCs w:val="18"/>
                <w:color w:val="auto"/>
              </w:rPr>
            </w:pPr>
          </w:p>
        </w:tc>
        <w:tc>
          <w:tcPr>
            <w:tcW w:w="4980" w:type="dxa"/>
            <w:vAlign w:val="bottom"/>
          </w:tcPr>
          <w:p>
            <w:pPr>
              <w:ind w:left="2800"/>
              <w:spacing w:after="0"/>
              <w:rPr>
                <w:sz w:val="20"/>
                <w:szCs w:val="20"/>
                <w:color w:val="auto"/>
              </w:rPr>
            </w:pPr>
            <w:r>
              <w:rPr>
                <w:rFonts w:ascii="Arial" w:cs="Arial" w:eastAsia="Arial" w:hAnsi="Arial"/>
                <w:sz w:val="17"/>
                <w:szCs w:val="17"/>
                <w:color w:val="auto"/>
              </w:rPr>
              <w:t>301/998-8185</w:t>
            </w:r>
          </w:p>
        </w:tc>
      </w:tr>
      <w:tr>
        <w:trPr>
          <w:trHeight w:val="216"/>
        </w:trPr>
        <w:tc>
          <w:tcPr>
            <w:tcW w:w="5080" w:type="dxa"/>
            <w:vAlign w:val="bottom"/>
            <w:gridSpan w:val="2"/>
          </w:tcPr>
          <w:p>
            <w:pPr>
              <w:spacing w:after="0"/>
              <w:rPr>
                <w:sz w:val="20"/>
                <w:szCs w:val="20"/>
                <w:color w:val="auto"/>
              </w:rPr>
            </w:pPr>
            <w:r>
              <w:rPr>
                <w:rFonts w:ascii="Arial" w:cs="Arial" w:eastAsia="Arial" w:hAnsi="Arial"/>
                <w:sz w:val="17"/>
                <w:szCs w:val="17"/>
                <w:i w:val="1"/>
                <w:iCs w:val="1"/>
                <w:color w:val="auto"/>
              </w:rPr>
              <w:t>gbirdsall@federalrealty.com</w:t>
            </w:r>
          </w:p>
        </w:tc>
        <w:tc>
          <w:tcPr>
            <w:tcW w:w="4980" w:type="dxa"/>
            <w:vAlign w:val="bottom"/>
          </w:tcPr>
          <w:p>
            <w:pPr>
              <w:ind w:left="2800"/>
              <w:spacing w:after="0"/>
              <w:rPr>
                <w:sz w:val="20"/>
                <w:szCs w:val="20"/>
                <w:color w:val="auto"/>
              </w:rPr>
            </w:pPr>
            <w:r>
              <w:rPr>
                <w:rFonts w:ascii="Arial" w:cs="Arial" w:eastAsia="Arial" w:hAnsi="Arial"/>
                <w:sz w:val="17"/>
                <w:szCs w:val="17"/>
                <w:i w:val="1"/>
                <w:iCs w:val="1"/>
                <w:color w:val="auto"/>
                <w:w w:val="88"/>
              </w:rPr>
              <w:t>jmstevenson@federalrealty.com</w:t>
            </w:r>
          </w:p>
        </w:tc>
      </w:tr>
    </w:tbl>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FEDERAL REALTY INVESTMENT TRUST ANNOUNCES FOURTH QUARTER AND</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YEAR-END 2010 OPERATING RESULTS</w:t>
      </w:r>
    </w:p>
    <w:p>
      <w:pPr>
        <w:spacing w:after="0" w:line="165" w:lineRule="exact"/>
        <w:rPr>
          <w:sz w:val="20"/>
          <w:szCs w:val="20"/>
          <w:color w:val="auto"/>
        </w:rPr>
      </w:pPr>
    </w:p>
    <w:p>
      <w:pPr>
        <w:ind w:right="580"/>
        <w:spacing w:after="0" w:line="282" w:lineRule="auto"/>
        <w:rPr>
          <w:sz w:val="20"/>
          <w:szCs w:val="20"/>
          <w:color w:val="auto"/>
        </w:rPr>
      </w:pPr>
      <w:r>
        <w:rPr>
          <w:rFonts w:ascii="Arial" w:cs="Arial" w:eastAsia="Arial" w:hAnsi="Arial"/>
          <w:sz w:val="17"/>
          <w:szCs w:val="17"/>
          <w:color w:val="auto"/>
        </w:rPr>
        <w:t>ROCKVILLE, Md. (February 15, 2011) – Federal Realty Investment Trust (NYSE:FRT) today reported operating results for its fourth quarter and year-ended December 31, 2010.</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Results</w:t>
      </w:r>
    </w:p>
    <w:p>
      <w:pPr>
        <w:spacing w:after="0" w:line="9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Federal Realty generated funds from operations available for common shareholders (FFO) of $62.2 million, or $1.01 per diluted share for fourth quarter 2010. This compares to FFO of $60.1 million, or $0.98 per diluted share, in fourth quarter 2009 ($55.4 million or $0.90 per diluted share as adjusted for litigation provision – see below). For the year ending December 31, 2010, Federal Realty reported FFO of $239.2 million, or $3.88 per diluted share. This compares to $211.1 million, or $3.51 per diluted share, for the year ending December 31, 2009 ($227.4 million or $3.78 per diluted share as adjusted for litigation provision).</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Net income available for common shareholders was $32.7 million and earnings per diluted share was $0.53 for fourth quarter 2010 versus $31.8 million and $0.52, respectively, for fourth quarter 2009 ($27.1 million or $0.44 per diluted share as adjusted for litigation provision). For the year ending December 31, 2010, Federal Realty reported net income available for common shareholders of $122.2 million and earnings per diluted share of $1.98. This compares to net income available for shareholders of $97.8 million and earnings per diluted share of $1.63 for the year ending December 31, 2009 ($114.1 million or $1.90 per diluted share as adjusted for litigation provision).</w:t>
      </w:r>
    </w:p>
    <w:p>
      <w:pPr>
        <w:spacing w:after="0" w:line="13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Federal Realty’s as adjusted financial results in the prior year exclude a $16.4 million litigation provision in 2009 (principally consisting of $20.6 million recorded in the first quarter and a reversal of $4.7 million recorded in the fourth quarter) reflecting the impact of a previously disclosed lawsuit involving a property adjacent to Santana Row. In February 2011, a final ruling on appeals from both Federal Realty and the plaintiff was issued, rejecting both appeals and affirming the final judgment. Payment is expected to be made on the judgment in first quarter 2011 with no further impact expected. See Note 8 of the Consolidated Financial Statements included in Form 10-K filed on February 15, 2011.</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60"/>
          </w:cols>
          <w:pgMar w:left="240" w:top="1440" w:right="29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FEDERAL REALTY INVESTMENT TRUST ANNOUNCES FOURTH QUARTER AND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YEAR-END 2010 OPERATING RESULTS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February 15, 2011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Page 2</w:t>
      </w:r>
    </w:p>
    <w:p>
      <w:pPr>
        <w:spacing w:after="0" w:line="152" w:lineRule="exact"/>
        <w:rPr>
          <w:sz w:val="20"/>
          <w:szCs w:val="20"/>
          <w:color w:val="auto"/>
        </w:rPr>
      </w:pPr>
    </w:p>
    <w:p>
      <w:pPr>
        <w:ind w:right="300"/>
        <w:spacing w:after="0" w:line="282" w:lineRule="auto"/>
        <w:rPr>
          <w:sz w:val="20"/>
          <w:szCs w:val="20"/>
          <w:color w:val="auto"/>
        </w:rPr>
      </w:pPr>
      <w:r>
        <w:rPr>
          <w:rFonts w:ascii="Arial" w:cs="Arial" w:eastAsia="Arial" w:hAnsi="Arial"/>
          <w:sz w:val="17"/>
          <w:szCs w:val="17"/>
          <w:color w:val="auto"/>
        </w:rPr>
        <w:t>FFO is a non-GAAP supplemental earnings measure which the Trust considers meaningful in measuring its operating performance. A reconciliation of FFO to net income is attached to this press release.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Portfolio Results</w:t>
      </w:r>
    </w:p>
    <w:p>
      <w:pPr>
        <w:spacing w:after="0" w:line="97" w:lineRule="exact"/>
        <w:rPr>
          <w:sz w:val="20"/>
          <w:szCs w:val="20"/>
          <w:color w:val="auto"/>
        </w:rPr>
      </w:pPr>
    </w:p>
    <w:p>
      <w:pPr>
        <w:ind w:right="420"/>
        <w:spacing w:after="0" w:line="322" w:lineRule="auto"/>
        <w:rPr>
          <w:sz w:val="20"/>
          <w:szCs w:val="20"/>
          <w:color w:val="auto"/>
        </w:rPr>
      </w:pPr>
      <w:r>
        <w:rPr>
          <w:rFonts w:ascii="Arial" w:cs="Arial" w:eastAsia="Arial" w:hAnsi="Arial"/>
          <w:sz w:val="15"/>
          <w:szCs w:val="15"/>
          <w:color w:val="auto"/>
        </w:rPr>
        <w:t>Same-center property operating income in 2010 increased 2.3% including redevelopments and expansions, and increased 2.1% excluding redevelopments and expansions, compared to 2009. On a quarterly-basis, same-center property operating income in fourth quarter 2010 increased 0.8% including redevelopment and expansion properties, and increased 1.1% excluding redevelopment and expansion properties, compared to fourth quarter 2009.</w:t>
      </w:r>
    </w:p>
    <w:p>
      <w:pPr>
        <w:spacing w:after="0" w:line="92" w:lineRule="exact"/>
        <w:rPr>
          <w:sz w:val="20"/>
          <w:szCs w:val="20"/>
          <w:color w:val="auto"/>
        </w:rPr>
      </w:pPr>
    </w:p>
    <w:p>
      <w:pPr>
        <w:ind w:right="340"/>
        <w:spacing w:after="0" w:line="315" w:lineRule="auto"/>
        <w:rPr>
          <w:sz w:val="20"/>
          <w:szCs w:val="20"/>
          <w:color w:val="auto"/>
        </w:rPr>
      </w:pPr>
      <w:r>
        <w:rPr>
          <w:rFonts w:ascii="Arial" w:cs="Arial" w:eastAsia="Arial" w:hAnsi="Arial"/>
          <w:sz w:val="16"/>
          <w:szCs w:val="16"/>
          <w:color w:val="auto"/>
        </w:rPr>
        <w:t>The overall portfolio was 93.9% leased as of December 31, 2010, compared to 93.9% on September 30, 2010 and 94.5% on December 31, 2009. Federal Realty’s same-center portfolio was 94.3% leased on December 31, 2010, compared to 94.4% on September 30, 2010 and 94.6% on December 31, 2009.</w:t>
      </w:r>
    </w:p>
    <w:p>
      <w:pPr>
        <w:spacing w:after="0" w:line="94"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During fourth quarter 2010, the Trust signed 89 leases for 493,000 square feet of retail space. On a comparable space basis (</w:t>
      </w:r>
      <w:r>
        <w:rPr>
          <w:rFonts w:ascii="Arial" w:cs="Arial" w:eastAsia="Arial" w:hAnsi="Arial"/>
          <w:sz w:val="16"/>
          <w:szCs w:val="16"/>
          <w:i w:val="1"/>
          <w:iCs w:val="1"/>
          <w:color w:val="auto"/>
        </w:rPr>
        <w:t>i.e.</w:t>
      </w:r>
      <w:r>
        <w:rPr>
          <w:rFonts w:ascii="Arial" w:cs="Arial" w:eastAsia="Arial" w:hAnsi="Arial"/>
          <w:sz w:val="16"/>
          <w:szCs w:val="16"/>
          <w:color w:val="auto"/>
        </w:rPr>
        <w:t>, spaces for which there was a former tenant), the Trust leased 490,000 square feet at an average cash-basis contractual rent increase per square foot (</w:t>
      </w:r>
      <w:r>
        <w:rPr>
          <w:rFonts w:ascii="Arial" w:cs="Arial" w:eastAsia="Arial" w:hAnsi="Arial"/>
          <w:sz w:val="16"/>
          <w:szCs w:val="16"/>
          <w:i w:val="1"/>
          <w:iCs w:val="1"/>
          <w:color w:val="auto"/>
        </w:rPr>
        <w:t>i.e.</w:t>
      </w:r>
      <w:r>
        <w:rPr>
          <w:rFonts w:ascii="Arial" w:cs="Arial" w:eastAsia="Arial" w:hAnsi="Arial"/>
          <w:sz w:val="16"/>
          <w:szCs w:val="16"/>
          <w:color w:val="auto"/>
        </w:rPr>
        <w:t>, excluding the impact of straight-line rents) of 7%. The average contractual rent on this comparable space for the first year of the new lease is $23.68 per square foot compared to the average contractual rent of $22.11 per square foot for the last year of the prior lease. The previous average contractual rent is calculated by including both the minimum rent and any percentage rent actually paid during the last year of the lease term for the re-leased space. On a GAAP basis (</w:t>
      </w:r>
      <w:r>
        <w:rPr>
          <w:rFonts w:ascii="Arial" w:cs="Arial" w:eastAsia="Arial" w:hAnsi="Arial"/>
          <w:sz w:val="16"/>
          <w:szCs w:val="16"/>
          <w:i w:val="1"/>
          <w:iCs w:val="1"/>
          <w:color w:val="auto"/>
        </w:rPr>
        <w:t>i.e.</w:t>
      </w:r>
      <w:r>
        <w:rPr>
          <w:rFonts w:ascii="Arial" w:cs="Arial" w:eastAsia="Arial" w:hAnsi="Arial"/>
          <w:sz w:val="16"/>
          <w:szCs w:val="16"/>
          <w:color w:val="auto"/>
        </w:rPr>
        <w:t>, including the impact of straight-line rents), rent increases per square foot for comparable retail space averaged 15% for fourth quarter 2010.</w:t>
      </w:r>
    </w:p>
    <w:p>
      <w:pPr>
        <w:spacing w:after="0" w:line="123" w:lineRule="exact"/>
        <w:rPr>
          <w:sz w:val="20"/>
          <w:szCs w:val="20"/>
          <w:color w:val="auto"/>
        </w:rPr>
      </w:pPr>
    </w:p>
    <w:p>
      <w:pPr>
        <w:spacing w:after="0" w:line="311" w:lineRule="auto"/>
        <w:rPr>
          <w:sz w:val="20"/>
          <w:szCs w:val="20"/>
          <w:color w:val="auto"/>
        </w:rPr>
      </w:pPr>
      <w:r>
        <w:rPr>
          <w:rFonts w:ascii="Arial" w:cs="Arial" w:eastAsia="Arial" w:hAnsi="Arial"/>
          <w:sz w:val="15"/>
          <w:szCs w:val="15"/>
          <w:color w:val="auto"/>
        </w:rPr>
        <w:t>For all of 2010, Federal Realty signed 312 leases representing 1.5 million square feet of comparable retail space at an average cash-basis contractual rent increase per square foot of 8%, and 18% on a GAAP-basis. The average cash-basis contractual rent on this comparable space for the first year of the new lease is $26.04 per square foot compared to the average cash-basis contractual rent of $24.11 per square foot for the last year of the prior lease. As of December 31, 2010, Federal Realty’s average contractual minimum rent for retail and commercial space in its portfolio is $22.77 per square foot, as compared to $22.14 on December 31, 2009.</w:t>
      </w:r>
    </w:p>
    <w:p>
      <w:pPr>
        <w:spacing w:after="0" w:line="102"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“Steady, solid, consistent growth from one of the best retail portfolios in the country,” commented Donald C. Wood, president and chief executive officer of Federal Realty Investment Trust. “Over the past several years, as the results of most commercial real estate portfolios in the U.S. have swung wildly, our consistency and predictability is especially appreciated. As the economy continues to improve, I would expect the same from Federal Realty.”</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40" w:top="275" w:right="27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FEDERAL REALTY INVESTMENT TRUST ANNOUNCES FOURTH QUARTER AND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YEAR-END 2010 OPERATING RESULTS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February 15, 2011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Page 3</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Regular Quarterly Dividends</w:t>
      </w:r>
    </w:p>
    <w:p>
      <w:pPr>
        <w:spacing w:after="0" w:line="9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Federal Realty also announced today that its Board of Trustees left the regular dividend rate on its common shares unchanged, declaring a regular quarterly cash dividend of $0.67 per share on its common shares, resulting in an indicated annual rate of $2.68 per share. The regular common dividend will be payable on April 15, 2011 to common shareholders of record on March 17, 2011.</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Guidance</w:t>
      </w:r>
    </w:p>
    <w:p>
      <w:pPr>
        <w:spacing w:after="0" w:line="97" w:lineRule="exact"/>
        <w:rPr>
          <w:sz w:val="20"/>
          <w:szCs w:val="20"/>
          <w:color w:val="auto"/>
        </w:rPr>
      </w:pPr>
    </w:p>
    <w:p>
      <w:pPr>
        <w:ind w:right="300"/>
        <w:spacing w:after="0" w:line="282" w:lineRule="auto"/>
        <w:rPr>
          <w:sz w:val="20"/>
          <w:szCs w:val="20"/>
          <w:color w:val="auto"/>
        </w:rPr>
      </w:pPr>
      <w:r>
        <w:rPr>
          <w:rFonts w:ascii="Arial" w:cs="Arial" w:eastAsia="Arial" w:hAnsi="Arial"/>
          <w:sz w:val="17"/>
          <w:szCs w:val="17"/>
          <w:color w:val="auto"/>
        </w:rPr>
        <w:t>Federal Realty 2011 guidance for FFO per diluted share remained unchanged at a range of $3.95 to $4.02 and 2011 earnings per diluted share guidance of $2.00 to $2.07. 2011 guidance reflects record expectations for funds from operations per share.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Other Quarterly Activities and Recent Developments</w:t>
      </w:r>
    </w:p>
    <w:p>
      <w:pPr>
        <w:spacing w:after="0" w:line="97" w:lineRule="exact"/>
        <w:rPr>
          <w:sz w:val="20"/>
          <w:szCs w:val="20"/>
          <w:color w:val="auto"/>
        </w:rPr>
      </w:pPr>
    </w:p>
    <w:p>
      <w:pPr>
        <w:ind w:left="900" w:right="280" w:hanging="331"/>
        <w:spacing w:after="0" w:line="311" w:lineRule="auto"/>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January 19, 2011 – Acquired Tower Shops, a 372,000 square foot community center on 67 acres in Davie, Florida for $66.1 million. The property has significant opportunity for redevelopment and expansion and is well-positioned with a strong anchor tenant line-up including Ross, TJ Maxx, DSW, Michaels, Old Navy, Best Buy (opening fall 2011) and shadow-anchors Costco and Home Depot. The acquisition of Tower Shops expands the Trust’s portfolio in South Florida to 680,000 square feet of retail space which includes Del Mar Village in Boca Raton and Courtyard Shops in Wellington.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 Information</w:t>
      </w:r>
    </w:p>
    <w:p>
      <w:pPr>
        <w:spacing w:after="0" w:line="9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Federal Realty’s management team will present an in-depth discussion of the Trust’s operating performance on its fourth quarter and year-end 2010 earnings conference call, which is scheduled for February 16, 2011, at 11 a.m. Eastern Standard Time. To participate, please call (866) 788-0540 five to ten minutes prior to the call start time and use the passcode FRT EARNINGS (required). Federal Realty will also provide an online webcast on the Company’s web site, www.federalrealty.com, which will remain available for 30 days following the call. A telephone recording of the call will also be available through March 16, 2011, by dialing (888) 286-8010 and using the passcode 46183132.</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275" w:right="25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FEDERAL REALTY INVESTMENT TRUST ANNOUNCES FOURTH QUARTER AND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YEAR-END 2010 OPERATING RESULTS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February 15, 2011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Page 4</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Federal Realty</w:t>
      </w:r>
    </w:p>
    <w:p>
      <w:pPr>
        <w:spacing w:after="0" w:line="9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18.3 million square feet located primarily in strategically selected metropolitan markets in the Northeast, Mid-Atlantic, and California. In addition, the Trust has an ownership interest in approximately 1.0 million square feet of retail space through a joint venture in which the Trust has a 30% interest. Our operating portfolio (excluding joint venture properties) was 93.9% leased to national, regional, and local retailers as of December 31, 2010, with no single tenant accounting for more than approximately 2.6% of annualized base rent. Federal Realty has paid quarterly dividends to its shareholders continuously since its founding in 1962, and has increased its dividend rate for 43 consecutive years, the longest record in the REIT industry. Federal Realty is an S&amp;P MidCap 400 company and its shares are traded on the NYSE under the symbol FRT.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Safe Harbor Language</w:t>
      </w:r>
    </w:p>
    <w:p>
      <w:pPr>
        <w:spacing w:after="0" w:line="97"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15, 2011, and include the following:</w:t>
      </w:r>
    </w:p>
    <w:p>
      <w:pPr>
        <w:spacing w:after="0" w:line="54" w:lineRule="exact"/>
        <w:rPr>
          <w:sz w:val="20"/>
          <w:szCs w:val="20"/>
          <w:color w:val="auto"/>
        </w:rPr>
      </w:pPr>
    </w:p>
    <w:p>
      <w:pPr>
        <w:ind w:left="900" w:right="60" w:hanging="331"/>
        <w:spacing w:after="0" w:line="282" w:lineRule="auto"/>
        <w:tabs>
          <w:tab w:leader="none" w:pos="90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tenants will not pay rent, may vacate early or may file for bankruptcy or that we may be unable to renew leases or re-let space at favorable rents as leases expire;</w:t>
      </w:r>
    </w:p>
    <w:p>
      <w:pPr>
        <w:spacing w:after="0" w:line="38" w:lineRule="exact"/>
        <w:rPr>
          <w:rFonts w:ascii="Arial" w:cs="Arial" w:eastAsia="Arial" w:hAnsi="Arial"/>
          <w:sz w:val="17"/>
          <w:szCs w:val="17"/>
          <w:i w:val="1"/>
          <w:iCs w:val="1"/>
          <w:color w:val="auto"/>
        </w:rPr>
      </w:pPr>
    </w:p>
    <w:p>
      <w:pPr>
        <w:ind w:left="900" w:right="640" w:hanging="331"/>
        <w:spacing w:after="0" w:line="346" w:lineRule="auto"/>
        <w:tabs>
          <w:tab w:leader="none" w:pos="900" w:val="left"/>
        </w:tabs>
        <w:numPr>
          <w:ilvl w:val="0"/>
          <w:numId w:val="6"/>
        </w:numPr>
        <w:rPr>
          <w:rFonts w:ascii="Arial" w:cs="Arial" w:eastAsia="Arial" w:hAnsi="Arial"/>
          <w:sz w:val="15"/>
          <w:szCs w:val="15"/>
          <w:i w:val="1"/>
          <w:iCs w:val="1"/>
          <w:color w:val="auto"/>
        </w:rPr>
      </w:pPr>
      <w:r>
        <w:rPr>
          <w:rFonts w:ascii="Arial" w:cs="Arial" w:eastAsia="Arial" w:hAnsi="Arial"/>
          <w:sz w:val="15"/>
          <w:szCs w:val="15"/>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ind w:left="900" w:hanging="331"/>
        <w:spacing w:after="0" w:line="282" w:lineRule="auto"/>
        <w:tabs>
          <w:tab w:leader="none" w:pos="90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the number of properties we acquire for our own account, and therefore the amount of capital we invest in acquisitions, may be impacted by our real estate partnership;</w:t>
      </w:r>
    </w:p>
    <w:p>
      <w:pPr>
        <w:spacing w:after="0" w:line="38" w:lineRule="exact"/>
        <w:rPr>
          <w:rFonts w:ascii="Arial" w:cs="Arial" w:eastAsia="Arial" w:hAnsi="Arial"/>
          <w:sz w:val="17"/>
          <w:szCs w:val="17"/>
          <w:i w:val="1"/>
          <w:iCs w:val="1"/>
          <w:color w:val="auto"/>
        </w:rPr>
      </w:pPr>
    </w:p>
    <w:p>
      <w:pPr>
        <w:ind w:left="900" w:right="20" w:hanging="331"/>
        <w:spacing w:after="0" w:line="265" w:lineRule="auto"/>
        <w:tabs>
          <w:tab w:leader="none" w:pos="90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54" w:lineRule="exact"/>
        <w:rPr>
          <w:rFonts w:ascii="Arial" w:cs="Arial" w:eastAsia="Arial" w:hAnsi="Arial"/>
          <w:sz w:val="17"/>
          <w:szCs w:val="17"/>
          <w:i w:val="1"/>
          <w:iCs w:val="1"/>
          <w:color w:val="auto"/>
        </w:rPr>
      </w:pPr>
    </w:p>
    <w:p>
      <w:pPr>
        <w:ind w:left="900" w:hanging="331"/>
        <w:spacing w:after="0"/>
        <w:tabs>
          <w:tab w:leader="none" w:pos="90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growth will be limited if we cannot obtain additional capital;</w:t>
      </w:r>
    </w:p>
    <w:p>
      <w:pPr>
        <w:spacing w:after="0" w:line="92" w:lineRule="exact"/>
        <w:rPr>
          <w:rFonts w:ascii="Arial" w:cs="Arial" w:eastAsia="Arial" w:hAnsi="Arial"/>
          <w:sz w:val="17"/>
          <w:szCs w:val="17"/>
          <w:i w:val="1"/>
          <w:iCs w:val="1"/>
          <w:color w:val="auto"/>
        </w:rPr>
      </w:pPr>
    </w:p>
    <w:p>
      <w:pPr>
        <w:ind w:left="900" w:right="140" w:hanging="331"/>
        <w:spacing w:after="0" w:line="270" w:lineRule="auto"/>
        <w:tabs>
          <w:tab w:leader="none" w:pos="90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8" w:lineRule="exact"/>
        <w:rPr>
          <w:rFonts w:ascii="Arial" w:cs="Arial" w:eastAsia="Arial" w:hAnsi="Arial"/>
          <w:sz w:val="17"/>
          <w:szCs w:val="17"/>
          <w:i w:val="1"/>
          <w:iCs w:val="1"/>
          <w:color w:val="auto"/>
        </w:rPr>
      </w:pPr>
    </w:p>
    <w:p>
      <w:pPr>
        <w:ind w:left="900" w:right="100" w:hanging="331"/>
        <w:spacing w:after="0" w:line="270" w:lineRule="auto"/>
        <w:tabs>
          <w:tab w:leader="none" w:pos="90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February 15, 2011.</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275" w:right="25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Income Statements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tcPr>
          <w:p>
            <w:pPr>
              <w:jc w:val="right"/>
              <w:ind w:right="514"/>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3"/>
                <w:szCs w:val="13"/>
                <w:color w:val="auto"/>
              </w:rPr>
            </w:pPr>
          </w:p>
        </w:tc>
        <w:tc>
          <w:tcPr>
            <w:tcW w:w="1760" w:type="dxa"/>
            <w:vAlign w:val="bottom"/>
            <w:gridSpan w:val="5"/>
          </w:tcPr>
          <w:p>
            <w:pPr>
              <w:jc w:val="right"/>
              <w:ind w:right="66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tcPr>
          <w:p>
            <w:pPr>
              <w:jc w:val="right"/>
              <w:ind w:right="714"/>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3"/>
                <w:szCs w:val="13"/>
                <w:color w:val="auto"/>
              </w:rPr>
            </w:pPr>
          </w:p>
        </w:tc>
        <w:tc>
          <w:tcPr>
            <w:tcW w:w="176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6"/>
              <w:spacing w:after="0" w:line="138" w:lineRule="exact"/>
              <w:rPr>
                <w:sz w:val="20"/>
                <w:szCs w:val="20"/>
                <w:color w:val="auto"/>
              </w:rPr>
            </w:pPr>
            <w:r>
              <w:rPr>
                <w:rFonts w:ascii="Arial" w:cs="Arial" w:eastAsia="Arial" w:hAnsi="Arial"/>
                <w:sz w:val="13"/>
                <w:szCs w:val="13"/>
                <w:b w:val="1"/>
                <w:bCs w:val="1"/>
                <w:color w:val="auto"/>
              </w:rPr>
              <w:t>2010</w:t>
            </w: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ind w:left="100"/>
              <w:spacing w:after="0" w:line="138" w:lineRule="exact"/>
              <w:rPr>
                <w:sz w:val="20"/>
                <w:szCs w:val="20"/>
                <w:color w:val="auto"/>
              </w:rPr>
            </w:pPr>
            <w:r>
              <w:rPr>
                <w:rFonts w:ascii="Arial" w:cs="Arial" w:eastAsia="Arial" w:hAnsi="Arial"/>
                <w:sz w:val="13"/>
                <w:szCs w:val="13"/>
                <w:b w:val="1"/>
                <w:bCs w:val="1"/>
                <w:color w:val="auto"/>
              </w:rPr>
              <w:t>2009</w:t>
            </w:r>
          </w:p>
        </w:tc>
        <w:tc>
          <w:tcPr>
            <w:tcW w:w="3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6"/>
              <w:spacing w:after="0" w:line="138" w:lineRule="exact"/>
              <w:rPr>
                <w:sz w:val="20"/>
                <w:szCs w:val="20"/>
                <w:color w:val="auto"/>
              </w:rPr>
            </w:pPr>
            <w:r>
              <w:rPr>
                <w:rFonts w:ascii="Arial" w:cs="Arial" w:eastAsia="Arial" w:hAnsi="Arial"/>
                <w:sz w:val="13"/>
                <w:szCs w:val="13"/>
                <w:b w:val="1"/>
                <w:bCs w:val="1"/>
                <w:color w:val="auto"/>
              </w:rPr>
              <w:t>2010</w:t>
            </w: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ind w:left="60"/>
              <w:spacing w:after="0" w:line="138" w:lineRule="exact"/>
              <w:rPr>
                <w:sz w:val="20"/>
                <w:szCs w:val="20"/>
                <w:color w:val="auto"/>
              </w:rPr>
            </w:pPr>
            <w:r>
              <w:rPr>
                <w:rFonts w:ascii="Arial" w:cs="Arial" w:eastAsia="Arial" w:hAnsi="Arial"/>
                <w:sz w:val="13"/>
                <w:szCs w:val="13"/>
                <w:b w:val="1"/>
                <w:bCs w:val="1"/>
                <w:color w:val="auto"/>
                <w:w w:val="87"/>
              </w:rPr>
              <w:t>(in</w:t>
            </w: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86"/>
              </w:rPr>
              <w:t>thousands,</w:t>
            </w:r>
          </w:p>
        </w:tc>
        <w:tc>
          <w:tcPr>
            <w:tcW w:w="34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77"/>
              </w:rPr>
              <w:t>except</w:t>
            </w:r>
          </w:p>
        </w:tc>
        <w:tc>
          <w:tcPr>
            <w:tcW w:w="1040" w:type="dxa"/>
            <w:vAlign w:val="bottom"/>
            <w:gridSpan w:val="3"/>
          </w:tcPr>
          <w:p>
            <w:pPr>
              <w:jc w:val="right"/>
              <w:ind w:right="120"/>
              <w:spacing w:after="0" w:line="138" w:lineRule="exact"/>
              <w:rPr>
                <w:sz w:val="20"/>
                <w:szCs w:val="20"/>
                <w:color w:val="auto"/>
              </w:rPr>
            </w:pPr>
            <w:r>
              <w:rPr>
                <w:rFonts w:ascii="Arial" w:cs="Arial" w:eastAsia="Arial" w:hAnsi="Arial"/>
                <w:sz w:val="13"/>
                <w:szCs w:val="13"/>
                <w:b w:val="1"/>
                <w:bCs w:val="1"/>
                <w:color w:val="auto"/>
                <w:w w:val="96"/>
              </w:rPr>
              <w:t>per share data)</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7"/>
                <w:szCs w:val="17"/>
                <w:color w:val="auto"/>
              </w:rPr>
              <w:t>Rental income</w:t>
            </w:r>
          </w:p>
        </w:tc>
        <w:tc>
          <w:tcPr>
            <w:tcW w:w="28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134,077</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74"/>
              <w:spacing w:after="0"/>
              <w:rPr>
                <w:sz w:val="20"/>
                <w:szCs w:val="20"/>
                <w:color w:val="auto"/>
              </w:rPr>
            </w:pPr>
            <w:r>
              <w:rPr>
                <w:rFonts w:ascii="Arial" w:cs="Arial" w:eastAsia="Arial" w:hAnsi="Arial"/>
                <w:sz w:val="17"/>
                <w:szCs w:val="17"/>
                <w:color w:val="auto"/>
                <w:w w:val="87"/>
              </w:rPr>
              <w:t>133,573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525,528</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512,725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Other property income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3,588</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14,545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7"/>
                <w:szCs w:val="17"/>
                <w:color w:val="auto"/>
              </w:rPr>
              <w:t>Mortgage interest income</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1,369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74"/>
              <w:spacing w:after="0"/>
              <w:rPr>
                <w:sz w:val="20"/>
                <w:szCs w:val="20"/>
                <w:color w:val="auto"/>
              </w:rPr>
            </w:pPr>
            <w:r>
              <w:rPr>
                <w:rFonts w:ascii="Arial" w:cs="Arial" w:eastAsia="Arial" w:hAnsi="Arial"/>
                <w:sz w:val="17"/>
                <w:szCs w:val="17"/>
                <w:color w:val="auto"/>
              </w:rPr>
              <w:t>1,260</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4,601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Total revenue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7"/>
              </w:rPr>
              <w:t>138,748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w w:val="87"/>
              </w:rPr>
              <w:t>138,421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544,674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530,518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gridSpan w:val="2"/>
          </w:tcPr>
          <w:p>
            <w:pPr>
              <w:spacing w:after="0"/>
              <w:rPr>
                <w:sz w:val="20"/>
                <w:szCs w:val="20"/>
                <w:color w:val="auto"/>
              </w:rPr>
            </w:pPr>
            <w:r>
              <w:rPr>
                <w:rFonts w:ascii="Arial" w:cs="Arial" w:eastAsia="Arial" w:hAnsi="Arial"/>
                <w:sz w:val="17"/>
                <w:szCs w:val="17"/>
                <w:color w:val="auto"/>
              </w:rPr>
              <w:t>Expenses</w:t>
            </w:r>
          </w:p>
        </w:tc>
        <w:tc>
          <w:tcPr>
            <w:tcW w:w="2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Rental expenses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28,494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30,580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111,034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108,627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7"/>
                <w:szCs w:val="17"/>
                <w:color w:val="auto"/>
              </w:rPr>
              <w:t>Real estate taxes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13,885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74"/>
              <w:spacing w:after="0"/>
              <w:rPr>
                <w:sz w:val="20"/>
                <w:szCs w:val="20"/>
                <w:color w:val="auto"/>
              </w:rPr>
            </w:pPr>
            <w:r>
              <w:rPr>
                <w:rFonts w:ascii="Arial" w:cs="Arial" w:eastAsia="Arial" w:hAnsi="Arial"/>
                <w:sz w:val="17"/>
                <w:szCs w:val="17"/>
                <w:color w:val="auto"/>
              </w:rPr>
              <w:t>15,019</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59,108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58,109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General and administrative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7,127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5,862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24,189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7"/>
                <w:szCs w:val="17"/>
                <w:color w:val="auto"/>
              </w:rPr>
              <w:t>Litigation provision</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14"/>
              <w:spacing w:after="0"/>
              <w:rPr>
                <w:sz w:val="20"/>
                <w:szCs w:val="20"/>
                <w:color w:val="auto"/>
              </w:rPr>
            </w:pPr>
            <w:r>
              <w:rPr>
                <w:rFonts w:ascii="Arial" w:cs="Arial" w:eastAsia="Arial" w:hAnsi="Arial"/>
                <w:sz w:val="17"/>
                <w:szCs w:val="17"/>
                <w:color w:val="auto"/>
              </w:rPr>
              <w:t>(4,732)</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330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Depreciation and amortization</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30,047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28,388</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119,539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114,812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820"/>
              <w:spacing w:after="0"/>
              <w:rPr>
                <w:sz w:val="20"/>
                <w:szCs w:val="20"/>
                <w:color w:val="auto"/>
              </w:rPr>
            </w:pPr>
            <w:r>
              <w:rPr>
                <w:rFonts w:ascii="Arial" w:cs="Arial" w:eastAsia="Arial" w:hAnsi="Arial"/>
                <w:sz w:val="17"/>
                <w:szCs w:val="17"/>
                <w:color w:val="auto"/>
              </w:rPr>
              <w:t>Total operating expenses</w:t>
            </w:r>
          </w:p>
        </w:tc>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840" w:type="dxa"/>
            <w:vAlign w:val="bottom"/>
            <w:vMerge w:val="continue"/>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79,536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74"/>
              <w:spacing w:after="0"/>
              <w:rPr>
                <w:sz w:val="20"/>
                <w:szCs w:val="20"/>
                <w:color w:val="auto"/>
              </w:rPr>
            </w:pPr>
            <w:r>
              <w:rPr>
                <w:rFonts w:ascii="Arial" w:cs="Arial" w:eastAsia="Arial" w:hAnsi="Arial"/>
                <w:sz w:val="17"/>
                <w:szCs w:val="17"/>
                <w:color w:val="auto"/>
              </w:rPr>
              <w:t>75,117</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314,200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319,935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59,212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63,304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230,474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210,583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7"/>
                <w:szCs w:val="17"/>
                <w:color w:val="auto"/>
              </w:rPr>
              <w:t>Other interest income</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74"/>
              <w:spacing w:after="0"/>
              <w:rPr>
                <w:sz w:val="20"/>
                <w:szCs w:val="20"/>
                <w:color w:val="auto"/>
              </w:rPr>
            </w:pPr>
            <w:r>
              <w:rPr>
                <w:rFonts w:ascii="Arial" w:cs="Arial" w:eastAsia="Arial" w:hAnsi="Arial"/>
                <w:sz w:val="17"/>
                <w:szCs w:val="17"/>
                <w:color w:val="auto"/>
              </w:rPr>
              <w:t>620</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Interest expense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(25,203)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w w:val="94"/>
              </w:rPr>
              <w:t>(29,159)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0"/>
              </w:rPr>
              <w:t>(101,882)</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0"/>
              </w:rPr>
              <w:t>(108,781)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7"/>
                <w:szCs w:val="17"/>
                <w:color w:val="auto"/>
              </w:rPr>
              <w:t>Early extinguishment of debt</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14"/>
              <w:spacing w:after="0"/>
              <w:rPr>
                <w:sz w:val="20"/>
                <w:szCs w:val="20"/>
                <w:color w:val="auto"/>
              </w:rPr>
            </w:pPr>
            <w:r>
              <w:rPr>
                <w:rFonts w:ascii="Arial" w:cs="Arial" w:eastAsia="Arial" w:hAnsi="Arial"/>
                <w:sz w:val="17"/>
                <w:szCs w:val="17"/>
                <w:color w:val="auto"/>
              </w:rPr>
              <w:t>(1,671)</w:t>
            </w:r>
          </w:p>
        </w:tc>
        <w:tc>
          <w:tcPr>
            <w:tcW w:w="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(2,801)</w:t>
            </w:r>
          </w:p>
        </w:tc>
        <w:tc>
          <w:tcPr>
            <w:tcW w:w="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(2,639)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Income from real estate partnerships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248</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7"/>
                <w:szCs w:val="17"/>
                <w:color w:val="auto"/>
              </w:rPr>
              <w:t>Income from continuing operations</w:t>
            </w:r>
          </w:p>
        </w:tc>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860" w:type="dxa"/>
            <w:vAlign w:val="bottom"/>
            <w:gridSpan w:val="2"/>
            <w:vMerge w:val="continue"/>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34,586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74"/>
              <w:spacing w:after="0"/>
              <w:rPr>
                <w:sz w:val="20"/>
                <w:szCs w:val="20"/>
                <w:color w:val="auto"/>
              </w:rPr>
            </w:pPr>
            <w:r>
              <w:rPr>
                <w:rFonts w:ascii="Arial" w:cs="Arial" w:eastAsia="Arial" w:hAnsi="Arial"/>
                <w:sz w:val="17"/>
                <w:szCs w:val="17"/>
                <w:color w:val="auto"/>
              </w:rPr>
              <w:t>33,342</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127,107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102,379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Discontinued operations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7"/>
                <w:szCs w:val="17"/>
                <w:color w:val="auto"/>
              </w:rPr>
              <w:t>Discontinued operations - (loss) income</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(281)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74"/>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(280)</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Discontinued operations - gain on sale of real estate</w:t>
            </w:r>
          </w:p>
        </w:tc>
        <w:tc>
          <w:tcPr>
            <w:tcW w:w="2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40" w:type="dxa"/>
            <w:vAlign w:val="bottom"/>
          </w:tcPr>
          <w:p>
            <w:pPr>
              <w:ind w:left="820"/>
              <w:spacing w:after="0"/>
              <w:rPr>
                <w:sz w:val="20"/>
                <w:szCs w:val="20"/>
                <w:color w:val="auto"/>
              </w:rPr>
            </w:pPr>
            <w:r>
              <w:rPr>
                <w:rFonts w:ascii="Arial" w:cs="Arial" w:eastAsia="Arial" w:hAnsi="Arial"/>
                <w:sz w:val="17"/>
                <w:szCs w:val="17"/>
                <w:color w:val="auto"/>
              </w:rPr>
              <w:t>Results from discontinued operations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(281)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74"/>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720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Income before gain on sale of real estate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34,305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33,366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127,827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103,872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7"/>
                <w:szCs w:val="17"/>
                <w:color w:val="auto"/>
              </w:rPr>
              <w:t>Gain on sale of real estate</w:t>
            </w:r>
          </w:p>
        </w:tc>
        <w:tc>
          <w:tcPr>
            <w:tcW w:w="2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34,305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33,366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128,237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103,872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7"/>
                <w:szCs w:val="17"/>
                <w:color w:val="auto"/>
              </w:rPr>
              <w:t>Net income attributable to noncontrolling interests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(1,489)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14"/>
              <w:spacing w:after="0"/>
              <w:rPr>
                <w:sz w:val="20"/>
                <w:szCs w:val="20"/>
                <w:color w:val="auto"/>
              </w:rPr>
            </w:pPr>
            <w:r>
              <w:rPr>
                <w:rFonts w:ascii="Arial" w:cs="Arial" w:eastAsia="Arial" w:hAnsi="Arial"/>
                <w:sz w:val="17"/>
                <w:szCs w:val="17"/>
                <w:color w:val="auto"/>
              </w:rPr>
              <w:t>(1,396)</w:t>
            </w:r>
          </w:p>
        </w:tc>
        <w:tc>
          <w:tcPr>
            <w:tcW w:w="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(5,447)</w:t>
            </w:r>
          </w:p>
        </w:tc>
        <w:tc>
          <w:tcPr>
            <w:tcW w:w="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(5,568)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attributable to the Trust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32,816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31,970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122,790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7"/>
                <w:szCs w:val="17"/>
                <w:color w:val="auto"/>
              </w:rPr>
              <w:t>Dividends on preferred shares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(135)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14"/>
              <w:spacing w:after="0"/>
              <w:rPr>
                <w:sz w:val="20"/>
                <w:szCs w:val="20"/>
                <w:color w:val="auto"/>
              </w:rPr>
            </w:pPr>
            <w:r>
              <w:rPr>
                <w:rFonts w:ascii="Arial" w:cs="Arial" w:eastAsia="Arial" w:hAnsi="Arial"/>
                <w:sz w:val="17"/>
                <w:szCs w:val="17"/>
                <w:color w:val="auto"/>
              </w:rPr>
              <w:t>(135)</w:t>
            </w:r>
          </w:p>
        </w:tc>
        <w:tc>
          <w:tcPr>
            <w:tcW w:w="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(541)</w:t>
            </w:r>
          </w:p>
        </w:tc>
        <w:tc>
          <w:tcPr>
            <w:tcW w:w="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Net income available for common shareholders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32,681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31,835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122,249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7"/>
                <w:szCs w:val="17"/>
                <w:color w:val="auto"/>
              </w:rPr>
              <w:t>EARNINGS PER COMMON SHARE, BASIC</w:t>
            </w: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860" w:type="dxa"/>
            <w:vAlign w:val="bottom"/>
            <w:gridSpan w:val="2"/>
            <w:vMerge w:val="continue"/>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Continuing operations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0.52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7"/>
                <w:szCs w:val="17"/>
                <w:color w:val="auto"/>
              </w:rPr>
              <w:t>Discontinued operations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0.01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Gain on sale of real estate</w:t>
            </w:r>
          </w:p>
        </w:tc>
        <w:tc>
          <w:tcPr>
            <w:tcW w:w="2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0.53</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74"/>
              <w:spacing w:after="0"/>
              <w:rPr>
                <w:sz w:val="20"/>
                <w:szCs w:val="20"/>
                <w:color w:val="auto"/>
              </w:rPr>
            </w:pPr>
            <w:r>
              <w:rPr>
                <w:rFonts w:ascii="Arial" w:cs="Arial" w:eastAsia="Arial" w:hAnsi="Arial"/>
                <w:sz w:val="17"/>
                <w:szCs w:val="17"/>
                <w:color w:val="auto"/>
              </w:rPr>
              <w:t>0.52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1.99</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Weighted average number of common shares, basic</w:t>
            </w:r>
          </w:p>
        </w:tc>
        <w:tc>
          <w:tcPr>
            <w:tcW w:w="2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61,251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61,008</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61,182</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7"/>
                <w:szCs w:val="17"/>
                <w:color w:val="auto"/>
              </w:rPr>
              <w:t>EARNINGS PER COMMON SHARE, DILUTED</w:t>
            </w: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860" w:type="dxa"/>
            <w:vAlign w:val="bottom"/>
            <w:gridSpan w:val="2"/>
            <w:vMerge w:val="continue"/>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Continuing operations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0.52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7"/>
                <w:szCs w:val="17"/>
                <w:color w:val="auto"/>
              </w:rPr>
              <w:t>Discontinued operations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0.01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Gain on sale of real estate</w:t>
            </w:r>
          </w:p>
        </w:tc>
        <w:tc>
          <w:tcPr>
            <w:tcW w:w="2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0.53</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74"/>
              <w:spacing w:after="0"/>
              <w:rPr>
                <w:sz w:val="20"/>
                <w:szCs w:val="20"/>
                <w:color w:val="auto"/>
              </w:rPr>
            </w:pPr>
            <w:r>
              <w:rPr>
                <w:rFonts w:ascii="Arial" w:cs="Arial" w:eastAsia="Arial" w:hAnsi="Arial"/>
                <w:sz w:val="17"/>
                <w:szCs w:val="17"/>
                <w:color w:val="auto"/>
              </w:rPr>
              <w:t>0.52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1.98</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Weighted average number of common shares, diluted</w:t>
            </w:r>
          </w:p>
        </w:tc>
        <w:tc>
          <w:tcPr>
            <w:tcW w:w="2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61,405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61,142</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61,324</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740" w:type="dxa"/>
            <w:vAlign w:val="bottom"/>
            <w:vMerge w:val="restart"/>
          </w:tcPr>
          <w:p>
            <w:pPr>
              <w:jc w:val="right"/>
              <w:ind w:right="1755"/>
              <w:spacing w:after="0"/>
              <w:rPr>
                <w:sz w:val="20"/>
                <w:szCs w:val="20"/>
                <w:color w:val="auto"/>
              </w:rPr>
            </w:pPr>
            <w:r>
              <w:rPr>
                <w:rFonts w:ascii="Arial" w:cs="Arial" w:eastAsia="Arial" w:hAnsi="Arial"/>
                <w:sz w:val="17"/>
                <w:szCs w:val="17"/>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1"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Balance Sheets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9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5"/>
          </w:tcPr>
          <w:p>
            <w:pPr>
              <w:jc w:val="right"/>
              <w:ind w:right="7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17"/>
              <w:spacing w:after="0" w:line="138" w:lineRule="exact"/>
              <w:rPr>
                <w:sz w:val="20"/>
                <w:szCs w:val="20"/>
                <w:color w:val="auto"/>
              </w:rPr>
            </w:pPr>
            <w:r>
              <w:rPr>
                <w:rFonts w:ascii="Arial" w:cs="Arial" w:eastAsia="Arial" w:hAnsi="Arial"/>
                <w:sz w:val="13"/>
                <w:szCs w:val="13"/>
                <w:b w:val="1"/>
                <w:bCs w:val="1"/>
                <w:color w:val="auto"/>
              </w:rPr>
              <w:t>2010</w:t>
            </w: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6"/>
              <w:spacing w:after="0" w:line="138" w:lineRule="exact"/>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37"/>
              <w:spacing w:after="0" w:line="138" w:lineRule="exact"/>
              <w:rPr>
                <w:sz w:val="20"/>
                <w:szCs w:val="20"/>
                <w:color w:val="auto"/>
              </w:rPr>
            </w:pPr>
            <w:r>
              <w:rPr>
                <w:rFonts w:ascii="Arial" w:cs="Arial" w:eastAsia="Arial" w:hAnsi="Arial"/>
                <w:sz w:val="13"/>
                <w:szCs w:val="13"/>
                <w:b w:val="1"/>
                <w:bCs w:val="1"/>
                <w:color w:val="auto"/>
              </w:rPr>
              <w:t>(in</w:t>
            </w:r>
          </w:p>
        </w:tc>
        <w:tc>
          <w:tcPr>
            <w:tcW w:w="1100" w:type="dxa"/>
            <w:vAlign w:val="bottom"/>
            <w:gridSpan w:val="3"/>
          </w:tcPr>
          <w:p>
            <w:pPr>
              <w:jc w:val="right"/>
              <w:ind w:right="496"/>
              <w:spacing w:after="0" w:line="138" w:lineRule="exact"/>
              <w:rPr>
                <w:sz w:val="20"/>
                <w:szCs w:val="20"/>
                <w:color w:val="auto"/>
              </w:rPr>
            </w:pPr>
            <w:r>
              <w:rPr>
                <w:rFonts w:ascii="Arial" w:cs="Arial" w:eastAsia="Arial" w:hAnsi="Arial"/>
                <w:sz w:val="13"/>
                <w:szCs w:val="13"/>
                <w:b w:val="1"/>
                <w:bCs w:val="1"/>
                <w:color w:val="auto"/>
                <w:w w:val="71"/>
              </w:rPr>
              <w:t>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9040" w:type="dxa"/>
            <w:vAlign w:val="bottom"/>
            <w:gridSpan w:val="2"/>
          </w:tcPr>
          <w:p>
            <w:pPr>
              <w:spacing w:after="0"/>
              <w:rPr>
                <w:sz w:val="20"/>
                <w:szCs w:val="20"/>
                <w:color w:val="auto"/>
              </w:rPr>
            </w:pPr>
            <w:r>
              <w:rPr>
                <w:rFonts w:ascii="Arial" w:cs="Arial" w:eastAsia="Arial" w:hAnsi="Arial"/>
                <w:sz w:val="17"/>
                <w:szCs w:val="17"/>
                <w:color w:val="auto"/>
              </w:rPr>
              <w:t>Real estate, at cost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0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Operating (including $97,157 and $68,643 of consolidated variable interest entities, respectively)</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3,726,223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3,619,562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ind w:left="400"/>
              <w:spacing w:after="0"/>
              <w:rPr>
                <w:sz w:val="20"/>
                <w:szCs w:val="20"/>
                <w:color w:val="auto"/>
              </w:rPr>
            </w:pPr>
            <w:r>
              <w:rPr>
                <w:rFonts w:ascii="Arial" w:cs="Arial" w:eastAsia="Arial" w:hAnsi="Arial"/>
                <w:sz w:val="17"/>
                <w:szCs w:val="17"/>
                <w:color w:val="auto"/>
              </w:rPr>
              <w:t>Construction-in-progress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163,200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132,758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Assets held for sale (discontinued operations)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6,519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3,895,942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3,759,234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20" w:type="dxa"/>
            <w:vAlign w:val="bottom"/>
            <w:shd w:val="clear" w:color="auto" w:fill="CCEEFF"/>
          </w:tcPr>
          <w:p>
            <w:pPr>
              <w:ind w:left="400"/>
              <w:spacing w:after="0"/>
              <w:rPr>
                <w:sz w:val="20"/>
                <w:szCs w:val="20"/>
                <w:color w:val="auto"/>
              </w:rPr>
            </w:pPr>
            <w:r>
              <w:rPr>
                <w:rFonts w:ascii="Arial" w:cs="Arial" w:eastAsia="Arial" w:hAnsi="Arial"/>
                <w:sz w:val="17"/>
                <w:szCs w:val="17"/>
                <w:color w:val="auto"/>
                <w:w w:val="96"/>
              </w:rPr>
              <w:t>Less accumulated depreciation and amortization (including $4,431 and $3,053 of consolidated variable interest entities,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respectively)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w w:val="89"/>
              </w:rPr>
              <w:t>(1,035,204)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(938,087)</w:t>
            </w:r>
          </w:p>
        </w:tc>
        <w:tc>
          <w:tcPr>
            <w:tcW w:w="0" w:type="dxa"/>
            <w:vAlign w:val="bottom"/>
          </w:tcPr>
          <w:p>
            <w:pPr>
              <w:spacing w:after="0"/>
              <w:rPr>
                <w:sz w:val="1"/>
                <w:szCs w:val="1"/>
                <w:color w:val="auto"/>
              </w:rPr>
            </w:pPr>
          </w:p>
        </w:tc>
      </w:tr>
      <w:tr>
        <w:trPr>
          <w:trHeight w:val="214"/>
        </w:trPr>
        <w:tc>
          <w:tcPr>
            <w:tcW w:w="9040" w:type="dxa"/>
            <w:vAlign w:val="bottom"/>
            <w:gridSpan w:val="2"/>
          </w:tcPr>
          <w:p>
            <w:pPr>
              <w:spacing w:after="0"/>
              <w:rPr>
                <w:sz w:val="20"/>
                <w:szCs w:val="20"/>
                <w:color w:val="auto"/>
              </w:rPr>
            </w:pPr>
            <w:r>
              <w:rPr>
                <w:rFonts w:ascii="Arial" w:cs="Arial" w:eastAsia="Arial" w:hAnsi="Arial"/>
                <w:sz w:val="17"/>
                <w:szCs w:val="17"/>
                <w:color w:val="auto"/>
              </w:rPr>
              <w:t>Net real estate</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2,860,738</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2,821,147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7"/>
                <w:szCs w:val="17"/>
                <w:color w:val="auto"/>
              </w:rPr>
              <w:t>Accounts and notes receivable,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68,997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72,191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Mortgage notes receivable,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7"/>
                <w:szCs w:val="17"/>
                <w:color w:val="auto"/>
              </w:rPr>
              <w:t>Investment in real estate partnerships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51,606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35,633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assets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117,602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04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3,159,553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3,222,309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LIABILITIES AND SHAREHOLDERS’ EQUITY</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9040" w:type="dxa"/>
            <w:vAlign w:val="bottom"/>
            <w:gridSpan w:val="2"/>
          </w:tcPr>
          <w:p>
            <w:pPr>
              <w:spacing w:after="0"/>
              <w:rPr>
                <w:sz w:val="20"/>
                <w:szCs w:val="20"/>
                <w:color w:val="auto"/>
              </w:rPr>
            </w:pPr>
            <w:r>
              <w:rPr>
                <w:rFonts w:ascii="Arial" w:cs="Arial" w:eastAsia="Arial" w:hAnsi="Arial"/>
                <w:sz w:val="17"/>
                <w:szCs w:val="17"/>
                <w:color w:val="auto"/>
              </w:rPr>
              <w:t>Liabilities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20" w:type="dxa"/>
            <w:vAlign w:val="bottom"/>
            <w:shd w:val="clear" w:color="auto" w:fill="CCEEFF"/>
          </w:tcPr>
          <w:p>
            <w:pPr>
              <w:ind w:left="400"/>
              <w:spacing w:after="0"/>
              <w:rPr>
                <w:sz w:val="20"/>
                <w:szCs w:val="20"/>
                <w:color w:val="auto"/>
              </w:rPr>
            </w:pPr>
            <w:r>
              <w:rPr>
                <w:rFonts w:ascii="Arial" w:cs="Arial" w:eastAsia="Arial" w:hAnsi="Arial"/>
                <w:sz w:val="17"/>
                <w:szCs w:val="17"/>
                <w:color w:val="auto"/>
                <w:w w:val="94"/>
              </w:rPr>
              <w:t>Mortgages payable and capital lease obligations (including $22,785 and $23,417 of consolidated variable interest entities,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respectively)</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589,441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ind w:left="400"/>
              <w:spacing w:after="0"/>
              <w:rPr>
                <w:sz w:val="20"/>
                <w:szCs w:val="20"/>
                <w:color w:val="auto"/>
              </w:rPr>
            </w:pPr>
            <w:r>
              <w:rPr>
                <w:rFonts w:ascii="Arial" w:cs="Arial" w:eastAsia="Arial" w:hAnsi="Arial"/>
                <w:sz w:val="17"/>
                <w:szCs w:val="17"/>
                <w:color w:val="auto"/>
              </w:rPr>
              <w:t>Notes payable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97,881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261,745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Senior notes and debentures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1,079,827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00"/>
              <w:spacing w:after="0"/>
              <w:rPr>
                <w:sz w:val="20"/>
                <w:szCs w:val="20"/>
                <w:color w:val="auto"/>
              </w:rPr>
            </w:pPr>
            <w:r>
              <w:rPr>
                <w:rFonts w:ascii="Arial" w:cs="Arial" w:eastAsia="Arial" w:hAnsi="Arial"/>
                <w:sz w:val="17"/>
                <w:szCs w:val="17"/>
                <w:color w:val="auto"/>
              </w:rPr>
              <w:t>Accounts payable and other liabilities</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211,274</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1,978,423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2,013,246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9040" w:type="dxa"/>
            <w:vAlign w:val="bottom"/>
            <w:gridSpan w:val="2"/>
          </w:tcPr>
          <w:p>
            <w:pPr>
              <w:spacing w:after="0"/>
              <w:rPr>
                <w:sz w:val="20"/>
                <w:szCs w:val="20"/>
                <w:color w:val="auto"/>
              </w:rPr>
            </w:pPr>
            <w:r>
              <w:rPr>
                <w:rFonts w:ascii="Arial" w:cs="Arial" w:eastAsia="Arial" w:hAnsi="Arial"/>
                <w:sz w:val="17"/>
                <w:szCs w:val="17"/>
                <w:color w:val="auto"/>
              </w:rPr>
              <w:t>Shareholders’ equity</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0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Preferred shares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00"/>
              <w:spacing w:after="0"/>
              <w:rPr>
                <w:sz w:val="20"/>
                <w:szCs w:val="20"/>
                <w:color w:val="auto"/>
              </w:rPr>
            </w:pPr>
            <w:r>
              <w:rPr>
                <w:rFonts w:ascii="Arial" w:cs="Arial" w:eastAsia="Arial" w:hAnsi="Arial"/>
                <w:sz w:val="17"/>
                <w:szCs w:val="17"/>
                <w:color w:val="auto"/>
              </w:rPr>
              <w:t>Common shares and other shareholders’ equity</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1,139,836</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1,167,340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 of the Trust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1,149,833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1,177,337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00"/>
              <w:spacing w:after="0"/>
              <w:rPr>
                <w:sz w:val="20"/>
                <w:szCs w:val="20"/>
                <w:color w:val="auto"/>
              </w:rPr>
            </w:pPr>
            <w:r>
              <w:rPr>
                <w:rFonts w:ascii="Arial" w:cs="Arial" w:eastAsia="Arial" w:hAnsi="Arial"/>
                <w:sz w:val="17"/>
                <w:szCs w:val="17"/>
                <w:color w:val="auto"/>
              </w:rPr>
              <w:t>Noncontrolling interests</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31,297</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1,181,130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1,209,063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40" w:type="dxa"/>
            <w:vAlign w:val="bottom"/>
            <w:gridSpan w:val="2"/>
          </w:tcPr>
          <w:p>
            <w:pPr>
              <w:spacing w:after="0"/>
              <w:rPr>
                <w:sz w:val="20"/>
                <w:szCs w:val="20"/>
                <w:color w:val="auto"/>
              </w:rPr>
            </w:pPr>
            <w:r>
              <w:rPr>
                <w:rFonts w:ascii="Arial" w:cs="Arial" w:eastAsia="Arial" w:hAnsi="Arial"/>
                <w:sz w:val="17"/>
                <w:szCs w:val="17"/>
                <w:color w:val="auto"/>
              </w:rPr>
              <w:t>TOTAL LIABILITIES AND SHAREHOLDERS’ EQUITY</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3,159,553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3,222,309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ind w:left="5680"/>
              <w:spacing w:after="0"/>
              <w:rPr>
                <w:sz w:val="20"/>
                <w:szCs w:val="20"/>
                <w:color w:val="auto"/>
              </w:rPr>
            </w:pPr>
            <w:r>
              <w:rPr>
                <w:rFonts w:ascii="Arial" w:cs="Arial" w:eastAsia="Arial" w:hAnsi="Arial"/>
                <w:sz w:val="17"/>
                <w:szCs w:val="17"/>
                <w:color w:val="auto"/>
              </w:rPr>
              <w:t>8</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90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1"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 / Summary of Capital Expenditures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6"/>
          </w:tcPr>
          <w:p>
            <w:pPr>
              <w:jc w:val="right"/>
              <w:ind w:right="614"/>
              <w:spacing w:after="0"/>
              <w:rPr>
                <w:sz w:val="20"/>
                <w:szCs w:val="20"/>
                <w:color w:val="auto"/>
              </w:rPr>
            </w:pPr>
            <w:r>
              <w:rPr>
                <w:rFonts w:ascii="Arial" w:cs="Arial" w:eastAsia="Arial" w:hAnsi="Arial"/>
                <w:sz w:val="13"/>
                <w:szCs w:val="13"/>
                <w:b w:val="1"/>
                <w:bCs w:val="1"/>
                <w:color w:val="auto"/>
                <w:w w:val="98"/>
              </w:rPr>
              <w:t>Three months ended</w:t>
            </w:r>
          </w:p>
        </w:tc>
        <w:tc>
          <w:tcPr>
            <w:tcW w:w="100" w:type="dxa"/>
            <w:vAlign w:val="bottom"/>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b w:val="1"/>
                <w:bCs w:val="1"/>
                <w:color w:val="auto"/>
              </w:rPr>
              <w:t>Year ended</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6"/>
          </w:tcPr>
          <w:p>
            <w:pPr>
              <w:jc w:val="right"/>
              <w:ind w:right="814"/>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3"/>
                <w:szCs w:val="13"/>
                <w:color w:val="auto"/>
              </w:rPr>
            </w:pPr>
          </w:p>
        </w:tc>
        <w:tc>
          <w:tcPr>
            <w:tcW w:w="1860" w:type="dxa"/>
            <w:vAlign w:val="bottom"/>
            <w:gridSpan w:val="6"/>
          </w:tcPr>
          <w:p>
            <w:pPr>
              <w:jc w:val="right"/>
              <w:ind w:right="7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7"/>
              <w:spacing w:after="0" w:line="138" w:lineRule="exact"/>
              <w:rPr>
                <w:sz w:val="20"/>
                <w:szCs w:val="20"/>
                <w:color w:val="auto"/>
              </w:rPr>
            </w:pPr>
            <w:r>
              <w:rPr>
                <w:rFonts w:ascii="Arial" w:cs="Arial" w:eastAsia="Arial" w:hAnsi="Arial"/>
                <w:sz w:val="13"/>
                <w:szCs w:val="13"/>
                <w:b w:val="1"/>
                <w:bCs w:val="1"/>
                <w:color w:val="auto"/>
              </w:rPr>
              <w:t>2010</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6"/>
              <w:spacing w:after="0" w:line="138" w:lineRule="exact"/>
              <w:rPr>
                <w:sz w:val="20"/>
                <w:szCs w:val="20"/>
                <w:color w:val="auto"/>
              </w:rPr>
            </w:pPr>
            <w:r>
              <w:rPr>
                <w:rFonts w:ascii="Arial" w:cs="Arial" w:eastAsia="Arial" w:hAnsi="Arial"/>
                <w:sz w:val="13"/>
                <w:szCs w:val="13"/>
                <w:b w:val="1"/>
                <w:bCs w:val="1"/>
                <w:color w:val="auto"/>
              </w:rPr>
              <w:t>2009</w:t>
            </w:r>
          </w:p>
        </w:tc>
        <w:tc>
          <w:tcPr>
            <w:tcW w:w="4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2010</w:t>
            </w: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6"/>
              <w:spacing w:after="0" w:line="138" w:lineRule="exact"/>
              <w:rPr>
                <w:sz w:val="20"/>
                <w:szCs w:val="20"/>
                <w:color w:val="auto"/>
              </w:rPr>
            </w:pPr>
            <w:r>
              <w:rPr>
                <w:rFonts w:ascii="Arial" w:cs="Arial" w:eastAsia="Arial" w:hAnsi="Arial"/>
                <w:sz w:val="13"/>
                <w:szCs w:val="13"/>
                <w:b w:val="1"/>
                <w:bCs w:val="1"/>
                <w:color w:val="auto"/>
              </w:rPr>
              <w:t>2009</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ind w:left="80"/>
              <w:spacing w:after="0" w:line="138" w:lineRule="exact"/>
              <w:rPr>
                <w:sz w:val="20"/>
                <w:szCs w:val="20"/>
                <w:color w:val="auto"/>
              </w:rPr>
            </w:pPr>
            <w:r>
              <w:rPr>
                <w:rFonts w:ascii="Arial" w:cs="Arial" w:eastAsia="Arial" w:hAnsi="Arial"/>
                <w:sz w:val="13"/>
                <w:szCs w:val="13"/>
                <w:b w:val="1"/>
                <w:bCs w:val="1"/>
                <w:color w:val="auto"/>
                <w:w w:val="87"/>
              </w:rPr>
              <w:t>(in</w:t>
            </w:r>
          </w:p>
        </w:tc>
        <w:tc>
          <w:tcPr>
            <w:tcW w:w="56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77"/>
              </w:rPr>
              <w:t>thousands,</w:t>
            </w:r>
          </w:p>
        </w:tc>
        <w:tc>
          <w:tcPr>
            <w:tcW w:w="4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except</w:t>
            </w:r>
          </w:p>
        </w:tc>
        <w:tc>
          <w:tcPr>
            <w:tcW w:w="660" w:type="dxa"/>
            <w:vAlign w:val="bottom"/>
            <w:gridSpan w:val="2"/>
          </w:tcPr>
          <w:p>
            <w:pPr>
              <w:jc w:val="right"/>
              <w:ind w:right="17"/>
              <w:spacing w:after="0" w:line="138" w:lineRule="exact"/>
              <w:rPr>
                <w:sz w:val="20"/>
                <w:szCs w:val="20"/>
                <w:color w:val="auto"/>
              </w:rPr>
            </w:pPr>
            <w:r>
              <w:rPr>
                <w:rFonts w:ascii="Arial" w:cs="Arial" w:eastAsia="Arial" w:hAnsi="Arial"/>
                <w:sz w:val="13"/>
                <w:szCs w:val="13"/>
                <w:b w:val="1"/>
                <w:bCs w:val="1"/>
                <w:color w:val="auto"/>
                <w:w w:val="92"/>
              </w:rPr>
              <w:t>per share</w:t>
            </w:r>
          </w:p>
        </w:tc>
        <w:tc>
          <w:tcPr>
            <w:tcW w:w="340" w:type="dxa"/>
            <w:vAlign w:val="bottom"/>
          </w:tcPr>
          <w:p>
            <w:pPr>
              <w:jc w:val="right"/>
              <w:ind w:right="65"/>
              <w:spacing w:after="0"/>
              <w:rPr>
                <w:sz w:val="20"/>
                <w:szCs w:val="20"/>
                <w:color w:val="auto"/>
              </w:rPr>
            </w:pPr>
            <w:r>
              <w:rPr>
                <w:rFonts w:ascii="Arial" w:cs="Arial" w:eastAsia="Arial" w:hAnsi="Arial"/>
                <w:sz w:val="11"/>
                <w:szCs w:val="11"/>
                <w:b w:val="1"/>
                <w:bCs w:val="1"/>
                <w:color w:val="auto"/>
                <w:w w:val="75"/>
              </w:rPr>
              <w:t>data)</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20" w:type="dxa"/>
            <w:vAlign w:val="bottom"/>
            <w:tcBorders>
              <w:bottom w:val="single" w:sz="8" w:color="auto"/>
            </w:tcBorders>
            <w:gridSpan w:val="4"/>
            <w:shd w:val="clear" w:color="auto" w:fill="CCEEFF"/>
          </w:tcPr>
          <w:p>
            <w:pPr>
              <w:spacing w:after="0" w:line="171" w:lineRule="exact"/>
              <w:rPr>
                <w:sz w:val="20"/>
                <w:szCs w:val="20"/>
                <w:color w:val="auto"/>
              </w:rPr>
            </w:pPr>
            <w:r>
              <w:rPr>
                <w:rFonts w:ascii="Arial" w:cs="Arial" w:eastAsia="Arial" w:hAnsi="Arial"/>
                <w:sz w:val="17"/>
                <w:szCs w:val="17"/>
                <w:color w:val="auto"/>
                <w:w w:val="90"/>
              </w:rPr>
              <w:t>Funds from Operations available for common shareholders (FFO) (1)</w:t>
            </w:r>
          </w:p>
        </w:tc>
        <w:tc>
          <w:tcPr>
            <w:tcW w:w="16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gridSpan w:val="5"/>
          </w:tcPr>
          <w:p>
            <w:pPr>
              <w:spacing w:after="0"/>
              <w:rPr>
                <w:sz w:val="20"/>
                <w:szCs w:val="20"/>
                <w:color w:val="auto"/>
              </w:rPr>
            </w:pPr>
            <w:r>
              <w:rPr>
                <w:rFonts w:ascii="Arial" w:cs="Arial" w:eastAsia="Arial" w:hAnsi="Arial"/>
                <w:sz w:val="17"/>
                <w:szCs w:val="17"/>
                <w:color w:val="auto"/>
              </w:rPr>
              <w:t>Net income (2)</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w w:val="88"/>
              </w:rPr>
              <w:t>34,305</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33,366</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85"/>
              <w:spacing w:after="0"/>
              <w:rPr>
                <w:sz w:val="20"/>
                <w:szCs w:val="20"/>
                <w:color w:val="auto"/>
              </w:rPr>
            </w:pPr>
            <w:r>
              <w:rPr>
                <w:rFonts w:ascii="Arial" w:cs="Arial" w:eastAsia="Arial" w:hAnsi="Arial"/>
                <w:sz w:val="17"/>
                <w:szCs w:val="17"/>
                <w:color w:val="auto"/>
                <w:w w:val="87"/>
              </w:rPr>
              <w:t>128,237</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103,872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Net income attributable to noncontrolling interests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(1,489)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34"/>
              <w:spacing w:after="0"/>
              <w:rPr>
                <w:sz w:val="20"/>
                <w:szCs w:val="20"/>
                <w:color w:val="auto"/>
              </w:rPr>
            </w:pPr>
            <w:r>
              <w:rPr>
                <w:rFonts w:ascii="Arial" w:cs="Arial" w:eastAsia="Arial" w:hAnsi="Arial"/>
                <w:sz w:val="17"/>
                <w:szCs w:val="17"/>
                <w:color w:val="auto"/>
                <w:w w:val="96"/>
              </w:rPr>
              <w:t>(1,396)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5"/>
              <w:spacing w:after="0"/>
              <w:rPr>
                <w:sz w:val="20"/>
                <w:szCs w:val="20"/>
                <w:color w:val="auto"/>
              </w:rPr>
            </w:pPr>
            <w:r>
              <w:rPr>
                <w:rFonts w:ascii="Arial" w:cs="Arial" w:eastAsia="Arial" w:hAnsi="Arial"/>
                <w:sz w:val="17"/>
                <w:szCs w:val="17"/>
                <w:color w:val="auto"/>
              </w:rPr>
              <w:t>(5,447)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gridSpan w:val="5"/>
          </w:tcPr>
          <w:p>
            <w:pPr>
              <w:spacing w:after="0"/>
              <w:rPr>
                <w:sz w:val="20"/>
                <w:szCs w:val="20"/>
                <w:color w:val="auto"/>
              </w:rPr>
            </w:pPr>
            <w:r>
              <w:rPr>
                <w:rFonts w:ascii="Arial" w:cs="Arial" w:eastAsia="Arial" w:hAnsi="Arial"/>
                <w:sz w:val="17"/>
                <w:szCs w:val="17"/>
                <w:color w:val="auto"/>
              </w:rPr>
              <w:t>Gain on sale of real estate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7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5"/>
              <w:spacing w:after="0"/>
              <w:rPr>
                <w:sz w:val="20"/>
                <w:szCs w:val="20"/>
                <w:color w:val="auto"/>
              </w:rPr>
            </w:pPr>
            <w:r>
              <w:rPr>
                <w:rFonts w:ascii="Arial" w:cs="Arial" w:eastAsia="Arial" w:hAnsi="Arial"/>
                <w:sz w:val="17"/>
                <w:szCs w:val="17"/>
                <w:color w:val="auto"/>
              </w:rPr>
              <w:t>(1,410)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(1,298)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assets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8"/>
              </w:rPr>
              <w:t>26,812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25,423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5"/>
              <w:spacing w:after="0"/>
              <w:rPr>
                <w:sz w:val="20"/>
                <w:szCs w:val="20"/>
                <w:color w:val="auto"/>
              </w:rPr>
            </w:pPr>
            <w:r>
              <w:rPr>
                <w:rFonts w:ascii="Arial" w:cs="Arial" w:eastAsia="Arial" w:hAnsi="Arial"/>
                <w:sz w:val="17"/>
                <w:szCs w:val="17"/>
                <w:color w:val="auto"/>
                <w:w w:val="87"/>
              </w:rPr>
              <w:t>107,187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103,104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gridSpan w:val="5"/>
          </w:tcPr>
          <w:p>
            <w:pPr>
              <w:spacing w:after="0"/>
              <w:rPr>
                <w:sz w:val="20"/>
                <w:szCs w:val="20"/>
                <w:color w:val="auto"/>
              </w:rPr>
            </w:pPr>
            <w:r>
              <w:rPr>
                <w:rFonts w:ascii="Arial" w:cs="Arial" w:eastAsia="Arial" w:hAnsi="Arial"/>
                <w:sz w:val="17"/>
                <w:szCs w:val="17"/>
                <w:color w:val="auto"/>
              </w:rPr>
              <w:t>Amortization of initial direct costs of leases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2,326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2,443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5"/>
              <w:spacing w:after="0"/>
              <w:rPr>
                <w:sz w:val="20"/>
                <w:szCs w:val="20"/>
                <w:color w:val="auto"/>
              </w:rPr>
            </w:pPr>
            <w:r>
              <w:rPr>
                <w:rFonts w:ascii="Arial" w:cs="Arial" w:eastAsia="Arial" w:hAnsi="Arial"/>
                <w:sz w:val="17"/>
                <w:szCs w:val="17"/>
                <w:color w:val="auto"/>
              </w:rPr>
              <w:t>9,552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9,821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Depreciation of joint venture real estate assets</w:t>
            </w:r>
          </w:p>
        </w:tc>
        <w:tc>
          <w:tcPr>
            <w:tcW w:w="10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00" w:type="dxa"/>
            <w:vAlign w:val="bottom"/>
            <w:gridSpan w:val="5"/>
          </w:tcPr>
          <w:p>
            <w:pPr>
              <w:ind w:left="400"/>
              <w:spacing w:after="0"/>
              <w:rPr>
                <w:sz w:val="20"/>
                <w:szCs w:val="20"/>
                <w:color w:val="auto"/>
              </w:rPr>
            </w:pPr>
            <w:r>
              <w:rPr>
                <w:rFonts w:ascii="Arial" w:cs="Arial" w:eastAsia="Arial" w:hAnsi="Arial"/>
                <w:sz w:val="17"/>
                <w:szCs w:val="17"/>
                <w:color w:val="auto"/>
              </w:rPr>
              <w:t>Funds from operations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w w:val="88"/>
              </w:rPr>
              <w:t>62,389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60,178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5"/>
              <w:spacing w:after="0"/>
              <w:rPr>
                <w:sz w:val="20"/>
                <w:szCs w:val="20"/>
                <w:color w:val="auto"/>
              </w:rPr>
            </w:pPr>
            <w:r>
              <w:rPr>
                <w:rFonts w:ascii="Arial" w:cs="Arial" w:eastAsia="Arial" w:hAnsi="Arial"/>
                <w:sz w:val="17"/>
                <w:szCs w:val="17"/>
                <w:color w:val="auto"/>
                <w:w w:val="87"/>
              </w:rPr>
              <w:t>239,618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w w:val="87"/>
              </w:rPr>
              <w:t>211,319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Dividends on preferred shares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34"/>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5"/>
              <w:spacing w:after="0"/>
              <w:rPr>
                <w:sz w:val="20"/>
                <w:szCs w:val="20"/>
                <w:color w:val="auto"/>
              </w:rPr>
            </w:pPr>
            <w:r>
              <w:rPr>
                <w:rFonts w:ascii="Arial" w:cs="Arial" w:eastAsia="Arial" w:hAnsi="Arial"/>
                <w:sz w:val="17"/>
                <w:szCs w:val="17"/>
                <w:color w:val="auto"/>
              </w:rPr>
              <w:t>(541)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gridSpan w:val="5"/>
          </w:tcPr>
          <w:p>
            <w:pPr>
              <w:spacing w:after="0"/>
              <w:rPr>
                <w:sz w:val="20"/>
                <w:szCs w:val="20"/>
                <w:color w:val="auto"/>
              </w:rPr>
            </w:pPr>
            <w:r>
              <w:rPr>
                <w:rFonts w:ascii="Arial" w:cs="Arial" w:eastAsia="Arial" w:hAnsi="Arial"/>
                <w:sz w:val="17"/>
                <w:szCs w:val="17"/>
                <w:color w:val="auto"/>
              </w:rPr>
              <w:t>Income attributable to operating partnership units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244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245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5"/>
              <w:spacing w:after="0"/>
              <w:rPr>
                <w:sz w:val="20"/>
                <w:szCs w:val="20"/>
                <w:color w:val="auto"/>
              </w:rPr>
            </w:pPr>
            <w:r>
              <w:rPr>
                <w:rFonts w:ascii="Arial" w:cs="Arial" w:eastAsia="Arial" w:hAnsi="Arial"/>
                <w:sz w:val="17"/>
                <w:szCs w:val="17"/>
                <w:color w:val="auto"/>
              </w:rPr>
              <w:t>980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Income attributable to unvested shares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34"/>
              <w:spacing w:after="0"/>
              <w:rPr>
                <w:sz w:val="20"/>
                <w:szCs w:val="20"/>
                <w:color w:val="auto"/>
              </w:rPr>
            </w:pPr>
            <w:r>
              <w:rPr>
                <w:rFonts w:ascii="Arial" w:cs="Arial" w:eastAsia="Arial" w:hAnsi="Arial"/>
                <w:sz w:val="17"/>
                <w:szCs w:val="17"/>
                <w:color w:val="auto"/>
              </w:rPr>
              <w:t>(193)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5"/>
              <w:spacing w:after="0"/>
              <w:rPr>
                <w:sz w:val="20"/>
                <w:szCs w:val="20"/>
                <w:color w:val="auto"/>
              </w:rPr>
            </w:pPr>
            <w:r>
              <w:rPr>
                <w:rFonts w:ascii="Arial" w:cs="Arial" w:eastAsia="Arial" w:hAnsi="Arial"/>
                <w:sz w:val="17"/>
                <w:szCs w:val="17"/>
                <w:color w:val="auto"/>
              </w:rPr>
              <w:t>(847)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gridSpan w:val="5"/>
            <w:vMerge w:val="restart"/>
          </w:tcPr>
          <w:p>
            <w:pPr>
              <w:ind w:left="400"/>
              <w:spacing w:after="0"/>
              <w:rPr>
                <w:sz w:val="20"/>
                <w:szCs w:val="20"/>
                <w:color w:val="auto"/>
              </w:rPr>
            </w:pPr>
            <w:r>
              <w:rPr>
                <w:rFonts w:ascii="Arial" w:cs="Arial" w:eastAsia="Arial" w:hAnsi="Arial"/>
                <w:sz w:val="17"/>
                <w:szCs w:val="17"/>
                <w:color w:val="auto"/>
              </w:rPr>
              <w:t>FFO</w:t>
            </w: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400" w:type="dxa"/>
            <w:vAlign w:val="bottom"/>
            <w:gridSpan w:val="5"/>
            <w:vMerge w:val="continue"/>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62,239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60,095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239,210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w w:val="87"/>
              </w:rPr>
              <w:t>211,065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Litigation provision, net of allocation to unvested shares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34"/>
              <w:spacing w:after="0"/>
              <w:rPr>
                <w:sz w:val="20"/>
                <w:szCs w:val="20"/>
                <w:color w:val="auto"/>
              </w:rPr>
            </w:pPr>
            <w:r>
              <w:rPr>
                <w:rFonts w:ascii="Arial" w:cs="Arial" w:eastAsia="Arial" w:hAnsi="Arial"/>
                <w:sz w:val="17"/>
                <w:szCs w:val="17"/>
                <w:color w:val="auto"/>
                <w:w w:val="96"/>
              </w:rPr>
              <w:t>(4,718)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5"/>
              <w:spacing w:after="0"/>
              <w:rPr>
                <w:sz w:val="20"/>
                <w:szCs w:val="20"/>
                <w:color w:val="auto"/>
              </w:rPr>
            </w:pPr>
            <w:r>
              <w:rPr>
                <w:rFonts w:ascii="Arial" w:cs="Arial" w:eastAsia="Arial" w:hAnsi="Arial"/>
                <w:sz w:val="17"/>
                <w:szCs w:val="17"/>
                <w:color w:val="auto"/>
              </w:rPr>
              <w:t>329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gridSpan w:val="5"/>
            <w:vMerge w:val="restart"/>
          </w:tcPr>
          <w:p>
            <w:pPr>
              <w:ind w:left="400"/>
              <w:spacing w:after="0"/>
              <w:rPr>
                <w:sz w:val="20"/>
                <w:szCs w:val="20"/>
                <w:color w:val="auto"/>
              </w:rPr>
            </w:pPr>
            <w:r>
              <w:rPr>
                <w:rFonts w:ascii="Arial" w:cs="Arial" w:eastAsia="Arial" w:hAnsi="Arial"/>
                <w:sz w:val="17"/>
                <w:szCs w:val="17"/>
                <w:color w:val="auto"/>
              </w:rPr>
              <w:t>FFO excluding litigation provision</w:t>
            </w: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gridSpan w:val="5"/>
            <w:vMerge w:val="continue"/>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w w:val="88"/>
              </w:rPr>
              <w:t>62,222</w:t>
            </w:r>
          </w:p>
        </w:tc>
        <w:tc>
          <w:tcPr>
            <w:tcW w:w="3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55,377</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tcPr>
          <w:p>
            <w:pPr>
              <w:jc w:val="right"/>
              <w:ind w:right="285"/>
              <w:spacing w:after="0"/>
              <w:rPr>
                <w:sz w:val="20"/>
                <w:szCs w:val="20"/>
                <w:color w:val="auto"/>
              </w:rPr>
            </w:pPr>
            <w:r>
              <w:rPr>
                <w:rFonts w:ascii="Arial" w:cs="Arial" w:eastAsia="Arial" w:hAnsi="Arial"/>
                <w:sz w:val="17"/>
                <w:szCs w:val="17"/>
                <w:color w:val="auto"/>
                <w:w w:val="87"/>
              </w:rPr>
              <w:t>239,539</w:t>
            </w:r>
          </w:p>
        </w:tc>
        <w:tc>
          <w:tcPr>
            <w:tcW w:w="2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227,366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FFO per diluted share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5"/>
              <w:spacing w:after="0"/>
              <w:rPr>
                <w:sz w:val="20"/>
                <w:szCs w:val="20"/>
                <w:color w:val="auto"/>
              </w:rPr>
            </w:pPr>
            <w:r>
              <w:rPr>
                <w:rFonts w:ascii="Arial" w:cs="Arial" w:eastAsia="Arial" w:hAnsi="Arial"/>
                <w:sz w:val="17"/>
                <w:szCs w:val="17"/>
                <w:color w:val="auto"/>
              </w:rPr>
              <w:t>3.88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gridSpan w:val="5"/>
          </w:tcPr>
          <w:p>
            <w:pPr>
              <w:spacing w:after="0"/>
              <w:rPr>
                <w:sz w:val="20"/>
                <w:szCs w:val="20"/>
                <w:color w:val="auto"/>
              </w:rPr>
            </w:pPr>
            <w:r>
              <w:rPr>
                <w:rFonts w:ascii="Arial" w:cs="Arial" w:eastAsia="Arial" w:hAnsi="Arial"/>
                <w:sz w:val="17"/>
                <w:szCs w:val="17"/>
                <w:color w:val="auto"/>
              </w:rPr>
              <w:t>Litigation provision per diluted share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34"/>
              <w:spacing w:after="0"/>
              <w:rPr>
                <w:sz w:val="20"/>
                <w:szCs w:val="20"/>
                <w:color w:val="auto"/>
              </w:rPr>
            </w:pPr>
            <w:r>
              <w:rPr>
                <w:rFonts w:ascii="Arial" w:cs="Arial" w:eastAsia="Arial" w:hAnsi="Arial"/>
                <w:sz w:val="17"/>
                <w:szCs w:val="17"/>
                <w:color w:val="auto"/>
              </w:rPr>
              <w:t>(0.08)</w:t>
            </w:r>
          </w:p>
        </w:tc>
        <w:tc>
          <w:tcPr>
            <w:tcW w:w="100" w:type="dxa"/>
            <w:vAlign w:val="bottom"/>
          </w:tcPr>
          <w:p>
            <w:pPr>
              <w:spacing w:after="0"/>
              <w:rPr>
                <w:sz w:val="18"/>
                <w:szCs w:val="18"/>
                <w:color w:val="auto"/>
              </w:rPr>
            </w:pPr>
          </w:p>
        </w:tc>
        <w:tc>
          <w:tcPr>
            <w:tcW w:w="900" w:type="dxa"/>
            <w:vAlign w:val="bottom"/>
            <w:gridSpan w:val="2"/>
          </w:tcPr>
          <w:p>
            <w:pPr>
              <w:jc w:val="right"/>
              <w:ind w:right="38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0.27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FFO per diluted share excluding litigation provision</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5"/>
              <w:spacing w:after="0"/>
              <w:rPr>
                <w:sz w:val="20"/>
                <w:szCs w:val="20"/>
                <w:color w:val="auto"/>
              </w:rPr>
            </w:pPr>
            <w:r>
              <w:rPr>
                <w:rFonts w:ascii="Arial" w:cs="Arial" w:eastAsia="Arial" w:hAnsi="Arial"/>
                <w:sz w:val="17"/>
                <w:szCs w:val="17"/>
                <w:color w:val="auto"/>
              </w:rPr>
              <w:t>3.88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gridSpan w:val="5"/>
            <w:vMerge w:val="restart"/>
          </w:tcPr>
          <w:p>
            <w:pPr>
              <w:ind w:left="820"/>
              <w:spacing w:after="0"/>
              <w:rPr>
                <w:sz w:val="20"/>
                <w:szCs w:val="20"/>
                <w:color w:val="auto"/>
              </w:rPr>
            </w:pPr>
            <w:r>
              <w:rPr>
                <w:rFonts w:ascii="Arial" w:cs="Arial" w:eastAsia="Arial" w:hAnsi="Arial"/>
                <w:sz w:val="17"/>
                <w:szCs w:val="17"/>
                <w:color w:val="auto"/>
              </w:rPr>
              <w:t>Weighted average number of common shares, diluted</w:t>
            </w: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400" w:type="dxa"/>
            <w:vAlign w:val="bottom"/>
            <w:gridSpan w:val="5"/>
            <w:vMerge w:val="continue"/>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w w:val="88"/>
              </w:rPr>
              <w:t>61,769</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61,513</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5"/>
              <w:spacing w:after="0"/>
              <w:rPr>
                <w:sz w:val="20"/>
                <w:szCs w:val="20"/>
                <w:color w:val="auto"/>
              </w:rPr>
            </w:pPr>
            <w:r>
              <w:rPr>
                <w:rFonts w:ascii="Arial" w:cs="Arial" w:eastAsia="Arial" w:hAnsi="Arial"/>
                <w:sz w:val="17"/>
                <w:szCs w:val="17"/>
                <w:color w:val="auto"/>
              </w:rPr>
              <w:t>61,693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60,201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6400" w:type="dxa"/>
            <w:vAlign w:val="bottom"/>
            <w:gridSpan w:val="5"/>
            <w:shd w:val="clear" w:color="auto" w:fill="CCEEFF"/>
          </w:tcPr>
          <w:p>
            <w:pPr>
              <w:spacing w:after="0" w:line="164" w:lineRule="exact"/>
              <w:rPr>
                <w:sz w:val="20"/>
                <w:szCs w:val="20"/>
                <w:color w:val="auto"/>
              </w:rPr>
            </w:pPr>
            <w:r>
              <w:rPr>
                <w:rFonts w:ascii="Arial" w:cs="Arial" w:eastAsia="Arial" w:hAnsi="Arial"/>
                <w:sz w:val="17"/>
                <w:szCs w:val="17"/>
                <w:color w:val="auto"/>
              </w:rPr>
              <w:t>Summary of Capital Expenditures</w:t>
            </w: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12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gridSpan w:val="5"/>
          </w:tcPr>
          <w:p>
            <w:pPr>
              <w:spacing w:after="0"/>
              <w:rPr>
                <w:sz w:val="20"/>
                <w:szCs w:val="20"/>
                <w:color w:val="auto"/>
              </w:rPr>
            </w:pPr>
            <w:r>
              <w:rPr>
                <w:rFonts w:ascii="Arial" w:cs="Arial" w:eastAsia="Arial" w:hAnsi="Arial"/>
                <w:sz w:val="17"/>
                <w:szCs w:val="17"/>
                <w:color w:val="auto"/>
              </w:rPr>
              <w:t>Non-maintenance capital expenditures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gridSpan w:val="5"/>
            <w:shd w:val="clear" w:color="auto" w:fill="CCEEFF"/>
          </w:tcPr>
          <w:p>
            <w:pPr>
              <w:ind w:left="820"/>
              <w:spacing w:after="0"/>
              <w:rPr>
                <w:sz w:val="20"/>
                <w:szCs w:val="20"/>
                <w:color w:val="auto"/>
              </w:rPr>
            </w:pPr>
            <w:r>
              <w:rPr>
                <w:rFonts w:ascii="Arial" w:cs="Arial" w:eastAsia="Arial" w:hAnsi="Arial"/>
                <w:sz w:val="17"/>
                <w:szCs w:val="17"/>
                <w:color w:val="auto"/>
              </w:rPr>
              <w:t>Redevelopment and expansions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8"/>
              </w:rPr>
              <w:t>13,568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13,792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5"/>
              <w:spacing w:after="0"/>
              <w:rPr>
                <w:sz w:val="20"/>
                <w:szCs w:val="20"/>
                <w:color w:val="auto"/>
              </w:rPr>
            </w:pPr>
            <w:r>
              <w:rPr>
                <w:rFonts w:ascii="Arial" w:cs="Arial" w:eastAsia="Arial" w:hAnsi="Arial"/>
                <w:sz w:val="17"/>
                <w:szCs w:val="17"/>
                <w:color w:val="auto"/>
              </w:rPr>
              <w:t>57,792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5"/>
          </w:tcPr>
          <w:p>
            <w:pPr>
              <w:ind w:left="820"/>
              <w:spacing w:after="0"/>
              <w:rPr>
                <w:sz w:val="20"/>
                <w:szCs w:val="20"/>
                <w:color w:val="auto"/>
              </w:rPr>
            </w:pPr>
            <w:r>
              <w:rPr>
                <w:rFonts w:ascii="Arial" w:cs="Arial" w:eastAsia="Arial" w:hAnsi="Arial"/>
                <w:sz w:val="17"/>
                <w:szCs w:val="17"/>
                <w:color w:val="auto"/>
              </w:rPr>
              <w:t>Tenant improvements and incentives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11,333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3,486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22,618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11,965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Total non-maintenance capital expenditures</w:t>
            </w:r>
          </w:p>
        </w:tc>
        <w:tc>
          <w:tcPr>
            <w:tcW w:w="10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24,901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17,278</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80,410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80,446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gridSpan w:val="5"/>
          </w:tcPr>
          <w:p>
            <w:pPr>
              <w:ind w:left="400"/>
              <w:spacing w:after="0"/>
              <w:rPr>
                <w:sz w:val="20"/>
                <w:szCs w:val="20"/>
                <w:color w:val="auto"/>
              </w:rPr>
            </w:pPr>
            <w:r>
              <w:rPr>
                <w:rFonts w:ascii="Arial" w:cs="Arial" w:eastAsia="Arial" w:hAnsi="Arial"/>
                <w:sz w:val="17"/>
                <w:szCs w:val="17"/>
                <w:color w:val="auto"/>
              </w:rPr>
              <w:t>Maintenance capital expenditures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5,651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7,138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5"/>
              <w:spacing w:after="0"/>
              <w:rPr>
                <w:sz w:val="20"/>
                <w:szCs w:val="20"/>
                <w:color w:val="auto"/>
              </w:rPr>
            </w:pPr>
            <w:r>
              <w:rPr>
                <w:rFonts w:ascii="Arial" w:cs="Arial" w:eastAsia="Arial" w:hAnsi="Arial"/>
                <w:sz w:val="17"/>
                <w:szCs w:val="17"/>
                <w:color w:val="auto"/>
              </w:rPr>
              <w:t>17,121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14,629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Total capital expenditures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8"/>
              </w:rPr>
              <w:t>30,552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24,416</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5"/>
              <w:spacing w:after="0"/>
              <w:rPr>
                <w:sz w:val="20"/>
                <w:szCs w:val="20"/>
                <w:color w:val="auto"/>
              </w:rPr>
            </w:pPr>
            <w:r>
              <w:rPr>
                <w:rFonts w:ascii="Arial" w:cs="Arial" w:eastAsia="Arial" w:hAnsi="Arial"/>
                <w:sz w:val="17"/>
                <w:szCs w:val="17"/>
                <w:color w:val="auto"/>
              </w:rPr>
              <w:t>97,531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95,075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gridSpan w:val="6"/>
            <w:vMerge w:val="restart"/>
          </w:tcPr>
          <w:p>
            <w:pPr>
              <w:spacing w:after="0"/>
              <w:rPr>
                <w:sz w:val="20"/>
                <w:szCs w:val="20"/>
                <w:color w:val="auto"/>
              </w:rPr>
            </w:pPr>
            <w:r>
              <w:rPr>
                <w:rFonts w:ascii="Arial" w:cs="Arial" w:eastAsia="Arial" w:hAnsi="Arial"/>
                <w:sz w:val="17"/>
                <w:szCs w:val="17"/>
                <w:color w:val="auto"/>
              </w:rPr>
              <w:t>Dividends and Payout Ratios</w:t>
            </w: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20" w:type="dxa"/>
            <w:vAlign w:val="bottom"/>
            <w:gridSpan w:val="6"/>
            <w:vMerge w:val="continue"/>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Regular common dividends declared</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8"/>
              </w:rPr>
              <w:t>41,213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40,416</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5"/>
              <w:spacing w:after="0"/>
              <w:rPr>
                <w:sz w:val="20"/>
                <w:szCs w:val="20"/>
                <w:color w:val="auto"/>
              </w:rPr>
            </w:pPr>
            <w:r>
              <w:rPr>
                <w:rFonts w:ascii="Arial" w:cs="Arial" w:eastAsia="Arial" w:hAnsi="Arial"/>
                <w:sz w:val="17"/>
                <w:szCs w:val="17"/>
                <w:color w:val="auto"/>
                <w:w w:val="87"/>
              </w:rPr>
              <w:t>163,382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157,638</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6420" w:type="dxa"/>
            <w:vAlign w:val="bottom"/>
            <w:gridSpan w:val="6"/>
          </w:tcPr>
          <w:p>
            <w:pPr>
              <w:spacing w:after="0"/>
              <w:rPr>
                <w:sz w:val="20"/>
                <w:szCs w:val="20"/>
                <w:color w:val="auto"/>
              </w:rPr>
            </w:pPr>
            <w:r>
              <w:rPr>
                <w:rFonts w:ascii="Arial" w:cs="Arial" w:eastAsia="Arial" w:hAnsi="Arial"/>
                <w:sz w:val="17"/>
                <w:szCs w:val="17"/>
                <w:color w:val="auto"/>
              </w:rPr>
              <w:t>Dividend payout ratio as a percentage of FFO</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66%</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254"/>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24"/>
                <w:szCs w:val="24"/>
                <w:color w:val="auto"/>
              </w:rPr>
            </w:pPr>
          </w:p>
        </w:tc>
        <w:tc>
          <w:tcPr>
            <w:tcW w:w="900" w:type="dxa"/>
            <w:vAlign w:val="bottom"/>
            <w:gridSpan w:val="2"/>
          </w:tcPr>
          <w:p>
            <w:pPr>
              <w:jc w:val="right"/>
              <w:ind w:right="145"/>
              <w:spacing w:after="0"/>
              <w:rPr>
                <w:sz w:val="20"/>
                <w:szCs w:val="20"/>
                <w:color w:val="auto"/>
              </w:rPr>
            </w:pPr>
            <w:r>
              <w:rPr>
                <w:rFonts w:ascii="Arial" w:cs="Arial" w:eastAsia="Arial" w:hAnsi="Arial"/>
                <w:sz w:val="17"/>
                <w:szCs w:val="17"/>
                <w:color w:val="auto"/>
              </w:rPr>
              <w:t>68%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Dividend payout ratio as a percentage of FFO excluding litigation provision (2)</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5"/>
              <w:spacing w:after="0"/>
              <w:rPr>
                <w:sz w:val="20"/>
                <w:szCs w:val="20"/>
                <w:color w:val="auto"/>
              </w:rPr>
            </w:pPr>
            <w:r>
              <w:rPr>
                <w:rFonts w:ascii="Arial" w:cs="Arial" w:eastAsia="Arial" w:hAnsi="Arial"/>
                <w:sz w:val="17"/>
                <w:szCs w:val="17"/>
                <w:color w:val="auto"/>
              </w:rPr>
              <w:t>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60" w:hanging="455"/>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4" w:lineRule="exact"/>
        <w:rPr>
          <w:rFonts w:ascii="Arial" w:cs="Arial" w:eastAsia="Arial" w:hAnsi="Arial"/>
          <w:sz w:val="17"/>
          <w:szCs w:val="17"/>
          <w:color w:val="auto"/>
        </w:rPr>
      </w:pPr>
    </w:p>
    <w:p>
      <w:pPr>
        <w:ind w:left="460" w:right="80" w:hanging="455"/>
        <w:spacing w:after="0" w:line="263"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Net income includes a charge of $0.3 million and $16.4 million in 2010 and 2009, respectively, for adjusting the accrual for litigation regarding a parcel of land located adjacent to Santana Row as well as certain costs related to the litigation and appeal process. A final ruling on the appeal was issued in February 2011 rejecting the appeals and affirming the final judgment against us. We believe FFO excluding this litigation provision provides a more meaningful evaluation of operations, and therefore, have included FFO and FFO per share excluding the related charges.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71"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Data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7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2010</w:t>
            </w: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6"/>
              <w:spacing w:after="0" w:line="138" w:lineRule="exact"/>
              <w:rPr>
                <w:sz w:val="20"/>
                <w:szCs w:val="20"/>
                <w:color w:val="auto"/>
              </w:rPr>
            </w:pPr>
            <w:r>
              <w:rPr>
                <w:rFonts w:ascii="Arial" w:cs="Arial" w:eastAsia="Arial" w:hAnsi="Arial"/>
                <w:sz w:val="13"/>
                <w:szCs w:val="13"/>
                <w:b w:val="1"/>
                <w:bCs w:val="1"/>
                <w:color w:val="auto"/>
              </w:rPr>
              <w:t>2009</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85"/>
              </w:rPr>
              <w:t>(in thousands,</w:t>
            </w:r>
          </w:p>
        </w:tc>
        <w:tc>
          <w:tcPr>
            <w:tcW w:w="1440" w:type="dxa"/>
            <w:vAlign w:val="bottom"/>
            <w:gridSpan w:val="3"/>
          </w:tcPr>
          <w:p>
            <w:pPr>
              <w:jc w:val="right"/>
              <w:ind w:right="56"/>
              <w:spacing w:after="0" w:line="138" w:lineRule="exact"/>
              <w:rPr>
                <w:sz w:val="20"/>
                <w:szCs w:val="20"/>
                <w:color w:val="auto"/>
              </w:rPr>
            </w:pPr>
            <w:r>
              <w:rPr>
                <w:rFonts w:ascii="Arial" w:cs="Arial" w:eastAsia="Arial" w:hAnsi="Arial"/>
                <w:sz w:val="13"/>
                <w:szCs w:val="13"/>
                <w:b w:val="1"/>
                <w:bCs w:val="1"/>
                <w:color w:val="auto"/>
                <w:w w:val="92"/>
              </w:rPr>
              <w:t>except per share data)</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Market data</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80" w:type="dxa"/>
            <w:vAlign w:val="bottom"/>
            <w:gridSpan w:val="2"/>
          </w:tcPr>
          <w:p>
            <w:pPr>
              <w:ind w:left="420"/>
              <w:spacing w:after="0"/>
              <w:rPr>
                <w:sz w:val="20"/>
                <w:szCs w:val="20"/>
                <w:color w:val="auto"/>
              </w:rPr>
            </w:pPr>
            <w:r>
              <w:rPr>
                <w:rFonts w:ascii="Arial" w:cs="Arial" w:eastAsia="Arial" w:hAnsi="Arial"/>
                <w:sz w:val="17"/>
                <w:szCs w:val="17"/>
                <w:color w:val="auto"/>
              </w:rPr>
              <w:t>Common shares outstanding (1)</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61,526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61,242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Market price per common share</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ind w:left="840"/>
              <w:spacing w:after="0"/>
              <w:rPr>
                <w:sz w:val="20"/>
                <w:szCs w:val="20"/>
                <w:color w:val="auto"/>
              </w:rPr>
            </w:pPr>
            <w:r>
              <w:rPr>
                <w:rFonts w:ascii="Arial" w:cs="Arial" w:eastAsia="Arial" w:hAnsi="Arial"/>
                <w:sz w:val="17"/>
                <w:szCs w:val="17"/>
                <w:color w:val="auto"/>
              </w:rPr>
              <w:t>Common equity market capitalization</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gridSpan w:val="2"/>
            <w:vMerge w:val="continue"/>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4,794,721</w:t>
            </w:r>
          </w:p>
        </w:tc>
        <w:tc>
          <w:tcPr>
            <w:tcW w:w="5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4,147,308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Series 1 preferred shares outstanding (2)</w:t>
            </w:r>
          </w:p>
        </w:tc>
        <w:tc>
          <w:tcPr>
            <w:tcW w:w="1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80" w:type="dxa"/>
            <w:vAlign w:val="bottom"/>
            <w:gridSpan w:val="2"/>
          </w:tcPr>
          <w:p>
            <w:pPr>
              <w:ind w:left="420"/>
              <w:spacing w:after="0"/>
              <w:rPr>
                <w:sz w:val="20"/>
                <w:szCs w:val="20"/>
                <w:color w:val="auto"/>
              </w:rPr>
            </w:pPr>
            <w:r>
              <w:rPr>
                <w:rFonts w:ascii="Arial" w:cs="Arial" w:eastAsia="Arial" w:hAnsi="Arial"/>
                <w:sz w:val="17"/>
                <w:szCs w:val="17"/>
                <w:color w:val="auto"/>
              </w:rPr>
              <w:t>Liquidation price per Series 1 preferred share</w:t>
            </w:r>
          </w:p>
        </w:tc>
        <w:tc>
          <w:tcPr>
            <w:tcW w:w="17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25.00</w:t>
            </w:r>
          </w:p>
        </w:tc>
        <w:tc>
          <w:tcPr>
            <w:tcW w:w="5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25.00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Series 1 preferred equity market capitalization</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ind w:left="420"/>
              <w:spacing w:after="0"/>
              <w:rPr>
                <w:sz w:val="20"/>
                <w:szCs w:val="20"/>
                <w:color w:val="auto"/>
              </w:rPr>
            </w:pPr>
            <w:r>
              <w:rPr>
                <w:rFonts w:ascii="Arial" w:cs="Arial" w:eastAsia="Arial" w:hAnsi="Arial"/>
                <w:sz w:val="17"/>
                <w:szCs w:val="17"/>
                <w:color w:val="auto"/>
              </w:rPr>
              <w:t>Equity market capitalization</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280" w:type="dxa"/>
            <w:vAlign w:val="bottom"/>
            <w:gridSpan w:val="2"/>
            <w:vMerge w:val="continue"/>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4,804,721</w:t>
            </w:r>
          </w:p>
        </w:tc>
        <w:tc>
          <w:tcPr>
            <w:tcW w:w="5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4,157,308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114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72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debt (3)</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1,767,149</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1,793,848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80" w:type="dxa"/>
            <w:vAlign w:val="bottom"/>
            <w:gridSpan w:val="2"/>
          </w:tcPr>
          <w:p>
            <w:pPr>
              <w:ind w:left="420"/>
              <w:spacing w:after="0"/>
              <w:rPr>
                <w:sz w:val="20"/>
                <w:szCs w:val="20"/>
                <w:color w:val="auto"/>
              </w:rPr>
            </w:pPr>
            <w:r>
              <w:rPr>
                <w:rFonts w:ascii="Arial" w:cs="Arial" w:eastAsia="Arial" w:hAnsi="Arial"/>
                <w:sz w:val="17"/>
                <w:szCs w:val="17"/>
                <w:color w:val="auto"/>
              </w:rPr>
              <w:t>Total market capitalization</w:t>
            </w:r>
          </w:p>
        </w:tc>
        <w:tc>
          <w:tcPr>
            <w:tcW w:w="17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6,571,870</w:t>
            </w:r>
          </w:p>
        </w:tc>
        <w:tc>
          <w:tcPr>
            <w:tcW w:w="5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5,951,156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debt to market capitalization at then current market price</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34"/>
              <w:spacing w:after="0"/>
              <w:rPr>
                <w:sz w:val="20"/>
                <w:szCs w:val="20"/>
                <w:color w:val="auto"/>
              </w:rPr>
            </w:pPr>
            <w:r>
              <w:rPr>
                <w:rFonts w:ascii="Arial" w:cs="Arial" w:eastAsia="Arial" w:hAnsi="Arial"/>
                <w:sz w:val="17"/>
                <w:szCs w:val="17"/>
                <w:color w:val="auto"/>
              </w:rPr>
              <w:t>27%</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312"/>
        </w:trPr>
        <w:tc>
          <w:tcPr>
            <w:tcW w:w="7280" w:type="dxa"/>
            <w:vAlign w:val="bottom"/>
            <w:gridSpan w:val="2"/>
          </w:tcPr>
          <w:p>
            <w:pPr>
              <w:ind w:left="420"/>
              <w:spacing w:after="0"/>
              <w:rPr>
                <w:sz w:val="20"/>
                <w:szCs w:val="20"/>
                <w:color w:val="auto"/>
              </w:rPr>
            </w:pPr>
            <w:r>
              <w:rPr>
                <w:rFonts w:ascii="Arial" w:cs="Arial" w:eastAsia="Arial" w:hAnsi="Arial"/>
                <w:sz w:val="17"/>
                <w:szCs w:val="17"/>
                <w:color w:val="auto"/>
              </w:rPr>
              <w:t>Total debt to market capitalization at constant common share price of $67.72</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334"/>
              <w:spacing w:after="0"/>
              <w:rPr>
                <w:sz w:val="20"/>
                <w:szCs w:val="20"/>
                <w:color w:val="auto"/>
              </w:rPr>
            </w:pPr>
            <w:r>
              <w:rPr>
                <w:rFonts w:ascii="Arial" w:cs="Arial" w:eastAsia="Arial" w:hAnsi="Arial"/>
                <w:sz w:val="17"/>
                <w:szCs w:val="17"/>
                <w:color w:val="auto"/>
              </w:rPr>
              <w:t>30%</w:t>
            </w:r>
          </w:p>
        </w:tc>
        <w:tc>
          <w:tcPr>
            <w:tcW w:w="18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07"/>
        </w:trPr>
        <w:tc>
          <w:tcPr>
            <w:tcW w:w="114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72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Fixed rate debt ratio:</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80" w:type="dxa"/>
            <w:vAlign w:val="bottom"/>
            <w:gridSpan w:val="2"/>
          </w:tcPr>
          <w:p>
            <w:pPr>
              <w:ind w:left="840"/>
              <w:spacing w:after="0"/>
              <w:rPr>
                <w:sz w:val="20"/>
                <w:szCs w:val="20"/>
                <w:color w:val="auto"/>
              </w:rPr>
            </w:pPr>
            <w:r>
              <w:rPr>
                <w:rFonts w:ascii="Arial" w:cs="Arial" w:eastAsia="Arial" w:hAnsi="Arial"/>
                <w:sz w:val="17"/>
                <w:szCs w:val="17"/>
                <w:color w:val="auto"/>
              </w:rPr>
              <w:t>Fixed rate debt and capital lease obligations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34"/>
              <w:spacing w:after="0"/>
              <w:rPr>
                <w:sz w:val="20"/>
                <w:szCs w:val="20"/>
                <w:color w:val="auto"/>
              </w:rPr>
            </w:pPr>
            <w:r>
              <w:rPr>
                <w:rFonts w:ascii="Arial" w:cs="Arial" w:eastAsia="Arial" w:hAnsi="Arial"/>
                <w:sz w:val="17"/>
                <w:szCs w:val="17"/>
                <w:color w:val="auto"/>
              </w:rPr>
              <w:t>95%</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10"/>
        </w:trPr>
        <w:tc>
          <w:tcPr>
            <w:tcW w:w="728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Variable rate debt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34"/>
              <w:spacing w:after="0"/>
              <w:rPr>
                <w:sz w:val="20"/>
                <w:szCs w:val="20"/>
                <w:color w:val="auto"/>
              </w:rPr>
            </w:pPr>
            <w:r>
              <w:rPr>
                <w:rFonts w:ascii="Arial" w:cs="Arial" w:eastAsia="Arial" w:hAnsi="Arial"/>
                <w:sz w:val="17"/>
                <w:szCs w:val="17"/>
                <w:color w:val="auto"/>
              </w:rPr>
              <w:t>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1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34"/>
              <w:spacing w:after="0"/>
              <w:rPr>
                <w:sz w:val="20"/>
                <w:szCs w:val="20"/>
                <w:color w:val="auto"/>
              </w:rPr>
            </w:pPr>
            <w:r>
              <w:rPr>
                <w:rFonts w:ascii="Arial" w:cs="Arial" w:eastAsia="Arial" w:hAnsi="Arial"/>
                <w:sz w:val="17"/>
                <w:szCs w:val="17"/>
                <w:color w:val="auto"/>
              </w:rPr>
              <w:t>100%</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1140" w:type="dxa"/>
            <w:vAlign w:val="bottom"/>
            <w:tcBorders>
              <w:bottom w:val="single" w:sz="8" w:color="auto"/>
            </w:tcBorders>
          </w:tcPr>
          <w:p>
            <w:pPr>
              <w:spacing w:after="0"/>
              <w:rPr>
                <w:sz w:val="7"/>
                <w:szCs w:val="7"/>
                <w:color w:val="auto"/>
              </w:rPr>
            </w:pPr>
          </w:p>
        </w:tc>
        <w:tc>
          <w:tcPr>
            <w:tcW w:w="61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60" w:hanging="455"/>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Amounts do not include 362,314 and 371,260 Operating Partnership Units outstanding at December 31, 2010 and 2009, respectively.</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These shares, issued March 8, 2007, are unregistered.</w:t>
      </w:r>
    </w:p>
    <w:p>
      <w:pPr>
        <w:spacing w:after="0" w:line="14" w:lineRule="exact"/>
        <w:rPr>
          <w:rFonts w:ascii="Arial" w:cs="Arial" w:eastAsia="Arial" w:hAnsi="Arial"/>
          <w:sz w:val="17"/>
          <w:szCs w:val="17"/>
          <w:color w:val="auto"/>
        </w:rPr>
      </w:pPr>
    </w:p>
    <w:p>
      <w:pPr>
        <w:ind w:left="460" w:hanging="455"/>
        <w:spacing w:after="0" w:line="263"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Total debt includes capital leases, mortgages payable, notes payable, senior notes and debentures, net of premiums and discounts from our consolidated balance sheet. It does not include $17.3 million which is the Trust’s 30% share of the total mortgages payable of $57.6 million and $57.8 million at December 31, 2010 and 2009, respectively, of the partnership with a discretionary fund created and advised by ING Clarion Partners. It also excludes the $8.8 million mortgage loan on our Newbury Street Partnership for which we are the lender.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271"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Rental Income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4"/>
          </w:tcPr>
          <w:p>
            <w:pPr>
              <w:jc w:val="right"/>
              <w:ind w:right="198"/>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Pr>
          <w:p>
            <w:pPr>
              <w:spacing w:after="0"/>
              <w:rPr>
                <w:sz w:val="13"/>
                <w:szCs w:val="13"/>
                <w:color w:val="auto"/>
              </w:rPr>
            </w:pPr>
          </w:p>
        </w:tc>
        <w:tc>
          <w:tcPr>
            <w:tcW w:w="1800" w:type="dxa"/>
            <w:vAlign w:val="bottom"/>
            <w:gridSpan w:val="5"/>
          </w:tcPr>
          <w:p>
            <w:pPr>
              <w:ind w:left="540"/>
              <w:spacing w:after="0"/>
              <w:rPr>
                <w:sz w:val="20"/>
                <w:szCs w:val="20"/>
                <w:color w:val="auto"/>
              </w:rPr>
            </w:pPr>
            <w:r>
              <w:rPr>
                <w:rFonts w:ascii="Arial" w:cs="Arial" w:eastAsia="Arial" w:hAnsi="Arial"/>
                <w:sz w:val="13"/>
                <w:szCs w:val="13"/>
                <w:b w:val="1"/>
                <w:bCs w:val="1"/>
                <w:color w:val="auto"/>
              </w:rPr>
              <w:t>Year ended</w:t>
            </w:r>
          </w:p>
        </w:tc>
      </w:tr>
      <w:tr>
        <w:trPr>
          <w:trHeight w:val="157"/>
        </w:trPr>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4"/>
          </w:tcPr>
          <w:p>
            <w:pPr>
              <w:jc w:val="right"/>
              <w:ind w:right="398"/>
              <w:spacing w:after="0"/>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3"/>
                <w:szCs w:val="13"/>
                <w:color w:val="auto"/>
              </w:rPr>
            </w:pPr>
          </w:p>
        </w:tc>
        <w:tc>
          <w:tcPr>
            <w:tcW w:w="1800" w:type="dxa"/>
            <w:vAlign w:val="bottom"/>
            <w:gridSpan w:val="5"/>
          </w:tcPr>
          <w:p>
            <w:pPr>
              <w:ind w:left="480"/>
              <w:spacing w:after="0"/>
              <w:rPr>
                <w:sz w:val="20"/>
                <w:szCs w:val="20"/>
                <w:color w:val="auto"/>
              </w:rPr>
            </w:pPr>
            <w:r>
              <w:rPr>
                <w:rFonts w:ascii="Arial" w:cs="Arial" w:eastAsia="Arial" w:hAnsi="Arial"/>
                <w:sz w:val="13"/>
                <w:szCs w:val="13"/>
                <w:b w:val="1"/>
                <w:bCs w:val="1"/>
                <w:color w:val="auto"/>
              </w:rPr>
              <w:t>December 31,</w:t>
            </w:r>
          </w:p>
        </w:tc>
      </w:tr>
      <w:tr>
        <w:trPr>
          <w:trHeight w:val="137"/>
        </w:trPr>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23"/>
              <w:spacing w:after="0" w:line="138" w:lineRule="exact"/>
              <w:rPr>
                <w:sz w:val="20"/>
                <w:szCs w:val="20"/>
                <w:color w:val="auto"/>
              </w:rPr>
            </w:pPr>
            <w:r>
              <w:rPr>
                <w:rFonts w:ascii="Arial" w:cs="Arial" w:eastAsia="Arial" w:hAnsi="Arial"/>
                <w:sz w:val="13"/>
                <w:szCs w:val="13"/>
                <w:b w:val="1"/>
                <w:bCs w:val="1"/>
                <w:color w:val="auto"/>
              </w:rPr>
              <w:t>2010</w:t>
            </w: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2009</w:t>
            </w:r>
          </w:p>
        </w:tc>
        <w:tc>
          <w:tcPr>
            <w:tcW w:w="38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131"/>
              <w:spacing w:after="0" w:line="138" w:lineRule="exact"/>
              <w:rPr>
                <w:sz w:val="20"/>
                <w:szCs w:val="20"/>
                <w:color w:val="auto"/>
              </w:rPr>
            </w:pPr>
            <w:r>
              <w:rPr>
                <w:rFonts w:ascii="Arial" w:cs="Arial" w:eastAsia="Arial" w:hAnsi="Arial"/>
                <w:sz w:val="13"/>
                <w:szCs w:val="13"/>
                <w:b w:val="1"/>
                <w:bCs w:val="1"/>
                <w:color w:val="auto"/>
              </w:rPr>
              <w:t>2010</w:t>
            </w: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34"/>
              <w:spacing w:after="0" w:line="138" w:lineRule="exact"/>
              <w:rPr>
                <w:sz w:val="20"/>
                <w:szCs w:val="20"/>
                <w:color w:val="auto"/>
              </w:rPr>
            </w:pPr>
            <w:r>
              <w:rPr>
                <w:rFonts w:ascii="Arial" w:cs="Arial" w:eastAsia="Arial" w:hAnsi="Arial"/>
                <w:sz w:val="13"/>
                <w:szCs w:val="13"/>
                <w:b w:val="1"/>
                <w:bCs w:val="1"/>
                <w:color w:val="auto"/>
              </w:rPr>
              <w:t>2009</w:t>
            </w:r>
          </w:p>
        </w:tc>
        <w:tc>
          <w:tcPr>
            <w:tcW w:w="80" w:type="dxa"/>
            <w:vAlign w:val="bottom"/>
          </w:tcPr>
          <w:p>
            <w:pPr>
              <w:spacing w:after="0"/>
              <w:rPr>
                <w:sz w:val="11"/>
                <w:szCs w:val="11"/>
                <w:color w:val="auto"/>
              </w:rPr>
            </w:pPr>
          </w:p>
        </w:tc>
      </w:tr>
      <w:tr>
        <w:trPr>
          <w:trHeight w:val="137"/>
        </w:trPr>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(in</w:t>
            </w:r>
          </w:p>
        </w:tc>
        <w:tc>
          <w:tcPr>
            <w:tcW w:w="1060" w:type="dxa"/>
            <w:vAlign w:val="bottom"/>
            <w:gridSpan w:val="3"/>
          </w:tcPr>
          <w:p>
            <w:pPr>
              <w:jc w:val="right"/>
              <w:ind w:right="378"/>
              <w:spacing w:after="0" w:line="138" w:lineRule="exact"/>
              <w:rPr>
                <w:sz w:val="20"/>
                <w:szCs w:val="20"/>
                <w:color w:val="auto"/>
              </w:rPr>
            </w:pPr>
            <w:r>
              <w:rPr>
                <w:rFonts w:ascii="Arial" w:cs="Arial" w:eastAsia="Arial" w:hAnsi="Arial"/>
                <w:sz w:val="13"/>
                <w:szCs w:val="13"/>
                <w:b w:val="1"/>
                <w:bCs w:val="1"/>
                <w:color w:val="auto"/>
                <w:w w:val="82"/>
              </w:rPr>
              <w:t>thousands)</w:t>
            </w:r>
          </w:p>
        </w:tc>
        <w:tc>
          <w:tcPr>
            <w:tcW w:w="380" w:type="dxa"/>
            <w:vAlign w:val="bottom"/>
          </w:tcPr>
          <w:p>
            <w:pPr>
              <w:spacing w:after="0"/>
              <w:rPr>
                <w:sz w:val="11"/>
                <w:szCs w:val="11"/>
                <w:color w:val="auto"/>
              </w:rPr>
            </w:pPr>
          </w:p>
        </w:tc>
        <w:tc>
          <w:tcPr>
            <w:tcW w:w="660" w:type="dxa"/>
            <w:vAlign w:val="bottom"/>
          </w:tcPr>
          <w:p>
            <w:pPr>
              <w:ind w:left="460"/>
              <w:spacing w:after="0" w:line="138" w:lineRule="exact"/>
              <w:rPr>
                <w:sz w:val="20"/>
                <w:szCs w:val="20"/>
                <w:color w:val="auto"/>
              </w:rPr>
            </w:pPr>
            <w:r>
              <w:rPr>
                <w:rFonts w:ascii="Arial" w:cs="Arial" w:eastAsia="Arial" w:hAnsi="Arial"/>
                <w:sz w:val="13"/>
                <w:szCs w:val="13"/>
                <w:b w:val="1"/>
                <w:bCs w:val="1"/>
                <w:color w:val="auto"/>
              </w:rPr>
              <w:t>(in</w:t>
            </w:r>
          </w:p>
        </w:tc>
        <w:tc>
          <w:tcPr>
            <w:tcW w:w="1060" w:type="dxa"/>
            <w:vAlign w:val="bottom"/>
            <w:gridSpan w:val="3"/>
          </w:tcPr>
          <w:p>
            <w:pPr>
              <w:jc w:val="right"/>
              <w:ind w:right="394"/>
              <w:spacing w:after="0" w:line="138" w:lineRule="exact"/>
              <w:rPr>
                <w:sz w:val="20"/>
                <w:szCs w:val="20"/>
                <w:color w:val="auto"/>
              </w:rPr>
            </w:pPr>
            <w:r>
              <w:rPr>
                <w:rFonts w:ascii="Arial" w:cs="Arial" w:eastAsia="Arial" w:hAnsi="Arial"/>
                <w:sz w:val="13"/>
                <w:szCs w:val="13"/>
                <w:b w:val="1"/>
                <w:bCs w:val="1"/>
                <w:color w:val="auto"/>
                <w:w w:val="82"/>
              </w:rPr>
              <w:t>thousands)</w:t>
            </w:r>
          </w:p>
        </w:tc>
        <w:tc>
          <w:tcPr>
            <w:tcW w:w="80" w:type="dxa"/>
            <w:vAlign w:val="bottom"/>
          </w:tcPr>
          <w:p>
            <w:pPr>
              <w:spacing w:after="0"/>
              <w:rPr>
                <w:sz w:val="11"/>
                <w:szCs w:val="11"/>
                <w:color w:val="auto"/>
              </w:rPr>
            </w:pPr>
          </w:p>
        </w:tc>
      </w:tr>
      <w:tr>
        <w:trPr>
          <w:trHeight w:val="210"/>
        </w:trPr>
        <w:tc>
          <w:tcPr>
            <w:tcW w:w="46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Minimum rents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4400" w:type="dxa"/>
            <w:vAlign w:val="bottom"/>
            <w:gridSpan w:val="2"/>
          </w:tcPr>
          <w:p>
            <w:pPr>
              <w:ind w:left="420"/>
              <w:spacing w:after="0"/>
              <w:rPr>
                <w:sz w:val="20"/>
                <w:szCs w:val="20"/>
                <w:color w:val="auto"/>
              </w:rPr>
            </w:pPr>
            <w:r>
              <w:rPr>
                <w:rFonts w:ascii="Arial" w:cs="Arial" w:eastAsia="Arial" w:hAnsi="Arial"/>
                <w:sz w:val="17"/>
                <w:szCs w:val="17"/>
                <w:color w:val="auto"/>
              </w:rPr>
              <w:t>Retail and commercial (1)</w:t>
            </w:r>
          </w:p>
        </w:tc>
        <w:tc>
          <w:tcPr>
            <w:tcW w:w="2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97,156</w:t>
            </w: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93,706</w:t>
            </w:r>
          </w:p>
        </w:tc>
        <w:tc>
          <w:tcPr>
            <w:tcW w:w="1240" w:type="dxa"/>
            <w:vAlign w:val="bottom"/>
            <w:gridSpan w:val="3"/>
          </w:tcPr>
          <w:p>
            <w:pPr>
              <w:jc w:val="right"/>
              <w:ind w:right="134"/>
              <w:spacing w:after="0"/>
              <w:rPr>
                <w:sz w:val="20"/>
                <w:szCs w:val="20"/>
                <w:color w:val="auto"/>
              </w:rPr>
            </w:pPr>
            <w:r>
              <w:rPr>
                <w:rFonts w:ascii="Arial" w:cs="Arial" w:eastAsia="Arial" w:hAnsi="Arial"/>
                <w:sz w:val="17"/>
                <w:szCs w:val="17"/>
                <w:color w:val="auto"/>
              </w:rPr>
              <w:t>$381,012</w:t>
            </w: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rPr>
              <w:t>$373,506</w:t>
            </w:r>
          </w:p>
        </w:tc>
      </w:tr>
      <w:tr>
        <w:trPr>
          <w:trHeight w:val="210"/>
        </w:trPr>
        <w:tc>
          <w:tcPr>
            <w:tcW w:w="460" w:type="dxa"/>
            <w:vAlign w:val="bottom"/>
          </w:tcPr>
          <w:p>
            <w:pPr>
              <w:spacing w:after="0"/>
              <w:rPr>
                <w:sz w:val="18"/>
                <w:szCs w:val="18"/>
                <w:color w:val="auto"/>
              </w:rPr>
            </w:pPr>
          </w:p>
        </w:tc>
        <w:tc>
          <w:tcPr>
            <w:tcW w:w="44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Residential (2)</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5,175</w:t>
            </w:r>
          </w:p>
        </w:tc>
        <w:tc>
          <w:tcPr>
            <w:tcW w:w="1240" w:type="dxa"/>
            <w:vAlign w:val="bottom"/>
            <w:gridSpan w:val="3"/>
            <w:shd w:val="clear" w:color="auto" w:fill="CCEEFF"/>
          </w:tcPr>
          <w:p>
            <w:pPr>
              <w:jc w:val="right"/>
              <w:ind w:right="134"/>
              <w:spacing w:after="0"/>
              <w:rPr>
                <w:sz w:val="20"/>
                <w:szCs w:val="20"/>
                <w:color w:val="auto"/>
              </w:rPr>
            </w:pPr>
            <w:r>
              <w:rPr>
                <w:rFonts w:ascii="Arial" w:cs="Arial" w:eastAsia="Arial" w:hAnsi="Arial"/>
                <w:sz w:val="17"/>
                <w:szCs w:val="17"/>
                <w:color w:val="auto"/>
              </w:rPr>
              <w:t>21,583</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21,093</w:t>
            </w:r>
          </w:p>
        </w:tc>
      </w:tr>
      <w:tr>
        <w:trPr>
          <w:trHeight w:val="210"/>
        </w:trPr>
        <w:tc>
          <w:tcPr>
            <w:tcW w:w="4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7"/>
                <w:szCs w:val="17"/>
                <w:color w:val="auto"/>
              </w:rPr>
              <w:t>Cost reimbursements</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26,505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29,804</w:t>
            </w:r>
          </w:p>
        </w:tc>
        <w:tc>
          <w:tcPr>
            <w:tcW w:w="1240" w:type="dxa"/>
            <w:vAlign w:val="bottom"/>
            <w:gridSpan w:val="3"/>
          </w:tcPr>
          <w:p>
            <w:pPr>
              <w:jc w:val="right"/>
              <w:ind w:right="134"/>
              <w:spacing w:after="0"/>
              <w:rPr>
                <w:sz w:val="20"/>
                <w:szCs w:val="20"/>
                <w:color w:val="auto"/>
              </w:rPr>
            </w:pPr>
            <w:r>
              <w:rPr>
                <w:rFonts w:ascii="Arial" w:cs="Arial" w:eastAsia="Arial" w:hAnsi="Arial"/>
                <w:sz w:val="17"/>
                <w:szCs w:val="17"/>
                <w:color w:val="auto"/>
              </w:rPr>
              <w:t>107,658</w:t>
            </w: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rPr>
              <w:t>104,052</w:t>
            </w:r>
          </w:p>
        </w:tc>
      </w:tr>
      <w:tr>
        <w:trPr>
          <w:trHeight w:val="210"/>
        </w:trPr>
        <w:tc>
          <w:tcPr>
            <w:tcW w:w="46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Percentage rents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2,697</w:t>
            </w:r>
          </w:p>
        </w:tc>
        <w:tc>
          <w:tcPr>
            <w:tcW w:w="1240" w:type="dxa"/>
            <w:vAlign w:val="bottom"/>
            <w:gridSpan w:val="3"/>
            <w:shd w:val="clear" w:color="auto" w:fill="CCEEFF"/>
          </w:tcPr>
          <w:p>
            <w:pPr>
              <w:jc w:val="right"/>
              <w:ind w:right="134"/>
              <w:spacing w:after="0"/>
              <w:rPr>
                <w:sz w:val="20"/>
                <w:szCs w:val="20"/>
                <w:color w:val="auto"/>
              </w:rPr>
            </w:pPr>
            <w:r>
              <w:rPr>
                <w:rFonts w:ascii="Arial" w:cs="Arial" w:eastAsia="Arial" w:hAnsi="Arial"/>
                <w:sz w:val="17"/>
                <w:szCs w:val="17"/>
                <w:color w:val="auto"/>
              </w:rPr>
              <w:t>6,374</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6,508</w:t>
            </w:r>
          </w:p>
        </w:tc>
      </w:tr>
      <w:tr>
        <w:trPr>
          <w:trHeight w:val="210"/>
        </w:trPr>
        <w:tc>
          <w:tcPr>
            <w:tcW w:w="4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7"/>
                <w:szCs w:val="17"/>
                <w:color w:val="auto"/>
              </w:rPr>
              <w:t>Other</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2,362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2,191</w:t>
            </w:r>
          </w:p>
        </w:tc>
        <w:tc>
          <w:tcPr>
            <w:tcW w:w="380" w:type="dxa"/>
            <w:vAlign w:val="bottom"/>
          </w:tcPr>
          <w:p>
            <w:pPr>
              <w:spacing w:after="0"/>
              <w:rPr>
                <w:sz w:val="18"/>
                <w:szCs w:val="18"/>
                <w:color w:val="auto"/>
              </w:rPr>
            </w:pPr>
          </w:p>
        </w:tc>
        <w:tc>
          <w:tcPr>
            <w:tcW w:w="860" w:type="dxa"/>
            <w:vAlign w:val="bottom"/>
            <w:gridSpan w:val="2"/>
          </w:tcPr>
          <w:p>
            <w:pPr>
              <w:jc w:val="right"/>
              <w:ind w:right="134"/>
              <w:spacing w:after="0"/>
              <w:rPr>
                <w:sz w:val="20"/>
                <w:szCs w:val="20"/>
                <w:color w:val="auto"/>
              </w:rPr>
            </w:pPr>
            <w:r>
              <w:rPr>
                <w:rFonts w:ascii="Arial" w:cs="Arial" w:eastAsia="Arial" w:hAnsi="Arial"/>
                <w:sz w:val="17"/>
                <w:szCs w:val="17"/>
                <w:color w:val="auto"/>
              </w:rPr>
              <w:t>8,901</w:t>
            </w: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rPr>
              <w:t>7,566</w:t>
            </w:r>
          </w:p>
        </w:tc>
      </w:tr>
      <w:tr>
        <w:trPr>
          <w:trHeight w:val="26"/>
        </w:trPr>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46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rental income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134,077</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133,573</w:t>
            </w:r>
          </w:p>
        </w:tc>
        <w:tc>
          <w:tcPr>
            <w:tcW w:w="1240" w:type="dxa"/>
            <w:vAlign w:val="bottom"/>
            <w:gridSpan w:val="3"/>
            <w:shd w:val="clear" w:color="auto" w:fill="CCEEFF"/>
          </w:tcPr>
          <w:p>
            <w:pPr>
              <w:jc w:val="right"/>
              <w:ind w:right="134"/>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525,528</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512,725</w:t>
            </w:r>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4"/>
        </w:trPr>
        <w:tc>
          <w:tcPr>
            <w:tcW w:w="4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720" w:type="dxa"/>
            <w:vAlign w:val="bottom"/>
          </w:tcPr>
          <w:p>
            <w:pPr>
              <w:spacing w:after="0"/>
              <w:rPr>
                <w:sz w:val="7"/>
                <w:szCs w:val="7"/>
                <w:color w:val="auto"/>
              </w:rPr>
            </w:pPr>
          </w:p>
        </w:tc>
        <w:tc>
          <w:tcPr>
            <w:tcW w:w="2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60" w:right="80" w:hanging="455"/>
        <w:spacing w:after="0" w:line="257"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Minimum rents include $1.1 million and $1.4 million for the three months ended December 31, 2010 and 2009, respectively, and $4.6 million and $5.4 million for the year ended December 31, 2010 and 2009, respectively, to recognize minimum rents on a straight-line basis. In addition, minimum rents include $0.3 million and $0.6 million for the three months ended December 31, 2010 and 2009, respectively, and $1.6 million and $1.7 million for the year ended December 31, 2010 and 2009, respectively, to recognize income from the amortization of in-place leases.</w:t>
      </w:r>
    </w:p>
    <w:p>
      <w:pPr>
        <w:spacing w:after="0" w:line="1" w:lineRule="exact"/>
        <w:rPr>
          <w:rFonts w:ascii="Arial" w:cs="Arial" w:eastAsia="Arial" w:hAnsi="Arial"/>
          <w:sz w:val="17"/>
          <w:szCs w:val="17"/>
          <w:color w:val="auto"/>
        </w:rPr>
      </w:pPr>
    </w:p>
    <w:p>
      <w:pPr>
        <w:ind w:left="460" w:hanging="455"/>
        <w:spacing w:after="0" w:line="275"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Residential minimum rents consist of the rental amounts for residential units at Rollingwood Apartments, the Crest at Congressional Plaza Apartments, Santana Row, and Bethesda Row.</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360"/>
          </w:cols>
          <w:pgMar w:left="240" w:top="271" w:right="29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 and Capital Lease Obligations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0"/>
              </w:rPr>
              <w:t>Stated</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Weighted average</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60" w:type="dxa"/>
            <w:vAlign w:val="bottom"/>
            <w:gridSpan w:val="2"/>
          </w:tcPr>
          <w:p>
            <w:pPr>
              <w:jc w:val="right"/>
              <w:ind w:right="1120"/>
              <w:spacing w:after="0" w:line="144" w:lineRule="exact"/>
              <w:rPr>
                <w:sz w:val="20"/>
                <w:szCs w:val="20"/>
                <w:color w:val="auto"/>
              </w:rPr>
            </w:pPr>
            <w:r>
              <w:rPr>
                <w:rFonts w:ascii="Arial" w:cs="Arial" w:eastAsia="Arial" w:hAnsi="Arial"/>
                <w:sz w:val="13"/>
                <w:szCs w:val="13"/>
                <w:b w:val="1"/>
                <w:bCs w:val="1"/>
                <w:color w:val="auto"/>
              </w:rPr>
              <w:t>Stated</w:t>
            </w:r>
          </w:p>
        </w:tc>
        <w:tc>
          <w:tcPr>
            <w:tcW w:w="1660" w:type="dxa"/>
            <w:vAlign w:val="bottom"/>
            <w:gridSpan w:val="2"/>
          </w:tcPr>
          <w:p>
            <w:pPr>
              <w:jc w:val="center"/>
              <w:ind w:right="520"/>
              <w:spacing w:after="0" w:line="144" w:lineRule="exact"/>
              <w:rPr>
                <w:sz w:val="20"/>
                <w:szCs w:val="20"/>
                <w:color w:val="auto"/>
              </w:rPr>
            </w:pPr>
            <w:r>
              <w:rPr>
                <w:rFonts w:ascii="Arial" w:cs="Arial" w:eastAsia="Arial" w:hAnsi="Arial"/>
                <w:sz w:val="13"/>
                <w:szCs w:val="13"/>
                <w:b w:val="1"/>
                <w:bCs w:val="1"/>
                <w:color w:val="auto"/>
                <w:w w:val="90"/>
              </w:rPr>
              <w:t>interest rate as of</w:t>
            </w:r>
          </w:p>
        </w:tc>
        <w:tc>
          <w:tcPr>
            <w:tcW w:w="100" w:type="dxa"/>
            <w:vAlign w:val="bottom"/>
          </w:tcPr>
          <w:p>
            <w:pPr>
              <w:spacing w:after="0"/>
              <w:rPr>
                <w:sz w:val="12"/>
                <w:szCs w:val="12"/>
                <w:color w:val="auto"/>
              </w:rPr>
            </w:pPr>
          </w:p>
        </w:tc>
        <w:tc>
          <w:tcPr>
            <w:tcW w:w="1380" w:type="dxa"/>
            <w:vAlign w:val="bottom"/>
            <w:gridSpan w:val="2"/>
          </w:tcPr>
          <w:p>
            <w:pPr>
              <w:jc w:val="right"/>
              <w:ind w:right="580"/>
              <w:spacing w:after="0" w:line="144" w:lineRule="exact"/>
              <w:rPr>
                <w:sz w:val="20"/>
                <w:szCs w:val="20"/>
                <w:color w:val="auto"/>
              </w:rPr>
            </w:pPr>
            <w:r>
              <w:rPr>
                <w:rFonts w:ascii="Arial" w:cs="Arial" w:eastAsia="Arial" w:hAnsi="Arial"/>
                <w:sz w:val="13"/>
                <w:szCs w:val="13"/>
                <w:b w:val="1"/>
                <w:bCs w:val="1"/>
                <w:color w:val="auto"/>
                <w:w w:val="93"/>
              </w:rPr>
              <w:t>Balance as of</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0"/>
              </w:rPr>
              <w:t>effective rate at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60" w:type="dxa"/>
            <w:vAlign w:val="bottom"/>
            <w:gridSpan w:val="2"/>
          </w:tcPr>
          <w:p>
            <w:pPr>
              <w:jc w:val="right"/>
              <w:ind w:right="900"/>
              <w:spacing w:after="0"/>
              <w:rPr>
                <w:sz w:val="20"/>
                <w:szCs w:val="20"/>
                <w:color w:val="auto"/>
              </w:rPr>
            </w:pPr>
            <w:r>
              <w:rPr>
                <w:rFonts w:ascii="Arial" w:cs="Arial" w:eastAsia="Arial" w:hAnsi="Arial"/>
                <w:sz w:val="13"/>
                <w:szCs w:val="13"/>
                <w:b w:val="1"/>
                <w:bCs w:val="1"/>
                <w:color w:val="auto"/>
              </w:rPr>
              <w:t>maturity date</w:t>
            </w:r>
          </w:p>
        </w:tc>
        <w:tc>
          <w:tcPr>
            <w:tcW w:w="166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0"/>
              </w:rPr>
              <w:t>December 31, 2010</w:t>
            </w:r>
          </w:p>
        </w:tc>
        <w:tc>
          <w:tcPr>
            <w:tcW w:w="1480" w:type="dxa"/>
            <w:vAlign w:val="bottom"/>
            <w:gridSpan w:val="3"/>
          </w:tcPr>
          <w:p>
            <w:pPr>
              <w:spacing w:after="0"/>
              <w:rPr>
                <w:sz w:val="20"/>
                <w:szCs w:val="20"/>
                <w:color w:val="auto"/>
              </w:rPr>
            </w:pPr>
            <w:r>
              <w:rPr>
                <w:rFonts w:ascii="Arial" w:cs="Arial" w:eastAsia="Arial" w:hAnsi="Arial"/>
                <w:sz w:val="13"/>
                <w:szCs w:val="13"/>
                <w:b w:val="1"/>
                <w:bCs w:val="1"/>
                <w:color w:val="auto"/>
              </w:rPr>
              <w:t>December 31, 2010</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December 31, 2010 (h)</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56"/>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gridSpan w:val="5"/>
            <w:shd w:val="clear" w:color="auto" w:fill="CCEEFF"/>
          </w:tcPr>
          <w:p>
            <w:pPr>
              <w:spacing w:after="0" w:line="171" w:lineRule="exact"/>
              <w:rPr>
                <w:sz w:val="20"/>
                <w:szCs w:val="20"/>
                <w:color w:val="auto"/>
              </w:rPr>
            </w:pPr>
            <w:r>
              <w:rPr>
                <w:rFonts w:ascii="Arial" w:cs="Arial" w:eastAsia="Arial" w:hAnsi="Arial"/>
                <w:sz w:val="17"/>
                <w:szCs w:val="17"/>
                <w:color w:val="auto"/>
              </w:rPr>
              <w:t>Mortgages Payable (a)</w:t>
            </w:r>
          </w:p>
        </w:tc>
        <w:tc>
          <w:tcPr>
            <w:tcW w:w="15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tcPr>
          <w:p>
            <w:pPr>
              <w:ind w:left="400"/>
              <w:spacing w:after="0"/>
              <w:rPr>
                <w:sz w:val="20"/>
                <w:szCs w:val="20"/>
                <w:color w:val="auto"/>
              </w:rPr>
            </w:pPr>
            <w:r>
              <w:rPr>
                <w:rFonts w:ascii="Arial" w:cs="Arial" w:eastAsia="Arial" w:hAnsi="Arial"/>
                <w:sz w:val="17"/>
                <w:szCs w:val="17"/>
                <w:i w:val="1"/>
                <w:iCs w:val="1"/>
                <w:color w:val="auto"/>
              </w:rPr>
              <w:t>Secured fixed rate</w:t>
            </w:r>
          </w:p>
        </w:tc>
        <w:tc>
          <w:tcPr>
            <w:tcW w:w="1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shd w:val="clear" w:color="auto" w:fill="CCEEFF"/>
          </w:tcPr>
          <w:p>
            <w:pPr>
              <w:ind w:left="400"/>
              <w:spacing w:after="0"/>
              <w:rPr>
                <w:sz w:val="20"/>
                <w:szCs w:val="20"/>
                <w:color w:val="auto"/>
              </w:rPr>
            </w:pPr>
            <w:r>
              <w:rPr>
                <w:rFonts w:ascii="Arial" w:cs="Arial" w:eastAsia="Arial" w:hAnsi="Arial"/>
                <w:sz w:val="17"/>
                <w:szCs w:val="17"/>
                <w:color w:val="auto"/>
              </w:rPr>
              <w:t>Federal Plaza</w:t>
            </w:r>
          </w:p>
        </w:tc>
        <w:tc>
          <w:tcPr>
            <w:tcW w:w="2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06/01/11</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6.75%</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31,901</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tcPr>
          <w:p>
            <w:pPr>
              <w:ind w:left="400"/>
              <w:spacing w:after="0"/>
              <w:rPr>
                <w:sz w:val="20"/>
                <w:szCs w:val="20"/>
                <w:color w:val="auto"/>
              </w:rPr>
            </w:pPr>
            <w:r>
              <w:rPr>
                <w:rFonts w:ascii="Arial" w:cs="Arial" w:eastAsia="Arial" w:hAnsi="Arial"/>
                <w:sz w:val="17"/>
                <w:szCs w:val="17"/>
                <w:color w:val="auto"/>
              </w:rPr>
              <w:t>Tysons Station</w:t>
            </w:r>
          </w:p>
        </w:tc>
        <w:tc>
          <w:tcPr>
            <w:tcW w:w="2060" w:type="dxa"/>
            <w:vAlign w:val="bottom"/>
            <w:gridSpan w:val="2"/>
          </w:tcPr>
          <w:p>
            <w:pPr>
              <w:jc w:val="right"/>
              <w:ind w:right="540"/>
              <w:spacing w:after="0"/>
              <w:rPr>
                <w:sz w:val="20"/>
                <w:szCs w:val="20"/>
                <w:color w:val="auto"/>
              </w:rPr>
            </w:pPr>
            <w:r>
              <w:rPr>
                <w:rFonts w:ascii="Arial" w:cs="Arial" w:eastAsia="Arial" w:hAnsi="Arial"/>
                <w:sz w:val="17"/>
                <w:szCs w:val="17"/>
                <w:color w:val="auto"/>
              </w:rPr>
              <w:t>09/01/11</w:t>
            </w:r>
          </w:p>
        </w:tc>
        <w:tc>
          <w:tcPr>
            <w:tcW w:w="1660" w:type="dxa"/>
            <w:vAlign w:val="bottom"/>
            <w:gridSpan w:val="2"/>
          </w:tcPr>
          <w:p>
            <w:pPr>
              <w:jc w:val="right"/>
              <w:ind w:right="380"/>
              <w:spacing w:after="0"/>
              <w:rPr>
                <w:sz w:val="20"/>
                <w:szCs w:val="20"/>
                <w:color w:val="auto"/>
              </w:rPr>
            </w:pPr>
            <w:r>
              <w:rPr>
                <w:rFonts w:ascii="Arial" w:cs="Arial" w:eastAsia="Arial" w:hAnsi="Arial"/>
                <w:sz w:val="17"/>
                <w:szCs w:val="17"/>
                <w:color w:val="auto"/>
              </w:rPr>
              <w:t>7.40%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5,713</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shd w:val="clear" w:color="auto" w:fill="CCEEFF"/>
          </w:tcPr>
          <w:p>
            <w:pPr>
              <w:ind w:left="400"/>
              <w:spacing w:after="0"/>
              <w:rPr>
                <w:sz w:val="20"/>
                <w:szCs w:val="20"/>
                <w:color w:val="auto"/>
              </w:rPr>
            </w:pPr>
            <w:r>
              <w:rPr>
                <w:rFonts w:ascii="Arial" w:cs="Arial" w:eastAsia="Arial" w:hAnsi="Arial"/>
                <w:sz w:val="17"/>
                <w:szCs w:val="17"/>
                <w:color w:val="auto"/>
              </w:rPr>
              <w:t>Courtyard Shops</w:t>
            </w:r>
          </w:p>
        </w:tc>
        <w:tc>
          <w:tcPr>
            <w:tcW w:w="2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07/01/12</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6.87%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7,289</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tcPr>
          <w:p>
            <w:pPr>
              <w:ind w:left="400"/>
              <w:spacing w:after="0"/>
              <w:rPr>
                <w:sz w:val="20"/>
                <w:szCs w:val="20"/>
                <w:color w:val="auto"/>
              </w:rPr>
            </w:pPr>
            <w:r>
              <w:rPr>
                <w:rFonts w:ascii="Arial" w:cs="Arial" w:eastAsia="Arial" w:hAnsi="Arial"/>
                <w:sz w:val="17"/>
                <w:szCs w:val="17"/>
                <w:color w:val="auto"/>
              </w:rPr>
              <w:t>Bethesda Row</w:t>
            </w:r>
          </w:p>
        </w:tc>
        <w:tc>
          <w:tcPr>
            <w:tcW w:w="2060" w:type="dxa"/>
            <w:vAlign w:val="bottom"/>
            <w:gridSpan w:val="2"/>
          </w:tcPr>
          <w:p>
            <w:pPr>
              <w:jc w:val="right"/>
              <w:ind w:right="540"/>
              <w:spacing w:after="0"/>
              <w:rPr>
                <w:sz w:val="20"/>
                <w:szCs w:val="20"/>
                <w:color w:val="auto"/>
              </w:rPr>
            </w:pPr>
            <w:r>
              <w:rPr>
                <w:rFonts w:ascii="Arial" w:cs="Arial" w:eastAsia="Arial" w:hAnsi="Arial"/>
                <w:sz w:val="17"/>
                <w:szCs w:val="17"/>
                <w:color w:val="auto"/>
              </w:rPr>
              <w:t>01/01/13</w:t>
            </w:r>
          </w:p>
        </w:tc>
        <w:tc>
          <w:tcPr>
            <w:tcW w:w="1660" w:type="dxa"/>
            <w:vAlign w:val="bottom"/>
            <w:gridSpan w:val="2"/>
          </w:tcPr>
          <w:p>
            <w:pPr>
              <w:jc w:val="right"/>
              <w:ind w:right="380"/>
              <w:spacing w:after="0"/>
              <w:rPr>
                <w:sz w:val="20"/>
                <w:szCs w:val="20"/>
                <w:color w:val="auto"/>
              </w:rPr>
            </w:pPr>
            <w:r>
              <w:rPr>
                <w:rFonts w:ascii="Arial" w:cs="Arial" w:eastAsia="Arial" w:hAnsi="Arial"/>
                <w:sz w:val="17"/>
                <w:szCs w:val="17"/>
                <w:color w:val="auto"/>
              </w:rPr>
              <w:t>5.37%</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19,994</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shd w:val="clear" w:color="auto" w:fill="CCEEFF"/>
          </w:tcPr>
          <w:p>
            <w:pPr>
              <w:ind w:left="400"/>
              <w:spacing w:after="0"/>
              <w:rPr>
                <w:sz w:val="20"/>
                <w:szCs w:val="20"/>
                <w:color w:val="auto"/>
              </w:rPr>
            </w:pPr>
            <w:r>
              <w:rPr>
                <w:rFonts w:ascii="Arial" w:cs="Arial" w:eastAsia="Arial" w:hAnsi="Arial"/>
                <w:sz w:val="17"/>
                <w:szCs w:val="17"/>
                <w:color w:val="auto"/>
              </w:rPr>
              <w:t>Bethesda Row</w:t>
            </w:r>
          </w:p>
        </w:tc>
        <w:tc>
          <w:tcPr>
            <w:tcW w:w="2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02/01/13</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5.05%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4,163</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tcPr>
          <w:p>
            <w:pPr>
              <w:ind w:left="400"/>
              <w:spacing w:after="0"/>
              <w:rPr>
                <w:sz w:val="20"/>
                <w:szCs w:val="20"/>
                <w:color w:val="auto"/>
              </w:rPr>
            </w:pPr>
            <w:r>
              <w:rPr>
                <w:rFonts w:ascii="Arial" w:cs="Arial" w:eastAsia="Arial" w:hAnsi="Arial"/>
                <w:sz w:val="17"/>
                <w:szCs w:val="17"/>
                <w:color w:val="auto"/>
              </w:rPr>
              <w:t>White Marsh Plaza (b)</w:t>
            </w:r>
          </w:p>
        </w:tc>
        <w:tc>
          <w:tcPr>
            <w:tcW w:w="2060" w:type="dxa"/>
            <w:vAlign w:val="bottom"/>
            <w:gridSpan w:val="2"/>
          </w:tcPr>
          <w:p>
            <w:pPr>
              <w:jc w:val="right"/>
              <w:ind w:right="540"/>
              <w:spacing w:after="0"/>
              <w:rPr>
                <w:sz w:val="20"/>
                <w:szCs w:val="20"/>
                <w:color w:val="auto"/>
              </w:rPr>
            </w:pPr>
            <w:r>
              <w:rPr>
                <w:rFonts w:ascii="Arial" w:cs="Arial" w:eastAsia="Arial" w:hAnsi="Arial"/>
                <w:sz w:val="17"/>
                <w:szCs w:val="17"/>
                <w:color w:val="auto"/>
              </w:rPr>
              <w:t>04/01/13</w:t>
            </w:r>
          </w:p>
        </w:tc>
        <w:tc>
          <w:tcPr>
            <w:tcW w:w="1660" w:type="dxa"/>
            <w:vAlign w:val="bottom"/>
            <w:gridSpan w:val="2"/>
          </w:tcPr>
          <w:p>
            <w:pPr>
              <w:jc w:val="right"/>
              <w:ind w:right="380"/>
              <w:spacing w:after="0"/>
              <w:rPr>
                <w:sz w:val="20"/>
                <w:szCs w:val="20"/>
                <w:color w:val="auto"/>
              </w:rPr>
            </w:pPr>
            <w:r>
              <w:rPr>
                <w:rFonts w:ascii="Arial" w:cs="Arial" w:eastAsia="Arial" w:hAnsi="Arial"/>
                <w:sz w:val="17"/>
                <w:szCs w:val="17"/>
                <w:color w:val="auto"/>
              </w:rPr>
              <w:t>6.04%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9,580</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shd w:val="clear" w:color="auto" w:fill="CCEEFF"/>
          </w:tcPr>
          <w:p>
            <w:pPr>
              <w:ind w:left="400"/>
              <w:spacing w:after="0"/>
              <w:rPr>
                <w:sz w:val="20"/>
                <w:szCs w:val="20"/>
                <w:color w:val="auto"/>
              </w:rPr>
            </w:pPr>
            <w:r>
              <w:rPr>
                <w:rFonts w:ascii="Arial" w:cs="Arial" w:eastAsia="Arial" w:hAnsi="Arial"/>
                <w:sz w:val="17"/>
                <w:szCs w:val="17"/>
                <w:color w:val="auto"/>
              </w:rPr>
              <w:t>Crow Canyon</w:t>
            </w:r>
          </w:p>
        </w:tc>
        <w:tc>
          <w:tcPr>
            <w:tcW w:w="2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08/11/13</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5.40%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20,395</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tcPr>
          <w:p>
            <w:pPr>
              <w:ind w:left="400"/>
              <w:spacing w:after="0"/>
              <w:rPr>
                <w:sz w:val="20"/>
                <w:szCs w:val="20"/>
                <w:color w:val="auto"/>
              </w:rPr>
            </w:pPr>
            <w:r>
              <w:rPr>
                <w:rFonts w:ascii="Arial" w:cs="Arial" w:eastAsia="Arial" w:hAnsi="Arial"/>
                <w:sz w:val="17"/>
                <w:szCs w:val="17"/>
                <w:color w:val="auto"/>
              </w:rPr>
              <w:t>Idylwood Plaza</w:t>
            </w:r>
          </w:p>
        </w:tc>
        <w:tc>
          <w:tcPr>
            <w:tcW w:w="2060" w:type="dxa"/>
            <w:vAlign w:val="bottom"/>
            <w:gridSpan w:val="2"/>
          </w:tcPr>
          <w:p>
            <w:pPr>
              <w:jc w:val="right"/>
              <w:ind w:right="540"/>
              <w:spacing w:after="0"/>
              <w:rPr>
                <w:sz w:val="20"/>
                <w:szCs w:val="20"/>
                <w:color w:val="auto"/>
              </w:rPr>
            </w:pPr>
            <w:r>
              <w:rPr>
                <w:rFonts w:ascii="Arial" w:cs="Arial" w:eastAsia="Arial" w:hAnsi="Arial"/>
                <w:sz w:val="17"/>
                <w:szCs w:val="17"/>
                <w:color w:val="auto"/>
              </w:rPr>
              <w:t>06/05/14</w:t>
            </w:r>
          </w:p>
        </w:tc>
        <w:tc>
          <w:tcPr>
            <w:tcW w:w="1660" w:type="dxa"/>
            <w:vAlign w:val="bottom"/>
            <w:gridSpan w:val="2"/>
          </w:tcPr>
          <w:p>
            <w:pPr>
              <w:jc w:val="right"/>
              <w:ind w:right="380"/>
              <w:spacing w:after="0"/>
              <w:rPr>
                <w:sz w:val="20"/>
                <w:szCs w:val="20"/>
                <w:color w:val="auto"/>
              </w:rPr>
            </w:pPr>
            <w:r>
              <w:rPr>
                <w:rFonts w:ascii="Arial" w:cs="Arial" w:eastAsia="Arial" w:hAnsi="Arial"/>
                <w:sz w:val="17"/>
                <w:szCs w:val="17"/>
                <w:color w:val="auto"/>
              </w:rPr>
              <w:t>7.50%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16,544</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shd w:val="clear" w:color="auto" w:fill="CCEEFF"/>
          </w:tcPr>
          <w:p>
            <w:pPr>
              <w:ind w:left="400"/>
              <w:spacing w:after="0"/>
              <w:rPr>
                <w:sz w:val="20"/>
                <w:szCs w:val="20"/>
                <w:color w:val="auto"/>
              </w:rPr>
            </w:pPr>
            <w:r>
              <w:rPr>
                <w:rFonts w:ascii="Arial" w:cs="Arial" w:eastAsia="Arial" w:hAnsi="Arial"/>
                <w:sz w:val="17"/>
                <w:szCs w:val="17"/>
                <w:color w:val="auto"/>
              </w:rPr>
              <w:t>Leesburg Plaza</w:t>
            </w:r>
          </w:p>
        </w:tc>
        <w:tc>
          <w:tcPr>
            <w:tcW w:w="2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06/05/14</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7.50%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28,786</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tcPr>
          <w:p>
            <w:pPr>
              <w:ind w:left="400"/>
              <w:spacing w:after="0"/>
              <w:rPr>
                <w:sz w:val="20"/>
                <w:szCs w:val="20"/>
                <w:color w:val="auto"/>
              </w:rPr>
            </w:pPr>
            <w:r>
              <w:rPr>
                <w:rFonts w:ascii="Arial" w:cs="Arial" w:eastAsia="Arial" w:hAnsi="Arial"/>
                <w:sz w:val="17"/>
                <w:szCs w:val="17"/>
                <w:color w:val="auto"/>
              </w:rPr>
              <w:t>Loehmann’s Plaza</w:t>
            </w:r>
          </w:p>
        </w:tc>
        <w:tc>
          <w:tcPr>
            <w:tcW w:w="2060" w:type="dxa"/>
            <w:vAlign w:val="bottom"/>
            <w:gridSpan w:val="2"/>
          </w:tcPr>
          <w:p>
            <w:pPr>
              <w:jc w:val="right"/>
              <w:ind w:right="540"/>
              <w:spacing w:after="0"/>
              <w:rPr>
                <w:sz w:val="20"/>
                <w:szCs w:val="20"/>
                <w:color w:val="auto"/>
              </w:rPr>
            </w:pPr>
            <w:r>
              <w:rPr>
                <w:rFonts w:ascii="Arial" w:cs="Arial" w:eastAsia="Arial" w:hAnsi="Arial"/>
                <w:sz w:val="17"/>
                <w:szCs w:val="17"/>
                <w:color w:val="auto"/>
              </w:rPr>
              <w:t>06/05/14</w:t>
            </w:r>
          </w:p>
        </w:tc>
        <w:tc>
          <w:tcPr>
            <w:tcW w:w="1660" w:type="dxa"/>
            <w:vAlign w:val="bottom"/>
            <w:gridSpan w:val="2"/>
          </w:tcPr>
          <w:p>
            <w:pPr>
              <w:jc w:val="right"/>
              <w:ind w:right="380"/>
              <w:spacing w:after="0"/>
              <w:rPr>
                <w:sz w:val="20"/>
                <w:szCs w:val="20"/>
                <w:color w:val="auto"/>
              </w:rPr>
            </w:pPr>
            <w:r>
              <w:rPr>
                <w:rFonts w:ascii="Arial" w:cs="Arial" w:eastAsia="Arial" w:hAnsi="Arial"/>
                <w:sz w:val="17"/>
                <w:szCs w:val="17"/>
                <w:color w:val="auto"/>
              </w:rPr>
              <w:t>7.50%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37,224</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shd w:val="clear" w:color="auto" w:fill="CCEEFF"/>
          </w:tcPr>
          <w:p>
            <w:pPr>
              <w:ind w:left="400"/>
              <w:spacing w:after="0"/>
              <w:rPr>
                <w:sz w:val="20"/>
                <w:szCs w:val="20"/>
                <w:color w:val="auto"/>
              </w:rPr>
            </w:pPr>
            <w:r>
              <w:rPr>
                <w:rFonts w:ascii="Arial" w:cs="Arial" w:eastAsia="Arial" w:hAnsi="Arial"/>
                <w:sz w:val="17"/>
                <w:szCs w:val="17"/>
                <w:color w:val="auto"/>
              </w:rPr>
              <w:t>Pentagon Row</w:t>
            </w:r>
          </w:p>
        </w:tc>
        <w:tc>
          <w:tcPr>
            <w:tcW w:w="2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06/05/14</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7.50%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53,437</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tcPr>
          <w:p>
            <w:pPr>
              <w:ind w:left="400"/>
              <w:spacing w:after="0"/>
              <w:rPr>
                <w:sz w:val="20"/>
                <w:szCs w:val="20"/>
                <w:color w:val="auto"/>
              </w:rPr>
            </w:pPr>
            <w:r>
              <w:rPr>
                <w:rFonts w:ascii="Arial" w:cs="Arial" w:eastAsia="Arial" w:hAnsi="Arial"/>
                <w:sz w:val="17"/>
                <w:szCs w:val="17"/>
                <w:color w:val="auto"/>
              </w:rPr>
              <w:t>Melville Mall (c)</w:t>
            </w:r>
          </w:p>
        </w:tc>
        <w:tc>
          <w:tcPr>
            <w:tcW w:w="2060" w:type="dxa"/>
            <w:vAlign w:val="bottom"/>
            <w:gridSpan w:val="2"/>
          </w:tcPr>
          <w:p>
            <w:pPr>
              <w:jc w:val="right"/>
              <w:ind w:right="540"/>
              <w:spacing w:after="0"/>
              <w:rPr>
                <w:sz w:val="20"/>
                <w:szCs w:val="20"/>
                <w:color w:val="auto"/>
              </w:rPr>
            </w:pPr>
            <w:r>
              <w:rPr>
                <w:rFonts w:ascii="Arial" w:cs="Arial" w:eastAsia="Arial" w:hAnsi="Arial"/>
                <w:sz w:val="17"/>
                <w:szCs w:val="17"/>
                <w:color w:val="auto"/>
              </w:rPr>
              <w:t>09/01/14</w:t>
            </w:r>
          </w:p>
        </w:tc>
        <w:tc>
          <w:tcPr>
            <w:tcW w:w="1660" w:type="dxa"/>
            <w:vAlign w:val="bottom"/>
            <w:gridSpan w:val="2"/>
          </w:tcPr>
          <w:p>
            <w:pPr>
              <w:jc w:val="right"/>
              <w:ind w:right="380"/>
              <w:spacing w:after="0"/>
              <w:rPr>
                <w:sz w:val="20"/>
                <w:szCs w:val="20"/>
                <w:color w:val="auto"/>
              </w:rPr>
            </w:pPr>
            <w:r>
              <w:rPr>
                <w:rFonts w:ascii="Arial" w:cs="Arial" w:eastAsia="Arial" w:hAnsi="Arial"/>
                <w:sz w:val="17"/>
                <w:szCs w:val="17"/>
                <w:color w:val="auto"/>
              </w:rPr>
              <w:t>5.25%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23,073</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shd w:val="clear" w:color="auto" w:fill="CCEEFF"/>
          </w:tcPr>
          <w:p>
            <w:pPr>
              <w:ind w:left="400"/>
              <w:spacing w:after="0"/>
              <w:rPr>
                <w:sz w:val="20"/>
                <w:szCs w:val="20"/>
                <w:color w:val="auto"/>
              </w:rPr>
            </w:pPr>
            <w:r>
              <w:rPr>
                <w:rFonts w:ascii="Arial" w:cs="Arial" w:eastAsia="Arial" w:hAnsi="Arial"/>
                <w:sz w:val="17"/>
                <w:szCs w:val="17"/>
                <w:color w:val="auto"/>
              </w:rPr>
              <w:t>THE AVENUE at White Marsh</w:t>
            </w:r>
          </w:p>
        </w:tc>
        <w:tc>
          <w:tcPr>
            <w:tcW w:w="2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01/01/15</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5.46%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57,803</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tcPr>
          <w:p>
            <w:pPr>
              <w:ind w:left="400"/>
              <w:spacing w:after="0"/>
              <w:rPr>
                <w:sz w:val="20"/>
                <w:szCs w:val="20"/>
                <w:color w:val="auto"/>
              </w:rPr>
            </w:pPr>
            <w:r>
              <w:rPr>
                <w:rFonts w:ascii="Arial" w:cs="Arial" w:eastAsia="Arial" w:hAnsi="Arial"/>
                <w:sz w:val="17"/>
                <w:szCs w:val="17"/>
                <w:color w:val="auto"/>
              </w:rPr>
              <w:t>Barracks Road</w:t>
            </w:r>
          </w:p>
        </w:tc>
        <w:tc>
          <w:tcPr>
            <w:tcW w:w="2060" w:type="dxa"/>
            <w:vAlign w:val="bottom"/>
            <w:gridSpan w:val="2"/>
          </w:tcPr>
          <w:p>
            <w:pPr>
              <w:jc w:val="right"/>
              <w:ind w:right="540"/>
              <w:spacing w:after="0"/>
              <w:rPr>
                <w:sz w:val="20"/>
                <w:szCs w:val="20"/>
                <w:color w:val="auto"/>
              </w:rPr>
            </w:pPr>
            <w:r>
              <w:rPr>
                <w:rFonts w:ascii="Arial" w:cs="Arial" w:eastAsia="Arial" w:hAnsi="Arial"/>
                <w:sz w:val="17"/>
                <w:szCs w:val="17"/>
                <w:color w:val="auto"/>
              </w:rPr>
              <w:t>11/01/15</w:t>
            </w:r>
          </w:p>
        </w:tc>
        <w:tc>
          <w:tcPr>
            <w:tcW w:w="1660" w:type="dxa"/>
            <w:vAlign w:val="bottom"/>
            <w:gridSpan w:val="2"/>
          </w:tcPr>
          <w:p>
            <w:pPr>
              <w:jc w:val="right"/>
              <w:ind w:right="380"/>
              <w:spacing w:after="0"/>
              <w:rPr>
                <w:sz w:val="20"/>
                <w:szCs w:val="20"/>
                <w:color w:val="auto"/>
              </w:rPr>
            </w:pPr>
            <w:r>
              <w:rPr>
                <w:rFonts w:ascii="Arial" w:cs="Arial" w:eastAsia="Arial" w:hAnsi="Arial"/>
                <w:sz w:val="17"/>
                <w:szCs w:val="17"/>
                <w:color w:val="auto"/>
              </w:rPr>
              <w:t>7.95%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39,850</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shd w:val="clear" w:color="auto" w:fill="CCEEFF"/>
          </w:tcPr>
          <w:p>
            <w:pPr>
              <w:ind w:left="400"/>
              <w:spacing w:after="0"/>
              <w:rPr>
                <w:sz w:val="20"/>
                <w:szCs w:val="20"/>
                <w:color w:val="auto"/>
              </w:rPr>
            </w:pPr>
            <w:r>
              <w:rPr>
                <w:rFonts w:ascii="Arial" w:cs="Arial" w:eastAsia="Arial" w:hAnsi="Arial"/>
                <w:sz w:val="17"/>
                <w:szCs w:val="17"/>
                <w:color w:val="auto"/>
              </w:rPr>
              <w:t>Hauppauge</w:t>
            </w:r>
          </w:p>
        </w:tc>
        <w:tc>
          <w:tcPr>
            <w:tcW w:w="2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11/01/15</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7.95%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15,022</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tcPr>
          <w:p>
            <w:pPr>
              <w:ind w:left="400"/>
              <w:spacing w:after="0"/>
              <w:rPr>
                <w:sz w:val="20"/>
                <w:szCs w:val="20"/>
                <w:color w:val="auto"/>
              </w:rPr>
            </w:pPr>
            <w:r>
              <w:rPr>
                <w:rFonts w:ascii="Arial" w:cs="Arial" w:eastAsia="Arial" w:hAnsi="Arial"/>
                <w:sz w:val="17"/>
                <w:szCs w:val="17"/>
                <w:color w:val="auto"/>
              </w:rPr>
              <w:t>Lawrence Park</w:t>
            </w:r>
          </w:p>
        </w:tc>
        <w:tc>
          <w:tcPr>
            <w:tcW w:w="2060" w:type="dxa"/>
            <w:vAlign w:val="bottom"/>
            <w:gridSpan w:val="2"/>
          </w:tcPr>
          <w:p>
            <w:pPr>
              <w:jc w:val="right"/>
              <w:ind w:right="540"/>
              <w:spacing w:after="0"/>
              <w:rPr>
                <w:sz w:val="20"/>
                <w:szCs w:val="20"/>
                <w:color w:val="auto"/>
              </w:rPr>
            </w:pPr>
            <w:r>
              <w:rPr>
                <w:rFonts w:ascii="Arial" w:cs="Arial" w:eastAsia="Arial" w:hAnsi="Arial"/>
                <w:sz w:val="17"/>
                <w:szCs w:val="17"/>
                <w:color w:val="auto"/>
              </w:rPr>
              <w:t>11/01/15</w:t>
            </w:r>
          </w:p>
        </w:tc>
        <w:tc>
          <w:tcPr>
            <w:tcW w:w="1660" w:type="dxa"/>
            <w:vAlign w:val="bottom"/>
            <w:gridSpan w:val="2"/>
          </w:tcPr>
          <w:p>
            <w:pPr>
              <w:jc w:val="right"/>
              <w:ind w:right="380"/>
              <w:spacing w:after="0"/>
              <w:rPr>
                <w:sz w:val="20"/>
                <w:szCs w:val="20"/>
                <w:color w:val="auto"/>
              </w:rPr>
            </w:pPr>
            <w:r>
              <w:rPr>
                <w:rFonts w:ascii="Arial" w:cs="Arial" w:eastAsia="Arial" w:hAnsi="Arial"/>
                <w:sz w:val="17"/>
                <w:szCs w:val="17"/>
                <w:color w:val="auto"/>
              </w:rPr>
              <w:t>7.95%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28,246</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shd w:val="clear" w:color="auto" w:fill="CCEEFF"/>
          </w:tcPr>
          <w:p>
            <w:pPr>
              <w:ind w:left="400"/>
              <w:spacing w:after="0"/>
              <w:rPr>
                <w:sz w:val="20"/>
                <w:szCs w:val="20"/>
                <w:color w:val="auto"/>
              </w:rPr>
            </w:pPr>
            <w:r>
              <w:rPr>
                <w:rFonts w:ascii="Arial" w:cs="Arial" w:eastAsia="Arial" w:hAnsi="Arial"/>
                <w:sz w:val="17"/>
                <w:szCs w:val="17"/>
                <w:color w:val="auto"/>
              </w:rPr>
              <w:t>Wildwood</w:t>
            </w:r>
          </w:p>
        </w:tc>
        <w:tc>
          <w:tcPr>
            <w:tcW w:w="2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11/01/15</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7.95%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24,827</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tcPr>
          <w:p>
            <w:pPr>
              <w:ind w:left="400"/>
              <w:spacing w:after="0"/>
              <w:rPr>
                <w:sz w:val="20"/>
                <w:szCs w:val="20"/>
                <w:color w:val="auto"/>
              </w:rPr>
            </w:pPr>
            <w:r>
              <w:rPr>
                <w:rFonts w:ascii="Arial" w:cs="Arial" w:eastAsia="Arial" w:hAnsi="Arial"/>
                <w:sz w:val="17"/>
                <w:szCs w:val="17"/>
                <w:color w:val="auto"/>
              </w:rPr>
              <w:t>Wynnewood</w:t>
            </w:r>
          </w:p>
        </w:tc>
        <w:tc>
          <w:tcPr>
            <w:tcW w:w="2060" w:type="dxa"/>
            <w:vAlign w:val="bottom"/>
            <w:gridSpan w:val="2"/>
          </w:tcPr>
          <w:p>
            <w:pPr>
              <w:jc w:val="right"/>
              <w:ind w:right="540"/>
              <w:spacing w:after="0"/>
              <w:rPr>
                <w:sz w:val="20"/>
                <w:szCs w:val="20"/>
                <w:color w:val="auto"/>
              </w:rPr>
            </w:pPr>
            <w:r>
              <w:rPr>
                <w:rFonts w:ascii="Arial" w:cs="Arial" w:eastAsia="Arial" w:hAnsi="Arial"/>
                <w:sz w:val="17"/>
                <w:szCs w:val="17"/>
                <w:color w:val="auto"/>
              </w:rPr>
              <w:t>11/01/15</w:t>
            </w:r>
          </w:p>
        </w:tc>
        <w:tc>
          <w:tcPr>
            <w:tcW w:w="1660" w:type="dxa"/>
            <w:vAlign w:val="bottom"/>
            <w:gridSpan w:val="2"/>
          </w:tcPr>
          <w:p>
            <w:pPr>
              <w:jc w:val="right"/>
              <w:ind w:right="380"/>
              <w:spacing w:after="0"/>
              <w:rPr>
                <w:sz w:val="20"/>
                <w:szCs w:val="20"/>
                <w:color w:val="auto"/>
              </w:rPr>
            </w:pPr>
            <w:r>
              <w:rPr>
                <w:rFonts w:ascii="Arial" w:cs="Arial" w:eastAsia="Arial" w:hAnsi="Arial"/>
                <w:sz w:val="17"/>
                <w:szCs w:val="17"/>
                <w:color w:val="auto"/>
              </w:rPr>
              <w:t>7.95%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28,785</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shd w:val="clear" w:color="auto" w:fill="CCEEFF"/>
          </w:tcPr>
          <w:p>
            <w:pPr>
              <w:ind w:left="400"/>
              <w:spacing w:after="0"/>
              <w:rPr>
                <w:sz w:val="20"/>
                <w:szCs w:val="20"/>
                <w:color w:val="auto"/>
              </w:rPr>
            </w:pPr>
            <w:r>
              <w:rPr>
                <w:rFonts w:ascii="Arial" w:cs="Arial" w:eastAsia="Arial" w:hAnsi="Arial"/>
                <w:sz w:val="17"/>
                <w:szCs w:val="17"/>
                <w:color w:val="auto"/>
              </w:rPr>
              <w:t>Brick Plaza</w:t>
            </w:r>
          </w:p>
        </w:tc>
        <w:tc>
          <w:tcPr>
            <w:tcW w:w="2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11/01/15</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7.42%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29,429</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tcPr>
          <w:p>
            <w:pPr>
              <w:ind w:left="400"/>
              <w:spacing w:after="0"/>
              <w:rPr>
                <w:sz w:val="20"/>
                <w:szCs w:val="20"/>
                <w:color w:val="auto"/>
              </w:rPr>
            </w:pPr>
            <w:r>
              <w:rPr>
                <w:rFonts w:ascii="Arial" w:cs="Arial" w:eastAsia="Arial" w:hAnsi="Arial"/>
                <w:sz w:val="17"/>
                <w:szCs w:val="17"/>
                <w:color w:val="auto"/>
              </w:rPr>
              <w:t>Rollingwood Apartments</w:t>
            </w:r>
          </w:p>
        </w:tc>
        <w:tc>
          <w:tcPr>
            <w:tcW w:w="2060" w:type="dxa"/>
            <w:vAlign w:val="bottom"/>
            <w:gridSpan w:val="2"/>
          </w:tcPr>
          <w:p>
            <w:pPr>
              <w:jc w:val="right"/>
              <w:ind w:right="540"/>
              <w:spacing w:after="0"/>
              <w:rPr>
                <w:sz w:val="20"/>
                <w:szCs w:val="20"/>
                <w:color w:val="auto"/>
              </w:rPr>
            </w:pPr>
            <w:r>
              <w:rPr>
                <w:rFonts w:ascii="Arial" w:cs="Arial" w:eastAsia="Arial" w:hAnsi="Arial"/>
                <w:sz w:val="17"/>
                <w:szCs w:val="17"/>
                <w:color w:val="auto"/>
              </w:rPr>
              <w:t>05/01/19</w:t>
            </w:r>
          </w:p>
        </w:tc>
        <w:tc>
          <w:tcPr>
            <w:tcW w:w="1660" w:type="dxa"/>
            <w:vAlign w:val="bottom"/>
            <w:gridSpan w:val="2"/>
          </w:tcPr>
          <w:p>
            <w:pPr>
              <w:jc w:val="right"/>
              <w:ind w:right="380"/>
              <w:spacing w:after="0"/>
              <w:rPr>
                <w:sz w:val="20"/>
                <w:szCs w:val="20"/>
                <w:color w:val="auto"/>
              </w:rPr>
            </w:pPr>
            <w:r>
              <w:rPr>
                <w:rFonts w:ascii="Arial" w:cs="Arial" w:eastAsia="Arial" w:hAnsi="Arial"/>
                <w:sz w:val="17"/>
                <w:szCs w:val="17"/>
                <w:color w:val="auto"/>
              </w:rPr>
              <w:t>5.54%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23,567</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shd w:val="clear" w:color="auto" w:fill="CCEEFF"/>
          </w:tcPr>
          <w:p>
            <w:pPr>
              <w:ind w:left="400"/>
              <w:spacing w:after="0"/>
              <w:rPr>
                <w:sz w:val="20"/>
                <w:szCs w:val="20"/>
                <w:color w:val="auto"/>
              </w:rPr>
            </w:pPr>
            <w:r>
              <w:rPr>
                <w:rFonts w:ascii="Arial" w:cs="Arial" w:eastAsia="Arial" w:hAnsi="Arial"/>
                <w:sz w:val="17"/>
                <w:szCs w:val="17"/>
                <w:color w:val="auto"/>
              </w:rPr>
              <w:t>Shoppers’ World</w:t>
            </w:r>
          </w:p>
        </w:tc>
        <w:tc>
          <w:tcPr>
            <w:tcW w:w="2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01/31/21</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5.91%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5,593</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tcPr>
          <w:p>
            <w:pPr>
              <w:ind w:left="400"/>
              <w:spacing w:after="0"/>
              <w:rPr>
                <w:sz w:val="20"/>
                <w:szCs w:val="20"/>
                <w:color w:val="auto"/>
              </w:rPr>
            </w:pPr>
            <w:r>
              <w:rPr>
                <w:rFonts w:ascii="Arial" w:cs="Arial" w:eastAsia="Arial" w:hAnsi="Arial"/>
                <w:sz w:val="17"/>
                <w:szCs w:val="17"/>
                <w:color w:val="auto"/>
              </w:rPr>
              <w:t>Mount Vernon (d)</w:t>
            </w:r>
          </w:p>
        </w:tc>
        <w:tc>
          <w:tcPr>
            <w:tcW w:w="2060" w:type="dxa"/>
            <w:vAlign w:val="bottom"/>
            <w:gridSpan w:val="2"/>
          </w:tcPr>
          <w:p>
            <w:pPr>
              <w:jc w:val="right"/>
              <w:ind w:right="540"/>
              <w:spacing w:after="0"/>
              <w:rPr>
                <w:sz w:val="20"/>
                <w:szCs w:val="20"/>
                <w:color w:val="auto"/>
              </w:rPr>
            </w:pPr>
            <w:r>
              <w:rPr>
                <w:rFonts w:ascii="Arial" w:cs="Arial" w:eastAsia="Arial" w:hAnsi="Arial"/>
                <w:sz w:val="17"/>
                <w:szCs w:val="17"/>
                <w:color w:val="auto"/>
              </w:rPr>
              <w:t>04/15/28</w:t>
            </w:r>
          </w:p>
        </w:tc>
        <w:tc>
          <w:tcPr>
            <w:tcW w:w="1660" w:type="dxa"/>
            <w:vAlign w:val="bottom"/>
            <w:gridSpan w:val="2"/>
          </w:tcPr>
          <w:p>
            <w:pPr>
              <w:jc w:val="right"/>
              <w:ind w:right="380"/>
              <w:spacing w:after="0"/>
              <w:rPr>
                <w:sz w:val="20"/>
                <w:szCs w:val="20"/>
                <w:color w:val="auto"/>
              </w:rPr>
            </w:pPr>
            <w:r>
              <w:rPr>
                <w:rFonts w:ascii="Arial" w:cs="Arial" w:eastAsia="Arial" w:hAnsi="Arial"/>
                <w:sz w:val="17"/>
                <w:szCs w:val="17"/>
                <w:color w:val="auto"/>
              </w:rPr>
              <w:t>5.66%</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10,937</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shd w:val="clear" w:color="auto" w:fill="CCEEFF"/>
          </w:tcPr>
          <w:p>
            <w:pPr>
              <w:ind w:left="400"/>
              <w:spacing w:after="0"/>
              <w:rPr>
                <w:sz w:val="20"/>
                <w:szCs w:val="20"/>
                <w:color w:val="auto"/>
              </w:rPr>
            </w:pPr>
            <w:r>
              <w:rPr>
                <w:rFonts w:ascii="Arial" w:cs="Arial" w:eastAsia="Arial" w:hAnsi="Arial"/>
                <w:sz w:val="17"/>
                <w:szCs w:val="17"/>
                <w:color w:val="auto"/>
              </w:rPr>
              <w:t>Chelsea</w:t>
            </w:r>
          </w:p>
        </w:tc>
        <w:tc>
          <w:tcPr>
            <w:tcW w:w="2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01/15/31</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5.36%</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7,795</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20" w:type="dxa"/>
            <w:vAlign w:val="bottom"/>
            <w:gridSpan w:val="5"/>
          </w:tcPr>
          <w:p>
            <w:pPr>
              <w:ind w:left="820"/>
              <w:spacing w:after="0"/>
              <w:rPr>
                <w:sz w:val="20"/>
                <w:szCs w:val="20"/>
                <w:color w:val="auto"/>
              </w:rPr>
            </w:pPr>
            <w:r>
              <w:rPr>
                <w:rFonts w:ascii="Arial" w:cs="Arial" w:eastAsia="Arial" w:hAnsi="Arial"/>
                <w:sz w:val="17"/>
                <w:szCs w:val="17"/>
                <w:color w:val="auto"/>
              </w:rPr>
              <w:t>Subtotal</w:t>
            </w:r>
          </w:p>
        </w:tc>
        <w:tc>
          <w:tcPr>
            <w:tcW w:w="1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529,953</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gridSpan w:val="5"/>
            <w:shd w:val="clear" w:color="auto" w:fill="CCEEFF"/>
          </w:tcPr>
          <w:p>
            <w:pPr>
              <w:ind w:left="400"/>
              <w:spacing w:after="0"/>
              <w:rPr>
                <w:sz w:val="20"/>
                <w:szCs w:val="20"/>
                <w:color w:val="auto"/>
              </w:rPr>
            </w:pPr>
            <w:r>
              <w:rPr>
                <w:rFonts w:ascii="Arial" w:cs="Arial" w:eastAsia="Arial" w:hAnsi="Arial"/>
                <w:sz w:val="17"/>
                <w:szCs w:val="17"/>
                <w:color w:val="auto"/>
              </w:rPr>
              <w:t>Net unamortized discount</w:t>
            </w:r>
          </w:p>
        </w:tc>
        <w:tc>
          <w:tcPr>
            <w:tcW w:w="1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(452)</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gridSpan w:val="5"/>
          </w:tcPr>
          <w:p>
            <w:pPr>
              <w:ind w:left="820"/>
              <w:spacing w:after="0"/>
              <w:rPr>
                <w:sz w:val="20"/>
                <w:szCs w:val="20"/>
                <w:color w:val="auto"/>
              </w:rPr>
            </w:pPr>
            <w:r>
              <w:rPr>
                <w:rFonts w:ascii="Arial" w:cs="Arial" w:eastAsia="Arial" w:hAnsi="Arial"/>
                <w:sz w:val="17"/>
                <w:szCs w:val="17"/>
                <w:color w:val="auto"/>
              </w:rPr>
              <w:t>Total mortgages payable</w:t>
            </w:r>
          </w:p>
        </w:tc>
        <w:tc>
          <w:tcPr>
            <w:tcW w:w="1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529,501</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7"/>
                <w:szCs w:val="17"/>
                <w:color w:val="auto"/>
              </w:rPr>
              <w:t>6.98%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60" w:type="dxa"/>
            <w:vAlign w:val="bottom"/>
            <w:tcBorders>
              <w:bottom w:val="single" w:sz="8" w:color="auto"/>
            </w:tcBorders>
            <w:shd w:val="clear" w:color="auto" w:fill="CCEEFF"/>
          </w:tcPr>
          <w:p>
            <w:pPr>
              <w:spacing w:after="0" w:line="171" w:lineRule="exact"/>
              <w:rPr>
                <w:sz w:val="20"/>
                <w:szCs w:val="20"/>
                <w:color w:val="auto"/>
              </w:rPr>
            </w:pPr>
            <w:r>
              <w:rPr>
                <w:rFonts w:ascii="Arial" w:cs="Arial" w:eastAsia="Arial" w:hAnsi="Arial"/>
                <w:sz w:val="17"/>
                <w:szCs w:val="17"/>
                <w:color w:val="auto"/>
                <w:w w:val="86"/>
              </w:rPr>
              <w:t>Notes payable</w:t>
            </w:r>
          </w:p>
        </w:tc>
        <w:tc>
          <w:tcPr>
            <w:tcW w:w="2560" w:type="dxa"/>
            <w:vAlign w:val="bottom"/>
            <w:tcBorders>
              <w:bottom w:val="single" w:sz="8" w:color="CCEEFF"/>
            </w:tcBorders>
            <w:gridSpan w:val="4"/>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tcPr>
          <w:p>
            <w:pPr>
              <w:ind w:left="400"/>
              <w:spacing w:after="0"/>
              <w:rPr>
                <w:sz w:val="20"/>
                <w:szCs w:val="20"/>
                <w:color w:val="auto"/>
              </w:rPr>
            </w:pPr>
            <w:r>
              <w:rPr>
                <w:rFonts w:ascii="Arial" w:cs="Arial" w:eastAsia="Arial" w:hAnsi="Arial"/>
                <w:sz w:val="17"/>
                <w:szCs w:val="17"/>
                <w:i w:val="1"/>
                <w:iCs w:val="1"/>
                <w:color w:val="auto"/>
              </w:rPr>
              <w:t>Unsecured fixed rate</w:t>
            </w:r>
          </w:p>
        </w:tc>
        <w:tc>
          <w:tcPr>
            <w:tcW w:w="1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shd w:val="clear" w:color="auto" w:fill="CCEEFF"/>
          </w:tcPr>
          <w:p>
            <w:pPr>
              <w:ind w:left="400"/>
              <w:spacing w:after="0"/>
              <w:rPr>
                <w:sz w:val="20"/>
                <w:szCs w:val="20"/>
                <w:color w:val="auto"/>
              </w:rPr>
            </w:pPr>
            <w:r>
              <w:rPr>
                <w:rFonts w:ascii="Arial" w:cs="Arial" w:eastAsia="Arial" w:hAnsi="Arial"/>
                <w:sz w:val="17"/>
                <w:szCs w:val="17"/>
                <w:color w:val="auto"/>
              </w:rPr>
              <w:t>Various (e)</w:t>
            </w:r>
          </w:p>
        </w:tc>
        <w:tc>
          <w:tcPr>
            <w:tcW w:w="2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w w:val="92"/>
              </w:rPr>
              <w:t>Various through 2013</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3.57%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11,481</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tcPr>
          <w:p>
            <w:pPr>
              <w:ind w:left="400"/>
              <w:spacing w:after="0"/>
              <w:rPr>
                <w:sz w:val="20"/>
                <w:szCs w:val="20"/>
                <w:color w:val="auto"/>
              </w:rPr>
            </w:pPr>
            <w:r>
              <w:rPr>
                <w:rFonts w:ascii="Arial" w:cs="Arial" w:eastAsia="Arial" w:hAnsi="Arial"/>
                <w:sz w:val="17"/>
                <w:szCs w:val="17"/>
                <w:i w:val="1"/>
                <w:iCs w:val="1"/>
                <w:color w:val="auto"/>
              </w:rPr>
              <w:t>Unsecured variable rate</w:t>
            </w:r>
          </w:p>
        </w:tc>
        <w:tc>
          <w:tcPr>
            <w:tcW w:w="1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shd w:val="clear" w:color="auto" w:fill="CCEEFF"/>
          </w:tcPr>
          <w:p>
            <w:pPr>
              <w:ind w:left="400"/>
              <w:spacing w:after="0"/>
              <w:rPr>
                <w:sz w:val="20"/>
                <w:szCs w:val="20"/>
                <w:color w:val="auto"/>
              </w:rPr>
            </w:pPr>
            <w:r>
              <w:rPr>
                <w:rFonts w:ascii="Arial" w:cs="Arial" w:eastAsia="Arial" w:hAnsi="Arial"/>
                <w:sz w:val="17"/>
                <w:szCs w:val="17"/>
                <w:color w:val="auto"/>
              </w:rPr>
              <w:t>Revolving credit facility (f)</w:t>
            </w:r>
          </w:p>
        </w:tc>
        <w:tc>
          <w:tcPr>
            <w:tcW w:w="2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07/27/11</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8"/>
              </w:rPr>
              <w:t>LIBOR + 0.425%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77,000</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5"/>
          </w:tcPr>
          <w:p>
            <w:pPr>
              <w:ind w:left="400"/>
              <w:spacing w:after="0"/>
              <w:rPr>
                <w:sz w:val="20"/>
                <w:szCs w:val="20"/>
                <w:color w:val="auto"/>
              </w:rPr>
            </w:pPr>
            <w:r>
              <w:rPr>
                <w:rFonts w:ascii="Arial" w:cs="Arial" w:eastAsia="Arial" w:hAnsi="Arial"/>
                <w:sz w:val="17"/>
                <w:szCs w:val="17"/>
                <w:color w:val="auto"/>
              </w:rPr>
              <w:t>Escondido (Municipal bonds) (g)</w:t>
            </w:r>
          </w:p>
        </w:tc>
        <w:tc>
          <w:tcPr>
            <w:tcW w:w="2060" w:type="dxa"/>
            <w:vAlign w:val="bottom"/>
            <w:gridSpan w:val="2"/>
          </w:tcPr>
          <w:p>
            <w:pPr>
              <w:jc w:val="right"/>
              <w:ind w:right="540"/>
              <w:spacing w:after="0"/>
              <w:rPr>
                <w:sz w:val="20"/>
                <w:szCs w:val="20"/>
                <w:color w:val="auto"/>
              </w:rPr>
            </w:pPr>
            <w:r>
              <w:rPr>
                <w:rFonts w:ascii="Arial" w:cs="Arial" w:eastAsia="Arial" w:hAnsi="Arial"/>
                <w:sz w:val="17"/>
                <w:szCs w:val="17"/>
                <w:color w:val="auto"/>
              </w:rPr>
              <w:t>10/01/16</w:t>
            </w:r>
          </w:p>
        </w:tc>
        <w:tc>
          <w:tcPr>
            <w:tcW w:w="1660" w:type="dxa"/>
            <w:vAlign w:val="bottom"/>
            <w:gridSpan w:val="2"/>
          </w:tcPr>
          <w:p>
            <w:pPr>
              <w:jc w:val="right"/>
              <w:ind w:right="380"/>
              <w:spacing w:after="0"/>
              <w:rPr>
                <w:sz w:val="20"/>
                <w:szCs w:val="20"/>
                <w:color w:val="auto"/>
              </w:rPr>
            </w:pPr>
            <w:r>
              <w:rPr>
                <w:rFonts w:ascii="Arial" w:cs="Arial" w:eastAsia="Arial" w:hAnsi="Arial"/>
                <w:sz w:val="17"/>
                <w:szCs w:val="17"/>
                <w:color w:val="auto"/>
              </w:rPr>
              <w:t>0.51%</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9,400</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shd w:val="clear" w:color="auto" w:fill="CCEEFF"/>
          </w:tcPr>
          <w:p>
            <w:pPr>
              <w:ind w:left="820"/>
              <w:spacing w:after="0"/>
              <w:rPr>
                <w:sz w:val="20"/>
                <w:szCs w:val="20"/>
                <w:color w:val="auto"/>
              </w:rPr>
            </w:pPr>
            <w:r>
              <w:rPr>
                <w:rFonts w:ascii="Arial" w:cs="Arial" w:eastAsia="Arial" w:hAnsi="Arial"/>
                <w:sz w:val="17"/>
                <w:szCs w:val="17"/>
                <w:color w:val="auto"/>
              </w:rPr>
              <w:t>Total notes payable</w:t>
            </w:r>
          </w:p>
        </w:tc>
        <w:tc>
          <w:tcPr>
            <w:tcW w:w="1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97,881</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1.13%</w:t>
            </w:r>
          </w:p>
        </w:tc>
        <w:tc>
          <w:tcPr>
            <w:tcW w:w="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w:t>
            </w:r>
          </w:p>
        </w:tc>
        <w:tc>
          <w:tcPr>
            <w:tcW w:w="0" w:type="dxa"/>
            <w:vAlign w:val="bottom"/>
          </w:tcPr>
          <w:p>
            <w:pPr>
              <w:spacing w:after="0"/>
              <w:rPr>
                <w:sz w:val="1"/>
                <w:szCs w:val="1"/>
                <w:color w:val="auto"/>
              </w:rPr>
            </w:pPr>
          </w:p>
        </w:tc>
      </w:tr>
      <w:tr>
        <w:trPr>
          <w:trHeight w:val="186"/>
        </w:trPr>
        <w:tc>
          <w:tcPr>
            <w:tcW w:w="3540" w:type="dxa"/>
            <w:vAlign w:val="bottom"/>
            <w:gridSpan w:val="6"/>
          </w:tcPr>
          <w:p>
            <w:pPr>
              <w:spacing w:after="0" w:line="176" w:lineRule="exact"/>
              <w:rPr>
                <w:sz w:val="20"/>
                <w:szCs w:val="20"/>
                <w:color w:val="auto"/>
              </w:rPr>
            </w:pPr>
            <w:r>
              <w:rPr>
                <w:rFonts w:ascii="Arial" w:cs="Arial" w:eastAsia="Arial" w:hAnsi="Arial"/>
                <w:sz w:val="17"/>
                <w:szCs w:val="17"/>
                <w:color w:val="auto"/>
              </w:rPr>
              <w:t>Senior notes and debentures</w:t>
            </w:r>
          </w:p>
        </w:tc>
        <w:tc>
          <w:tcPr>
            <w:tcW w:w="1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00" w:type="dxa"/>
            <w:vAlign w:val="bottom"/>
            <w:tcBorders>
              <w:top w:val="single" w:sz="8" w:color="auto"/>
            </w:tcBorders>
            <w:gridSpan w:val="4"/>
            <w:shd w:val="clear" w:color="auto" w:fill="CCEEFF"/>
          </w:tcPr>
          <w:p>
            <w:pPr>
              <w:ind w:left="400"/>
              <w:spacing w:after="0"/>
              <w:rPr>
                <w:sz w:val="20"/>
                <w:szCs w:val="20"/>
                <w:color w:val="auto"/>
              </w:rPr>
            </w:pPr>
            <w:r>
              <w:rPr>
                <w:rFonts w:ascii="Arial" w:cs="Arial" w:eastAsia="Arial" w:hAnsi="Arial"/>
                <w:sz w:val="17"/>
                <w:szCs w:val="17"/>
                <w:i w:val="1"/>
                <w:iCs w:val="1"/>
                <w:color w:val="auto"/>
                <w:w w:val="94"/>
              </w:rPr>
              <w:t>Unsecured fixed rate</w:t>
            </w:r>
          </w:p>
        </w:tc>
        <w:tc>
          <w:tcPr>
            <w:tcW w:w="16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tcPr>
          <w:p>
            <w:pPr>
              <w:ind w:left="400"/>
              <w:spacing w:after="0"/>
              <w:rPr>
                <w:sz w:val="20"/>
                <w:szCs w:val="20"/>
                <w:color w:val="auto"/>
              </w:rPr>
            </w:pPr>
            <w:r>
              <w:rPr>
                <w:rFonts w:ascii="Arial" w:cs="Arial" w:eastAsia="Arial" w:hAnsi="Arial"/>
                <w:sz w:val="17"/>
                <w:szCs w:val="17"/>
                <w:color w:val="auto"/>
              </w:rPr>
              <w:t>4.50% notes</w:t>
            </w:r>
          </w:p>
        </w:tc>
        <w:tc>
          <w:tcPr>
            <w:tcW w:w="2060" w:type="dxa"/>
            <w:vAlign w:val="bottom"/>
            <w:gridSpan w:val="2"/>
          </w:tcPr>
          <w:p>
            <w:pPr>
              <w:jc w:val="right"/>
              <w:ind w:right="540"/>
              <w:spacing w:after="0"/>
              <w:rPr>
                <w:sz w:val="20"/>
                <w:szCs w:val="20"/>
                <w:color w:val="auto"/>
              </w:rPr>
            </w:pPr>
            <w:r>
              <w:rPr>
                <w:rFonts w:ascii="Arial" w:cs="Arial" w:eastAsia="Arial" w:hAnsi="Arial"/>
                <w:sz w:val="17"/>
                <w:szCs w:val="17"/>
                <w:color w:val="auto"/>
              </w:rPr>
              <w:t>02/15/11</w:t>
            </w:r>
          </w:p>
        </w:tc>
        <w:tc>
          <w:tcPr>
            <w:tcW w:w="1660" w:type="dxa"/>
            <w:vAlign w:val="bottom"/>
            <w:gridSpan w:val="2"/>
          </w:tcPr>
          <w:p>
            <w:pPr>
              <w:jc w:val="right"/>
              <w:ind w:right="380"/>
              <w:spacing w:after="0"/>
              <w:rPr>
                <w:sz w:val="20"/>
                <w:szCs w:val="20"/>
                <w:color w:val="auto"/>
              </w:rPr>
            </w:pPr>
            <w:r>
              <w:rPr>
                <w:rFonts w:ascii="Arial" w:cs="Arial" w:eastAsia="Arial" w:hAnsi="Arial"/>
                <w:sz w:val="17"/>
                <w:szCs w:val="17"/>
                <w:color w:val="auto"/>
              </w:rPr>
              <w:t>4.50%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75,000</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shd w:val="clear" w:color="auto" w:fill="CCEEFF"/>
          </w:tcPr>
          <w:p>
            <w:pPr>
              <w:ind w:left="400"/>
              <w:spacing w:after="0"/>
              <w:rPr>
                <w:sz w:val="20"/>
                <w:szCs w:val="20"/>
                <w:color w:val="auto"/>
              </w:rPr>
            </w:pPr>
            <w:r>
              <w:rPr>
                <w:rFonts w:ascii="Arial" w:cs="Arial" w:eastAsia="Arial" w:hAnsi="Arial"/>
                <w:sz w:val="17"/>
                <w:szCs w:val="17"/>
                <w:color w:val="auto"/>
              </w:rPr>
              <w:t>6.00% notes</w:t>
            </w:r>
          </w:p>
        </w:tc>
        <w:tc>
          <w:tcPr>
            <w:tcW w:w="2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07/15/12</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175,000</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tcPr>
          <w:p>
            <w:pPr>
              <w:ind w:left="400"/>
              <w:spacing w:after="0"/>
              <w:rPr>
                <w:sz w:val="20"/>
                <w:szCs w:val="20"/>
                <w:color w:val="auto"/>
              </w:rPr>
            </w:pPr>
            <w:r>
              <w:rPr>
                <w:rFonts w:ascii="Arial" w:cs="Arial" w:eastAsia="Arial" w:hAnsi="Arial"/>
                <w:sz w:val="17"/>
                <w:szCs w:val="17"/>
                <w:color w:val="auto"/>
              </w:rPr>
              <w:t>5.40% notes</w:t>
            </w:r>
          </w:p>
        </w:tc>
        <w:tc>
          <w:tcPr>
            <w:tcW w:w="2060" w:type="dxa"/>
            <w:vAlign w:val="bottom"/>
            <w:gridSpan w:val="2"/>
          </w:tcPr>
          <w:p>
            <w:pPr>
              <w:jc w:val="right"/>
              <w:ind w:right="540"/>
              <w:spacing w:after="0"/>
              <w:rPr>
                <w:sz w:val="20"/>
                <w:szCs w:val="20"/>
                <w:color w:val="auto"/>
              </w:rPr>
            </w:pPr>
            <w:r>
              <w:rPr>
                <w:rFonts w:ascii="Arial" w:cs="Arial" w:eastAsia="Arial" w:hAnsi="Arial"/>
                <w:sz w:val="17"/>
                <w:szCs w:val="17"/>
                <w:color w:val="auto"/>
              </w:rPr>
              <w:t>12/01/13</w:t>
            </w:r>
          </w:p>
        </w:tc>
        <w:tc>
          <w:tcPr>
            <w:tcW w:w="1660" w:type="dxa"/>
            <w:vAlign w:val="bottom"/>
            <w:gridSpan w:val="2"/>
          </w:tcPr>
          <w:p>
            <w:pPr>
              <w:jc w:val="right"/>
              <w:ind w:right="380"/>
              <w:spacing w:after="0"/>
              <w:rPr>
                <w:sz w:val="20"/>
                <w:szCs w:val="20"/>
                <w:color w:val="auto"/>
              </w:rPr>
            </w:pPr>
            <w:r>
              <w:rPr>
                <w:rFonts w:ascii="Arial" w:cs="Arial" w:eastAsia="Arial" w:hAnsi="Arial"/>
                <w:sz w:val="17"/>
                <w:szCs w:val="17"/>
                <w:color w:val="auto"/>
              </w:rPr>
              <w:t>5.40%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135,000</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shd w:val="clear" w:color="auto" w:fill="CCEEFF"/>
          </w:tcPr>
          <w:p>
            <w:pPr>
              <w:ind w:left="400"/>
              <w:spacing w:after="0"/>
              <w:rPr>
                <w:sz w:val="20"/>
                <w:szCs w:val="20"/>
                <w:color w:val="auto"/>
              </w:rPr>
            </w:pPr>
            <w:r>
              <w:rPr>
                <w:rFonts w:ascii="Arial" w:cs="Arial" w:eastAsia="Arial" w:hAnsi="Arial"/>
                <w:sz w:val="17"/>
                <w:szCs w:val="17"/>
                <w:color w:val="auto"/>
              </w:rPr>
              <w:t>5.95% notes</w:t>
            </w:r>
          </w:p>
        </w:tc>
        <w:tc>
          <w:tcPr>
            <w:tcW w:w="2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08/15/14</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5.95%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tcPr>
          <w:p>
            <w:pPr>
              <w:ind w:left="400"/>
              <w:spacing w:after="0"/>
              <w:rPr>
                <w:sz w:val="20"/>
                <w:szCs w:val="20"/>
                <w:color w:val="auto"/>
              </w:rPr>
            </w:pPr>
            <w:r>
              <w:rPr>
                <w:rFonts w:ascii="Arial" w:cs="Arial" w:eastAsia="Arial" w:hAnsi="Arial"/>
                <w:sz w:val="17"/>
                <w:szCs w:val="17"/>
                <w:color w:val="auto"/>
              </w:rPr>
              <w:t>5.65% notes</w:t>
            </w:r>
          </w:p>
        </w:tc>
        <w:tc>
          <w:tcPr>
            <w:tcW w:w="2060" w:type="dxa"/>
            <w:vAlign w:val="bottom"/>
            <w:gridSpan w:val="2"/>
          </w:tcPr>
          <w:p>
            <w:pPr>
              <w:jc w:val="right"/>
              <w:ind w:right="540"/>
              <w:spacing w:after="0"/>
              <w:rPr>
                <w:sz w:val="20"/>
                <w:szCs w:val="20"/>
                <w:color w:val="auto"/>
              </w:rPr>
            </w:pPr>
            <w:r>
              <w:rPr>
                <w:rFonts w:ascii="Arial" w:cs="Arial" w:eastAsia="Arial" w:hAnsi="Arial"/>
                <w:sz w:val="17"/>
                <w:szCs w:val="17"/>
                <w:color w:val="auto"/>
              </w:rPr>
              <w:t>06/01/16</w:t>
            </w:r>
          </w:p>
        </w:tc>
        <w:tc>
          <w:tcPr>
            <w:tcW w:w="1660" w:type="dxa"/>
            <w:vAlign w:val="bottom"/>
            <w:gridSpan w:val="2"/>
          </w:tcPr>
          <w:p>
            <w:pPr>
              <w:jc w:val="right"/>
              <w:ind w:right="380"/>
              <w:spacing w:after="0"/>
              <w:rPr>
                <w:sz w:val="20"/>
                <w:szCs w:val="20"/>
                <w:color w:val="auto"/>
              </w:rPr>
            </w:pPr>
            <w:r>
              <w:rPr>
                <w:rFonts w:ascii="Arial" w:cs="Arial" w:eastAsia="Arial" w:hAnsi="Arial"/>
                <w:sz w:val="17"/>
                <w:szCs w:val="17"/>
                <w:color w:val="auto"/>
              </w:rPr>
              <w:t>5.65%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125,000</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shd w:val="clear" w:color="auto" w:fill="CCEEFF"/>
          </w:tcPr>
          <w:p>
            <w:pPr>
              <w:ind w:left="400"/>
              <w:spacing w:after="0"/>
              <w:rPr>
                <w:sz w:val="20"/>
                <w:szCs w:val="20"/>
                <w:color w:val="auto"/>
              </w:rPr>
            </w:pPr>
            <w:r>
              <w:rPr>
                <w:rFonts w:ascii="Arial" w:cs="Arial" w:eastAsia="Arial" w:hAnsi="Arial"/>
                <w:sz w:val="17"/>
                <w:szCs w:val="17"/>
                <w:color w:val="auto"/>
              </w:rPr>
              <w:t>6.20% notes</w:t>
            </w:r>
          </w:p>
        </w:tc>
        <w:tc>
          <w:tcPr>
            <w:tcW w:w="2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01/15/17</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6.20%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tcPr>
          <w:p>
            <w:pPr>
              <w:ind w:left="400"/>
              <w:spacing w:after="0"/>
              <w:rPr>
                <w:sz w:val="20"/>
                <w:szCs w:val="20"/>
                <w:color w:val="auto"/>
              </w:rPr>
            </w:pPr>
            <w:r>
              <w:rPr>
                <w:rFonts w:ascii="Arial" w:cs="Arial" w:eastAsia="Arial" w:hAnsi="Arial"/>
                <w:sz w:val="17"/>
                <w:szCs w:val="17"/>
                <w:color w:val="auto"/>
              </w:rPr>
              <w:t>5.90% notes</w:t>
            </w:r>
          </w:p>
        </w:tc>
        <w:tc>
          <w:tcPr>
            <w:tcW w:w="2060" w:type="dxa"/>
            <w:vAlign w:val="bottom"/>
            <w:gridSpan w:val="2"/>
          </w:tcPr>
          <w:p>
            <w:pPr>
              <w:jc w:val="right"/>
              <w:ind w:right="540"/>
              <w:spacing w:after="0"/>
              <w:rPr>
                <w:sz w:val="20"/>
                <w:szCs w:val="20"/>
                <w:color w:val="auto"/>
              </w:rPr>
            </w:pPr>
            <w:r>
              <w:rPr>
                <w:rFonts w:ascii="Arial" w:cs="Arial" w:eastAsia="Arial" w:hAnsi="Arial"/>
                <w:sz w:val="17"/>
                <w:szCs w:val="17"/>
                <w:color w:val="auto"/>
              </w:rPr>
              <w:t>04/01/20</w:t>
            </w:r>
          </w:p>
        </w:tc>
        <w:tc>
          <w:tcPr>
            <w:tcW w:w="1660" w:type="dxa"/>
            <w:vAlign w:val="bottom"/>
            <w:gridSpan w:val="2"/>
          </w:tcPr>
          <w:p>
            <w:pPr>
              <w:jc w:val="right"/>
              <w:ind w:right="380"/>
              <w:spacing w:after="0"/>
              <w:rPr>
                <w:sz w:val="20"/>
                <w:szCs w:val="20"/>
                <w:color w:val="auto"/>
              </w:rPr>
            </w:pPr>
            <w:r>
              <w:rPr>
                <w:rFonts w:ascii="Arial" w:cs="Arial" w:eastAsia="Arial" w:hAnsi="Arial"/>
                <w:sz w:val="17"/>
                <w:szCs w:val="17"/>
                <w:color w:val="auto"/>
              </w:rPr>
              <w:t>5.90%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150,000</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shd w:val="clear" w:color="auto" w:fill="CCEEFF"/>
          </w:tcPr>
          <w:p>
            <w:pPr>
              <w:ind w:left="400"/>
              <w:spacing w:after="0"/>
              <w:rPr>
                <w:sz w:val="20"/>
                <w:szCs w:val="20"/>
                <w:color w:val="auto"/>
              </w:rPr>
            </w:pPr>
            <w:r>
              <w:rPr>
                <w:rFonts w:ascii="Arial" w:cs="Arial" w:eastAsia="Arial" w:hAnsi="Arial"/>
                <w:sz w:val="17"/>
                <w:szCs w:val="17"/>
                <w:color w:val="auto"/>
              </w:rPr>
              <w:t>7.48% debentures</w:t>
            </w:r>
          </w:p>
        </w:tc>
        <w:tc>
          <w:tcPr>
            <w:tcW w:w="2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08/15/26</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7.48%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29,200</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5"/>
          </w:tcPr>
          <w:p>
            <w:pPr>
              <w:ind w:left="400"/>
              <w:spacing w:after="0"/>
              <w:rPr>
                <w:sz w:val="20"/>
                <w:szCs w:val="20"/>
                <w:color w:val="auto"/>
              </w:rPr>
            </w:pPr>
            <w:r>
              <w:rPr>
                <w:rFonts w:ascii="Arial" w:cs="Arial" w:eastAsia="Arial" w:hAnsi="Arial"/>
                <w:sz w:val="17"/>
                <w:szCs w:val="17"/>
                <w:color w:val="auto"/>
              </w:rPr>
              <w:t>6.82% medium term notes</w:t>
            </w:r>
          </w:p>
        </w:tc>
        <w:tc>
          <w:tcPr>
            <w:tcW w:w="2060" w:type="dxa"/>
            <w:vAlign w:val="bottom"/>
            <w:gridSpan w:val="2"/>
          </w:tcPr>
          <w:p>
            <w:pPr>
              <w:jc w:val="right"/>
              <w:ind w:right="540"/>
              <w:spacing w:after="0"/>
              <w:rPr>
                <w:sz w:val="20"/>
                <w:szCs w:val="20"/>
                <w:color w:val="auto"/>
              </w:rPr>
            </w:pPr>
            <w:r>
              <w:rPr>
                <w:rFonts w:ascii="Arial" w:cs="Arial" w:eastAsia="Arial" w:hAnsi="Arial"/>
                <w:sz w:val="17"/>
                <w:szCs w:val="17"/>
                <w:color w:val="auto"/>
              </w:rPr>
              <w:t>08/01/27</w:t>
            </w:r>
          </w:p>
        </w:tc>
        <w:tc>
          <w:tcPr>
            <w:tcW w:w="1660" w:type="dxa"/>
            <w:vAlign w:val="bottom"/>
            <w:gridSpan w:val="2"/>
          </w:tcPr>
          <w:p>
            <w:pPr>
              <w:jc w:val="right"/>
              <w:ind w:right="380"/>
              <w:spacing w:after="0"/>
              <w:rPr>
                <w:sz w:val="20"/>
                <w:szCs w:val="20"/>
                <w:color w:val="auto"/>
              </w:rPr>
            </w:pPr>
            <w:r>
              <w:rPr>
                <w:rFonts w:ascii="Arial" w:cs="Arial" w:eastAsia="Arial" w:hAnsi="Arial"/>
                <w:sz w:val="17"/>
                <w:szCs w:val="17"/>
                <w:color w:val="auto"/>
              </w:rPr>
              <w:t>6.82%</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40,000</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shd w:val="clear" w:color="auto" w:fill="CCEEFF"/>
          </w:tcPr>
          <w:p>
            <w:pPr>
              <w:ind w:left="820"/>
              <w:spacing w:after="0"/>
              <w:rPr>
                <w:sz w:val="20"/>
                <w:szCs w:val="20"/>
                <w:color w:val="auto"/>
              </w:rPr>
            </w:pPr>
            <w:r>
              <w:rPr>
                <w:rFonts w:ascii="Arial" w:cs="Arial" w:eastAsia="Arial" w:hAnsi="Arial"/>
                <w:sz w:val="17"/>
                <w:szCs w:val="17"/>
                <w:color w:val="auto"/>
              </w:rPr>
              <w:t>Subtotal</w:t>
            </w:r>
          </w:p>
        </w:tc>
        <w:tc>
          <w:tcPr>
            <w:tcW w:w="1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1,079,200</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5"/>
          </w:tcPr>
          <w:p>
            <w:pPr>
              <w:ind w:left="400"/>
              <w:spacing w:after="0"/>
              <w:rPr>
                <w:sz w:val="20"/>
                <w:szCs w:val="20"/>
                <w:color w:val="auto"/>
              </w:rPr>
            </w:pPr>
            <w:r>
              <w:rPr>
                <w:rFonts w:ascii="Arial" w:cs="Arial" w:eastAsia="Arial" w:hAnsi="Arial"/>
                <w:sz w:val="17"/>
                <w:szCs w:val="17"/>
                <w:color w:val="auto"/>
              </w:rPr>
              <w:t>Net unamortized premium</w:t>
            </w:r>
          </w:p>
        </w:tc>
        <w:tc>
          <w:tcPr>
            <w:tcW w:w="1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627</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shd w:val="clear" w:color="auto" w:fill="CCEEFF"/>
          </w:tcPr>
          <w:p>
            <w:pPr>
              <w:ind w:left="820"/>
              <w:spacing w:after="0"/>
              <w:rPr>
                <w:sz w:val="20"/>
                <w:szCs w:val="20"/>
                <w:color w:val="auto"/>
              </w:rPr>
            </w:pPr>
            <w:r>
              <w:rPr>
                <w:rFonts w:ascii="Arial" w:cs="Arial" w:eastAsia="Arial" w:hAnsi="Arial"/>
                <w:sz w:val="17"/>
                <w:szCs w:val="17"/>
                <w:color w:val="auto"/>
              </w:rPr>
              <w:t>Total senior notes and debentures</w:t>
            </w:r>
          </w:p>
        </w:tc>
        <w:tc>
          <w:tcPr>
            <w:tcW w:w="1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1,079,827</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40" w:type="dxa"/>
            <w:vAlign w:val="bottom"/>
            <w:gridSpan w:val="6"/>
          </w:tcPr>
          <w:p>
            <w:pPr>
              <w:spacing w:after="0" w:line="176" w:lineRule="exact"/>
              <w:rPr>
                <w:sz w:val="20"/>
                <w:szCs w:val="20"/>
                <w:color w:val="auto"/>
              </w:rPr>
            </w:pPr>
            <w:r>
              <w:rPr>
                <w:rFonts w:ascii="Arial" w:cs="Arial" w:eastAsia="Arial" w:hAnsi="Arial"/>
                <w:sz w:val="17"/>
                <w:szCs w:val="17"/>
                <w:color w:val="auto"/>
              </w:rPr>
              <w:t>Capital lease obligations</w:t>
            </w:r>
          </w:p>
        </w:tc>
        <w:tc>
          <w:tcPr>
            <w:tcW w:w="1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660" w:type="dxa"/>
            <w:vAlign w:val="bottom"/>
            <w:tcBorders>
              <w:top w:val="single" w:sz="8" w:color="auto"/>
            </w:tcBorders>
            <w:gridSpan w:val="3"/>
            <w:shd w:val="clear" w:color="auto" w:fill="CCEEFF"/>
          </w:tcPr>
          <w:p>
            <w:pPr>
              <w:ind w:left="400"/>
              <w:spacing w:after="0"/>
              <w:rPr>
                <w:sz w:val="20"/>
                <w:szCs w:val="20"/>
                <w:color w:val="auto"/>
              </w:rPr>
            </w:pPr>
            <w:r>
              <w:rPr>
                <w:rFonts w:ascii="Arial" w:cs="Arial" w:eastAsia="Arial" w:hAnsi="Arial"/>
                <w:sz w:val="17"/>
                <w:szCs w:val="17"/>
                <w:color w:val="auto"/>
              </w:rPr>
              <w:t>Various</w:t>
            </w:r>
          </w:p>
        </w:tc>
        <w:tc>
          <w:tcPr>
            <w:tcW w:w="1860" w:type="dxa"/>
            <w:vAlign w:val="bottom"/>
            <w:gridSpan w:val="2"/>
            <w:shd w:val="clear" w:color="auto" w:fill="CCEEFF"/>
          </w:tcPr>
          <w:p>
            <w:pPr>
              <w:spacing w:after="0"/>
              <w:rPr>
                <w:sz w:val="19"/>
                <w:szCs w:val="19"/>
                <w:color w:val="auto"/>
              </w:rPr>
            </w:pPr>
          </w:p>
        </w:tc>
        <w:tc>
          <w:tcPr>
            <w:tcW w:w="2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w w:val="92"/>
              </w:rPr>
              <w:t>Various through 2106</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Various</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59,940</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6.91%</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40" w:type="dxa"/>
            <w:vAlign w:val="bottom"/>
            <w:gridSpan w:val="6"/>
          </w:tcPr>
          <w:p>
            <w:pPr>
              <w:spacing w:after="0"/>
              <w:rPr>
                <w:sz w:val="20"/>
                <w:szCs w:val="20"/>
                <w:color w:val="auto"/>
              </w:rPr>
            </w:pPr>
            <w:r>
              <w:rPr>
                <w:rFonts w:ascii="Arial" w:cs="Arial" w:eastAsia="Arial" w:hAnsi="Arial"/>
                <w:sz w:val="17"/>
                <w:szCs w:val="17"/>
                <w:color w:val="auto"/>
              </w:rPr>
              <w:t>Total debt and capital lease obligations</w:t>
            </w:r>
          </w:p>
        </w:tc>
        <w:tc>
          <w:tcPr>
            <w:tcW w:w="1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1,767,149</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5"/>
            <w:shd w:val="clear" w:color="auto" w:fill="CCEEFF"/>
          </w:tcPr>
          <w:p>
            <w:pPr>
              <w:spacing w:after="0"/>
              <w:rPr>
                <w:sz w:val="20"/>
                <w:szCs w:val="20"/>
                <w:color w:val="auto"/>
              </w:rPr>
            </w:pPr>
            <w:r>
              <w:rPr>
                <w:rFonts w:ascii="Arial" w:cs="Arial" w:eastAsia="Arial" w:hAnsi="Arial"/>
                <w:sz w:val="17"/>
                <w:szCs w:val="17"/>
                <w:color w:val="auto"/>
                <w:w w:val="94"/>
              </w:rPr>
              <w:t>Total fixed rate debt and capital lease obligations</w:t>
            </w:r>
          </w:p>
        </w:tc>
        <w:tc>
          <w:tcPr>
            <w:tcW w:w="1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1,680,749</w:t>
            </w: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95%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6.29%</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5"/>
          </w:tcPr>
          <w:p>
            <w:pPr>
              <w:spacing w:after="0"/>
              <w:rPr>
                <w:sz w:val="20"/>
                <w:szCs w:val="20"/>
                <w:color w:val="auto"/>
              </w:rPr>
            </w:pPr>
            <w:r>
              <w:rPr>
                <w:rFonts w:ascii="Arial" w:cs="Arial" w:eastAsia="Arial" w:hAnsi="Arial"/>
                <w:sz w:val="17"/>
                <w:szCs w:val="17"/>
                <w:color w:val="auto"/>
              </w:rPr>
              <w:t>Total variable rate debt</w:t>
            </w:r>
          </w:p>
        </w:tc>
        <w:tc>
          <w:tcPr>
            <w:tcW w:w="1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86,400</w:t>
            </w:r>
          </w:p>
        </w:tc>
        <w:tc>
          <w:tcPr>
            <w:tcW w:w="4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7"/>
                <w:szCs w:val="17"/>
                <w:color w:val="auto"/>
              </w:rPr>
              <w:t>5%</w:t>
            </w:r>
          </w:p>
        </w:tc>
        <w:tc>
          <w:tcPr>
            <w:tcW w:w="1520" w:type="dxa"/>
            <w:vAlign w:val="bottom"/>
            <w:gridSpan w:val="2"/>
          </w:tcPr>
          <w:p>
            <w:pPr>
              <w:jc w:val="right"/>
              <w:ind w:right="120"/>
              <w:spacing w:after="0"/>
              <w:rPr>
                <w:sz w:val="20"/>
                <w:szCs w:val="20"/>
                <w:color w:val="auto"/>
              </w:rPr>
            </w:pPr>
            <w:r>
              <w:rPr>
                <w:rFonts w:ascii="Arial" w:cs="Arial" w:eastAsia="Arial" w:hAnsi="Arial"/>
                <w:sz w:val="17"/>
                <w:szCs w:val="17"/>
                <w:color w:val="auto"/>
              </w:rPr>
              <w:t>0.78%</w:t>
            </w:r>
          </w:p>
        </w:tc>
        <w:tc>
          <w:tcPr>
            <w:tcW w:w="340" w:type="dxa"/>
            <w:vAlign w:val="bottom"/>
          </w:tcPr>
          <w:p>
            <w:pPr>
              <w:ind w:left="140"/>
              <w:spacing w:after="0"/>
              <w:rPr>
                <w:sz w:val="20"/>
                <w:szCs w:val="20"/>
                <w:color w:val="auto"/>
              </w:rPr>
            </w:pPr>
            <w:r>
              <w:rPr>
                <w:rFonts w:ascii="Arial" w:cs="Arial" w:eastAsia="Arial" w:hAnsi="Arial"/>
                <w:sz w:val="17"/>
                <w:szCs w:val="17"/>
                <w:color w:val="auto"/>
              </w:rPr>
              <w:t>(i)</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TOTAL DEBT AND CAPITAL LEASES OBLIGATIONS</w:t>
            </w: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1,767,149</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100%</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6.02%</w:t>
            </w:r>
          </w:p>
        </w:tc>
        <w:tc>
          <w:tcPr>
            <w:tcW w:w="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300" w:type="dxa"/>
            <w:vAlign w:val="bottom"/>
            <w:gridSpan w:val="3"/>
          </w:tcPr>
          <w:p>
            <w:pPr>
              <w:ind w:left="80"/>
              <w:spacing w:after="0"/>
              <w:rPr>
                <w:sz w:val="20"/>
                <w:szCs w:val="20"/>
                <w:color w:val="auto"/>
              </w:rPr>
            </w:pPr>
            <w:r>
              <w:rPr>
                <w:rFonts w:ascii="Arial" w:cs="Arial" w:eastAsia="Arial" w:hAnsi="Arial"/>
                <w:sz w:val="13"/>
                <w:szCs w:val="13"/>
                <w:b w:val="1"/>
                <w:bCs w:val="1"/>
                <w:color w:val="auto"/>
                <w:w w:val="93"/>
              </w:rPr>
              <w:t>Three months ended</w:t>
            </w:r>
          </w:p>
        </w:tc>
        <w:tc>
          <w:tcPr>
            <w:tcW w:w="300" w:type="dxa"/>
            <w:vAlign w:val="bottom"/>
          </w:tcPr>
          <w:p>
            <w:pPr>
              <w:spacing w:after="0"/>
              <w:rPr>
                <w:sz w:val="12"/>
                <w:szCs w:val="12"/>
                <w:color w:val="auto"/>
              </w:rPr>
            </w:pPr>
          </w:p>
        </w:tc>
        <w:tc>
          <w:tcPr>
            <w:tcW w:w="1280" w:type="dxa"/>
            <w:vAlign w:val="bottom"/>
            <w:gridSpan w:val="4"/>
          </w:tcPr>
          <w:p>
            <w:pPr>
              <w:ind w:left="280"/>
              <w:spacing w:after="0"/>
              <w:rPr>
                <w:sz w:val="20"/>
                <w:szCs w:val="20"/>
                <w:color w:val="auto"/>
              </w:rPr>
            </w:pPr>
            <w:r>
              <w:rPr>
                <w:rFonts w:ascii="Arial" w:cs="Arial" w:eastAsia="Arial" w:hAnsi="Arial"/>
                <w:sz w:val="13"/>
                <w:szCs w:val="13"/>
                <w:b w:val="1"/>
                <w:bCs w:val="1"/>
                <w:color w:val="auto"/>
              </w:rPr>
              <w:t>Year ended</w:t>
            </w:r>
          </w:p>
        </w:tc>
      </w:tr>
      <w:tr>
        <w:trPr>
          <w:trHeight w:val="157"/>
        </w:trPr>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300" w:type="dxa"/>
            <w:vAlign w:val="bottom"/>
            <w:gridSpan w:val="3"/>
          </w:tcPr>
          <w:p>
            <w:pPr>
              <w:ind w:left="260"/>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3"/>
                <w:szCs w:val="13"/>
                <w:color w:val="auto"/>
              </w:rPr>
            </w:pPr>
          </w:p>
        </w:tc>
        <w:tc>
          <w:tcPr>
            <w:tcW w:w="1280" w:type="dxa"/>
            <w:vAlign w:val="bottom"/>
            <w:gridSpan w:val="4"/>
          </w:tcPr>
          <w:p>
            <w:pPr>
              <w:ind w:left="220"/>
              <w:spacing w:after="0"/>
              <w:rPr>
                <w:sz w:val="20"/>
                <w:szCs w:val="20"/>
                <w:color w:val="auto"/>
              </w:rPr>
            </w:pPr>
            <w:r>
              <w:rPr>
                <w:rFonts w:ascii="Arial" w:cs="Arial" w:eastAsia="Arial" w:hAnsi="Arial"/>
                <w:sz w:val="13"/>
                <w:szCs w:val="13"/>
                <w:b w:val="1"/>
                <w:bCs w:val="1"/>
                <w:color w:val="auto"/>
              </w:rPr>
              <w:t>December 31,</w:t>
            </w:r>
          </w:p>
        </w:tc>
      </w:tr>
      <w:tr>
        <w:trPr>
          <w:trHeight w:val="137"/>
        </w:trPr>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480" w:type="dxa"/>
            <w:vAlign w:val="bottom"/>
            <w:tcBorders>
              <w:top w:val="single" w:sz="8" w:color="auto"/>
            </w:tcBorders>
          </w:tcPr>
          <w:p>
            <w:pPr>
              <w:ind w:left="120"/>
              <w:spacing w:after="0" w:line="138" w:lineRule="exact"/>
              <w:rPr>
                <w:sz w:val="20"/>
                <w:szCs w:val="20"/>
                <w:color w:val="auto"/>
              </w:rPr>
            </w:pPr>
            <w:r>
              <w:rPr>
                <w:rFonts w:ascii="Arial" w:cs="Arial" w:eastAsia="Arial" w:hAnsi="Arial"/>
                <w:sz w:val="13"/>
                <w:szCs w:val="13"/>
                <w:b w:val="1"/>
                <w:bCs w:val="1"/>
                <w:color w:val="auto"/>
              </w:rPr>
              <w:t>2010</w:t>
            </w:r>
          </w:p>
        </w:tc>
        <w:tc>
          <w:tcPr>
            <w:tcW w:w="820" w:type="dxa"/>
            <w:vAlign w:val="bottom"/>
            <w:tcBorders>
              <w:top w:val="single" w:sz="8" w:color="auto"/>
            </w:tcBorders>
            <w:gridSpan w:val="2"/>
          </w:tcPr>
          <w:p>
            <w:pPr>
              <w:ind w:left="440"/>
              <w:spacing w:after="0" w:line="138" w:lineRule="exact"/>
              <w:rPr>
                <w:sz w:val="20"/>
                <w:szCs w:val="20"/>
                <w:color w:val="auto"/>
              </w:rPr>
            </w:pPr>
            <w:r>
              <w:rPr>
                <w:rFonts w:ascii="Arial" w:cs="Arial" w:eastAsia="Arial" w:hAnsi="Arial"/>
                <w:sz w:val="13"/>
                <w:szCs w:val="13"/>
                <w:b w:val="1"/>
                <w:bCs w:val="1"/>
                <w:color w:val="auto"/>
              </w:rPr>
              <w:t>2009</w:t>
            </w:r>
          </w:p>
        </w:tc>
        <w:tc>
          <w:tcPr>
            <w:tcW w:w="300" w:type="dxa"/>
            <w:vAlign w:val="bottom"/>
          </w:tcPr>
          <w:p>
            <w:pPr>
              <w:spacing w:after="0"/>
              <w:rPr>
                <w:sz w:val="11"/>
                <w:szCs w:val="11"/>
                <w:color w:val="auto"/>
              </w:rPr>
            </w:pPr>
          </w:p>
        </w:tc>
        <w:tc>
          <w:tcPr>
            <w:tcW w:w="440" w:type="dxa"/>
            <w:vAlign w:val="bottom"/>
            <w:tcBorders>
              <w:top w:val="single" w:sz="8" w:color="auto"/>
            </w:tcBorders>
          </w:tcPr>
          <w:p>
            <w:pPr>
              <w:ind w:left="100"/>
              <w:spacing w:after="0" w:line="138" w:lineRule="exact"/>
              <w:rPr>
                <w:sz w:val="20"/>
                <w:szCs w:val="20"/>
                <w:color w:val="auto"/>
              </w:rPr>
            </w:pPr>
            <w:r>
              <w:rPr>
                <w:rFonts w:ascii="Arial" w:cs="Arial" w:eastAsia="Arial" w:hAnsi="Arial"/>
                <w:sz w:val="13"/>
                <w:szCs w:val="13"/>
                <w:b w:val="1"/>
                <w:bCs w:val="1"/>
                <w:color w:val="auto"/>
              </w:rPr>
              <w:t>2010</w:t>
            </w:r>
          </w:p>
        </w:tc>
        <w:tc>
          <w:tcPr>
            <w:tcW w:w="760" w:type="dxa"/>
            <w:vAlign w:val="bottom"/>
            <w:tcBorders>
              <w:top w:val="single" w:sz="8" w:color="auto"/>
            </w:tcBorders>
            <w:gridSpan w:val="2"/>
          </w:tcPr>
          <w:p>
            <w:pPr>
              <w:jc w:val="right"/>
              <w:ind w:right="15"/>
              <w:spacing w:after="0" w:line="138" w:lineRule="exact"/>
              <w:rPr>
                <w:sz w:val="20"/>
                <w:szCs w:val="20"/>
                <w:color w:val="auto"/>
              </w:rPr>
            </w:pPr>
            <w:r>
              <w:rPr>
                <w:rFonts w:ascii="Arial" w:cs="Arial" w:eastAsia="Arial" w:hAnsi="Arial"/>
                <w:sz w:val="13"/>
                <w:szCs w:val="13"/>
                <w:b w:val="1"/>
                <w:bCs w:val="1"/>
                <w:color w:val="auto"/>
              </w:rPr>
              <w:t>2009</w:t>
            </w:r>
          </w:p>
        </w:tc>
        <w:tc>
          <w:tcPr>
            <w:tcW w:w="80" w:type="dxa"/>
            <w:vAlign w:val="bottom"/>
          </w:tcPr>
          <w:p>
            <w:pPr>
              <w:spacing w:after="0"/>
              <w:rPr>
                <w:sz w:val="11"/>
                <w:szCs w:val="11"/>
                <w:color w:val="auto"/>
              </w:rPr>
            </w:pPr>
          </w:p>
        </w:tc>
      </w:tr>
      <w:tr>
        <w:trPr>
          <w:trHeight w:val="164"/>
        </w:trPr>
        <w:tc>
          <w:tcPr>
            <w:tcW w:w="460" w:type="dxa"/>
            <w:vAlign w:val="bottom"/>
          </w:tcPr>
          <w:p>
            <w:pPr>
              <w:spacing w:after="0"/>
              <w:rPr>
                <w:sz w:val="14"/>
                <w:szCs w:val="14"/>
                <w:color w:val="auto"/>
              </w:rPr>
            </w:pPr>
          </w:p>
        </w:tc>
        <w:tc>
          <w:tcPr>
            <w:tcW w:w="7620" w:type="dxa"/>
            <w:vAlign w:val="bottom"/>
            <w:gridSpan w:val="3"/>
            <w:shd w:val="clear" w:color="auto" w:fill="CCEEFF"/>
          </w:tcPr>
          <w:p>
            <w:pPr>
              <w:spacing w:after="0" w:line="163" w:lineRule="exact"/>
              <w:rPr>
                <w:sz w:val="20"/>
                <w:szCs w:val="20"/>
                <w:color w:val="auto"/>
              </w:rPr>
            </w:pPr>
            <w:r>
              <w:rPr>
                <w:rFonts w:ascii="Arial" w:cs="Arial" w:eastAsia="Arial" w:hAnsi="Arial"/>
                <w:sz w:val="17"/>
                <w:szCs w:val="17"/>
                <w:color w:val="auto"/>
              </w:rPr>
              <w:t>Operational Statistics</w:t>
            </w:r>
          </w:p>
        </w:tc>
        <w:tc>
          <w:tcPr>
            <w:tcW w:w="48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39"/>
        </w:trPr>
        <w:tc>
          <w:tcPr>
            <w:tcW w:w="460" w:type="dxa"/>
            <w:vAlign w:val="bottom"/>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61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210"/>
        </w:trPr>
        <w:tc>
          <w:tcPr>
            <w:tcW w:w="460" w:type="dxa"/>
            <w:vAlign w:val="bottom"/>
          </w:tcPr>
          <w:p>
            <w:pPr>
              <w:spacing w:after="0"/>
              <w:rPr>
                <w:sz w:val="18"/>
                <w:szCs w:val="18"/>
                <w:color w:val="auto"/>
              </w:rPr>
            </w:pPr>
          </w:p>
        </w:tc>
        <w:tc>
          <w:tcPr>
            <w:tcW w:w="7620" w:type="dxa"/>
            <w:vAlign w:val="bottom"/>
            <w:gridSpan w:val="3"/>
          </w:tcPr>
          <w:p>
            <w:pPr>
              <w:spacing w:after="0"/>
              <w:rPr>
                <w:sz w:val="20"/>
                <w:szCs w:val="20"/>
                <w:color w:val="auto"/>
              </w:rPr>
            </w:pPr>
            <w:r>
              <w:rPr>
                <w:rFonts w:ascii="Arial" w:cs="Arial" w:eastAsia="Arial" w:hAnsi="Arial"/>
                <w:sz w:val="17"/>
                <w:szCs w:val="17"/>
                <w:color w:val="auto"/>
              </w:rPr>
              <w:t>Excluding litigation provision:</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762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Ratio of EBITDA to combined fixed charges and preferred share dividends (j) (k)</w:t>
            </w:r>
          </w:p>
        </w:tc>
        <w:tc>
          <w:tcPr>
            <w:tcW w:w="48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6"/>
              </w:rPr>
              <w:t>3.33x</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6"/>
              </w:rPr>
              <w:t>2.67x</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6"/>
              </w:rPr>
              <w:t>3.14x</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2.90x</w:t>
            </w:r>
          </w:p>
        </w:tc>
      </w:tr>
      <w:tr>
        <w:trPr>
          <w:trHeight w:val="210"/>
        </w:trPr>
        <w:tc>
          <w:tcPr>
            <w:tcW w:w="460" w:type="dxa"/>
            <w:vAlign w:val="bottom"/>
          </w:tcPr>
          <w:p>
            <w:pPr>
              <w:spacing w:after="0"/>
              <w:rPr>
                <w:sz w:val="18"/>
                <w:szCs w:val="18"/>
                <w:color w:val="auto"/>
              </w:rPr>
            </w:pPr>
          </w:p>
        </w:tc>
        <w:tc>
          <w:tcPr>
            <w:tcW w:w="7620" w:type="dxa"/>
            <w:vAlign w:val="bottom"/>
            <w:gridSpan w:val="3"/>
          </w:tcPr>
          <w:p>
            <w:pPr>
              <w:ind w:left="420"/>
              <w:spacing w:after="0"/>
              <w:rPr>
                <w:sz w:val="20"/>
                <w:szCs w:val="20"/>
                <w:color w:val="auto"/>
              </w:rPr>
            </w:pPr>
            <w:r>
              <w:rPr>
                <w:rFonts w:ascii="Arial" w:cs="Arial" w:eastAsia="Arial" w:hAnsi="Arial"/>
                <w:sz w:val="17"/>
                <w:szCs w:val="17"/>
                <w:color w:val="auto"/>
              </w:rPr>
              <w:t>Ratio of adjusted EBITDA to combined fixed charges and preferred share dividends (j) (k)</w:t>
            </w:r>
          </w:p>
        </w:tc>
        <w:tc>
          <w:tcPr>
            <w:tcW w:w="480" w:type="dxa"/>
            <w:vAlign w:val="bottom"/>
          </w:tcPr>
          <w:p>
            <w:pPr>
              <w:ind w:left="100"/>
              <w:spacing w:after="0"/>
              <w:rPr>
                <w:sz w:val="20"/>
                <w:szCs w:val="20"/>
                <w:color w:val="auto"/>
              </w:rPr>
            </w:pPr>
            <w:r>
              <w:rPr>
                <w:rFonts w:ascii="Arial" w:cs="Arial" w:eastAsia="Arial" w:hAnsi="Arial"/>
                <w:sz w:val="17"/>
                <w:szCs w:val="17"/>
                <w:color w:val="auto"/>
                <w:w w:val="86"/>
              </w:rPr>
              <w:t>3.33x</w:t>
            </w:r>
          </w:p>
        </w:tc>
        <w:tc>
          <w:tcPr>
            <w:tcW w:w="30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Arial" w:cs="Arial" w:eastAsia="Arial" w:hAnsi="Arial"/>
                <w:sz w:val="17"/>
                <w:szCs w:val="17"/>
                <w:color w:val="auto"/>
                <w:w w:val="86"/>
              </w:rPr>
              <w:t>2.67x</w:t>
            </w:r>
          </w:p>
        </w:tc>
        <w:tc>
          <w:tcPr>
            <w:tcW w:w="300" w:type="dxa"/>
            <w:vAlign w:val="bottom"/>
          </w:tcPr>
          <w:p>
            <w:pPr>
              <w:spacing w:after="0"/>
              <w:rPr>
                <w:sz w:val="18"/>
                <w:szCs w:val="18"/>
                <w:color w:val="auto"/>
              </w:rPr>
            </w:pPr>
          </w:p>
        </w:tc>
        <w:tc>
          <w:tcPr>
            <w:tcW w:w="440" w:type="dxa"/>
            <w:vAlign w:val="bottom"/>
          </w:tcPr>
          <w:p>
            <w:pPr>
              <w:ind w:left="60"/>
              <w:spacing w:after="0"/>
              <w:rPr>
                <w:sz w:val="20"/>
                <w:szCs w:val="20"/>
                <w:color w:val="auto"/>
              </w:rPr>
            </w:pPr>
            <w:r>
              <w:rPr>
                <w:rFonts w:ascii="Arial" w:cs="Arial" w:eastAsia="Arial" w:hAnsi="Arial"/>
                <w:sz w:val="17"/>
                <w:szCs w:val="17"/>
                <w:color w:val="auto"/>
                <w:w w:val="86"/>
              </w:rPr>
              <w:t>3.12x</w:t>
            </w:r>
          </w:p>
        </w:tc>
        <w:tc>
          <w:tcPr>
            <w:tcW w:w="300" w:type="dxa"/>
            <w:vAlign w:val="bottom"/>
          </w:tcPr>
          <w:p>
            <w:pPr>
              <w:spacing w:after="0"/>
              <w:rPr>
                <w:sz w:val="18"/>
                <w:szCs w:val="18"/>
                <w:color w:val="auto"/>
              </w:rPr>
            </w:pPr>
          </w:p>
        </w:tc>
        <w:tc>
          <w:tcPr>
            <w:tcW w:w="540" w:type="dxa"/>
            <w:vAlign w:val="bottom"/>
            <w:gridSpan w:val="2"/>
          </w:tcPr>
          <w:p>
            <w:pPr>
              <w:ind w:left="60"/>
              <w:spacing w:after="0"/>
              <w:rPr>
                <w:sz w:val="20"/>
                <w:szCs w:val="20"/>
                <w:color w:val="auto"/>
              </w:rPr>
            </w:pPr>
            <w:r>
              <w:rPr>
                <w:rFonts w:ascii="Arial" w:cs="Arial" w:eastAsia="Arial" w:hAnsi="Arial"/>
                <w:sz w:val="17"/>
                <w:szCs w:val="17"/>
                <w:color w:val="auto"/>
              </w:rPr>
              <w:t>2.89x</w:t>
            </w:r>
          </w:p>
        </w:tc>
      </w:tr>
      <w:tr>
        <w:trPr>
          <w:trHeight w:val="210"/>
        </w:trPr>
        <w:tc>
          <w:tcPr>
            <w:tcW w:w="460" w:type="dxa"/>
            <w:vAlign w:val="bottom"/>
          </w:tcPr>
          <w:p>
            <w:pPr>
              <w:spacing w:after="0"/>
              <w:rPr>
                <w:sz w:val="18"/>
                <w:szCs w:val="18"/>
                <w:color w:val="auto"/>
              </w:rPr>
            </w:pPr>
          </w:p>
        </w:tc>
        <w:tc>
          <w:tcPr>
            <w:tcW w:w="7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Including litigation provision:</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7620" w:type="dxa"/>
            <w:vAlign w:val="bottom"/>
            <w:gridSpan w:val="3"/>
          </w:tcPr>
          <w:p>
            <w:pPr>
              <w:ind w:left="420"/>
              <w:spacing w:after="0"/>
              <w:rPr>
                <w:sz w:val="20"/>
                <w:szCs w:val="20"/>
                <w:color w:val="auto"/>
              </w:rPr>
            </w:pPr>
            <w:r>
              <w:rPr>
                <w:rFonts w:ascii="Arial" w:cs="Arial" w:eastAsia="Arial" w:hAnsi="Arial"/>
                <w:sz w:val="17"/>
                <w:szCs w:val="17"/>
                <w:color w:val="auto"/>
              </w:rPr>
              <w:t>Ratio of EBITDA to combined fixed charges and preferred share dividends (j)</w:t>
            </w:r>
          </w:p>
        </w:tc>
        <w:tc>
          <w:tcPr>
            <w:tcW w:w="480" w:type="dxa"/>
            <w:vAlign w:val="bottom"/>
          </w:tcPr>
          <w:p>
            <w:pPr>
              <w:ind w:left="100"/>
              <w:spacing w:after="0"/>
              <w:rPr>
                <w:sz w:val="20"/>
                <w:szCs w:val="20"/>
                <w:color w:val="auto"/>
              </w:rPr>
            </w:pPr>
            <w:r>
              <w:rPr>
                <w:rFonts w:ascii="Arial" w:cs="Arial" w:eastAsia="Arial" w:hAnsi="Arial"/>
                <w:sz w:val="17"/>
                <w:szCs w:val="17"/>
                <w:color w:val="auto"/>
                <w:w w:val="86"/>
              </w:rPr>
              <w:t>3.33x</w:t>
            </w:r>
          </w:p>
        </w:tc>
        <w:tc>
          <w:tcPr>
            <w:tcW w:w="30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Arial" w:cs="Arial" w:eastAsia="Arial" w:hAnsi="Arial"/>
                <w:sz w:val="17"/>
                <w:szCs w:val="17"/>
                <w:color w:val="auto"/>
                <w:w w:val="86"/>
              </w:rPr>
              <w:t>2.82x</w:t>
            </w:r>
          </w:p>
        </w:tc>
        <w:tc>
          <w:tcPr>
            <w:tcW w:w="300" w:type="dxa"/>
            <w:vAlign w:val="bottom"/>
          </w:tcPr>
          <w:p>
            <w:pPr>
              <w:spacing w:after="0"/>
              <w:rPr>
                <w:sz w:val="18"/>
                <w:szCs w:val="18"/>
                <w:color w:val="auto"/>
              </w:rPr>
            </w:pPr>
          </w:p>
        </w:tc>
        <w:tc>
          <w:tcPr>
            <w:tcW w:w="440" w:type="dxa"/>
            <w:vAlign w:val="bottom"/>
          </w:tcPr>
          <w:p>
            <w:pPr>
              <w:ind w:left="60"/>
              <w:spacing w:after="0"/>
              <w:rPr>
                <w:sz w:val="20"/>
                <w:szCs w:val="20"/>
                <w:color w:val="auto"/>
              </w:rPr>
            </w:pPr>
            <w:r>
              <w:rPr>
                <w:rFonts w:ascii="Arial" w:cs="Arial" w:eastAsia="Arial" w:hAnsi="Arial"/>
                <w:sz w:val="17"/>
                <w:szCs w:val="17"/>
                <w:color w:val="auto"/>
                <w:w w:val="86"/>
              </w:rPr>
              <w:t>3.13x</w:t>
            </w:r>
          </w:p>
        </w:tc>
        <w:tc>
          <w:tcPr>
            <w:tcW w:w="300" w:type="dxa"/>
            <w:vAlign w:val="bottom"/>
          </w:tcPr>
          <w:p>
            <w:pPr>
              <w:spacing w:after="0"/>
              <w:rPr>
                <w:sz w:val="18"/>
                <w:szCs w:val="18"/>
                <w:color w:val="auto"/>
              </w:rPr>
            </w:pPr>
          </w:p>
        </w:tc>
        <w:tc>
          <w:tcPr>
            <w:tcW w:w="540" w:type="dxa"/>
            <w:vAlign w:val="bottom"/>
            <w:gridSpan w:val="2"/>
          </w:tcPr>
          <w:p>
            <w:pPr>
              <w:ind w:left="60"/>
              <w:spacing w:after="0"/>
              <w:rPr>
                <w:sz w:val="20"/>
                <w:szCs w:val="20"/>
                <w:color w:val="auto"/>
              </w:rPr>
            </w:pPr>
            <w:r>
              <w:rPr>
                <w:rFonts w:ascii="Arial" w:cs="Arial" w:eastAsia="Arial" w:hAnsi="Arial"/>
                <w:sz w:val="17"/>
                <w:szCs w:val="17"/>
                <w:color w:val="auto"/>
              </w:rPr>
              <w:t>2.76x</w:t>
            </w:r>
          </w:p>
        </w:tc>
      </w:tr>
      <w:tr>
        <w:trPr>
          <w:trHeight w:val="210"/>
        </w:trPr>
        <w:tc>
          <w:tcPr>
            <w:tcW w:w="460" w:type="dxa"/>
            <w:vAlign w:val="bottom"/>
          </w:tcPr>
          <w:p>
            <w:pPr>
              <w:spacing w:after="0"/>
              <w:rPr>
                <w:sz w:val="18"/>
                <w:szCs w:val="18"/>
                <w:color w:val="auto"/>
              </w:rPr>
            </w:pPr>
          </w:p>
        </w:tc>
        <w:tc>
          <w:tcPr>
            <w:tcW w:w="762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Ratio of adjusted EBITDA to combined fixed charges and preferred share dividends (j)</w:t>
            </w:r>
          </w:p>
        </w:tc>
        <w:tc>
          <w:tcPr>
            <w:tcW w:w="48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6"/>
              </w:rPr>
              <w:t>3.33x</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6"/>
              </w:rPr>
              <w:t>2.82x</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6"/>
              </w:rPr>
              <w:t>3.12x</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2.75x</w:t>
            </w:r>
          </w:p>
        </w:tc>
      </w:tr>
      <w:tr>
        <w:trPr>
          <w:trHeight w:val="92"/>
        </w:trPr>
        <w:tc>
          <w:tcPr>
            <w:tcW w:w="4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6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60" w:hanging="455"/>
        <w:spacing w:after="0"/>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Mortgage loans do not include our 30% share ($17.3 million) of the $57.6 million debt of the partnership with a discretionary fund created and advised by ING</w:t>
      </w:r>
    </w:p>
    <w:p>
      <w:pPr>
        <w:sectPr>
          <w:pgSz w:w="11900" w:h="16838" w:orient="portrait"/>
          <w:cols w:equalWidth="0" w:num="1">
            <w:col w:w="11420"/>
          </w:cols>
          <w:pgMar w:left="240" w:top="271" w:right="239" w:bottom="0" w:gutter="0" w:footer="0" w:header="0"/>
        </w:sectPr>
      </w:pPr>
    </w:p>
    <w:bookmarkStart w:id="15" w:name="page16"/>
    <w:bookmarkEnd w:id="15"/>
    <w:p>
      <w:pPr>
        <w:ind w:left="460"/>
        <w:spacing w:after="0"/>
        <w:rPr>
          <w:sz w:val="20"/>
          <w:szCs w:val="20"/>
          <w:color w:val="auto"/>
        </w:rPr>
      </w:pPr>
      <w:r>
        <w:rPr>
          <w:rFonts w:ascii="Arial" w:cs="Arial" w:eastAsia="Arial" w:hAnsi="Arial"/>
          <w:sz w:val="17"/>
          <w:szCs w:val="17"/>
          <w:color w:val="auto"/>
        </w:rPr>
        <w:t>Clarion Partners. It also excludes the $8.8 million mortgage loan on our Newbury Street Partnership for which we are the lender.</w:t>
      </w:r>
    </w:p>
    <w:p>
      <w:pPr>
        <w:spacing w:after="0" w:line="20" w:lineRule="exact"/>
        <w:rPr>
          <w:sz w:val="20"/>
          <w:szCs w:val="20"/>
          <w:color w:val="auto"/>
        </w:rPr>
      </w:pPr>
    </w:p>
    <w:p>
      <w:pPr>
        <w:ind w:left="460" w:right="40" w:hanging="455"/>
        <w:spacing w:after="0" w:line="257"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interest rate of 6.04% represents the weighted average interest rate for two mortgage loans secured by this property. The loan balance represents an interest-only loan of $4.4 million at a stated rate of 6.18% and the remaining balance at a stated rate of 5.96%.</w:t>
      </w:r>
    </w:p>
    <w:p>
      <w:pPr>
        <w:jc w:val="both"/>
        <w:ind w:left="460" w:right="180" w:hanging="455"/>
        <w:spacing w:after="0" w:line="257"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1" w:lineRule="exact"/>
        <w:rPr>
          <w:rFonts w:ascii="Arial" w:cs="Arial" w:eastAsia="Arial" w:hAnsi="Arial"/>
          <w:sz w:val="17"/>
          <w:szCs w:val="17"/>
          <w:color w:val="auto"/>
        </w:rPr>
      </w:pPr>
    </w:p>
    <w:p>
      <w:pPr>
        <w:ind w:left="460" w:right="300" w:hanging="455"/>
        <w:spacing w:after="0" w:line="257"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interest rate is fixed at 5.66% for the first ten years and then will be reset to a market rate in 2013. The lender has the option to call the loan on April 15, 2013 or anytime thereafter.</w:t>
      </w:r>
    </w:p>
    <w:p>
      <w:pPr>
        <w:ind w:left="460" w:right="120" w:hanging="455"/>
        <w:spacing w:after="0" w:line="257"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interest rate of 3.57% represents the weighted average interest rate for three unsecured fixed rate notes payable. These notes mature between April 1, 2012 and January 31, 2013.</w:t>
      </w:r>
    </w:p>
    <w:p>
      <w:pPr>
        <w:ind w:left="460" w:right="20" w:hanging="455"/>
        <w:spacing w:after="0" w:line="257"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maximum amount drawn under our revolving credit facility for the three months and year ended December 31, 2010 was $82.0 million, and the weighted average effective interest rate on borrowings under our revolving credit facility, before amortization of debt fees, was 0.71% and 0.72% for the three months and year ended December 31, 2010, respectively.</w:t>
      </w:r>
    </w:p>
    <w:p>
      <w:pPr>
        <w:spacing w:after="0" w:line="1" w:lineRule="exact"/>
        <w:rPr>
          <w:rFonts w:ascii="Arial" w:cs="Arial" w:eastAsia="Arial" w:hAnsi="Arial"/>
          <w:sz w:val="17"/>
          <w:szCs w:val="17"/>
          <w:color w:val="auto"/>
        </w:rPr>
      </w:pPr>
    </w:p>
    <w:p>
      <w:pPr>
        <w:ind w:left="460" w:right="40" w:hanging="455"/>
        <w:spacing w:after="0" w:line="257"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ind w:left="460" w:right="40" w:hanging="455"/>
        <w:spacing w:after="0" w:line="257"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weighted average effective interest rate includes the amortization of any deferred financing fees, discounts and premiums, if applicable, except as described in Note i.</w:t>
      </w:r>
    </w:p>
    <w:p>
      <w:pPr>
        <w:ind w:left="460" w:right="60" w:hanging="455"/>
        <w:spacing w:after="0" w:line="257"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weighted average effective interest rate excludes $0.2 million in quarterly financing fees and quarterly debt fee amortization on our revolving credit facility which had a $77.0 million balance on December 31, 2010.</w:t>
      </w:r>
    </w:p>
    <w:p>
      <w:pPr>
        <w:ind w:left="460" w:hanging="455"/>
        <w:spacing w:after="0" w:line="273"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Fixed charges consist of interest on borrowed funds (including capitalized interest), amortization of debt discount/premium and debt costs and the portion of rent expense representing an interest factor. EBITDA includes a $1.4 million and $1.3 million gain on sale for the years ended December 31, 2010 and 2009, respectively. Fixed charges include $2.8 million of early extinguishment of debt for the year ended December 31, 2010, due to the write-off of unamortized debt fees related to the $250 million payoff of the term loan prior to its maturity date. Fixed charges include $1.7 million and $2.6 million of early extinguishment of debt for the quarter and year ended December 31, 2009, respectively, primarily related to the write-off of debt fees related to the paydown of the term loan and the cash tender offer for our 8.75% senior notes. Adjusted EBITDA is reconciled to net income in the Glossary of Terms.</w:t>
      </w:r>
    </w:p>
    <w:p>
      <w:pPr>
        <w:spacing w:after="0" w:line="2" w:lineRule="exact"/>
        <w:rPr>
          <w:rFonts w:ascii="Arial" w:cs="Arial" w:eastAsia="Arial" w:hAnsi="Arial"/>
          <w:sz w:val="16"/>
          <w:szCs w:val="16"/>
          <w:color w:val="auto"/>
        </w:rPr>
      </w:pPr>
    </w:p>
    <w:p>
      <w:pPr>
        <w:ind w:left="460" w:hanging="455"/>
        <w:spacing w:after="0" w:line="290"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to exclude less than ($0.1) million and ($4.7) million litigation provision charge for the three months ended December 31, 2010 and 2009, respectively, and $0.3 million and $16.4 million litigation provision charge for the years ended December 31, 2010 and 2009, respectively, related to litigation regarding a parcel of land located adjacent to Santana Row as well as other costs related to the litigation and the appeal process.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31"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Debt Maturities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DEBT MATURITIES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1"/>
              </w:rPr>
              <w:t>Cumulative</w:t>
            </w: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Scheduled</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2"/>
          </w:tcPr>
          <w:p>
            <w:pPr>
              <w:jc w:val="right"/>
              <w:ind w:right="640"/>
              <w:spacing w:after="0" w:line="144" w:lineRule="exact"/>
              <w:rPr>
                <w:sz w:val="20"/>
                <w:szCs w:val="20"/>
                <w:color w:val="auto"/>
              </w:rPr>
            </w:pPr>
            <w:r>
              <w:rPr>
                <w:rFonts w:ascii="Arial" w:cs="Arial" w:eastAsia="Arial" w:hAnsi="Arial"/>
                <w:sz w:val="13"/>
                <w:szCs w:val="13"/>
                <w:b w:val="1"/>
                <w:bCs w:val="1"/>
                <w:color w:val="auto"/>
              </w:rPr>
              <w:t>Percent of</w:t>
            </w:r>
          </w:p>
        </w:tc>
        <w:tc>
          <w:tcPr>
            <w:tcW w:w="1340" w:type="dxa"/>
            <w:vAlign w:val="bottom"/>
            <w:gridSpan w:val="2"/>
          </w:tcPr>
          <w:p>
            <w:pPr>
              <w:jc w:val="center"/>
              <w:ind w:right="500"/>
              <w:spacing w:after="0" w:line="144" w:lineRule="exact"/>
              <w:rPr>
                <w:sz w:val="20"/>
                <w:szCs w:val="20"/>
                <w:color w:val="auto"/>
              </w:rPr>
            </w:pPr>
            <w:r>
              <w:rPr>
                <w:rFonts w:ascii="Arial" w:cs="Arial" w:eastAsia="Arial" w:hAnsi="Arial"/>
                <w:sz w:val="13"/>
                <w:szCs w:val="13"/>
                <w:b w:val="1"/>
                <w:bCs w:val="1"/>
                <w:color w:val="auto"/>
                <w:w w:val="88"/>
              </w:rPr>
              <w:t>Percent of</w:t>
            </w:r>
          </w:p>
        </w:tc>
        <w:tc>
          <w:tcPr>
            <w:tcW w:w="92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57"/>
        </w:trPr>
        <w:tc>
          <w:tcPr>
            <w:tcW w:w="4040" w:type="dxa"/>
            <w:vAlign w:val="bottom"/>
            <w:gridSpan w:val="4"/>
          </w:tcPr>
          <w:p>
            <w:pPr>
              <w:spacing w:after="0"/>
              <w:rPr>
                <w:sz w:val="20"/>
                <w:szCs w:val="20"/>
                <w:color w:val="auto"/>
              </w:rPr>
            </w:pPr>
            <w:r>
              <w:rPr>
                <w:rFonts w:ascii="Arial" w:cs="Arial" w:eastAsia="Arial" w:hAnsi="Arial"/>
                <w:sz w:val="13"/>
                <w:szCs w:val="13"/>
                <w:b w:val="1"/>
                <w:bCs w:val="1"/>
                <w:color w:val="auto"/>
              </w:rPr>
              <w:t>Year</w:t>
            </w:r>
          </w:p>
        </w:tc>
        <w:tc>
          <w:tcPr>
            <w:tcW w:w="1160" w:type="dxa"/>
            <w:vAlign w:val="bottom"/>
            <w:gridSpan w:val="3"/>
          </w:tcPr>
          <w:p>
            <w:pPr>
              <w:spacing w:after="0"/>
              <w:rPr>
                <w:sz w:val="20"/>
                <w:szCs w:val="20"/>
                <w:color w:val="auto"/>
              </w:rPr>
            </w:pPr>
            <w:r>
              <w:rPr>
                <w:rFonts w:ascii="Arial" w:cs="Arial" w:eastAsia="Arial" w:hAnsi="Arial"/>
                <w:sz w:val="13"/>
                <w:szCs w:val="13"/>
                <w:b w:val="1"/>
                <w:bCs w:val="1"/>
                <w:color w:val="auto"/>
              </w:rPr>
              <w:t>Amortization</w:t>
            </w:r>
          </w:p>
        </w:tc>
        <w:tc>
          <w:tcPr>
            <w:tcW w:w="80" w:type="dxa"/>
            <w:vAlign w:val="bottom"/>
          </w:tcPr>
          <w:p>
            <w:pPr>
              <w:spacing w:after="0"/>
              <w:rPr>
                <w:sz w:val="13"/>
                <w:szCs w:val="13"/>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w w:val="94"/>
              </w:rPr>
              <w:t>Maturities</w:t>
            </w:r>
          </w:p>
        </w:tc>
        <w:tc>
          <w:tcPr>
            <w:tcW w:w="100" w:type="dxa"/>
            <w:vAlign w:val="bottom"/>
          </w:tcPr>
          <w:p>
            <w:pPr>
              <w:spacing w:after="0"/>
              <w:rPr>
                <w:sz w:val="13"/>
                <w:szCs w:val="13"/>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3"/>
                <w:szCs w:val="13"/>
                <w:b w:val="1"/>
                <w:bCs w:val="1"/>
                <w:color w:val="auto"/>
              </w:rPr>
              <w:t>Total</w:t>
            </w:r>
          </w:p>
        </w:tc>
        <w:tc>
          <w:tcPr>
            <w:tcW w:w="13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3"/>
              </w:rPr>
              <w:t>Debt Maturing</w:t>
            </w:r>
          </w:p>
        </w:tc>
        <w:tc>
          <w:tcPr>
            <w:tcW w:w="13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6"/>
              </w:rPr>
              <w:t>Debt Maturing</w:t>
            </w: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Rate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2011</w:t>
            </w: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12,224</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189,252(1)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201,476</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11.4%</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11.4%</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97"/>
              </w:rPr>
              <w:t>3.5%(4)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2012</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12,691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191,916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7"/>
                <w:szCs w:val="17"/>
                <w:color w:val="auto"/>
              </w:rPr>
              <w:t>204,607</w:t>
            </w:r>
          </w:p>
        </w:tc>
        <w:tc>
          <w:tcPr>
            <w:tcW w:w="1340" w:type="dxa"/>
            <w:vAlign w:val="bottom"/>
            <w:gridSpan w:val="2"/>
          </w:tcPr>
          <w:p>
            <w:pPr>
              <w:jc w:val="right"/>
              <w:ind w:right="340"/>
              <w:spacing w:after="0"/>
              <w:rPr>
                <w:sz w:val="20"/>
                <w:szCs w:val="20"/>
                <w:color w:val="auto"/>
              </w:rPr>
            </w:pPr>
            <w:r>
              <w:rPr>
                <w:rFonts w:ascii="Arial" w:cs="Arial" w:eastAsia="Arial" w:hAnsi="Arial"/>
                <w:sz w:val="17"/>
                <w:szCs w:val="17"/>
                <w:color w:val="auto"/>
              </w:rPr>
              <w:t>11.6%</w:t>
            </w: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23.0%</w:t>
            </w: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2013</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11,853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196,893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208,746</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11.8%</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34.8%</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2014</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10,225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297,864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7"/>
                <w:szCs w:val="17"/>
                <w:color w:val="auto"/>
              </w:rPr>
              <w:t>308,089</w:t>
            </w:r>
          </w:p>
        </w:tc>
        <w:tc>
          <w:tcPr>
            <w:tcW w:w="1340" w:type="dxa"/>
            <w:vAlign w:val="bottom"/>
            <w:gridSpan w:val="2"/>
          </w:tcPr>
          <w:p>
            <w:pPr>
              <w:jc w:val="right"/>
              <w:ind w:right="340"/>
              <w:spacing w:after="0"/>
              <w:rPr>
                <w:sz w:val="20"/>
                <w:szCs w:val="20"/>
                <w:color w:val="auto"/>
              </w:rPr>
            </w:pPr>
            <w:r>
              <w:rPr>
                <w:rFonts w:ascii="Arial" w:cs="Arial" w:eastAsia="Arial" w:hAnsi="Arial"/>
                <w:sz w:val="17"/>
                <w:szCs w:val="17"/>
                <w:color w:val="auto"/>
              </w:rPr>
              <w:t>17.4%</w:t>
            </w: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52.2%</w:t>
            </w: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2015</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198,391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205,249</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11.6%</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63.8%</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2016</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2,902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134,400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7"/>
                <w:szCs w:val="17"/>
                <w:color w:val="auto"/>
              </w:rPr>
              <w:t>137,302</w:t>
            </w:r>
          </w:p>
        </w:tc>
        <w:tc>
          <w:tcPr>
            <w:tcW w:w="1340" w:type="dxa"/>
            <w:vAlign w:val="bottom"/>
            <w:gridSpan w:val="2"/>
          </w:tcPr>
          <w:p>
            <w:pPr>
              <w:jc w:val="right"/>
              <w:ind w:right="340"/>
              <w:spacing w:after="0"/>
              <w:rPr>
                <w:sz w:val="20"/>
                <w:szCs w:val="20"/>
                <w:color w:val="auto"/>
              </w:rPr>
            </w:pPr>
            <w:r>
              <w:rPr>
                <w:rFonts w:ascii="Arial" w:cs="Arial" w:eastAsia="Arial" w:hAnsi="Arial"/>
                <w:sz w:val="17"/>
                <w:szCs w:val="17"/>
                <w:color w:val="auto"/>
              </w:rPr>
              <w:t>7.8%</w:t>
            </w: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71.6%</w:t>
            </w: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2017</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203,110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11.5%</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83.1%</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2018</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3,321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7"/>
                <w:szCs w:val="17"/>
                <w:color w:val="auto"/>
              </w:rPr>
              <w:t>3,321</w:t>
            </w:r>
          </w:p>
        </w:tc>
        <w:tc>
          <w:tcPr>
            <w:tcW w:w="1340" w:type="dxa"/>
            <w:vAlign w:val="bottom"/>
            <w:gridSpan w:val="2"/>
          </w:tcPr>
          <w:p>
            <w:pPr>
              <w:jc w:val="right"/>
              <w:ind w:right="340"/>
              <w:spacing w:after="0"/>
              <w:rPr>
                <w:sz w:val="20"/>
                <w:szCs w:val="20"/>
                <w:color w:val="auto"/>
              </w:rPr>
            </w:pPr>
            <w:r>
              <w:rPr>
                <w:rFonts w:ascii="Arial" w:cs="Arial" w:eastAsia="Arial" w:hAnsi="Arial"/>
                <w:sz w:val="17"/>
                <w:szCs w:val="17"/>
                <w:color w:val="auto"/>
              </w:rPr>
              <w:t>0.2%</w:t>
            </w: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83.3%</w:t>
            </w: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2019</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20,160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23,360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1.3%</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84.6%</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2020</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3,239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150,000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7"/>
                <w:szCs w:val="17"/>
                <w:color w:val="auto"/>
              </w:rPr>
              <w:t>153,239</w:t>
            </w:r>
          </w:p>
        </w:tc>
        <w:tc>
          <w:tcPr>
            <w:tcW w:w="1340" w:type="dxa"/>
            <w:vAlign w:val="bottom"/>
            <w:gridSpan w:val="2"/>
          </w:tcPr>
          <w:p>
            <w:pPr>
              <w:jc w:val="right"/>
              <w:ind w:right="340"/>
              <w:spacing w:after="0"/>
              <w:rPr>
                <w:sz w:val="20"/>
                <w:szCs w:val="20"/>
                <w:color w:val="auto"/>
              </w:rPr>
            </w:pPr>
            <w:r>
              <w:rPr>
                <w:rFonts w:ascii="Arial" w:cs="Arial" w:eastAsia="Arial" w:hAnsi="Arial"/>
                <w:sz w:val="17"/>
                <w:szCs w:val="17"/>
                <w:color w:val="auto"/>
              </w:rPr>
              <w:t>8.7%</w:t>
            </w: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93.3%</w:t>
            </w: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Thereafter</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45,597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72,878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118,475</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6.7%</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100.0%</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60" w:type="dxa"/>
            <w:vAlign w:val="bottom"/>
            <w:gridSpan w:val="2"/>
            <w:vMerge w:val="restart"/>
          </w:tcPr>
          <w:p>
            <w:pPr>
              <w:ind w:left="56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60" w:type="dxa"/>
            <w:vAlign w:val="bottom"/>
            <w:gridSpan w:val="2"/>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115,220</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1,651,754</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1220" w:type="dxa"/>
            <w:vAlign w:val="bottom"/>
            <w:gridSpan w:val="2"/>
          </w:tcPr>
          <w:p>
            <w:pPr>
              <w:jc w:val="right"/>
              <w:ind w:right="340"/>
              <w:spacing w:after="0"/>
              <w:rPr>
                <w:sz w:val="20"/>
                <w:szCs w:val="20"/>
                <w:color w:val="auto"/>
              </w:rPr>
            </w:pPr>
            <w:r>
              <w:rPr>
                <w:rFonts w:ascii="Arial" w:cs="Arial" w:eastAsia="Arial" w:hAnsi="Arial"/>
                <w:sz w:val="17"/>
                <w:szCs w:val="17"/>
                <w:color w:val="auto"/>
                <w:w w:val="89"/>
              </w:rPr>
              <w:t>1,766,974(2)</w:t>
            </w:r>
          </w:p>
        </w:tc>
        <w:tc>
          <w:tcPr>
            <w:tcW w:w="1340" w:type="dxa"/>
            <w:vAlign w:val="bottom"/>
            <w:gridSpan w:val="2"/>
          </w:tcPr>
          <w:p>
            <w:pPr>
              <w:jc w:val="right"/>
              <w:ind w:right="340"/>
              <w:spacing w:after="0"/>
              <w:rPr>
                <w:sz w:val="20"/>
                <w:szCs w:val="20"/>
                <w:color w:val="auto"/>
              </w:rPr>
            </w:pPr>
            <w:r>
              <w:rPr>
                <w:rFonts w:ascii="Arial" w:cs="Arial" w:eastAsia="Arial" w:hAnsi="Arial"/>
                <w:sz w:val="17"/>
                <w:szCs w:val="17"/>
                <w:color w:val="auto"/>
              </w:rPr>
              <w:t>100.0%</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60" w:right="400" w:hanging="455"/>
        <w:spacing w:after="0" w:line="257"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$300 million revolving credit facility matures on July 27, 2011. As of December 31, 2010, there was $77.0 million outstanding on our revolving credit facility.</w:t>
      </w:r>
    </w:p>
    <w:p>
      <w:pPr>
        <w:ind w:left="460" w:right="180" w:hanging="455"/>
        <w:spacing w:after="0" w:line="257"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total debt maturities differs from the total reported on the consolidated balance sheet due to the unamortized net discount or premium on certain mortgage loans, senior notes and debentures as of December 31, 2010.</w:t>
      </w:r>
    </w:p>
    <w:p>
      <w:pPr>
        <w:ind w:left="460" w:hanging="455"/>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weighted average rate reflects the weighted average interest rate on debt maturing in the respective year.</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weighted average rate excludes $0.2 million in quarterly financing fees and quarterly debt fee amortization on our revolving credit facility.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271"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Redevelopment Opportunities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Redevelopment Opportunities (1) ($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gridSpan w:val="3"/>
          </w:tcPr>
          <w:p>
            <w:pPr>
              <w:ind w:left="20"/>
              <w:spacing w:after="0"/>
              <w:rPr>
                <w:sz w:val="20"/>
                <w:szCs w:val="20"/>
                <w:color w:val="auto"/>
              </w:rPr>
            </w:pPr>
            <w:r>
              <w:rPr>
                <w:rFonts w:ascii="Arial" w:cs="Arial" w:eastAsia="Arial" w:hAnsi="Arial"/>
                <w:sz w:val="13"/>
                <w:szCs w:val="13"/>
                <w:b w:val="1"/>
                <w:bCs w:val="1"/>
                <w:color w:val="auto"/>
              </w:rPr>
              <w:t>Cost</w:t>
            </w: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1"/>
              </w:rPr>
              <w:t>Projected</w:t>
            </w:r>
          </w:p>
        </w:tc>
        <w:tc>
          <w:tcPr>
            <w:tcW w:w="120" w:type="dxa"/>
            <w:vAlign w:val="bottom"/>
          </w:tcPr>
          <w:p>
            <w:pPr>
              <w:spacing w:after="0"/>
              <w:rPr>
                <w:sz w:val="12"/>
                <w:szCs w:val="12"/>
                <w:color w:val="auto"/>
              </w:rPr>
            </w:pPr>
          </w:p>
        </w:tc>
        <w:tc>
          <w:tcPr>
            <w:tcW w:w="82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Projected</w:t>
            </w:r>
          </w:p>
        </w:tc>
        <w:tc>
          <w:tcPr>
            <w:tcW w:w="36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rPr>
              <w:t>to</w:t>
            </w:r>
          </w:p>
        </w:tc>
        <w:tc>
          <w:tcPr>
            <w:tcW w:w="0" w:type="dxa"/>
            <w:vAlign w:val="bottom"/>
          </w:tcPr>
          <w:p>
            <w:pPr>
              <w:spacing w:after="0"/>
              <w:rPr>
                <w:sz w:val="1"/>
                <w:szCs w:val="1"/>
                <w:color w:val="auto"/>
              </w:rPr>
            </w:pPr>
          </w:p>
        </w:tc>
      </w:tr>
      <w:tr>
        <w:trPr>
          <w:trHeight w:val="157"/>
        </w:trPr>
        <w:tc>
          <w:tcPr>
            <w:tcW w:w="1220" w:type="dxa"/>
            <w:vAlign w:val="bottom"/>
          </w:tcPr>
          <w:p>
            <w:pPr>
              <w:spacing w:after="0"/>
              <w:rPr>
                <w:sz w:val="13"/>
                <w:szCs w:val="13"/>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3"/>
              </w:rPr>
              <w:t>Property</w:t>
            </w:r>
          </w:p>
        </w:tc>
        <w:tc>
          <w:tcPr>
            <w:tcW w:w="1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Location</w:t>
            </w:r>
          </w:p>
        </w:tc>
        <w:tc>
          <w:tcPr>
            <w:tcW w:w="5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Opportunity</w:t>
            </w:r>
          </w:p>
        </w:tc>
        <w:tc>
          <w:tcPr>
            <w:tcW w:w="194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ROI (2)</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94"/>
              </w:rPr>
              <w:t>Cost (1)</w:t>
            </w:r>
          </w:p>
        </w:tc>
        <w:tc>
          <w:tcPr>
            <w:tcW w:w="280" w:type="dxa"/>
            <w:vAlign w:val="bottom"/>
          </w:tcPr>
          <w:p>
            <w:pPr>
              <w:spacing w:after="0"/>
              <w:rPr>
                <w:sz w:val="13"/>
                <w:szCs w:val="13"/>
                <w:color w:val="auto"/>
              </w:rPr>
            </w:pP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2"/>
              </w:rPr>
              <w:t>Date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18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Projects Stabilized in 2010 (3)</w:t>
            </w: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80" w:type="dxa"/>
            <w:vAlign w:val="bottom"/>
            <w:gridSpan w:val="3"/>
          </w:tcPr>
          <w:p>
            <w:pPr>
              <w:spacing w:after="0"/>
              <w:rPr>
                <w:sz w:val="20"/>
                <w:szCs w:val="20"/>
                <w:color w:val="auto"/>
              </w:rPr>
            </w:pPr>
            <w:r>
              <w:rPr>
                <w:rFonts w:ascii="Arial" w:cs="Arial" w:eastAsia="Arial" w:hAnsi="Arial"/>
                <w:sz w:val="17"/>
                <w:szCs w:val="17"/>
                <w:color w:val="auto"/>
              </w:rPr>
              <w:t>Bethesda Row (Hampden Lane)</w:t>
            </w:r>
          </w:p>
        </w:tc>
        <w:tc>
          <w:tcPr>
            <w:tcW w:w="1520" w:type="dxa"/>
            <w:vAlign w:val="bottom"/>
            <w:gridSpan w:val="3"/>
          </w:tcPr>
          <w:p>
            <w:pPr>
              <w:ind w:left="20"/>
              <w:spacing w:after="0"/>
              <w:rPr>
                <w:sz w:val="20"/>
                <w:szCs w:val="20"/>
                <w:color w:val="auto"/>
              </w:rPr>
            </w:pPr>
            <w:r>
              <w:rPr>
                <w:rFonts w:ascii="Arial" w:cs="Arial" w:eastAsia="Arial" w:hAnsi="Arial"/>
                <w:sz w:val="17"/>
                <w:szCs w:val="17"/>
                <w:color w:val="auto"/>
              </w:rPr>
              <w:t>Bethesda, MD</w:t>
            </w:r>
          </w:p>
        </w:tc>
        <w:tc>
          <w:tcPr>
            <w:tcW w:w="4580" w:type="dxa"/>
            <w:vAlign w:val="bottom"/>
            <w:gridSpan w:val="3"/>
          </w:tcPr>
          <w:p>
            <w:pPr>
              <w:ind w:left="120"/>
              <w:spacing w:after="0"/>
              <w:rPr>
                <w:sz w:val="20"/>
                <w:szCs w:val="20"/>
                <w:color w:val="auto"/>
              </w:rPr>
            </w:pPr>
            <w:r>
              <w:rPr>
                <w:rFonts w:ascii="Arial" w:cs="Arial" w:eastAsia="Arial" w:hAnsi="Arial"/>
                <w:sz w:val="17"/>
                <w:szCs w:val="17"/>
                <w:color w:val="auto"/>
              </w:rPr>
              <w:t>Construction of new three level building leased to fitness</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80" w:type="dxa"/>
            <w:vAlign w:val="bottom"/>
            <w:gridSpan w:val="3"/>
          </w:tcPr>
          <w:p>
            <w:pPr>
              <w:ind w:left="120"/>
              <w:spacing w:after="0"/>
              <w:rPr>
                <w:sz w:val="20"/>
                <w:szCs w:val="20"/>
                <w:color w:val="auto"/>
              </w:rPr>
            </w:pPr>
            <w:r>
              <w:rPr>
                <w:rFonts w:ascii="Arial" w:cs="Arial" w:eastAsia="Arial" w:hAnsi="Arial"/>
                <w:sz w:val="17"/>
                <w:szCs w:val="17"/>
                <w:color w:val="auto"/>
              </w:rPr>
              <w:t>center and two additional ground level retail spaces.</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30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12</w:t>
            </w:r>
          </w:p>
        </w:tc>
        <w:tc>
          <w:tcPr>
            <w:tcW w:w="0" w:type="dxa"/>
            <w:vAlign w:val="bottom"/>
          </w:tcPr>
          <w:p>
            <w:pPr>
              <w:spacing w:after="0"/>
              <w:rPr>
                <w:sz w:val="1"/>
                <w:szCs w:val="1"/>
                <w:color w:val="auto"/>
              </w:rPr>
            </w:pPr>
          </w:p>
        </w:tc>
      </w:tr>
      <w:tr>
        <w:trPr>
          <w:trHeight w:val="204"/>
        </w:trPr>
        <w:tc>
          <w:tcPr>
            <w:tcW w:w="3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Village of Shirlington - Phase III &amp; IV</w:t>
            </w:r>
          </w:p>
        </w:tc>
        <w:tc>
          <w:tcPr>
            <w:tcW w:w="15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Arlington, VA</w:t>
            </w:r>
          </w:p>
        </w:tc>
        <w:tc>
          <w:tcPr>
            <w:tcW w:w="45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w w:val="97"/>
              </w:rPr>
              <w:t>Ground lease to hotel operator and ground floor retail as part</w:t>
            </w: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of office building development (by others)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1"/>
        </w:trPr>
        <w:tc>
          <w:tcPr>
            <w:tcW w:w="3180" w:type="dxa"/>
            <w:vAlign w:val="bottom"/>
            <w:gridSpan w:val="3"/>
          </w:tcPr>
          <w:p>
            <w:pPr>
              <w:spacing w:after="0"/>
              <w:rPr>
                <w:sz w:val="20"/>
                <w:szCs w:val="20"/>
                <w:color w:val="auto"/>
              </w:rPr>
            </w:pPr>
            <w:r>
              <w:rPr>
                <w:rFonts w:ascii="Arial" w:cs="Arial" w:eastAsia="Arial" w:hAnsi="Arial"/>
                <w:sz w:val="17"/>
                <w:szCs w:val="17"/>
                <w:color w:val="auto"/>
              </w:rPr>
              <w:t>Barracks Road</w:t>
            </w:r>
          </w:p>
        </w:tc>
        <w:tc>
          <w:tcPr>
            <w:tcW w:w="1520" w:type="dxa"/>
            <w:vAlign w:val="bottom"/>
            <w:gridSpan w:val="3"/>
          </w:tcPr>
          <w:p>
            <w:pPr>
              <w:ind w:left="20"/>
              <w:spacing w:after="0"/>
              <w:rPr>
                <w:sz w:val="20"/>
                <w:szCs w:val="20"/>
                <w:color w:val="auto"/>
              </w:rPr>
            </w:pPr>
            <w:r>
              <w:rPr>
                <w:rFonts w:ascii="Arial" w:cs="Arial" w:eastAsia="Arial" w:hAnsi="Arial"/>
                <w:sz w:val="17"/>
                <w:szCs w:val="17"/>
                <w:color w:val="auto"/>
              </w:rPr>
              <w:t>Charlottesville, VA</w:t>
            </w:r>
          </w:p>
        </w:tc>
        <w:tc>
          <w:tcPr>
            <w:tcW w:w="4580" w:type="dxa"/>
            <w:vAlign w:val="bottom"/>
            <w:gridSpan w:val="3"/>
          </w:tcPr>
          <w:p>
            <w:pPr>
              <w:ind w:left="120"/>
              <w:spacing w:after="0"/>
              <w:rPr>
                <w:sz w:val="20"/>
                <w:szCs w:val="20"/>
                <w:color w:val="auto"/>
              </w:rPr>
            </w:pPr>
            <w:r>
              <w:rPr>
                <w:rFonts w:ascii="Arial" w:cs="Arial" w:eastAsia="Arial" w:hAnsi="Arial"/>
                <w:sz w:val="17"/>
                <w:szCs w:val="17"/>
                <w:color w:val="auto"/>
              </w:rPr>
              <w:t>Expansion of Bed, Bath and Beyond and creation of two</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80" w:type="dxa"/>
            <w:vAlign w:val="bottom"/>
            <w:gridSpan w:val="3"/>
          </w:tcPr>
          <w:p>
            <w:pPr>
              <w:ind w:left="120"/>
              <w:spacing w:after="0"/>
              <w:rPr>
                <w:sz w:val="20"/>
                <w:szCs w:val="20"/>
                <w:color w:val="auto"/>
              </w:rPr>
            </w:pPr>
            <w:r>
              <w:rPr>
                <w:rFonts w:ascii="Arial" w:cs="Arial" w:eastAsia="Arial" w:hAnsi="Arial"/>
                <w:sz w:val="17"/>
                <w:szCs w:val="17"/>
                <w:color w:val="auto"/>
                <w:w w:val="98"/>
              </w:rPr>
              <w:t>additional small shop spaces, utilizing vacant anchor space.</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30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4"/>
        </w:trPr>
        <w:tc>
          <w:tcPr>
            <w:tcW w:w="3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Lancaster</w:t>
            </w:r>
          </w:p>
        </w:tc>
        <w:tc>
          <w:tcPr>
            <w:tcW w:w="15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Lancaster, PA</w:t>
            </w:r>
          </w:p>
        </w:tc>
        <w:tc>
          <w:tcPr>
            <w:tcW w:w="45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w w:val="97"/>
              </w:rPr>
              <w:t>Renovation and expansion of existing grocer, new bank pad,</w:t>
            </w: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and façade renovation</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3180" w:type="dxa"/>
            <w:vAlign w:val="bottom"/>
            <w:gridSpan w:val="3"/>
          </w:tcPr>
          <w:p>
            <w:pPr>
              <w:spacing w:after="0"/>
              <w:rPr>
                <w:sz w:val="20"/>
                <w:szCs w:val="20"/>
                <w:color w:val="auto"/>
              </w:rPr>
            </w:pPr>
            <w:r>
              <w:rPr>
                <w:rFonts w:ascii="Arial" w:cs="Arial" w:eastAsia="Arial" w:hAnsi="Arial"/>
                <w:sz w:val="17"/>
                <w:szCs w:val="17"/>
                <w:color w:val="auto"/>
              </w:rPr>
              <w:t>Langhorne</w:t>
            </w:r>
          </w:p>
        </w:tc>
        <w:tc>
          <w:tcPr>
            <w:tcW w:w="1520" w:type="dxa"/>
            <w:vAlign w:val="bottom"/>
            <w:gridSpan w:val="3"/>
          </w:tcPr>
          <w:p>
            <w:pPr>
              <w:ind w:left="20"/>
              <w:spacing w:after="0"/>
              <w:rPr>
                <w:sz w:val="20"/>
                <w:szCs w:val="20"/>
                <w:color w:val="auto"/>
              </w:rPr>
            </w:pPr>
            <w:r>
              <w:rPr>
                <w:rFonts w:ascii="Arial" w:cs="Arial" w:eastAsia="Arial" w:hAnsi="Arial"/>
                <w:sz w:val="17"/>
                <w:szCs w:val="17"/>
                <w:color w:val="auto"/>
              </w:rPr>
              <w:t>Levittown, PA</w:t>
            </w:r>
          </w:p>
        </w:tc>
        <w:tc>
          <w:tcPr>
            <w:tcW w:w="4580" w:type="dxa"/>
            <w:vAlign w:val="bottom"/>
            <w:gridSpan w:val="3"/>
          </w:tcPr>
          <w:p>
            <w:pPr>
              <w:ind w:left="120"/>
              <w:spacing w:after="0"/>
              <w:rPr>
                <w:sz w:val="20"/>
                <w:szCs w:val="20"/>
                <w:color w:val="auto"/>
              </w:rPr>
            </w:pPr>
            <w:r>
              <w:rPr>
                <w:rFonts w:ascii="Arial" w:cs="Arial" w:eastAsia="Arial" w:hAnsi="Arial"/>
                <w:sz w:val="17"/>
                <w:szCs w:val="17"/>
                <w:color w:val="auto"/>
              </w:rPr>
              <w:t>Pad site addition</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15%</w:t>
            </w:r>
          </w:p>
        </w:tc>
        <w:tc>
          <w:tcPr>
            <w:tcW w:w="30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1"/>
        </w:trPr>
        <w:tc>
          <w:tcPr>
            <w:tcW w:w="3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Atlantic Plaza (JV Property) (5)</w:t>
            </w:r>
          </w:p>
        </w:tc>
        <w:tc>
          <w:tcPr>
            <w:tcW w:w="15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North Reading, MA</w:t>
            </w:r>
          </w:p>
        </w:tc>
        <w:tc>
          <w:tcPr>
            <w:tcW w:w="45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Property improvements, including façade renovation, in</w:t>
            </w: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preparation for new lease with grocery store</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700" w:type="dxa"/>
            <w:vAlign w:val="bottom"/>
            <w:gridSpan w:val="6"/>
            <w:vMerge w:val="restart"/>
          </w:tcPr>
          <w:p>
            <w:pPr>
              <w:ind w:left="420"/>
              <w:spacing w:after="0"/>
              <w:rPr>
                <w:sz w:val="20"/>
                <w:szCs w:val="20"/>
                <w:color w:val="auto"/>
              </w:rPr>
            </w:pPr>
            <w:r>
              <w:rPr>
                <w:rFonts w:ascii="Arial" w:cs="Arial" w:eastAsia="Arial" w:hAnsi="Arial"/>
                <w:sz w:val="17"/>
                <w:szCs w:val="17"/>
                <w:b w:val="1"/>
                <w:bCs w:val="1"/>
                <w:color w:val="auto"/>
              </w:rPr>
              <w:t>Subtotal: Projects Stabilized in 2010 (3) (4)</w:t>
            </w:r>
          </w:p>
        </w:tc>
        <w:tc>
          <w:tcPr>
            <w:tcW w:w="1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00" w:type="dxa"/>
            <w:vAlign w:val="bottom"/>
            <w:gridSpan w:val="6"/>
            <w:vMerge w:val="continue"/>
          </w:tcPr>
          <w:p>
            <w:pPr>
              <w:spacing w:after="0"/>
              <w:rPr>
                <w:sz w:val="18"/>
                <w:szCs w:val="18"/>
                <w:color w:val="auto"/>
              </w:rPr>
            </w:pPr>
          </w:p>
        </w:tc>
        <w:tc>
          <w:tcPr>
            <w:tcW w:w="1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14%</w:t>
            </w:r>
          </w:p>
        </w:tc>
        <w:tc>
          <w:tcPr>
            <w:tcW w:w="300" w:type="dxa"/>
            <w:vAlign w:val="bottom"/>
            <w:gridSpan w:val="2"/>
          </w:tcPr>
          <w:p>
            <w:pPr>
              <w:ind w:left="120"/>
              <w:spacing w:after="0"/>
              <w:rPr>
                <w:sz w:val="20"/>
                <w:szCs w:val="20"/>
                <w:color w:val="auto"/>
              </w:rPr>
            </w:pPr>
            <w:r>
              <w:rPr>
                <w:rFonts w:ascii="Arial" w:cs="Arial" w:eastAsia="Arial" w:hAnsi="Arial"/>
                <w:sz w:val="17"/>
                <w:szCs w:val="17"/>
                <w:b w:val="1"/>
                <w:bCs w:val="1"/>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27</w:t>
            </w:r>
          </w:p>
        </w:tc>
        <w:tc>
          <w:tcPr>
            <w:tcW w:w="100" w:type="dxa"/>
            <w:vAlign w:val="bottom"/>
          </w:tcPr>
          <w:p>
            <w:pPr>
              <w:spacing w:after="0"/>
              <w:rPr>
                <w:sz w:val="20"/>
                <w:szCs w:val="20"/>
                <w:color w:val="auto"/>
              </w:rPr>
            </w:pPr>
            <w:r>
              <w:rPr>
                <w:rFonts w:ascii="Arial" w:cs="Arial" w:eastAsia="Arial" w:hAnsi="Arial"/>
                <w:sz w:val="17"/>
                <w:szCs w:val="17"/>
                <w:b w:val="1"/>
                <w:bCs w:val="1"/>
                <w:u w:val="single" w:color="auto"/>
                <w:color w:val="auto"/>
                <w:w w:val="84"/>
              </w:rPr>
              <w:t>$</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w w:val="84"/>
              </w:rPr>
              <w:t>24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8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w w:val="91"/>
              </w:rPr>
              <w:t>Projects Anticipated to Stabilize in 2011 (3)</w:t>
            </w: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80" w:type="dxa"/>
            <w:vAlign w:val="bottom"/>
            <w:gridSpan w:val="3"/>
          </w:tcPr>
          <w:p>
            <w:pPr>
              <w:spacing w:after="0"/>
              <w:rPr>
                <w:sz w:val="20"/>
                <w:szCs w:val="20"/>
                <w:color w:val="auto"/>
              </w:rPr>
            </w:pPr>
            <w:r>
              <w:rPr>
                <w:rFonts w:ascii="Arial" w:cs="Arial" w:eastAsia="Arial" w:hAnsi="Arial"/>
                <w:sz w:val="17"/>
                <w:szCs w:val="17"/>
                <w:color w:val="auto"/>
              </w:rPr>
              <w:t>Santana Row</w:t>
            </w:r>
          </w:p>
        </w:tc>
        <w:tc>
          <w:tcPr>
            <w:tcW w:w="1520" w:type="dxa"/>
            <w:vAlign w:val="bottom"/>
            <w:gridSpan w:val="3"/>
          </w:tcPr>
          <w:p>
            <w:pPr>
              <w:ind w:left="20"/>
              <w:spacing w:after="0"/>
              <w:rPr>
                <w:sz w:val="20"/>
                <w:szCs w:val="20"/>
                <w:color w:val="auto"/>
              </w:rPr>
            </w:pPr>
            <w:r>
              <w:rPr>
                <w:rFonts w:ascii="Arial" w:cs="Arial" w:eastAsia="Arial" w:hAnsi="Arial"/>
                <w:sz w:val="17"/>
                <w:szCs w:val="17"/>
                <w:color w:val="auto"/>
              </w:rPr>
              <w:t>San Jose, CA</w:t>
            </w:r>
          </w:p>
        </w:tc>
        <w:tc>
          <w:tcPr>
            <w:tcW w:w="4580" w:type="dxa"/>
            <w:vAlign w:val="bottom"/>
            <w:gridSpan w:val="3"/>
          </w:tcPr>
          <w:p>
            <w:pPr>
              <w:ind w:left="120"/>
              <w:spacing w:after="0"/>
              <w:rPr>
                <w:sz w:val="20"/>
                <w:szCs w:val="20"/>
                <w:color w:val="auto"/>
              </w:rPr>
            </w:pPr>
            <w:r>
              <w:rPr>
                <w:rFonts w:ascii="Arial" w:cs="Arial" w:eastAsia="Arial" w:hAnsi="Arial"/>
                <w:sz w:val="17"/>
                <w:szCs w:val="17"/>
                <w:color w:val="auto"/>
              </w:rPr>
              <w:t>Five-story building with 15,000 square feet of ground level</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80" w:type="dxa"/>
            <w:vAlign w:val="bottom"/>
            <w:gridSpan w:val="3"/>
          </w:tcPr>
          <w:p>
            <w:pPr>
              <w:ind w:left="120"/>
              <w:spacing w:after="0"/>
              <w:rPr>
                <w:sz w:val="20"/>
                <w:szCs w:val="20"/>
                <w:color w:val="auto"/>
              </w:rPr>
            </w:pPr>
            <w:r>
              <w:rPr>
                <w:rFonts w:ascii="Arial" w:cs="Arial" w:eastAsia="Arial" w:hAnsi="Arial"/>
                <w:sz w:val="17"/>
                <w:szCs w:val="17"/>
                <w:color w:val="auto"/>
              </w:rPr>
              <w:t>retail and 65,000 square feet of office space</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30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36</w:t>
            </w:r>
          </w:p>
        </w:tc>
        <w:tc>
          <w:tcPr>
            <w:tcW w:w="0" w:type="dxa"/>
            <w:vAlign w:val="bottom"/>
          </w:tcPr>
          <w:p>
            <w:pPr>
              <w:spacing w:after="0"/>
              <w:rPr>
                <w:sz w:val="1"/>
                <w:szCs w:val="1"/>
                <w:color w:val="auto"/>
              </w:rPr>
            </w:pPr>
          </w:p>
        </w:tc>
      </w:tr>
      <w:tr>
        <w:trPr>
          <w:trHeight w:val="204"/>
        </w:trPr>
        <w:tc>
          <w:tcPr>
            <w:tcW w:w="3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Crossroads</w:t>
            </w:r>
          </w:p>
        </w:tc>
        <w:tc>
          <w:tcPr>
            <w:tcW w:w="15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Highland Park, IL</w:t>
            </w:r>
          </w:p>
        </w:tc>
        <w:tc>
          <w:tcPr>
            <w:tcW w:w="45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w w:val="97"/>
              </w:rPr>
              <w:t>Combine four spaces in preparation for new fitness operator,</w:t>
            </w: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replacing vacant anchor and small shop space.</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3180" w:type="dxa"/>
            <w:vAlign w:val="bottom"/>
            <w:gridSpan w:val="3"/>
          </w:tcPr>
          <w:p>
            <w:pPr>
              <w:spacing w:after="0"/>
              <w:rPr>
                <w:sz w:val="20"/>
                <w:szCs w:val="20"/>
                <w:color w:val="auto"/>
              </w:rPr>
            </w:pPr>
            <w:r>
              <w:rPr>
                <w:rFonts w:ascii="Arial" w:cs="Arial" w:eastAsia="Arial" w:hAnsi="Arial"/>
                <w:sz w:val="17"/>
                <w:szCs w:val="17"/>
                <w:color w:val="auto"/>
              </w:rPr>
              <w:t>Brick</w:t>
            </w:r>
          </w:p>
        </w:tc>
        <w:tc>
          <w:tcPr>
            <w:tcW w:w="1520" w:type="dxa"/>
            <w:vAlign w:val="bottom"/>
            <w:gridSpan w:val="3"/>
          </w:tcPr>
          <w:p>
            <w:pPr>
              <w:ind w:left="20"/>
              <w:spacing w:after="0"/>
              <w:rPr>
                <w:sz w:val="20"/>
                <w:szCs w:val="20"/>
                <w:color w:val="auto"/>
              </w:rPr>
            </w:pPr>
            <w:r>
              <w:rPr>
                <w:rFonts w:ascii="Arial" w:cs="Arial" w:eastAsia="Arial" w:hAnsi="Arial"/>
                <w:sz w:val="17"/>
                <w:szCs w:val="17"/>
                <w:color w:val="auto"/>
              </w:rPr>
              <w:t>Brick, NJ</w:t>
            </w:r>
          </w:p>
        </w:tc>
        <w:tc>
          <w:tcPr>
            <w:tcW w:w="4580" w:type="dxa"/>
            <w:vAlign w:val="bottom"/>
            <w:gridSpan w:val="3"/>
          </w:tcPr>
          <w:p>
            <w:pPr>
              <w:ind w:left="120"/>
              <w:spacing w:after="0"/>
              <w:rPr>
                <w:sz w:val="20"/>
                <w:szCs w:val="20"/>
                <w:color w:val="auto"/>
              </w:rPr>
            </w:pPr>
            <w:r>
              <w:rPr>
                <w:rFonts w:ascii="Arial" w:cs="Arial" w:eastAsia="Arial" w:hAnsi="Arial"/>
                <w:sz w:val="17"/>
                <w:szCs w:val="17"/>
                <w:color w:val="auto"/>
              </w:rPr>
              <w:t>Redevelopment and expansion of existing pad site</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30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6"/>
        </w:trPr>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6"/>
            <w:shd w:val="clear" w:color="auto" w:fill="CCEEFF"/>
          </w:tcPr>
          <w:p>
            <w:pPr>
              <w:ind w:left="420"/>
              <w:spacing w:after="0"/>
              <w:rPr>
                <w:sz w:val="20"/>
                <w:szCs w:val="20"/>
                <w:color w:val="auto"/>
              </w:rPr>
            </w:pPr>
            <w:r>
              <w:rPr>
                <w:rFonts w:ascii="Arial" w:cs="Arial" w:eastAsia="Arial" w:hAnsi="Arial"/>
                <w:sz w:val="17"/>
                <w:szCs w:val="17"/>
                <w:b w:val="1"/>
                <w:bCs w:val="1"/>
                <w:color w:val="auto"/>
                <w:w w:val="94"/>
              </w:rPr>
              <w:t>Subtotal: Projects Anticipated to Stabilize in 2011 (3) (4)</w:t>
            </w:r>
          </w:p>
        </w:tc>
        <w:tc>
          <w:tcPr>
            <w:tcW w:w="1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6%</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48</w:t>
            </w:r>
          </w:p>
        </w:tc>
        <w:tc>
          <w:tcPr>
            <w:tcW w:w="100" w:type="dxa"/>
            <w:vAlign w:val="bottom"/>
            <w:shd w:val="clear" w:color="auto" w:fill="CCEEFF"/>
          </w:tcPr>
          <w:p>
            <w:pPr>
              <w:spacing w:after="0"/>
              <w:rPr>
                <w:sz w:val="20"/>
                <w:szCs w:val="20"/>
                <w:color w:val="auto"/>
              </w:rPr>
            </w:pPr>
            <w:r>
              <w:rPr>
                <w:rFonts w:ascii="Arial" w:cs="Arial" w:eastAsia="Arial" w:hAnsi="Arial"/>
                <w:sz w:val="17"/>
                <w:szCs w:val="17"/>
                <w:b w:val="1"/>
                <w:bCs w:val="1"/>
                <w:u w:val="single" w:color="auto"/>
                <w:color w:val="auto"/>
                <w:w w:val="84"/>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w w:val="84"/>
              </w:rPr>
              <w:t>38</w:t>
            </w:r>
          </w:p>
        </w:tc>
        <w:tc>
          <w:tcPr>
            <w:tcW w:w="0" w:type="dxa"/>
            <w:vAlign w:val="bottom"/>
          </w:tcPr>
          <w:p>
            <w:pPr>
              <w:spacing w:after="0"/>
              <w:rPr>
                <w:sz w:val="1"/>
                <w:szCs w:val="1"/>
                <w:color w:val="auto"/>
              </w:rPr>
            </w:pPr>
          </w:p>
        </w:tc>
      </w:tr>
      <w:tr>
        <w:trPr>
          <w:trHeight w:val="20"/>
        </w:trPr>
        <w:tc>
          <w:tcPr>
            <w:tcW w:w="3180" w:type="dxa"/>
            <w:vAlign w:val="bottom"/>
            <w:gridSpan w:val="3"/>
            <w:vMerge w:val="restart"/>
          </w:tcPr>
          <w:p>
            <w:pPr>
              <w:spacing w:after="0"/>
              <w:rPr>
                <w:sz w:val="20"/>
                <w:szCs w:val="20"/>
                <w:color w:val="auto"/>
              </w:rPr>
            </w:pPr>
            <w:r>
              <w:rPr>
                <w:rFonts w:ascii="Arial" w:cs="Arial" w:eastAsia="Arial" w:hAnsi="Arial"/>
                <w:sz w:val="17"/>
                <w:szCs w:val="17"/>
                <w:b w:val="1"/>
                <w:bCs w:val="1"/>
                <w:color w:val="auto"/>
                <w:w w:val="91"/>
              </w:rPr>
              <w:t>Projects Anticipated to Stabilize in 2012 (3)</w:t>
            </w: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180" w:type="dxa"/>
            <w:vAlign w:val="bottom"/>
            <w:gridSpan w:val="3"/>
            <w:vMerge w:val="continue"/>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Santana Row</w:t>
            </w:r>
          </w:p>
        </w:tc>
        <w:tc>
          <w:tcPr>
            <w:tcW w:w="15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San Jose, CA</w:t>
            </w:r>
          </w:p>
        </w:tc>
        <w:tc>
          <w:tcPr>
            <w:tcW w:w="45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109 unit residential building</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10</w:t>
            </w:r>
          </w:p>
        </w:tc>
        <w:tc>
          <w:tcPr>
            <w:tcW w:w="0" w:type="dxa"/>
            <w:vAlign w:val="bottom"/>
          </w:tcPr>
          <w:p>
            <w:pPr>
              <w:spacing w:after="0"/>
              <w:rPr>
                <w:sz w:val="1"/>
                <w:szCs w:val="1"/>
                <w:color w:val="auto"/>
              </w:rPr>
            </w:pPr>
          </w:p>
        </w:tc>
      </w:tr>
      <w:tr>
        <w:trPr>
          <w:trHeight w:val="201"/>
        </w:trPr>
        <w:tc>
          <w:tcPr>
            <w:tcW w:w="3180" w:type="dxa"/>
            <w:vAlign w:val="bottom"/>
            <w:gridSpan w:val="3"/>
          </w:tcPr>
          <w:p>
            <w:pPr>
              <w:spacing w:after="0"/>
              <w:rPr>
                <w:sz w:val="20"/>
                <w:szCs w:val="20"/>
                <w:color w:val="auto"/>
              </w:rPr>
            </w:pPr>
            <w:r>
              <w:rPr>
                <w:rFonts w:ascii="Arial" w:cs="Arial" w:eastAsia="Arial" w:hAnsi="Arial"/>
                <w:sz w:val="17"/>
                <w:szCs w:val="17"/>
                <w:color w:val="auto"/>
              </w:rPr>
              <w:t>Shops at Willow Lawn</w:t>
            </w:r>
          </w:p>
        </w:tc>
        <w:tc>
          <w:tcPr>
            <w:tcW w:w="1520" w:type="dxa"/>
            <w:vAlign w:val="bottom"/>
            <w:gridSpan w:val="3"/>
          </w:tcPr>
          <w:p>
            <w:pPr>
              <w:ind w:left="20"/>
              <w:spacing w:after="0"/>
              <w:rPr>
                <w:sz w:val="20"/>
                <w:szCs w:val="20"/>
                <w:color w:val="auto"/>
              </w:rPr>
            </w:pPr>
            <w:r>
              <w:rPr>
                <w:rFonts w:ascii="Arial" w:cs="Arial" w:eastAsia="Arial" w:hAnsi="Arial"/>
                <w:sz w:val="17"/>
                <w:szCs w:val="17"/>
                <w:color w:val="auto"/>
              </w:rPr>
              <w:t>Richmond, VA</w:t>
            </w:r>
          </w:p>
        </w:tc>
        <w:tc>
          <w:tcPr>
            <w:tcW w:w="4580" w:type="dxa"/>
            <w:vAlign w:val="bottom"/>
            <w:gridSpan w:val="3"/>
          </w:tcPr>
          <w:p>
            <w:pPr>
              <w:ind w:left="120"/>
              <w:spacing w:after="0"/>
              <w:rPr>
                <w:sz w:val="20"/>
                <w:szCs w:val="20"/>
                <w:color w:val="auto"/>
              </w:rPr>
            </w:pPr>
            <w:r>
              <w:rPr>
                <w:rFonts w:ascii="Arial" w:cs="Arial" w:eastAsia="Arial" w:hAnsi="Arial"/>
                <w:sz w:val="17"/>
                <w:szCs w:val="17"/>
                <w:color w:val="auto"/>
              </w:rPr>
              <w:t>Demo interior mall, relocate mall tenants, construct new</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80" w:type="dxa"/>
            <w:vAlign w:val="bottom"/>
            <w:gridSpan w:val="3"/>
          </w:tcPr>
          <w:p>
            <w:pPr>
              <w:ind w:left="120"/>
              <w:spacing w:after="0"/>
              <w:rPr>
                <w:sz w:val="20"/>
                <w:szCs w:val="20"/>
                <w:color w:val="auto"/>
              </w:rPr>
            </w:pPr>
            <w:r>
              <w:rPr>
                <w:rFonts w:ascii="Arial" w:cs="Arial" w:eastAsia="Arial" w:hAnsi="Arial"/>
                <w:sz w:val="17"/>
                <w:szCs w:val="17"/>
                <w:color w:val="auto"/>
              </w:rPr>
              <w:t>exterior GLA, new pad buildings, and gas station</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30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4"/>
        </w:trPr>
        <w:tc>
          <w:tcPr>
            <w:tcW w:w="3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Fresh Meadows</w:t>
            </w:r>
          </w:p>
        </w:tc>
        <w:tc>
          <w:tcPr>
            <w:tcW w:w="15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Queens, NY</w:t>
            </w:r>
          </w:p>
        </w:tc>
        <w:tc>
          <w:tcPr>
            <w:tcW w:w="45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w w:val="99"/>
              </w:rPr>
              <w:t>Conversion of 2nd floor office space for new sporting goods</w:t>
            </w: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retailer.</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
        </w:trPr>
        <w:tc>
          <w:tcPr>
            <w:tcW w:w="4700" w:type="dxa"/>
            <w:vAlign w:val="bottom"/>
            <w:gridSpan w:val="6"/>
            <w:vMerge w:val="restart"/>
          </w:tcPr>
          <w:p>
            <w:pPr>
              <w:ind w:left="420"/>
              <w:spacing w:after="0"/>
              <w:rPr>
                <w:sz w:val="20"/>
                <w:szCs w:val="20"/>
                <w:color w:val="auto"/>
              </w:rPr>
            </w:pPr>
            <w:r>
              <w:rPr>
                <w:rFonts w:ascii="Arial" w:cs="Arial" w:eastAsia="Arial" w:hAnsi="Arial"/>
                <w:sz w:val="17"/>
                <w:szCs w:val="17"/>
                <w:b w:val="1"/>
                <w:bCs w:val="1"/>
                <w:color w:val="auto"/>
                <w:w w:val="94"/>
              </w:rPr>
              <w:t>Subtotal: Projects Anticipated to Stabilize in 2012 (3) (4)</w:t>
            </w:r>
          </w:p>
        </w:tc>
        <w:tc>
          <w:tcPr>
            <w:tcW w:w="1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00" w:type="dxa"/>
            <w:vAlign w:val="bottom"/>
            <w:gridSpan w:val="6"/>
            <w:vMerge w:val="continue"/>
          </w:tcPr>
          <w:p>
            <w:pPr>
              <w:spacing w:after="0"/>
              <w:rPr>
                <w:sz w:val="18"/>
                <w:szCs w:val="18"/>
                <w:color w:val="auto"/>
              </w:rPr>
            </w:pPr>
          </w:p>
        </w:tc>
        <w:tc>
          <w:tcPr>
            <w:tcW w:w="1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8%</w:t>
            </w:r>
          </w:p>
        </w:tc>
        <w:tc>
          <w:tcPr>
            <w:tcW w:w="300" w:type="dxa"/>
            <w:vAlign w:val="bottom"/>
            <w:gridSpan w:val="2"/>
          </w:tcPr>
          <w:p>
            <w:pPr>
              <w:ind w:left="120"/>
              <w:spacing w:after="0"/>
              <w:rPr>
                <w:sz w:val="20"/>
                <w:szCs w:val="20"/>
                <w:color w:val="auto"/>
              </w:rPr>
            </w:pPr>
            <w:r>
              <w:rPr>
                <w:rFonts w:ascii="Arial" w:cs="Arial" w:eastAsia="Arial" w:hAnsi="Arial"/>
                <w:sz w:val="17"/>
                <w:szCs w:val="17"/>
                <w:b w:val="1"/>
                <w:bCs w:val="1"/>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50</w:t>
            </w:r>
          </w:p>
        </w:tc>
        <w:tc>
          <w:tcPr>
            <w:tcW w:w="100" w:type="dxa"/>
            <w:vAlign w:val="bottom"/>
          </w:tcPr>
          <w:p>
            <w:pPr>
              <w:spacing w:after="0"/>
              <w:rPr>
                <w:sz w:val="20"/>
                <w:szCs w:val="20"/>
                <w:color w:val="auto"/>
              </w:rPr>
            </w:pPr>
            <w:r>
              <w:rPr>
                <w:rFonts w:ascii="Arial" w:cs="Arial" w:eastAsia="Arial" w:hAnsi="Arial"/>
                <w:sz w:val="17"/>
                <w:szCs w:val="17"/>
                <w:b w:val="1"/>
                <w:bCs w:val="1"/>
                <w:u w:val="single" w:color="auto"/>
                <w:color w:val="auto"/>
                <w:w w:val="84"/>
              </w:rPr>
              <w:t>$</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w w:val="84"/>
              </w:rPr>
              <w:t>12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80" w:type="dxa"/>
            <w:vAlign w:val="bottom"/>
            <w:gridSpan w:val="9"/>
            <w:shd w:val="clear" w:color="auto" w:fill="CCEEFF"/>
          </w:tcPr>
          <w:p>
            <w:pPr>
              <w:spacing w:after="0"/>
              <w:rPr>
                <w:sz w:val="20"/>
                <w:szCs w:val="20"/>
                <w:color w:val="auto"/>
              </w:rPr>
            </w:pPr>
            <w:r>
              <w:rPr>
                <w:rFonts w:ascii="Arial" w:cs="Arial" w:eastAsia="Arial" w:hAnsi="Arial"/>
                <w:sz w:val="17"/>
                <w:szCs w:val="17"/>
                <w:b w:val="1"/>
                <w:bCs w:val="1"/>
                <w:color w:val="auto"/>
              </w:rPr>
              <w:t>Total: Projects Anticipated to Stabilize in 2010, 2011 and 2012 (3) (4)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8%</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125</w:t>
            </w:r>
          </w:p>
        </w:tc>
        <w:tc>
          <w:tcPr>
            <w:tcW w:w="100" w:type="dxa"/>
            <w:vAlign w:val="bottom"/>
            <w:shd w:val="clear" w:color="auto" w:fill="CCEEFF"/>
          </w:tcPr>
          <w:p>
            <w:pPr>
              <w:spacing w:after="0"/>
              <w:rPr>
                <w:sz w:val="20"/>
                <w:szCs w:val="20"/>
                <w:color w:val="auto"/>
              </w:rPr>
            </w:pPr>
            <w:r>
              <w:rPr>
                <w:rFonts w:ascii="Arial" w:cs="Arial" w:eastAsia="Arial" w:hAnsi="Arial"/>
                <w:sz w:val="17"/>
                <w:szCs w:val="17"/>
                <w:b w:val="1"/>
                <w:bCs w:val="1"/>
                <w:u w:val="single" w:color="auto"/>
                <w:color w:val="auto"/>
                <w:w w:val="84"/>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w w:val="84"/>
              </w:rPr>
              <w:t>74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right="280"/>
        <w:spacing w:after="0" w:line="265" w:lineRule="auto"/>
        <w:rPr>
          <w:sz w:val="20"/>
          <w:szCs w:val="20"/>
          <w:color w:val="auto"/>
        </w:rPr>
      </w:pPr>
      <w:r>
        <w:rPr>
          <w:rFonts w:ascii="Arial" w:cs="Arial" w:eastAsia="Arial" w:hAnsi="Arial"/>
          <w:sz w:val="17"/>
          <w:szCs w:val="17"/>
          <w:b w:val="1"/>
          <w:bCs w:val="1"/>
          <w:color w:val="auto"/>
        </w:rPr>
        <w:t>A recent review of our portfolio has generated numerous potential opportunities to invest $350-$550 million to create future shareholder value, many of which were previously disclosed as future redevelopment opportunities on this schedule.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127" w:lineRule="exact"/>
        <w:rPr>
          <w:sz w:val="20"/>
          <w:szCs w:val="20"/>
          <w:color w:val="auto"/>
        </w:rPr>
      </w:pPr>
    </w:p>
    <w:p>
      <w:pPr>
        <w:ind w:right="540"/>
        <w:spacing w:after="0" w:line="320" w:lineRule="auto"/>
        <w:rPr>
          <w:sz w:val="20"/>
          <w:szCs w:val="20"/>
          <w:color w:val="auto"/>
        </w:rPr>
      </w:pPr>
      <w:r>
        <w:rPr>
          <w:rFonts w:ascii="Arial" w:cs="Arial" w:eastAsia="Arial" w:hAnsi="Arial"/>
          <w:sz w:val="16"/>
          <w:szCs w:val="16"/>
          <w:b w:val="1"/>
          <w:bCs w:val="1"/>
          <w:color w:val="auto"/>
        </w:rPr>
        <w:t>Pad Site Opportunities – Opportunity to invest a total of up to $15-$20 million to add both single tenant and multi-tenant stand alone pad buildings at existing retail properties. Many of these opportunities are “by right” and construction is awaiting appropriate retailer demand.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Assembly Square Marketplace</w:t>
            </w:r>
          </w:p>
        </w:tc>
        <w:tc>
          <w:tcPr>
            <w:tcW w:w="2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Somerville, MA</w:t>
            </w:r>
          </w:p>
        </w:tc>
        <w:tc>
          <w:tcPr>
            <w:tcW w:w="194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Flourtown</w:t>
            </w:r>
          </w:p>
        </w:tc>
        <w:tc>
          <w:tcPr>
            <w:tcW w:w="4460" w:type="dxa"/>
            <w:vAlign w:val="bottom"/>
            <w:shd w:val="clear" w:color="auto" w:fill="CCEEFF"/>
          </w:tcPr>
          <w:p>
            <w:pPr>
              <w:ind w:left="720"/>
              <w:spacing w:after="0"/>
              <w:rPr>
                <w:sz w:val="20"/>
                <w:szCs w:val="20"/>
                <w:color w:val="auto"/>
              </w:rPr>
            </w:pPr>
            <w:r>
              <w:rPr>
                <w:rFonts w:ascii="Arial" w:cs="Arial" w:eastAsia="Arial" w:hAnsi="Arial"/>
                <w:sz w:val="17"/>
                <w:szCs w:val="17"/>
                <w:color w:val="auto"/>
              </w:rPr>
              <w:t>Flourtown, PA</w:t>
            </w:r>
          </w:p>
        </w:tc>
      </w:tr>
      <w:tr>
        <w:trPr>
          <w:trHeight w:val="210"/>
        </w:trPr>
        <w:tc>
          <w:tcPr>
            <w:tcW w:w="2980" w:type="dxa"/>
            <w:vAlign w:val="bottom"/>
          </w:tcPr>
          <w:p>
            <w:pPr>
              <w:ind w:left="180"/>
              <w:spacing w:after="0"/>
              <w:rPr>
                <w:sz w:val="20"/>
                <w:szCs w:val="20"/>
                <w:color w:val="auto"/>
              </w:rPr>
            </w:pPr>
            <w:r>
              <w:rPr>
                <w:rFonts w:ascii="Arial" w:cs="Arial" w:eastAsia="Arial" w:hAnsi="Arial"/>
                <w:sz w:val="17"/>
                <w:szCs w:val="17"/>
                <w:b w:val="1"/>
                <w:bCs w:val="1"/>
                <w:color w:val="auto"/>
              </w:rPr>
              <w:t>Bala Cynwyd</w:t>
            </w:r>
          </w:p>
        </w:tc>
        <w:tc>
          <w:tcPr>
            <w:tcW w:w="2040" w:type="dxa"/>
            <w:vAlign w:val="bottom"/>
          </w:tcPr>
          <w:p>
            <w:pPr>
              <w:ind w:left="580"/>
              <w:spacing w:after="0"/>
              <w:rPr>
                <w:sz w:val="20"/>
                <w:szCs w:val="20"/>
                <w:color w:val="auto"/>
              </w:rPr>
            </w:pPr>
            <w:r>
              <w:rPr>
                <w:rFonts w:ascii="Arial" w:cs="Arial" w:eastAsia="Arial" w:hAnsi="Arial"/>
                <w:sz w:val="17"/>
                <w:szCs w:val="17"/>
                <w:color w:val="auto"/>
              </w:rPr>
              <w:t>Bala Cynwyd, PA</w:t>
            </w:r>
          </w:p>
        </w:tc>
        <w:tc>
          <w:tcPr>
            <w:tcW w:w="1940" w:type="dxa"/>
            <w:vAlign w:val="bottom"/>
          </w:tcPr>
          <w:p>
            <w:pPr>
              <w:ind w:left="260"/>
              <w:spacing w:after="0"/>
              <w:rPr>
                <w:sz w:val="20"/>
                <w:szCs w:val="20"/>
                <w:color w:val="auto"/>
              </w:rPr>
            </w:pPr>
            <w:r>
              <w:rPr>
                <w:rFonts w:ascii="Arial" w:cs="Arial" w:eastAsia="Arial" w:hAnsi="Arial"/>
                <w:sz w:val="17"/>
                <w:szCs w:val="17"/>
                <w:b w:val="1"/>
                <w:bCs w:val="1"/>
                <w:color w:val="auto"/>
              </w:rPr>
              <w:t>Melville Mall</w:t>
            </w:r>
          </w:p>
        </w:tc>
        <w:tc>
          <w:tcPr>
            <w:tcW w:w="4460" w:type="dxa"/>
            <w:vAlign w:val="bottom"/>
          </w:tcPr>
          <w:p>
            <w:pPr>
              <w:ind w:left="720"/>
              <w:spacing w:after="0"/>
              <w:rPr>
                <w:sz w:val="20"/>
                <w:szCs w:val="20"/>
                <w:color w:val="auto"/>
              </w:rPr>
            </w:pPr>
            <w:r>
              <w:rPr>
                <w:rFonts w:ascii="Arial" w:cs="Arial" w:eastAsia="Arial" w:hAnsi="Arial"/>
                <w:sz w:val="17"/>
                <w:szCs w:val="17"/>
                <w:color w:val="auto"/>
              </w:rPr>
              <w:t>Huntington, NY</w:t>
            </w:r>
          </w:p>
        </w:tc>
      </w:tr>
      <w:tr>
        <w:trPr>
          <w:trHeight w:val="210"/>
        </w:trPr>
        <w:tc>
          <w:tcPr>
            <w:tcW w:w="298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Brick Plaza</w:t>
            </w:r>
          </w:p>
        </w:tc>
        <w:tc>
          <w:tcPr>
            <w:tcW w:w="2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Brick, NJ</w:t>
            </w:r>
          </w:p>
        </w:tc>
        <w:tc>
          <w:tcPr>
            <w:tcW w:w="194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Mercer Mall</w:t>
            </w:r>
          </w:p>
        </w:tc>
        <w:tc>
          <w:tcPr>
            <w:tcW w:w="4460" w:type="dxa"/>
            <w:vAlign w:val="bottom"/>
            <w:shd w:val="clear" w:color="auto" w:fill="CCEEFF"/>
          </w:tcPr>
          <w:p>
            <w:pPr>
              <w:ind w:left="720"/>
              <w:spacing w:after="0"/>
              <w:rPr>
                <w:sz w:val="20"/>
                <w:szCs w:val="20"/>
                <w:color w:val="auto"/>
              </w:rPr>
            </w:pPr>
            <w:r>
              <w:rPr>
                <w:rFonts w:ascii="Arial" w:cs="Arial" w:eastAsia="Arial" w:hAnsi="Arial"/>
                <w:sz w:val="17"/>
                <w:szCs w:val="17"/>
                <w:color w:val="auto"/>
              </w:rPr>
              <w:t>Lawrenceville, NJ</w:t>
            </w:r>
          </w:p>
        </w:tc>
      </w:tr>
      <w:tr>
        <w:trPr>
          <w:trHeight w:val="210"/>
        </w:trPr>
        <w:tc>
          <w:tcPr>
            <w:tcW w:w="2980" w:type="dxa"/>
            <w:vAlign w:val="bottom"/>
          </w:tcPr>
          <w:p>
            <w:pPr>
              <w:ind w:left="180"/>
              <w:spacing w:after="0"/>
              <w:rPr>
                <w:sz w:val="20"/>
                <w:szCs w:val="20"/>
                <w:color w:val="auto"/>
              </w:rPr>
            </w:pPr>
            <w:r>
              <w:rPr>
                <w:rFonts w:ascii="Arial" w:cs="Arial" w:eastAsia="Arial" w:hAnsi="Arial"/>
                <w:sz w:val="17"/>
                <w:szCs w:val="17"/>
                <w:b w:val="1"/>
                <w:bCs w:val="1"/>
                <w:color w:val="auto"/>
              </w:rPr>
              <w:t>Dedham Plaza</w:t>
            </w:r>
          </w:p>
        </w:tc>
        <w:tc>
          <w:tcPr>
            <w:tcW w:w="2040" w:type="dxa"/>
            <w:vAlign w:val="bottom"/>
          </w:tcPr>
          <w:p>
            <w:pPr>
              <w:ind w:left="580"/>
              <w:spacing w:after="0"/>
              <w:rPr>
                <w:sz w:val="20"/>
                <w:szCs w:val="20"/>
                <w:color w:val="auto"/>
              </w:rPr>
            </w:pPr>
            <w:r>
              <w:rPr>
                <w:rFonts w:ascii="Arial" w:cs="Arial" w:eastAsia="Arial" w:hAnsi="Arial"/>
                <w:sz w:val="17"/>
                <w:szCs w:val="17"/>
                <w:color w:val="auto"/>
              </w:rPr>
              <w:t>Dedham, MA</w:t>
            </w:r>
          </w:p>
        </w:tc>
        <w:tc>
          <w:tcPr>
            <w:tcW w:w="1940" w:type="dxa"/>
            <w:vAlign w:val="bottom"/>
          </w:tcPr>
          <w:p>
            <w:pPr>
              <w:ind w:left="260"/>
              <w:spacing w:after="0"/>
              <w:rPr>
                <w:sz w:val="20"/>
                <w:szCs w:val="20"/>
                <w:color w:val="auto"/>
              </w:rPr>
            </w:pPr>
            <w:r>
              <w:rPr>
                <w:rFonts w:ascii="Arial" w:cs="Arial" w:eastAsia="Arial" w:hAnsi="Arial"/>
                <w:sz w:val="17"/>
                <w:szCs w:val="17"/>
                <w:b w:val="1"/>
                <w:bCs w:val="1"/>
                <w:color w:val="auto"/>
              </w:rPr>
              <w:t>Troy</w:t>
            </w:r>
          </w:p>
        </w:tc>
        <w:tc>
          <w:tcPr>
            <w:tcW w:w="4460" w:type="dxa"/>
            <w:vAlign w:val="bottom"/>
          </w:tcPr>
          <w:p>
            <w:pPr>
              <w:ind w:left="720"/>
              <w:spacing w:after="0"/>
              <w:rPr>
                <w:sz w:val="20"/>
                <w:szCs w:val="20"/>
                <w:color w:val="auto"/>
              </w:rPr>
            </w:pPr>
            <w:r>
              <w:rPr>
                <w:rFonts w:ascii="Arial" w:cs="Arial" w:eastAsia="Arial" w:hAnsi="Arial"/>
                <w:sz w:val="17"/>
                <w:szCs w:val="17"/>
                <w:color w:val="auto"/>
              </w:rPr>
              <w:t>Parsippany, NJ</w:t>
            </w:r>
          </w:p>
        </w:tc>
      </w:tr>
      <w:tr>
        <w:trPr>
          <w:trHeight w:val="210"/>
        </w:trPr>
        <w:tc>
          <w:tcPr>
            <w:tcW w:w="298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Escondido</w:t>
            </w:r>
          </w:p>
        </w:tc>
        <w:tc>
          <w:tcPr>
            <w:tcW w:w="20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Escondido, CA</w:t>
            </w:r>
          </w:p>
        </w:tc>
        <w:tc>
          <w:tcPr>
            <w:tcW w:w="194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Westgate</w:t>
            </w:r>
          </w:p>
        </w:tc>
        <w:tc>
          <w:tcPr>
            <w:tcW w:w="4460" w:type="dxa"/>
            <w:vAlign w:val="bottom"/>
            <w:shd w:val="clear" w:color="auto" w:fill="CCEEFF"/>
          </w:tcPr>
          <w:p>
            <w:pPr>
              <w:ind w:left="720"/>
              <w:spacing w:after="0"/>
              <w:rPr>
                <w:sz w:val="20"/>
                <w:szCs w:val="20"/>
                <w:color w:val="auto"/>
              </w:rPr>
            </w:pPr>
            <w:r>
              <w:rPr>
                <w:rFonts w:ascii="Arial" w:cs="Arial" w:eastAsia="Arial" w:hAnsi="Arial"/>
                <w:sz w:val="17"/>
                <w:szCs w:val="17"/>
                <w:color w:val="auto"/>
              </w:rPr>
              <w:t>San Jose, CA</w:t>
            </w:r>
          </w:p>
        </w:tc>
      </w:tr>
      <w:tr>
        <w:trPr>
          <w:trHeight w:val="220"/>
        </w:trPr>
        <w:tc>
          <w:tcPr>
            <w:tcW w:w="2980" w:type="dxa"/>
            <w:vAlign w:val="bottom"/>
          </w:tcPr>
          <w:p>
            <w:pPr>
              <w:ind w:left="180"/>
              <w:spacing w:after="0"/>
              <w:rPr>
                <w:sz w:val="20"/>
                <w:szCs w:val="20"/>
                <w:color w:val="auto"/>
              </w:rPr>
            </w:pPr>
            <w:r>
              <w:rPr>
                <w:rFonts w:ascii="Arial" w:cs="Arial" w:eastAsia="Arial" w:hAnsi="Arial"/>
                <w:sz w:val="17"/>
                <w:szCs w:val="17"/>
                <w:b w:val="1"/>
                <w:bCs w:val="1"/>
                <w:color w:val="auto"/>
              </w:rPr>
              <w:t>Federal Plaza</w:t>
            </w:r>
          </w:p>
        </w:tc>
        <w:tc>
          <w:tcPr>
            <w:tcW w:w="2040" w:type="dxa"/>
            <w:vAlign w:val="bottom"/>
          </w:tcPr>
          <w:p>
            <w:pPr>
              <w:ind w:left="580"/>
              <w:spacing w:after="0"/>
              <w:rPr>
                <w:sz w:val="20"/>
                <w:szCs w:val="20"/>
                <w:color w:val="auto"/>
              </w:rPr>
            </w:pPr>
            <w:r>
              <w:rPr>
                <w:rFonts w:ascii="Arial" w:cs="Arial" w:eastAsia="Arial" w:hAnsi="Arial"/>
                <w:sz w:val="17"/>
                <w:szCs w:val="17"/>
                <w:color w:val="auto"/>
              </w:rPr>
              <w:t>Rockville, MD</w:t>
            </w:r>
          </w:p>
        </w:tc>
        <w:tc>
          <w:tcPr>
            <w:tcW w:w="1940" w:type="dxa"/>
            <w:vAlign w:val="bottom"/>
          </w:tcPr>
          <w:p>
            <w:pPr>
              <w:ind w:left="260"/>
              <w:spacing w:after="0"/>
              <w:rPr>
                <w:sz w:val="20"/>
                <w:szCs w:val="20"/>
                <w:color w:val="auto"/>
              </w:rPr>
            </w:pPr>
            <w:r>
              <w:rPr>
                <w:rFonts w:ascii="Arial" w:cs="Arial" w:eastAsia="Arial" w:hAnsi="Arial"/>
                <w:sz w:val="17"/>
                <w:szCs w:val="17"/>
                <w:b w:val="1"/>
                <w:bCs w:val="1"/>
                <w:color w:val="auto"/>
              </w:rPr>
              <w:t>Wildwood</w:t>
            </w:r>
          </w:p>
        </w:tc>
        <w:tc>
          <w:tcPr>
            <w:tcW w:w="4460" w:type="dxa"/>
            <w:vAlign w:val="bottom"/>
          </w:tcPr>
          <w:p>
            <w:pPr>
              <w:ind w:left="720"/>
              <w:spacing w:after="0"/>
              <w:rPr>
                <w:sz w:val="20"/>
                <w:szCs w:val="20"/>
                <w:color w:val="auto"/>
              </w:rPr>
            </w:pPr>
            <w:r>
              <w:rPr>
                <w:rFonts w:ascii="Arial" w:cs="Arial" w:eastAsia="Arial" w:hAnsi="Arial"/>
                <w:sz w:val="17"/>
                <w:szCs w:val="17"/>
                <w:color w:val="auto"/>
              </w:rPr>
              <w:t>Bethesda, MD</w:t>
            </w:r>
          </w:p>
        </w:tc>
      </w:tr>
    </w:tbl>
    <w:p>
      <w:pPr>
        <w:spacing w:after="0" w:line="135" w:lineRule="exact"/>
        <w:rPr>
          <w:sz w:val="20"/>
          <w:szCs w:val="20"/>
          <w:color w:val="auto"/>
        </w:rPr>
      </w:pPr>
    </w:p>
    <w:p>
      <w:pPr>
        <w:ind w:right="440"/>
        <w:spacing w:after="0" w:line="287" w:lineRule="auto"/>
        <w:rPr>
          <w:sz w:val="20"/>
          <w:szCs w:val="20"/>
          <w:color w:val="auto"/>
        </w:rPr>
      </w:pPr>
      <w:r>
        <w:rPr>
          <w:rFonts w:ascii="Arial" w:cs="Arial" w:eastAsia="Arial" w:hAnsi="Arial"/>
          <w:sz w:val="17"/>
          <w:szCs w:val="17"/>
          <w:b w:val="1"/>
          <w:bCs w:val="1"/>
          <w:color w:val="auto"/>
        </w:rPr>
        <w:t>Property Expansion or Conversion – Opportunity to invest a total of up to $15-$20 million at successful retail properties to convert previously unusable space into new GLA and to convert other existing uses into additional retail GLA.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6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Fresh Meadows</w:t>
            </w:r>
          </w:p>
        </w:tc>
        <w:tc>
          <w:tcPr>
            <w:tcW w:w="2500" w:type="dxa"/>
            <w:vAlign w:val="bottom"/>
            <w:shd w:val="clear" w:color="auto" w:fill="CCEEFF"/>
          </w:tcPr>
          <w:p>
            <w:pPr>
              <w:ind w:left="1100"/>
              <w:spacing w:after="0"/>
              <w:rPr>
                <w:sz w:val="20"/>
                <w:szCs w:val="20"/>
                <w:color w:val="auto"/>
              </w:rPr>
            </w:pPr>
            <w:r>
              <w:rPr>
                <w:rFonts w:ascii="Arial" w:cs="Arial" w:eastAsia="Arial" w:hAnsi="Arial"/>
                <w:sz w:val="17"/>
                <w:szCs w:val="17"/>
                <w:color w:val="auto"/>
              </w:rPr>
              <w:t>Queens, NY</w:t>
            </w:r>
          </w:p>
        </w:tc>
        <w:tc>
          <w:tcPr>
            <w:tcW w:w="240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Shoppers’ World</w:t>
            </w:r>
          </w:p>
        </w:tc>
        <w:tc>
          <w:tcPr>
            <w:tcW w:w="4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Charlottesville, VA</w:t>
            </w:r>
          </w:p>
        </w:tc>
      </w:tr>
      <w:tr>
        <w:trPr>
          <w:trHeight w:val="210"/>
        </w:trPr>
        <w:tc>
          <w:tcPr>
            <w:tcW w:w="2460" w:type="dxa"/>
            <w:vAlign w:val="bottom"/>
          </w:tcPr>
          <w:p>
            <w:pPr>
              <w:ind w:left="180"/>
              <w:spacing w:after="0"/>
              <w:rPr>
                <w:sz w:val="20"/>
                <w:szCs w:val="20"/>
                <w:color w:val="auto"/>
              </w:rPr>
            </w:pPr>
            <w:r>
              <w:rPr>
                <w:rFonts w:ascii="Arial" w:cs="Arial" w:eastAsia="Arial" w:hAnsi="Arial"/>
                <w:sz w:val="17"/>
                <w:szCs w:val="17"/>
                <w:b w:val="1"/>
                <w:bCs w:val="1"/>
                <w:color w:val="auto"/>
              </w:rPr>
              <w:t>Hollywood Blvd</w:t>
            </w:r>
          </w:p>
        </w:tc>
        <w:tc>
          <w:tcPr>
            <w:tcW w:w="2500" w:type="dxa"/>
            <w:vAlign w:val="bottom"/>
          </w:tcPr>
          <w:p>
            <w:pPr>
              <w:ind w:left="1100"/>
              <w:spacing w:after="0"/>
              <w:rPr>
                <w:sz w:val="20"/>
                <w:szCs w:val="20"/>
                <w:color w:val="auto"/>
              </w:rPr>
            </w:pPr>
            <w:r>
              <w:rPr>
                <w:rFonts w:ascii="Arial" w:cs="Arial" w:eastAsia="Arial" w:hAnsi="Arial"/>
                <w:sz w:val="17"/>
                <w:szCs w:val="17"/>
                <w:color w:val="auto"/>
              </w:rPr>
              <w:t>Hollywood, CA</w:t>
            </w:r>
          </w:p>
        </w:tc>
        <w:tc>
          <w:tcPr>
            <w:tcW w:w="2400" w:type="dxa"/>
            <w:vAlign w:val="bottom"/>
          </w:tcPr>
          <w:p>
            <w:pPr>
              <w:ind w:left="320"/>
              <w:spacing w:after="0"/>
              <w:rPr>
                <w:sz w:val="20"/>
                <w:szCs w:val="20"/>
                <w:color w:val="auto"/>
              </w:rPr>
            </w:pPr>
            <w:r>
              <w:rPr>
                <w:rFonts w:ascii="Arial" w:cs="Arial" w:eastAsia="Arial" w:hAnsi="Arial"/>
                <w:sz w:val="17"/>
                <w:szCs w:val="17"/>
                <w:b w:val="1"/>
                <w:bCs w:val="1"/>
                <w:color w:val="auto"/>
              </w:rPr>
              <w:t>Third Street Promenade</w:t>
            </w:r>
          </w:p>
        </w:tc>
        <w:tc>
          <w:tcPr>
            <w:tcW w:w="4060" w:type="dxa"/>
            <w:vAlign w:val="bottom"/>
          </w:tcPr>
          <w:p>
            <w:pPr>
              <w:ind w:left="320"/>
              <w:spacing w:after="0"/>
              <w:rPr>
                <w:sz w:val="20"/>
                <w:szCs w:val="20"/>
                <w:color w:val="auto"/>
              </w:rPr>
            </w:pPr>
            <w:r>
              <w:rPr>
                <w:rFonts w:ascii="Arial" w:cs="Arial" w:eastAsia="Arial" w:hAnsi="Arial"/>
                <w:sz w:val="17"/>
                <w:szCs w:val="17"/>
                <w:color w:val="auto"/>
              </w:rPr>
              <w:t>Santa Monica, CA</w:t>
            </w:r>
          </w:p>
        </w:tc>
      </w:tr>
      <w:tr>
        <w:trPr>
          <w:trHeight w:val="210"/>
        </w:trPr>
        <w:tc>
          <w:tcPr>
            <w:tcW w:w="246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Pentagon Row</w:t>
            </w:r>
          </w:p>
        </w:tc>
        <w:tc>
          <w:tcPr>
            <w:tcW w:w="2500" w:type="dxa"/>
            <w:vAlign w:val="bottom"/>
            <w:shd w:val="clear" w:color="auto" w:fill="CCEEFF"/>
          </w:tcPr>
          <w:p>
            <w:pPr>
              <w:ind w:left="1100"/>
              <w:spacing w:after="0"/>
              <w:rPr>
                <w:sz w:val="20"/>
                <w:szCs w:val="20"/>
                <w:color w:val="auto"/>
              </w:rPr>
            </w:pPr>
            <w:r>
              <w:rPr>
                <w:rFonts w:ascii="Arial" w:cs="Arial" w:eastAsia="Arial" w:hAnsi="Arial"/>
                <w:sz w:val="17"/>
                <w:szCs w:val="17"/>
                <w:color w:val="auto"/>
              </w:rPr>
              <w:t>Arlington, VA</w:t>
            </w:r>
          </w:p>
        </w:tc>
        <w:tc>
          <w:tcPr>
            <w:tcW w:w="240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Wildwood</w:t>
            </w:r>
          </w:p>
        </w:tc>
        <w:tc>
          <w:tcPr>
            <w:tcW w:w="4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Bethesda, MD</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Residential Opportunities – Opportunity to invest $150-$200 million to add more than 500 residential units to existing retail and mixed-use properties.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Barracks Road</w:t>
            </w:r>
          </w:p>
        </w:tc>
        <w:tc>
          <w:tcPr>
            <w:tcW w:w="1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Charlottesville, VA</w:t>
            </w:r>
          </w:p>
        </w:tc>
        <w:tc>
          <w:tcPr>
            <w:tcW w:w="2180" w:type="dxa"/>
            <w:vAlign w:val="bottom"/>
            <w:shd w:val="clear" w:color="auto" w:fill="CCEEFF"/>
          </w:tcPr>
          <w:p>
            <w:pPr>
              <w:ind w:left="200"/>
              <w:spacing w:after="0"/>
              <w:rPr>
                <w:sz w:val="20"/>
                <w:szCs w:val="20"/>
                <w:color w:val="auto"/>
              </w:rPr>
            </w:pPr>
            <w:r>
              <w:rPr>
                <w:rFonts w:ascii="Arial" w:cs="Arial" w:eastAsia="Arial" w:hAnsi="Arial"/>
                <w:sz w:val="17"/>
                <w:szCs w:val="17"/>
                <w:b w:val="1"/>
                <w:bCs w:val="1"/>
                <w:color w:val="auto"/>
              </w:rPr>
              <w:t>Santana Row</w:t>
            </w:r>
          </w:p>
        </w:tc>
        <w:tc>
          <w:tcPr>
            <w:tcW w:w="41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San Jose, CA</w:t>
            </w:r>
          </w:p>
        </w:tc>
        <w:tc>
          <w:tcPr>
            <w:tcW w:w="0" w:type="dxa"/>
            <w:vAlign w:val="bottom"/>
          </w:tcPr>
          <w:p>
            <w:pPr>
              <w:spacing w:after="0"/>
              <w:rPr>
                <w:sz w:val="1"/>
                <w:szCs w:val="1"/>
                <w:color w:val="auto"/>
              </w:rPr>
            </w:pPr>
          </w:p>
        </w:tc>
      </w:tr>
      <w:tr>
        <w:trPr>
          <w:trHeight w:val="220"/>
        </w:trPr>
        <w:tc>
          <w:tcPr>
            <w:tcW w:w="3220" w:type="dxa"/>
            <w:vAlign w:val="bottom"/>
            <w:gridSpan w:val="2"/>
          </w:tcPr>
          <w:p>
            <w:pPr>
              <w:ind w:left="180"/>
              <w:spacing w:after="0"/>
              <w:rPr>
                <w:sz w:val="20"/>
                <w:szCs w:val="20"/>
                <w:color w:val="auto"/>
              </w:rPr>
            </w:pPr>
            <w:r>
              <w:rPr>
                <w:rFonts w:ascii="Arial" w:cs="Arial" w:eastAsia="Arial" w:hAnsi="Arial"/>
                <w:sz w:val="17"/>
                <w:szCs w:val="17"/>
                <w:b w:val="1"/>
                <w:bCs w:val="1"/>
                <w:color w:val="auto"/>
              </w:rPr>
              <w:t>Congressional Plaza</w:t>
            </w:r>
          </w:p>
        </w:tc>
        <w:tc>
          <w:tcPr>
            <w:tcW w:w="1860" w:type="dxa"/>
            <w:vAlign w:val="bottom"/>
          </w:tcPr>
          <w:p>
            <w:pPr>
              <w:ind w:left="340"/>
              <w:spacing w:after="0"/>
              <w:rPr>
                <w:sz w:val="20"/>
                <w:szCs w:val="20"/>
                <w:color w:val="auto"/>
              </w:rPr>
            </w:pPr>
            <w:r>
              <w:rPr>
                <w:rFonts w:ascii="Arial" w:cs="Arial" w:eastAsia="Arial" w:hAnsi="Arial"/>
                <w:sz w:val="17"/>
                <w:szCs w:val="17"/>
                <w:color w:val="auto"/>
              </w:rPr>
              <w:t>Rockville, MD</w:t>
            </w:r>
          </w:p>
        </w:tc>
        <w:tc>
          <w:tcPr>
            <w:tcW w:w="2180" w:type="dxa"/>
            <w:vAlign w:val="bottom"/>
          </w:tcPr>
          <w:p>
            <w:pPr>
              <w:ind w:left="200"/>
              <w:spacing w:after="0"/>
              <w:rPr>
                <w:sz w:val="20"/>
                <w:szCs w:val="20"/>
                <w:color w:val="auto"/>
              </w:rPr>
            </w:pPr>
            <w:r>
              <w:rPr>
                <w:rFonts w:ascii="Arial" w:cs="Arial" w:eastAsia="Arial" w:hAnsi="Arial"/>
                <w:sz w:val="17"/>
                <w:szCs w:val="17"/>
                <w:b w:val="1"/>
                <w:bCs w:val="1"/>
                <w:color w:val="auto"/>
              </w:rPr>
              <w:t>Village of Shirlington</w:t>
            </w:r>
          </w:p>
        </w:tc>
        <w:tc>
          <w:tcPr>
            <w:tcW w:w="4160" w:type="dxa"/>
            <w:vAlign w:val="bottom"/>
          </w:tcPr>
          <w:p>
            <w:pPr>
              <w:ind w:left="420"/>
              <w:spacing w:after="0"/>
              <w:rPr>
                <w:sz w:val="20"/>
                <w:szCs w:val="20"/>
                <w:color w:val="auto"/>
              </w:rPr>
            </w:pPr>
            <w:r>
              <w:rPr>
                <w:rFonts w:ascii="Arial" w:cs="Arial" w:eastAsia="Arial" w:hAnsi="Arial"/>
                <w:sz w:val="17"/>
                <w:szCs w:val="17"/>
                <w:color w:val="auto"/>
              </w:rPr>
              <w:t>Arlington, VA</w:t>
            </w:r>
          </w:p>
        </w:tc>
        <w:tc>
          <w:tcPr>
            <w:tcW w:w="0" w:type="dxa"/>
            <w:vAlign w:val="bottom"/>
          </w:tcPr>
          <w:p>
            <w:pPr>
              <w:spacing w:after="0"/>
              <w:rPr>
                <w:sz w:val="1"/>
                <w:szCs w:val="1"/>
                <w:color w:val="auto"/>
              </w:rPr>
            </w:pPr>
          </w:p>
        </w:tc>
      </w:tr>
      <w:tr>
        <w:trPr>
          <w:trHeight w:val="356"/>
        </w:trPr>
        <w:tc>
          <w:tcPr>
            <w:tcW w:w="3220" w:type="dxa"/>
            <w:vAlign w:val="bottom"/>
            <w:gridSpan w:val="2"/>
          </w:tcPr>
          <w:p>
            <w:pPr>
              <w:spacing w:after="0"/>
              <w:rPr>
                <w:sz w:val="20"/>
                <w:szCs w:val="20"/>
                <w:color w:val="auto"/>
              </w:rPr>
            </w:pPr>
            <w:r>
              <w:rPr>
                <w:rFonts w:ascii="Arial" w:cs="Arial" w:eastAsia="Arial" w:hAnsi="Arial"/>
                <w:sz w:val="17"/>
                <w:szCs w:val="17"/>
                <w:b w:val="1"/>
                <w:bCs w:val="1"/>
                <w:color w:val="auto"/>
              </w:rPr>
              <w:t>Near Term Mixed-Use Opportunities</w:t>
            </w:r>
          </w:p>
        </w:tc>
        <w:tc>
          <w:tcPr>
            <w:tcW w:w="18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22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Assembly Row</w:t>
            </w:r>
          </w:p>
        </w:tc>
        <w:tc>
          <w:tcPr>
            <w:tcW w:w="18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Somerville, MA</w:t>
            </w: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0"/>
              </w:rPr>
              <w:t>First Phase of approximately 280,000 sf of retail space and 419 apartments (to be built</w:t>
            </w:r>
          </w:p>
        </w:tc>
        <w:tc>
          <w:tcPr>
            <w:tcW w:w="0" w:type="dxa"/>
            <w:vAlign w:val="bottom"/>
          </w:tcPr>
          <w:p>
            <w:pPr>
              <w:spacing w:after="0"/>
              <w:rPr>
                <w:sz w:val="1"/>
                <w:szCs w:val="1"/>
                <w:color w:val="auto"/>
              </w:rPr>
            </w:pPr>
          </w:p>
        </w:tc>
      </w:tr>
      <w:tr>
        <w:trPr>
          <w:trHeight w:val="210"/>
        </w:trPr>
        <w:tc>
          <w:tcPr>
            <w:tcW w:w="11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4"/>
              </w:rPr>
              <w:t>by AVB), plus new T-stop; anticipated construction start 2011/2012 and anticipated</w:t>
            </w:r>
          </w:p>
        </w:tc>
        <w:tc>
          <w:tcPr>
            <w:tcW w:w="0" w:type="dxa"/>
            <w:vAlign w:val="bottom"/>
          </w:tcPr>
          <w:p>
            <w:pPr>
              <w:spacing w:after="0"/>
              <w:rPr>
                <w:sz w:val="1"/>
                <w:szCs w:val="1"/>
                <w:color w:val="auto"/>
              </w:rPr>
            </w:pPr>
          </w:p>
        </w:tc>
      </w:tr>
      <w:tr>
        <w:trPr>
          <w:trHeight w:val="218"/>
        </w:trPr>
        <w:tc>
          <w:tcPr>
            <w:tcW w:w="11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stabilization 2014/2015. Approximate Phase 1 cost - $100-$125 million.</w:t>
            </w:r>
          </w:p>
        </w:tc>
        <w:tc>
          <w:tcPr>
            <w:tcW w:w="0" w:type="dxa"/>
            <w:vAlign w:val="bottom"/>
          </w:tcPr>
          <w:p>
            <w:pPr>
              <w:spacing w:after="0"/>
              <w:rPr>
                <w:sz w:val="1"/>
                <w:szCs w:val="1"/>
                <w:color w:val="auto"/>
              </w:rPr>
            </w:pPr>
          </w:p>
        </w:tc>
      </w:tr>
      <w:tr>
        <w:trPr>
          <w:trHeight w:val="201"/>
        </w:trPr>
        <w:tc>
          <w:tcPr>
            <w:tcW w:w="3220" w:type="dxa"/>
            <w:vAlign w:val="bottom"/>
            <w:gridSpan w:val="2"/>
          </w:tcPr>
          <w:p>
            <w:pPr>
              <w:ind w:left="180"/>
              <w:spacing w:after="0"/>
              <w:rPr>
                <w:sz w:val="20"/>
                <w:szCs w:val="20"/>
                <w:color w:val="auto"/>
              </w:rPr>
            </w:pPr>
            <w:r>
              <w:rPr>
                <w:rFonts w:ascii="Arial" w:cs="Arial" w:eastAsia="Arial" w:hAnsi="Arial"/>
                <w:sz w:val="17"/>
                <w:szCs w:val="17"/>
                <w:b w:val="1"/>
                <w:bCs w:val="1"/>
                <w:color w:val="auto"/>
              </w:rPr>
              <w:t>Mid-Pike Plaza</w:t>
            </w:r>
          </w:p>
        </w:tc>
        <w:tc>
          <w:tcPr>
            <w:tcW w:w="1860" w:type="dxa"/>
            <w:vAlign w:val="bottom"/>
          </w:tcPr>
          <w:p>
            <w:pPr>
              <w:ind w:left="460"/>
              <w:spacing w:after="0"/>
              <w:rPr>
                <w:sz w:val="20"/>
                <w:szCs w:val="20"/>
                <w:color w:val="auto"/>
              </w:rPr>
            </w:pPr>
            <w:r>
              <w:rPr>
                <w:rFonts w:ascii="Arial" w:cs="Arial" w:eastAsia="Arial" w:hAnsi="Arial"/>
                <w:sz w:val="17"/>
                <w:szCs w:val="17"/>
                <w:color w:val="auto"/>
              </w:rPr>
              <w:t>Rockville, MD</w:t>
            </w:r>
          </w:p>
        </w:tc>
        <w:tc>
          <w:tcPr>
            <w:tcW w:w="6340" w:type="dxa"/>
            <w:vAlign w:val="bottom"/>
            <w:gridSpan w:val="2"/>
          </w:tcPr>
          <w:p>
            <w:pPr>
              <w:ind w:left="420"/>
              <w:spacing w:after="0"/>
              <w:rPr>
                <w:sz w:val="20"/>
                <w:szCs w:val="20"/>
                <w:color w:val="auto"/>
              </w:rPr>
            </w:pPr>
            <w:r>
              <w:rPr>
                <w:rFonts w:ascii="Arial" w:cs="Arial" w:eastAsia="Arial" w:hAnsi="Arial"/>
                <w:sz w:val="17"/>
                <w:szCs w:val="17"/>
                <w:color w:val="auto"/>
                <w:w w:val="92"/>
              </w:rPr>
              <w:t>First phase of approximately 230,000 sf of retail and office space and 400 residential</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7"/>
                <w:szCs w:val="17"/>
                <w:color w:val="auto"/>
                <w:w w:val="97"/>
              </w:rPr>
              <w:t>units; anticipated construction start 2012 and anticipated stabilization 2014/2015.</w:t>
            </w:r>
          </w:p>
        </w:tc>
        <w:tc>
          <w:tcPr>
            <w:tcW w:w="0" w:type="dxa"/>
            <w:vAlign w:val="bottom"/>
          </w:tcPr>
          <w:p>
            <w:pPr>
              <w:spacing w:after="0"/>
              <w:rPr>
                <w:sz w:val="1"/>
                <w:szCs w:val="1"/>
                <w:color w:val="auto"/>
              </w:rPr>
            </w:pPr>
          </w:p>
        </w:tc>
      </w:tr>
      <w:tr>
        <w:trPr>
          <w:trHeight w:val="216"/>
        </w:trPr>
        <w:tc>
          <w:tcPr>
            <w:tcW w:w="32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Longer Term Mixed-Use Opportunities</w:t>
            </w:r>
          </w:p>
        </w:tc>
        <w:tc>
          <w:tcPr>
            <w:tcW w:w="186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7"/>
                <w:szCs w:val="17"/>
                <w:color w:val="auto"/>
              </w:rPr>
              <w:t>Approximate Phase 1cost - $200-$225 million.</w:t>
            </w:r>
          </w:p>
        </w:tc>
        <w:tc>
          <w:tcPr>
            <w:tcW w:w="0" w:type="dxa"/>
            <w:vAlign w:val="bottom"/>
          </w:tcPr>
          <w:p>
            <w:pPr>
              <w:spacing w:after="0"/>
              <w:rPr>
                <w:sz w:val="1"/>
                <w:szCs w:val="1"/>
                <w:color w:val="auto"/>
              </w:rPr>
            </w:pPr>
          </w:p>
        </w:tc>
      </w:tr>
      <w:tr>
        <w:trPr>
          <w:trHeight w:val="211"/>
        </w:trPr>
        <w:tc>
          <w:tcPr>
            <w:tcW w:w="3220" w:type="dxa"/>
            <w:vAlign w:val="bottom"/>
            <w:gridSpan w:val="2"/>
            <w:vMerge w:val="continue"/>
          </w:tcPr>
          <w:p>
            <w:pPr>
              <w:spacing w:after="0"/>
              <w:rPr>
                <w:sz w:val="18"/>
                <w:szCs w:val="18"/>
                <w:color w:val="auto"/>
              </w:rPr>
            </w:pPr>
          </w:p>
        </w:tc>
        <w:tc>
          <w:tcPr>
            <w:tcW w:w="1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2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Bala Cynwyd</w:t>
            </w:r>
          </w:p>
        </w:tc>
        <w:tc>
          <w:tcPr>
            <w:tcW w:w="1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Bala Cynwyd, PA</w:t>
            </w:r>
          </w:p>
        </w:tc>
        <w:tc>
          <w:tcPr>
            <w:tcW w:w="2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Pike 7</w:t>
            </w:r>
          </w:p>
        </w:tc>
        <w:tc>
          <w:tcPr>
            <w:tcW w:w="41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Vienna, VA</w:t>
            </w:r>
          </w:p>
        </w:tc>
        <w:tc>
          <w:tcPr>
            <w:tcW w:w="0" w:type="dxa"/>
            <w:vAlign w:val="bottom"/>
          </w:tcPr>
          <w:p>
            <w:pPr>
              <w:spacing w:after="0"/>
              <w:rPr>
                <w:sz w:val="1"/>
                <w:szCs w:val="1"/>
                <w:color w:val="auto"/>
              </w:rPr>
            </w:pPr>
          </w:p>
        </w:tc>
      </w:tr>
      <w:tr>
        <w:trPr>
          <w:trHeight w:val="220"/>
        </w:trPr>
        <w:tc>
          <w:tcPr>
            <w:tcW w:w="3220" w:type="dxa"/>
            <w:vAlign w:val="bottom"/>
            <w:gridSpan w:val="2"/>
          </w:tcPr>
          <w:p>
            <w:pPr>
              <w:ind w:left="180"/>
              <w:spacing w:after="0"/>
              <w:rPr>
                <w:sz w:val="20"/>
                <w:szCs w:val="20"/>
                <w:color w:val="auto"/>
              </w:rPr>
            </w:pPr>
            <w:r>
              <w:rPr>
                <w:rFonts w:ascii="Arial" w:cs="Arial" w:eastAsia="Arial" w:hAnsi="Arial"/>
                <w:sz w:val="17"/>
                <w:szCs w:val="17"/>
                <w:b w:val="1"/>
                <w:bCs w:val="1"/>
                <w:color w:val="auto"/>
              </w:rPr>
              <w:t>Forest Hills</w:t>
            </w:r>
          </w:p>
        </w:tc>
        <w:tc>
          <w:tcPr>
            <w:tcW w:w="1860" w:type="dxa"/>
            <w:vAlign w:val="bottom"/>
          </w:tcPr>
          <w:p>
            <w:pPr>
              <w:ind w:left="340"/>
              <w:spacing w:after="0"/>
              <w:rPr>
                <w:sz w:val="20"/>
                <w:szCs w:val="20"/>
                <w:color w:val="auto"/>
              </w:rPr>
            </w:pPr>
            <w:r>
              <w:rPr>
                <w:rFonts w:ascii="Arial" w:cs="Arial" w:eastAsia="Arial" w:hAnsi="Arial"/>
                <w:sz w:val="17"/>
                <w:szCs w:val="17"/>
                <w:color w:val="auto"/>
              </w:rPr>
              <w:t>Forest Hills, NY</w:t>
            </w:r>
          </w:p>
        </w:tc>
        <w:tc>
          <w:tcPr>
            <w:tcW w:w="2180" w:type="dxa"/>
            <w:vAlign w:val="bottom"/>
          </w:tcPr>
          <w:p>
            <w:pPr>
              <w:ind w:left="200"/>
              <w:spacing w:after="0"/>
              <w:rPr>
                <w:sz w:val="20"/>
                <w:szCs w:val="20"/>
                <w:color w:val="auto"/>
              </w:rPr>
            </w:pPr>
            <w:r>
              <w:rPr>
                <w:rFonts w:ascii="Arial" w:cs="Arial" w:eastAsia="Arial" w:hAnsi="Arial"/>
                <w:sz w:val="17"/>
                <w:szCs w:val="17"/>
                <w:color w:val="auto"/>
              </w:rPr>
              <w:t>Santana Row</w:t>
            </w:r>
          </w:p>
        </w:tc>
        <w:tc>
          <w:tcPr>
            <w:tcW w:w="4160" w:type="dxa"/>
            <w:vAlign w:val="bottom"/>
          </w:tcPr>
          <w:p>
            <w:pPr>
              <w:ind w:left="420"/>
              <w:spacing w:after="0"/>
              <w:rPr>
                <w:sz w:val="20"/>
                <w:szCs w:val="20"/>
                <w:color w:val="auto"/>
              </w:rPr>
            </w:pPr>
            <w:r>
              <w:rPr>
                <w:rFonts w:ascii="Arial" w:cs="Arial" w:eastAsia="Arial" w:hAnsi="Arial"/>
                <w:sz w:val="17"/>
                <w:szCs w:val="17"/>
                <w:color w:val="auto"/>
              </w:rPr>
              <w:t>San Jose, CA</w:t>
            </w:r>
          </w:p>
        </w:tc>
        <w:tc>
          <w:tcPr>
            <w:tcW w:w="0" w:type="dxa"/>
            <w:vAlign w:val="bottom"/>
          </w:tcPr>
          <w:p>
            <w:pPr>
              <w:spacing w:after="0"/>
              <w:rPr>
                <w:sz w:val="1"/>
                <w:szCs w:val="1"/>
                <w:color w:val="auto"/>
              </w:rPr>
            </w:pPr>
          </w:p>
        </w:tc>
      </w:tr>
      <w:tr>
        <w:trPr>
          <w:trHeight w:val="95"/>
        </w:trPr>
        <w:tc>
          <w:tcPr>
            <w:tcW w:w="114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4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1" w:right="239" w:bottom="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jc w:val="both"/>
        <w:ind w:left="340" w:right="20" w:hanging="335"/>
        <w:spacing w:after="0" w:line="233" w:lineRule="auto"/>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340" w:hanging="335"/>
        <w:spacing w:after="0" w:line="231" w:lineRule="auto"/>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Projected ROI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does NOT include peripheral impacts, such as the impact on future lease rollovers at the property or the impact on the long-term value of the property.</w:t>
      </w:r>
    </w:p>
    <w:p>
      <w:pPr>
        <w:spacing w:after="0" w:line="1" w:lineRule="exact"/>
        <w:rPr>
          <w:rFonts w:ascii="Arial" w:cs="Arial" w:eastAsia="Arial" w:hAnsi="Arial"/>
          <w:sz w:val="13"/>
          <w:szCs w:val="13"/>
          <w:color w:val="auto"/>
        </w:rPr>
      </w:pPr>
    </w:p>
    <w:p>
      <w:pPr>
        <w:ind w:left="340" w:hanging="335"/>
        <w:spacing w:after="0" w:line="231" w:lineRule="auto"/>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Stabilization is the year in which 95% occupancy of the redeveloped space is achieved.</w:t>
      </w:r>
    </w:p>
    <w:p>
      <w:pPr>
        <w:ind w:left="340" w:hanging="335"/>
        <w:spacing w:after="0" w:line="231" w:lineRule="auto"/>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All subtotals and totals reflect cost weighted-average ROIs.</w:t>
      </w:r>
    </w:p>
    <w:p>
      <w:pPr>
        <w:ind w:left="340" w:hanging="335"/>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ROI and costs for Atlantic Plaza reflect our 30% JV interest in the costs and revenue associated with the redevelopment.</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80"/>
          </w:cols>
          <w:pgMar w:left="240" w:top="131" w:right="37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2010 Significant Acquisitions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Through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Federal Realty Investment Trust Significant Acquisitions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60" w:type="dxa"/>
            <w:vAlign w:val="bottom"/>
            <w:gridSpan w:val="3"/>
          </w:tcPr>
          <w:p>
            <w:pPr>
              <w:spacing w:after="0"/>
              <w:rPr>
                <w:sz w:val="20"/>
                <w:szCs w:val="20"/>
                <w:color w:val="auto"/>
              </w:rPr>
            </w:pPr>
            <w:r>
              <w:rPr>
                <w:rFonts w:ascii="Arial" w:cs="Arial" w:eastAsia="Arial" w:hAnsi="Arial"/>
                <w:sz w:val="13"/>
                <w:szCs w:val="13"/>
                <w:b w:val="1"/>
                <w:bCs w:val="1"/>
                <w:color w:val="auto"/>
              </w:rPr>
              <w:t>Date</w:t>
            </w:r>
          </w:p>
        </w:tc>
        <w:tc>
          <w:tcPr>
            <w:tcW w:w="580" w:type="dxa"/>
            <w:vAlign w:val="bottom"/>
          </w:tcPr>
          <w:p>
            <w:pPr>
              <w:spacing w:after="0"/>
              <w:rPr>
                <w:sz w:val="14"/>
                <w:szCs w:val="14"/>
                <w:color w:val="auto"/>
              </w:rPr>
            </w:pPr>
          </w:p>
        </w:tc>
        <w:tc>
          <w:tcPr>
            <w:tcW w:w="1900" w:type="dxa"/>
            <w:vAlign w:val="bottom"/>
          </w:tcPr>
          <w:p>
            <w:pPr>
              <w:ind w:left="700"/>
              <w:spacing w:after="0"/>
              <w:rPr>
                <w:sz w:val="20"/>
                <w:szCs w:val="20"/>
                <w:color w:val="auto"/>
              </w:rPr>
            </w:pPr>
            <w:r>
              <w:rPr>
                <w:rFonts w:ascii="Arial" w:cs="Arial" w:eastAsia="Arial" w:hAnsi="Arial"/>
                <w:sz w:val="13"/>
                <w:szCs w:val="13"/>
                <w:b w:val="1"/>
                <w:bCs w:val="1"/>
                <w:color w:val="auto"/>
              </w:rPr>
              <w:t>Property</w:t>
            </w:r>
          </w:p>
        </w:tc>
        <w:tc>
          <w:tcPr>
            <w:tcW w:w="280" w:type="dxa"/>
            <w:vAlign w:val="bottom"/>
          </w:tcPr>
          <w:p>
            <w:pPr>
              <w:spacing w:after="0"/>
              <w:rPr>
                <w:sz w:val="14"/>
                <w:szCs w:val="14"/>
                <w:color w:val="auto"/>
              </w:rPr>
            </w:pPr>
          </w:p>
        </w:tc>
        <w:tc>
          <w:tcPr>
            <w:tcW w:w="1760" w:type="dxa"/>
            <w:vAlign w:val="bottom"/>
          </w:tcPr>
          <w:p>
            <w:pPr>
              <w:ind w:left="560"/>
              <w:spacing w:after="0"/>
              <w:rPr>
                <w:sz w:val="20"/>
                <w:szCs w:val="20"/>
                <w:color w:val="auto"/>
              </w:rPr>
            </w:pPr>
            <w:r>
              <w:rPr>
                <w:rFonts w:ascii="Arial" w:cs="Arial" w:eastAsia="Arial" w:hAnsi="Arial"/>
                <w:sz w:val="13"/>
                <w:szCs w:val="13"/>
                <w:b w:val="1"/>
                <w:bCs w:val="1"/>
                <w:color w:val="auto"/>
              </w:rPr>
              <w:t>City / State</w:t>
            </w:r>
          </w:p>
        </w:tc>
        <w:tc>
          <w:tcPr>
            <w:tcW w:w="28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GLA</w:t>
            </w: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w w:val="87"/>
              </w:rPr>
              <w:t>Purchase price</w:t>
            </w:r>
          </w:p>
        </w:tc>
        <w:tc>
          <w:tcPr>
            <w:tcW w:w="540" w:type="dxa"/>
            <w:vAlign w:val="bottom"/>
          </w:tcPr>
          <w:p>
            <w:pPr>
              <w:spacing w:after="0"/>
              <w:rPr>
                <w:sz w:val="14"/>
                <w:szCs w:val="14"/>
                <w:color w:val="auto"/>
              </w:rPr>
            </w:pPr>
          </w:p>
        </w:tc>
        <w:tc>
          <w:tcPr>
            <w:tcW w:w="2040" w:type="dxa"/>
            <w:vAlign w:val="bottom"/>
            <w:gridSpan w:val="2"/>
          </w:tcPr>
          <w:p>
            <w:pPr>
              <w:ind w:left="540"/>
              <w:spacing w:after="0"/>
              <w:rPr>
                <w:sz w:val="20"/>
                <w:szCs w:val="20"/>
                <w:color w:val="auto"/>
              </w:rPr>
            </w:pPr>
            <w:r>
              <w:rPr>
                <w:rFonts w:ascii="Arial" w:cs="Arial" w:eastAsia="Arial" w:hAnsi="Arial"/>
                <w:sz w:val="13"/>
                <w:szCs w:val="13"/>
                <w:b w:val="1"/>
                <w:bCs w:val="1"/>
                <w:color w:val="auto"/>
              </w:rPr>
              <w:t>Anchor tenants</w:t>
            </w:r>
          </w:p>
        </w:tc>
      </w:tr>
      <w:tr>
        <w:trPr>
          <w:trHeight w:val="137"/>
        </w:trPr>
        <w:tc>
          <w:tcPr>
            <w:tcW w:w="280" w:type="dxa"/>
            <w:vAlign w:val="bottom"/>
            <w:tcBorders>
              <w:top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90"/>
              </w:rPr>
              <w:t>(in square feet)</w:t>
            </w:r>
          </w:p>
        </w:tc>
        <w:tc>
          <w:tcPr>
            <w:tcW w:w="380" w:type="dxa"/>
            <w:vAlign w:val="bottom"/>
          </w:tcPr>
          <w:p>
            <w:pPr>
              <w:spacing w:after="0"/>
              <w:rPr>
                <w:sz w:val="11"/>
                <w:szCs w:val="11"/>
                <w:color w:val="auto"/>
              </w:rPr>
            </w:pPr>
          </w:p>
        </w:tc>
        <w:tc>
          <w:tcPr>
            <w:tcW w:w="84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(in millions)</w:t>
            </w:r>
          </w:p>
        </w:tc>
        <w:tc>
          <w:tcPr>
            <w:tcW w:w="540" w:type="dxa"/>
            <w:vAlign w:val="bottom"/>
          </w:tcPr>
          <w:p>
            <w:pPr>
              <w:spacing w:after="0"/>
              <w:rPr>
                <w:sz w:val="11"/>
                <w:szCs w:val="11"/>
                <w:color w:val="auto"/>
              </w:rPr>
            </w:pPr>
          </w:p>
        </w:tc>
        <w:tc>
          <w:tcPr>
            <w:tcW w:w="19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10"/>
        </w:trPr>
        <w:tc>
          <w:tcPr>
            <w:tcW w:w="1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May 26, 2010</w:t>
            </w:r>
          </w:p>
        </w:tc>
        <w:tc>
          <w:tcPr>
            <w:tcW w:w="248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Newbury Street</w:t>
            </w:r>
          </w:p>
        </w:tc>
        <w:tc>
          <w:tcPr>
            <w:tcW w:w="204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Boston, MA</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32,000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5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86"/>
              </w:rPr>
              <w:t>(1)</w:t>
            </w:r>
          </w:p>
        </w:tc>
        <w:tc>
          <w:tcPr>
            <w:tcW w:w="2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Pierre Deux/Jonathan Adler</w:t>
            </w:r>
          </w:p>
        </w:tc>
      </w:tr>
      <w:tr>
        <w:trPr>
          <w:trHeight w:val="210"/>
        </w:trPr>
        <w:tc>
          <w:tcPr>
            <w:tcW w:w="1960" w:type="dxa"/>
            <w:vAlign w:val="bottom"/>
            <w:gridSpan w:val="3"/>
          </w:tcPr>
          <w:p>
            <w:pPr>
              <w:spacing w:after="0"/>
              <w:rPr>
                <w:sz w:val="20"/>
                <w:szCs w:val="20"/>
                <w:color w:val="auto"/>
              </w:rPr>
            </w:pPr>
            <w:r>
              <w:rPr>
                <w:rFonts w:ascii="Arial" w:cs="Arial" w:eastAsia="Arial" w:hAnsi="Arial"/>
                <w:sz w:val="17"/>
                <w:szCs w:val="17"/>
                <w:color w:val="auto"/>
              </w:rPr>
              <w:t>August 16, 2010</w:t>
            </w:r>
          </w:p>
        </w:tc>
        <w:tc>
          <w:tcPr>
            <w:tcW w:w="2480" w:type="dxa"/>
            <w:vAlign w:val="bottom"/>
            <w:gridSpan w:val="2"/>
          </w:tcPr>
          <w:p>
            <w:pPr>
              <w:ind w:left="580"/>
              <w:spacing w:after="0"/>
              <w:rPr>
                <w:sz w:val="20"/>
                <w:szCs w:val="20"/>
                <w:color w:val="auto"/>
              </w:rPr>
            </w:pPr>
            <w:r>
              <w:rPr>
                <w:rFonts w:ascii="Arial" w:cs="Arial" w:eastAsia="Arial" w:hAnsi="Arial"/>
                <w:sz w:val="17"/>
                <w:szCs w:val="17"/>
                <w:color w:val="auto"/>
              </w:rPr>
              <w:t>Huntington Square</w:t>
            </w:r>
          </w:p>
        </w:tc>
        <w:tc>
          <w:tcPr>
            <w:tcW w:w="2040" w:type="dxa"/>
            <w:vAlign w:val="bottom"/>
            <w:gridSpan w:val="2"/>
          </w:tcPr>
          <w:p>
            <w:pPr>
              <w:ind w:left="280"/>
              <w:spacing w:after="0"/>
              <w:rPr>
                <w:sz w:val="20"/>
                <w:szCs w:val="20"/>
                <w:color w:val="auto"/>
              </w:rPr>
            </w:pPr>
            <w:r>
              <w:rPr>
                <w:rFonts w:ascii="Arial" w:cs="Arial" w:eastAsia="Arial" w:hAnsi="Arial"/>
                <w:sz w:val="17"/>
                <w:szCs w:val="17"/>
                <w:color w:val="auto"/>
              </w:rPr>
              <w:t>East Northport, NY</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74,000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17.6</w:t>
            </w:r>
          </w:p>
        </w:tc>
        <w:tc>
          <w:tcPr>
            <w:tcW w:w="540" w:type="dxa"/>
            <w:vAlign w:val="bottom"/>
          </w:tcPr>
          <w:p>
            <w:pPr>
              <w:jc w:val="right"/>
              <w:ind w:right="255"/>
              <w:spacing w:after="0"/>
              <w:rPr>
                <w:sz w:val="20"/>
                <w:szCs w:val="20"/>
                <w:color w:val="auto"/>
              </w:rPr>
            </w:pPr>
            <w:r>
              <w:rPr>
                <w:rFonts w:ascii="Arial" w:cs="Arial" w:eastAsia="Arial" w:hAnsi="Arial"/>
                <w:sz w:val="17"/>
                <w:szCs w:val="17"/>
                <w:color w:val="auto"/>
                <w:w w:val="86"/>
              </w:rPr>
              <w:t>(2)</w:t>
            </w:r>
          </w:p>
        </w:tc>
        <w:tc>
          <w:tcPr>
            <w:tcW w:w="2040" w:type="dxa"/>
            <w:vAlign w:val="bottom"/>
            <w:gridSpan w:val="2"/>
          </w:tcPr>
          <w:p>
            <w:pPr>
              <w:jc w:val="right"/>
              <w:ind w:right="80"/>
              <w:spacing w:after="0"/>
              <w:rPr>
                <w:sz w:val="20"/>
                <w:szCs w:val="20"/>
                <w:color w:val="auto"/>
              </w:rPr>
            </w:pPr>
            <w:r>
              <w:rPr>
                <w:rFonts w:ascii="Arial" w:cs="Arial" w:eastAsia="Arial" w:hAnsi="Arial"/>
                <w:sz w:val="17"/>
                <w:szCs w:val="17"/>
                <w:color w:val="auto"/>
              </w:rPr>
              <w:t>Barnes &amp; Noble</w:t>
            </w:r>
          </w:p>
        </w:tc>
      </w:tr>
      <w:tr>
        <w:trPr>
          <w:trHeight w:val="201"/>
        </w:trPr>
        <w:tc>
          <w:tcPr>
            <w:tcW w:w="1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November 10, 2010</w:t>
            </w:r>
          </w:p>
        </w:tc>
        <w:tc>
          <w:tcPr>
            <w:tcW w:w="248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Former Mervyn’s Parcel</w:t>
            </w:r>
          </w:p>
        </w:tc>
        <w:tc>
          <w:tcPr>
            <w:tcW w:w="204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Escondido, CA</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8"/>
        </w:trPr>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(Escondido Promenade)</w:t>
            </w: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5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86"/>
              </w:rPr>
              <w:t>(3)</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1960" w:type="dxa"/>
            <w:vAlign w:val="bottom"/>
            <w:gridSpan w:val="3"/>
          </w:tcPr>
          <w:p>
            <w:pPr>
              <w:spacing w:after="0"/>
              <w:rPr>
                <w:sz w:val="20"/>
                <w:szCs w:val="20"/>
                <w:color w:val="auto"/>
              </w:rPr>
            </w:pPr>
            <w:r>
              <w:rPr>
                <w:rFonts w:ascii="Arial" w:cs="Arial" w:eastAsia="Arial" w:hAnsi="Arial"/>
                <w:sz w:val="17"/>
                <w:szCs w:val="17"/>
                <w:color w:val="auto"/>
              </w:rPr>
              <w:t>November 22, 2010</w:t>
            </w:r>
          </w:p>
        </w:tc>
        <w:tc>
          <w:tcPr>
            <w:tcW w:w="2480" w:type="dxa"/>
            <w:vAlign w:val="bottom"/>
            <w:gridSpan w:val="2"/>
          </w:tcPr>
          <w:p>
            <w:pPr>
              <w:ind w:left="580"/>
              <w:spacing w:after="0"/>
              <w:rPr>
                <w:sz w:val="20"/>
                <w:szCs w:val="20"/>
                <w:color w:val="auto"/>
              </w:rPr>
            </w:pPr>
            <w:r>
              <w:rPr>
                <w:rFonts w:ascii="Arial" w:cs="Arial" w:eastAsia="Arial" w:hAnsi="Arial"/>
                <w:sz w:val="17"/>
                <w:szCs w:val="17"/>
                <w:color w:val="auto"/>
              </w:rPr>
              <w:t>Pentagon Row</w:t>
            </w:r>
          </w:p>
        </w:tc>
        <w:tc>
          <w:tcPr>
            <w:tcW w:w="2040" w:type="dxa"/>
            <w:vAlign w:val="bottom"/>
            <w:gridSpan w:val="2"/>
          </w:tcPr>
          <w:p>
            <w:pPr>
              <w:ind w:left="280"/>
              <w:spacing w:after="0"/>
              <w:rPr>
                <w:sz w:val="20"/>
                <w:szCs w:val="20"/>
                <w:color w:val="auto"/>
              </w:rPr>
            </w:pPr>
            <w:r>
              <w:rPr>
                <w:rFonts w:ascii="Arial" w:cs="Arial" w:eastAsia="Arial" w:hAnsi="Arial"/>
                <w:sz w:val="17"/>
                <w:szCs w:val="17"/>
                <w:color w:val="auto"/>
              </w:rPr>
              <w:t>Arlington, VA</w:t>
            </w:r>
          </w:p>
        </w:tc>
        <w:tc>
          <w:tcPr>
            <w:tcW w:w="2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7"/>
                <w:szCs w:val="17"/>
                <w:color w:val="auto"/>
              </w:rPr>
              <w:t>N/A</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8.5</w:t>
            </w:r>
          </w:p>
        </w:tc>
        <w:tc>
          <w:tcPr>
            <w:tcW w:w="540" w:type="dxa"/>
            <w:vAlign w:val="bottom"/>
          </w:tcPr>
          <w:p>
            <w:pPr>
              <w:jc w:val="right"/>
              <w:ind w:right="255"/>
              <w:spacing w:after="0"/>
              <w:rPr>
                <w:sz w:val="20"/>
                <w:szCs w:val="20"/>
                <w:color w:val="auto"/>
              </w:rPr>
            </w:pPr>
            <w:r>
              <w:rPr>
                <w:rFonts w:ascii="Arial" w:cs="Arial" w:eastAsia="Arial" w:hAnsi="Arial"/>
                <w:sz w:val="17"/>
                <w:szCs w:val="17"/>
                <w:color w:val="auto"/>
                <w:w w:val="86"/>
              </w:rPr>
              <w:t>(4)</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December 27, 2010</w:t>
            </w:r>
          </w:p>
        </w:tc>
        <w:tc>
          <w:tcPr>
            <w:tcW w:w="248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Bethesda Row</w:t>
            </w:r>
          </w:p>
        </w:tc>
        <w:tc>
          <w:tcPr>
            <w:tcW w:w="204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Bethesda, MD</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N/A</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5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86"/>
              </w:rPr>
              <w:t>(5)</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181,000</w:t>
            </w:r>
          </w:p>
        </w:tc>
        <w:tc>
          <w:tcPr>
            <w:tcW w:w="3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64.2</w:t>
            </w:r>
          </w:p>
        </w:tc>
        <w:tc>
          <w:tcPr>
            <w:tcW w:w="5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5"/>
        </w:trPr>
        <w:tc>
          <w:tcPr>
            <w:tcW w:w="2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60" w:right="60" w:hanging="455"/>
        <w:spacing w:after="0" w:line="257"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These two buildings were acquired by our Taurus Newbury Street JV II Limited Partnership in which we hold an 85% limited partnership interest and account for our investment under the equity method. We contributed $7.8 million towards this acquisition and provided an $8.8 million interest-only loan secured by the two buildings.</w:t>
      </w:r>
    </w:p>
    <w:p>
      <w:pPr>
        <w:spacing w:after="0" w:line="1" w:lineRule="exact"/>
        <w:rPr>
          <w:rFonts w:ascii="Arial" w:cs="Arial" w:eastAsia="Arial" w:hAnsi="Arial"/>
          <w:sz w:val="17"/>
          <w:szCs w:val="17"/>
          <w:color w:val="auto"/>
        </w:rPr>
      </w:pPr>
    </w:p>
    <w:p>
      <w:pPr>
        <w:ind w:left="460" w:hanging="45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acquired the leasehold interest in this property.</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property is adjacent to and operated as part of Escondido Promenade which is owned through a partnership in which we own the controlling interest.</w:t>
      </w:r>
    </w:p>
    <w:p>
      <w:pPr>
        <w:spacing w:after="0" w:line="25" w:lineRule="exact"/>
        <w:rPr>
          <w:rFonts w:ascii="Arial" w:cs="Arial" w:eastAsia="Arial" w:hAnsi="Arial"/>
          <w:sz w:val="16"/>
          <w:szCs w:val="16"/>
          <w:color w:val="auto"/>
        </w:rPr>
      </w:pPr>
    </w:p>
    <w:p>
      <w:pPr>
        <w:ind w:left="460" w:right="560" w:hanging="455"/>
        <w:spacing w:after="0" w:line="257"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and a subsidiary of Post Properties, Inc. purchased the fee interest in the land under Pentagon Row. The land was purchased as a result of a favorable outcome to litigation.</w:t>
      </w:r>
    </w:p>
    <w:p>
      <w:pPr>
        <w:ind w:left="460" w:right="260" w:hanging="455"/>
        <w:spacing w:after="0" w:line="275"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acquired the fee interest in approximately 2.1 acres of land under Bethesda Row. Prior to the transaction, the land parcel was owned pursuant to a ground lease and encumbered by a capital lease obligation which were terminated as part of the transaction.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271" w:right="239" w:bottom="1440" w:gutter="0" w:footer="0" w:header="0"/>
        </w:sectPr>
      </w:pPr>
    </w:p>
    <w:bookmarkStart w:id="20" w:name="page21"/>
    <w:bookmarkEnd w:id="20"/>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Mortgage</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5"/>
              </w:rPr>
              <w:t>and/or</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MSA</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4"/>
              </w:rPr>
              <w:t>Real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6"/>
              </w:rPr>
              <w:t>Capital</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b w:val="1"/>
                <w:bCs w:val="1"/>
                <w:color w:val="auto"/>
                <w:w w:val="92"/>
              </w:rPr>
              <w:t>Grocery</w:t>
            </w:r>
          </w:p>
        </w:tc>
        <w:tc>
          <w:tcPr>
            <w:tcW w:w="100" w:type="dxa"/>
            <w:vAlign w:val="bottom"/>
          </w:tcPr>
          <w:p>
            <w:pPr>
              <w:spacing w:after="0"/>
              <w:rPr>
                <w:sz w:val="12"/>
                <w:szCs w:val="12"/>
                <w:color w:val="auto"/>
              </w:rPr>
            </w:pPr>
          </w:p>
        </w:tc>
        <w:tc>
          <w:tcPr>
            <w:tcW w:w="1580" w:type="dxa"/>
            <w:vAlign w:val="bottom"/>
            <w:vMerge w:val="restart"/>
          </w:tcPr>
          <w:p>
            <w:pPr>
              <w:ind w:left="560"/>
              <w:spacing w:after="0"/>
              <w:rPr>
                <w:sz w:val="20"/>
                <w:szCs w:val="20"/>
                <w:color w:val="auto"/>
              </w:rPr>
            </w:pPr>
            <w:r>
              <w:rPr>
                <w:rFonts w:ascii="Arial" w:cs="Arial" w:eastAsia="Arial" w:hAnsi="Arial"/>
                <w:sz w:val="13"/>
                <w:szCs w:val="13"/>
                <w:b w:val="1"/>
                <w:bCs w:val="1"/>
                <w:color w:val="auto"/>
              </w:rPr>
              <w:t>Grocery</w:t>
            </w:r>
          </w:p>
        </w:tc>
        <w:tc>
          <w:tcPr>
            <w:tcW w:w="40" w:type="dxa"/>
            <w:vAlign w:val="bottom"/>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3"/>
                <w:szCs w:val="13"/>
                <w:b w:val="1"/>
                <w:bCs w:val="1"/>
                <w:color w:val="auto"/>
                <w:w w:val="92"/>
              </w:rPr>
              <w:t>Other Principal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92"/>
              </w:rPr>
              <w:t>Year</w:t>
            </w:r>
          </w:p>
        </w:tc>
        <w:tc>
          <w:tcPr>
            <w:tcW w:w="140" w:type="dxa"/>
            <w:vAlign w:val="bottom"/>
          </w:tcPr>
          <w:p>
            <w:pPr>
              <w:spacing w:after="0"/>
              <w:rPr>
                <w:sz w:val="11"/>
                <w:szCs w:val="11"/>
                <w:color w:val="auto"/>
              </w:rPr>
            </w:pPr>
          </w:p>
        </w:tc>
        <w:tc>
          <w:tcPr>
            <w:tcW w:w="660" w:type="dxa"/>
            <w:vAlign w:val="bottom"/>
          </w:tcPr>
          <w:p>
            <w:pPr>
              <w:jc w:val="center"/>
              <w:ind w:right="74"/>
              <w:spacing w:after="0" w:line="131" w:lineRule="exact"/>
              <w:rPr>
                <w:sz w:val="20"/>
                <w:szCs w:val="20"/>
                <w:color w:val="auto"/>
              </w:rPr>
            </w:pPr>
            <w:r>
              <w:rPr>
                <w:rFonts w:ascii="Arial" w:cs="Arial" w:eastAsia="Arial" w:hAnsi="Arial"/>
                <w:sz w:val="13"/>
                <w:szCs w:val="13"/>
                <w:b w:val="1"/>
                <w:bCs w:val="1"/>
                <w:color w:val="auto"/>
                <w:w w:val="92"/>
              </w:rPr>
              <w:t>Estate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6"/>
              </w:rPr>
              <w:t>Lease</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140"/>
              <w:spacing w:after="0" w:line="131"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1"/>
                <w:szCs w:val="11"/>
                <w:color w:val="auto"/>
              </w:rPr>
            </w:pPr>
          </w:p>
        </w:tc>
        <w:tc>
          <w:tcPr>
            <w:tcW w:w="720" w:type="dxa"/>
            <w:vAlign w:val="bottom"/>
          </w:tcPr>
          <w:p>
            <w:pPr>
              <w:jc w:val="right"/>
              <w:ind w:right="234"/>
              <w:spacing w:after="0" w:line="131"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1"/>
                <w:szCs w:val="11"/>
                <w:color w:val="auto"/>
              </w:rPr>
            </w:pPr>
          </w:p>
        </w:tc>
        <w:tc>
          <w:tcPr>
            <w:tcW w:w="46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9"/>
              </w:rPr>
              <w:t>Rent</w:t>
            </w:r>
          </w:p>
        </w:tc>
        <w:tc>
          <w:tcPr>
            <w:tcW w:w="100" w:type="dxa"/>
            <w:vAlign w:val="bottom"/>
          </w:tcPr>
          <w:p>
            <w:pPr>
              <w:spacing w:after="0"/>
              <w:rPr>
                <w:sz w:val="11"/>
                <w:szCs w:val="11"/>
                <w:color w:val="auto"/>
              </w:rPr>
            </w:pPr>
          </w:p>
        </w:tc>
        <w:tc>
          <w:tcPr>
            <w:tcW w:w="480" w:type="dxa"/>
            <w:vAlign w:val="bottom"/>
          </w:tcPr>
          <w:p>
            <w:pPr>
              <w:jc w:val="right"/>
              <w:spacing w:after="0" w:line="131" w:lineRule="exact"/>
              <w:rPr>
                <w:sz w:val="20"/>
                <w:szCs w:val="20"/>
                <w:color w:val="auto"/>
              </w:rPr>
            </w:pPr>
            <w:r>
              <w:rPr>
                <w:rFonts w:ascii="Arial" w:cs="Arial" w:eastAsia="Arial" w:hAnsi="Arial"/>
                <w:sz w:val="13"/>
                <w:szCs w:val="13"/>
                <w:b w:val="1"/>
                <w:bCs w:val="1"/>
                <w:color w:val="auto"/>
                <w:w w:val="96"/>
              </w:rPr>
              <w:t>Anchor</w:t>
            </w:r>
          </w:p>
        </w:tc>
        <w:tc>
          <w:tcPr>
            <w:tcW w:w="1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80" w:type="dxa"/>
            <w:vAlign w:val="bottom"/>
            <w:gridSpan w:val="5"/>
          </w:tcPr>
          <w:p>
            <w:pPr>
              <w:spacing w:after="0"/>
              <w:rPr>
                <w:sz w:val="20"/>
                <w:szCs w:val="20"/>
                <w:color w:val="auto"/>
              </w:rPr>
            </w:pPr>
            <w:r>
              <w:rPr>
                <w:rFonts w:ascii="Arial" w:cs="Arial" w:eastAsia="Arial" w:hAnsi="Arial"/>
                <w:sz w:val="13"/>
                <w:szCs w:val="13"/>
                <w:b w:val="1"/>
                <w:bCs w:val="1"/>
                <w:color w:val="auto"/>
              </w:rPr>
              <w:t>Property Name</w:t>
            </w:r>
          </w:p>
        </w:tc>
        <w:tc>
          <w:tcPr>
            <w:tcW w:w="32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3"/>
                <w:szCs w:val="13"/>
                <w:b w:val="1"/>
                <w:bCs w:val="1"/>
                <w:color w:val="auto"/>
                <w:w w:val="95"/>
              </w:rPr>
              <w:t>Description</w:t>
            </w:r>
          </w:p>
        </w:tc>
        <w:tc>
          <w:tcPr>
            <w:tcW w:w="4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Acquired</w:t>
            </w:r>
          </w:p>
        </w:tc>
        <w:tc>
          <w:tcPr>
            <w:tcW w:w="140" w:type="dxa"/>
            <w:vAlign w:val="bottom"/>
          </w:tcPr>
          <w:p>
            <w:pPr>
              <w:spacing w:after="0"/>
              <w:rPr>
                <w:sz w:val="14"/>
                <w:szCs w:val="14"/>
                <w:color w:val="auto"/>
              </w:rPr>
            </w:pPr>
          </w:p>
        </w:tc>
        <w:tc>
          <w:tcPr>
            <w:tcW w:w="660" w:type="dxa"/>
            <w:vAlign w:val="bottom"/>
          </w:tcPr>
          <w:p>
            <w:pPr>
              <w:jc w:val="center"/>
              <w:ind w:right="74"/>
              <w:spacing w:after="0"/>
              <w:rPr>
                <w:sz w:val="20"/>
                <w:szCs w:val="20"/>
                <w:color w:val="auto"/>
              </w:rPr>
            </w:pPr>
            <w:r>
              <w:rPr>
                <w:rFonts w:ascii="Arial" w:cs="Arial" w:eastAsia="Arial" w:hAnsi="Arial"/>
                <w:sz w:val="13"/>
                <w:szCs w:val="13"/>
                <w:b w:val="1"/>
                <w:bCs w:val="1"/>
                <w:color w:val="auto"/>
                <w:w w:val="90"/>
              </w:rPr>
              <w:t>at Cost</w:t>
            </w:r>
          </w:p>
        </w:tc>
        <w:tc>
          <w:tcPr>
            <w:tcW w:w="10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3"/>
              </w:rPr>
              <w:t>Obligation (1)</w:t>
            </w:r>
          </w:p>
        </w:tc>
        <w:tc>
          <w:tcPr>
            <w:tcW w:w="600" w:type="dxa"/>
            <w:vAlign w:val="bottom"/>
            <w:gridSpan w:val="2"/>
          </w:tcPr>
          <w:p>
            <w:pPr>
              <w:ind w:left="40"/>
              <w:spacing w:after="0"/>
              <w:rPr>
                <w:sz w:val="20"/>
                <w:szCs w:val="20"/>
                <w:color w:val="auto"/>
              </w:rPr>
            </w:pPr>
            <w:r>
              <w:rPr>
                <w:rFonts w:ascii="Arial" w:cs="Arial" w:eastAsia="Arial" w:hAnsi="Arial"/>
                <w:sz w:val="13"/>
                <w:szCs w:val="13"/>
                <w:b w:val="1"/>
                <w:bCs w:val="1"/>
                <w:color w:val="auto"/>
              </w:rPr>
              <w:t>GLA (2)</w:t>
            </w:r>
          </w:p>
        </w:tc>
        <w:tc>
          <w:tcPr>
            <w:tcW w:w="6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9"/>
              </w:rPr>
              <w:t>Leased</w:t>
            </w: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Occupied (3)</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93"/>
              </w:rPr>
              <w:t>PSF (4)</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7"/>
              </w:rPr>
              <w:t>GLA (5)</w:t>
            </w:r>
          </w:p>
        </w:tc>
        <w:tc>
          <w:tcPr>
            <w:tcW w:w="100" w:type="dxa"/>
            <w:vAlign w:val="bottom"/>
          </w:tcPr>
          <w:p>
            <w:pPr>
              <w:spacing w:after="0"/>
              <w:rPr>
                <w:sz w:val="14"/>
                <w:szCs w:val="14"/>
                <w:color w:val="auto"/>
              </w:rPr>
            </w:pPr>
          </w:p>
        </w:tc>
        <w:tc>
          <w:tcPr>
            <w:tcW w:w="1580" w:type="dxa"/>
            <w:vAlign w:val="bottom"/>
          </w:tcPr>
          <w:p>
            <w:pPr>
              <w:ind w:left="480"/>
              <w:spacing w:after="0"/>
              <w:rPr>
                <w:sz w:val="20"/>
                <w:szCs w:val="20"/>
                <w:color w:val="auto"/>
              </w:rPr>
            </w:pPr>
            <w:r>
              <w:rPr>
                <w:rFonts w:ascii="Arial" w:cs="Arial" w:eastAsia="Arial" w:hAnsi="Arial"/>
                <w:sz w:val="13"/>
                <w:szCs w:val="13"/>
                <w:b w:val="1"/>
                <w:bCs w:val="1"/>
                <w:color w:val="auto"/>
              </w:rPr>
              <w:t>Anchor (5)</w:t>
            </w:r>
          </w:p>
        </w:tc>
        <w:tc>
          <w:tcPr>
            <w:tcW w:w="4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Arial" w:cs="Arial" w:eastAsia="Arial" w:hAnsi="Arial"/>
                <w:sz w:val="13"/>
                <w:szCs w:val="13"/>
                <w:b w:val="1"/>
                <w:bCs w:val="1"/>
                <w:color w:val="auto"/>
              </w:rPr>
              <w:t>Tenants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(in thousands)</w:t>
            </w:r>
          </w:p>
        </w:tc>
        <w:tc>
          <w:tcPr>
            <w:tcW w:w="100" w:type="dxa"/>
            <w:vAlign w:val="bottom"/>
          </w:tcPr>
          <w:p>
            <w:pPr>
              <w:spacing w:after="0"/>
              <w:rPr>
                <w:sz w:val="14"/>
                <w:szCs w:val="14"/>
                <w:color w:val="auto"/>
              </w:rPr>
            </w:pP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60" w:type="dxa"/>
            <w:vAlign w:val="bottom"/>
            <w:gridSpan w:val="4"/>
            <w:shd w:val="clear" w:color="auto" w:fill="CCEEFF"/>
          </w:tcPr>
          <w:p>
            <w:pPr>
              <w:ind w:left="200"/>
              <w:spacing w:after="0" w:line="131" w:lineRule="exact"/>
              <w:rPr>
                <w:sz w:val="20"/>
                <w:szCs w:val="20"/>
                <w:color w:val="auto"/>
              </w:rPr>
            </w:pPr>
            <w:r>
              <w:rPr>
                <w:rFonts w:ascii="Arial" w:cs="Arial" w:eastAsia="Arial" w:hAnsi="Arial"/>
                <w:sz w:val="13"/>
                <w:szCs w:val="13"/>
                <w:b w:val="1"/>
                <w:bCs w:val="1"/>
                <w:color w:val="auto"/>
                <w:w w:val="97"/>
              </w:rPr>
              <w:t>Washington Metropolitan Area</w:t>
            </w: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2060" w:type="dxa"/>
            <w:vAlign w:val="bottom"/>
            <w:gridSpan w:val="4"/>
          </w:tcPr>
          <w:p>
            <w:pPr>
              <w:spacing w:after="0" w:line="129" w:lineRule="exact"/>
              <w:rPr>
                <w:sz w:val="20"/>
                <w:szCs w:val="20"/>
                <w:color w:val="auto"/>
              </w:rPr>
            </w:pPr>
            <w:r>
              <w:rPr>
                <w:rFonts w:ascii="Arial" w:cs="Arial" w:eastAsia="Arial" w:hAnsi="Arial"/>
                <w:sz w:val="13"/>
                <w:szCs w:val="13"/>
                <w:color w:val="auto"/>
              </w:rPr>
              <w:t>Bethesda Row</w:t>
            </w:r>
          </w:p>
        </w:tc>
        <w:tc>
          <w:tcPr>
            <w:tcW w:w="320" w:type="dxa"/>
            <w:vAlign w:val="bottom"/>
          </w:tcPr>
          <w:p>
            <w:pPr>
              <w:spacing w:after="0"/>
              <w:rPr>
                <w:sz w:val="11"/>
                <w:szCs w:val="11"/>
                <w:color w:val="auto"/>
              </w:rPr>
            </w:pPr>
          </w:p>
        </w:tc>
        <w:tc>
          <w:tcPr>
            <w:tcW w:w="740" w:type="dxa"/>
            <w:vAlign w:val="bottom"/>
          </w:tcPr>
          <w:p>
            <w:pPr>
              <w:spacing w:after="0" w:line="129" w:lineRule="exact"/>
              <w:rPr>
                <w:sz w:val="20"/>
                <w:szCs w:val="20"/>
                <w:color w:val="auto"/>
              </w:rPr>
            </w:pPr>
            <w:r>
              <w:rPr>
                <w:rFonts w:ascii="Arial" w:cs="Arial" w:eastAsia="Arial" w:hAnsi="Arial"/>
                <w:sz w:val="13"/>
                <w:szCs w:val="13"/>
                <w:color w:val="auto"/>
                <w:w w:val="99"/>
              </w:rPr>
              <w:t>Washington,</w:t>
            </w:r>
          </w:p>
        </w:tc>
        <w:tc>
          <w:tcPr>
            <w:tcW w:w="780" w:type="dxa"/>
            <w:vAlign w:val="bottom"/>
            <w:gridSpan w:val="3"/>
          </w:tcPr>
          <w:p>
            <w:pPr>
              <w:jc w:val="right"/>
              <w:ind w:right="100"/>
              <w:spacing w:after="0" w:line="129" w:lineRule="exact"/>
              <w:rPr>
                <w:sz w:val="20"/>
                <w:szCs w:val="20"/>
                <w:color w:val="auto"/>
              </w:rPr>
            </w:pPr>
            <w:r>
              <w:rPr>
                <w:rFonts w:ascii="Arial" w:cs="Arial" w:eastAsia="Arial" w:hAnsi="Arial"/>
                <w:sz w:val="13"/>
                <w:szCs w:val="13"/>
                <w:color w:val="auto"/>
              </w:rPr>
              <w:t>1993/2006/</w:t>
            </w:r>
          </w:p>
        </w:tc>
        <w:tc>
          <w:tcPr>
            <w:tcW w:w="14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207,148</w:t>
            </w:r>
          </w:p>
        </w:tc>
        <w:tc>
          <w:tcPr>
            <w:tcW w:w="2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24,157</w:t>
            </w:r>
          </w:p>
        </w:tc>
        <w:tc>
          <w:tcPr>
            <w:tcW w:w="60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521,000</w:t>
            </w:r>
          </w:p>
        </w:tc>
        <w:tc>
          <w:tcPr>
            <w:tcW w:w="640" w:type="dxa"/>
            <w:vAlign w:val="bottom"/>
            <w:gridSpan w:val="3"/>
          </w:tcPr>
          <w:p>
            <w:pPr>
              <w:jc w:val="right"/>
              <w:ind w:right="80"/>
              <w:spacing w:after="0" w:line="129" w:lineRule="exact"/>
              <w:rPr>
                <w:sz w:val="20"/>
                <w:szCs w:val="20"/>
                <w:color w:val="auto"/>
              </w:rPr>
            </w:pPr>
            <w:r>
              <w:rPr>
                <w:rFonts w:ascii="Arial" w:cs="Arial" w:eastAsia="Arial" w:hAnsi="Arial"/>
                <w:sz w:val="13"/>
                <w:szCs w:val="13"/>
                <w:color w:val="auto"/>
              </w:rPr>
              <w:t>96%</w:t>
            </w:r>
          </w:p>
        </w:tc>
        <w:tc>
          <w:tcPr>
            <w:tcW w:w="90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96%</w:t>
            </w: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w w:val="93"/>
              </w:rPr>
              <w:t>$  43.21</w:t>
            </w:r>
          </w:p>
        </w:tc>
        <w:tc>
          <w:tcPr>
            <w:tcW w:w="5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40,000</w:t>
            </w:r>
          </w:p>
        </w:tc>
        <w:tc>
          <w:tcPr>
            <w:tcW w:w="100" w:type="dxa"/>
            <w:vAlign w:val="bottom"/>
          </w:tcPr>
          <w:p>
            <w:pPr>
              <w:spacing w:after="0"/>
              <w:rPr>
                <w:sz w:val="11"/>
                <w:szCs w:val="11"/>
                <w:color w:val="auto"/>
              </w:rPr>
            </w:pPr>
          </w:p>
        </w:tc>
        <w:tc>
          <w:tcPr>
            <w:tcW w:w="1580" w:type="dxa"/>
            <w:vAlign w:val="bottom"/>
          </w:tcPr>
          <w:p>
            <w:pPr>
              <w:spacing w:after="0" w:line="129" w:lineRule="exact"/>
              <w:rPr>
                <w:sz w:val="20"/>
                <w:szCs w:val="20"/>
                <w:color w:val="auto"/>
              </w:rPr>
            </w:pPr>
            <w:r>
              <w:rPr>
                <w:rFonts w:ascii="Arial" w:cs="Arial" w:eastAsia="Arial" w:hAnsi="Arial"/>
                <w:sz w:val="13"/>
                <w:szCs w:val="13"/>
                <w:color w:val="auto"/>
              </w:rPr>
              <w:t>Giant Food</w:t>
            </w:r>
          </w:p>
        </w:tc>
        <w:tc>
          <w:tcPr>
            <w:tcW w:w="4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3"/>
                <w:szCs w:val="13"/>
                <w:color w:val="auto"/>
                <w:w w:val="94"/>
              </w:rPr>
              <w:t>Barnes &amp; Noble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line="144" w:lineRule="exact"/>
              <w:rPr>
                <w:sz w:val="20"/>
                <w:szCs w:val="20"/>
                <w:color w:val="auto"/>
              </w:rPr>
            </w:pPr>
            <w:r>
              <w:rPr>
                <w:rFonts w:ascii="Arial" w:cs="Arial" w:eastAsia="Arial" w:hAnsi="Arial"/>
                <w:sz w:val="13"/>
                <w:szCs w:val="13"/>
                <w:color w:val="auto"/>
              </w:rPr>
              <w:t>DC-MD-VA</w:t>
            </w:r>
          </w:p>
        </w:tc>
        <w:tc>
          <w:tcPr>
            <w:tcW w:w="7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2008/2010</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line="144" w:lineRule="exact"/>
              <w:rPr>
                <w:sz w:val="20"/>
                <w:szCs w:val="20"/>
                <w:color w:val="auto"/>
              </w:rPr>
            </w:pPr>
            <w:r>
              <w:rPr>
                <w:rFonts w:ascii="Arial" w:cs="Arial" w:eastAsia="Arial" w:hAnsi="Arial"/>
                <w:sz w:val="13"/>
                <w:szCs w:val="13"/>
                <w:color w:val="auto"/>
              </w:rPr>
              <w:t>/ Landmark</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line="144" w:lineRule="exact"/>
              <w:rPr>
                <w:sz w:val="20"/>
                <w:szCs w:val="20"/>
                <w:color w:val="auto"/>
              </w:rPr>
            </w:pPr>
            <w:r>
              <w:rPr>
                <w:rFonts w:ascii="Arial" w:cs="Arial" w:eastAsia="Arial" w:hAnsi="Arial"/>
                <w:sz w:val="13"/>
                <w:szCs w:val="13"/>
                <w:color w:val="auto"/>
                <w:w w:val="96"/>
              </w:rPr>
              <w:t>Theater / Apple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Computer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Congressional Plaza</w:t>
            </w:r>
          </w:p>
        </w:tc>
        <w:tc>
          <w:tcPr>
            <w:tcW w:w="32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(7)</w:t>
            </w:r>
          </w:p>
        </w:tc>
        <w:tc>
          <w:tcPr>
            <w:tcW w:w="7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9"/>
              </w:rPr>
              <w:t>Washington,</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1965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71,299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332,000</w:t>
            </w:r>
          </w:p>
        </w:tc>
        <w:tc>
          <w:tcPr>
            <w:tcW w:w="6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31.88</w:t>
            </w: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28,000</w:t>
            </w: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Whole Foods</w:t>
            </w: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6"/>
              </w:rPr>
              <w:t>Buy Buy Baby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DC-MD-VA</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w w:val="94"/>
              </w:rPr>
              <w:t>Container Store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tcPr>
          <w:p>
            <w:pPr>
              <w:spacing w:after="0" w:line="136" w:lineRule="exact"/>
              <w:rPr>
                <w:sz w:val="20"/>
                <w:szCs w:val="20"/>
                <w:color w:val="auto"/>
              </w:rPr>
            </w:pPr>
            <w:r>
              <w:rPr>
                <w:rFonts w:ascii="Arial" w:cs="Arial" w:eastAsia="Arial" w:hAnsi="Arial"/>
                <w:sz w:val="13"/>
                <w:szCs w:val="13"/>
                <w:color w:val="auto"/>
              </w:rPr>
              <w:t>Courthouse Center</w:t>
            </w:r>
          </w:p>
        </w:tc>
        <w:tc>
          <w:tcPr>
            <w:tcW w:w="3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3"/>
                <w:szCs w:val="13"/>
                <w:color w:val="auto"/>
                <w:w w:val="99"/>
              </w:rPr>
              <w:t>Washington,</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1997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4,366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36,000</w:t>
            </w:r>
          </w:p>
        </w:tc>
        <w:tc>
          <w:tcPr>
            <w:tcW w:w="6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93%</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93%</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17.67</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DC-MD-VA</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Falls Plaza/Falls Plaza-East</w:t>
            </w: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9"/>
              </w:rPr>
              <w:t>Washington,</w:t>
            </w:r>
          </w:p>
        </w:tc>
        <w:tc>
          <w:tcPr>
            <w:tcW w:w="78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1967-1972</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12,309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144,000</w:t>
            </w:r>
          </w:p>
        </w:tc>
        <w:tc>
          <w:tcPr>
            <w:tcW w:w="6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29.82</w:t>
            </w: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51,000</w:t>
            </w: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Giant Food</w:t>
            </w: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CVS / Staples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DC-MD-VA</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tcPr>
          <w:p>
            <w:pPr>
              <w:spacing w:after="0" w:line="136" w:lineRule="exact"/>
              <w:rPr>
                <w:sz w:val="20"/>
                <w:szCs w:val="20"/>
                <w:color w:val="auto"/>
              </w:rPr>
            </w:pPr>
            <w:r>
              <w:rPr>
                <w:rFonts w:ascii="Arial" w:cs="Arial" w:eastAsia="Arial" w:hAnsi="Arial"/>
                <w:sz w:val="13"/>
                <w:szCs w:val="13"/>
                <w:color w:val="auto"/>
              </w:rPr>
              <w:t>Federal Plaza</w:t>
            </w:r>
          </w:p>
        </w:tc>
        <w:tc>
          <w:tcPr>
            <w:tcW w:w="3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3"/>
                <w:szCs w:val="13"/>
                <w:color w:val="auto"/>
                <w:w w:val="99"/>
              </w:rPr>
              <w:t>Washington,</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1989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62,773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31,901</w:t>
            </w:r>
          </w:p>
        </w:tc>
        <w:tc>
          <w:tcPr>
            <w:tcW w:w="6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248,000</w:t>
            </w:r>
          </w:p>
        </w:tc>
        <w:tc>
          <w:tcPr>
            <w:tcW w:w="6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87%</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87%</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32.00</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line="136" w:lineRule="exact"/>
              <w:rPr>
                <w:sz w:val="20"/>
                <w:szCs w:val="20"/>
                <w:color w:val="auto"/>
              </w:rPr>
            </w:pPr>
            <w:r>
              <w:rPr>
                <w:rFonts w:ascii="Arial" w:cs="Arial" w:eastAsia="Arial" w:hAnsi="Arial"/>
                <w:sz w:val="13"/>
                <w:szCs w:val="13"/>
                <w:color w:val="auto"/>
              </w:rPr>
              <w:t>TJ Maxx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line="144" w:lineRule="exact"/>
              <w:rPr>
                <w:sz w:val="20"/>
                <w:szCs w:val="20"/>
                <w:color w:val="auto"/>
              </w:rPr>
            </w:pPr>
            <w:r>
              <w:rPr>
                <w:rFonts w:ascii="Arial" w:cs="Arial" w:eastAsia="Arial" w:hAnsi="Arial"/>
                <w:sz w:val="13"/>
                <w:szCs w:val="13"/>
                <w:color w:val="auto"/>
              </w:rPr>
              <w:t>DC-MD-VA</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line="144" w:lineRule="exact"/>
              <w:rPr>
                <w:sz w:val="20"/>
                <w:szCs w:val="20"/>
                <w:color w:val="auto"/>
              </w:rPr>
            </w:pPr>
            <w:r>
              <w:rPr>
                <w:rFonts w:ascii="Arial" w:cs="Arial" w:eastAsia="Arial" w:hAnsi="Arial"/>
                <w:sz w:val="13"/>
                <w:szCs w:val="13"/>
                <w:color w:val="auto"/>
              </w:rPr>
              <w:t>Micro Center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line="144" w:lineRule="exact"/>
              <w:rPr>
                <w:sz w:val="20"/>
                <w:szCs w:val="20"/>
                <w:color w:val="auto"/>
              </w:rPr>
            </w:pPr>
            <w:r>
              <w:rPr>
                <w:rFonts w:ascii="Arial" w:cs="Arial" w:eastAsia="Arial" w:hAnsi="Arial"/>
                <w:sz w:val="13"/>
                <w:szCs w:val="13"/>
                <w:color w:val="auto"/>
                <w:w w:val="95"/>
              </w:rPr>
              <w:t>Ross Dress For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line="144" w:lineRule="exact"/>
              <w:rPr>
                <w:sz w:val="20"/>
                <w:szCs w:val="20"/>
                <w:color w:val="auto"/>
              </w:rPr>
            </w:pPr>
            <w:r>
              <w:rPr>
                <w:rFonts w:ascii="Arial" w:cs="Arial" w:eastAsia="Arial" w:hAnsi="Arial"/>
                <w:sz w:val="13"/>
                <w:szCs w:val="13"/>
                <w:color w:val="auto"/>
              </w:rPr>
              <w:t>Less / Trader</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Joe’s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Friendship Center</w:t>
            </w: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9"/>
              </w:rPr>
              <w:t>Washington,</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2001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34,354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119,000</w:t>
            </w:r>
          </w:p>
        </w:tc>
        <w:tc>
          <w:tcPr>
            <w:tcW w:w="6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33.15</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2"/>
              </w:rPr>
              <w:t>Borders Books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DC-MD-VA</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Maggiano’s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tcPr>
          <w:p>
            <w:pPr>
              <w:spacing w:after="0" w:line="136" w:lineRule="exact"/>
              <w:rPr>
                <w:sz w:val="20"/>
                <w:szCs w:val="20"/>
                <w:color w:val="auto"/>
              </w:rPr>
            </w:pPr>
            <w:r>
              <w:rPr>
                <w:rFonts w:ascii="Arial" w:cs="Arial" w:eastAsia="Arial" w:hAnsi="Arial"/>
                <w:sz w:val="13"/>
                <w:szCs w:val="13"/>
                <w:color w:val="auto"/>
              </w:rPr>
              <w:t>Gaithersburg Square</w:t>
            </w:r>
          </w:p>
        </w:tc>
        <w:tc>
          <w:tcPr>
            <w:tcW w:w="3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3"/>
                <w:szCs w:val="13"/>
                <w:color w:val="auto"/>
                <w:w w:val="99"/>
              </w:rPr>
              <w:t>Washington,</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1993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24,984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209,000</w:t>
            </w:r>
          </w:p>
        </w:tc>
        <w:tc>
          <w:tcPr>
            <w:tcW w:w="6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79%</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78%</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25.10</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line="136" w:lineRule="exact"/>
              <w:rPr>
                <w:sz w:val="20"/>
                <w:szCs w:val="20"/>
                <w:color w:val="auto"/>
              </w:rPr>
            </w:pPr>
            <w:r>
              <w:rPr>
                <w:rFonts w:ascii="Arial" w:cs="Arial" w:eastAsia="Arial" w:hAnsi="Arial"/>
                <w:sz w:val="13"/>
                <w:szCs w:val="13"/>
                <w:color w:val="auto"/>
              </w:rPr>
              <w:t>Bed, Bath &amp;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line="144" w:lineRule="exact"/>
              <w:rPr>
                <w:sz w:val="20"/>
                <w:szCs w:val="20"/>
                <w:color w:val="auto"/>
              </w:rPr>
            </w:pPr>
            <w:r>
              <w:rPr>
                <w:rFonts w:ascii="Arial" w:cs="Arial" w:eastAsia="Arial" w:hAnsi="Arial"/>
                <w:sz w:val="13"/>
                <w:szCs w:val="13"/>
                <w:color w:val="auto"/>
              </w:rPr>
              <w:t>DC-MD-VA</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line="144" w:lineRule="exact"/>
              <w:rPr>
                <w:sz w:val="20"/>
                <w:szCs w:val="20"/>
                <w:color w:val="auto"/>
              </w:rPr>
            </w:pPr>
            <w:r>
              <w:rPr>
                <w:rFonts w:ascii="Arial" w:cs="Arial" w:eastAsia="Arial" w:hAnsi="Arial"/>
                <w:sz w:val="13"/>
                <w:szCs w:val="13"/>
                <w:color w:val="auto"/>
              </w:rPr>
              <w:t>Beyond / Ross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3"/>
                <w:szCs w:val="13"/>
                <w:color w:val="auto"/>
                <w:w w:val="97"/>
              </w:rPr>
              <w:t>Dress For Less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Idylwood Plaza</w:t>
            </w: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9"/>
              </w:rPr>
              <w:t>Washington,</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1994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15,971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16,544</w:t>
            </w: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73,000</w:t>
            </w:r>
          </w:p>
        </w:tc>
        <w:tc>
          <w:tcPr>
            <w:tcW w:w="6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41.81</w:t>
            </w: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30,000</w:t>
            </w: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Whole Foods</w:t>
            </w: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DC-MD-VA</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tcPr>
          <w:p>
            <w:pPr>
              <w:spacing w:after="0" w:line="136" w:lineRule="exact"/>
              <w:rPr>
                <w:sz w:val="20"/>
                <w:szCs w:val="20"/>
                <w:color w:val="auto"/>
              </w:rPr>
            </w:pPr>
            <w:r>
              <w:rPr>
                <w:rFonts w:ascii="Arial" w:cs="Arial" w:eastAsia="Arial" w:hAnsi="Arial"/>
                <w:sz w:val="13"/>
                <w:szCs w:val="13"/>
                <w:color w:val="auto"/>
              </w:rPr>
              <w:t>Laurel</w:t>
            </w:r>
          </w:p>
        </w:tc>
        <w:tc>
          <w:tcPr>
            <w:tcW w:w="3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3"/>
                <w:szCs w:val="13"/>
                <w:color w:val="auto"/>
                <w:w w:val="99"/>
              </w:rPr>
              <w:t>Washington,</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1986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47,609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388,000</w:t>
            </w:r>
          </w:p>
        </w:tc>
        <w:tc>
          <w:tcPr>
            <w:tcW w:w="6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85%</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85%</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18.35</w:t>
            </w:r>
          </w:p>
        </w:tc>
        <w:tc>
          <w:tcPr>
            <w:tcW w:w="5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61,000</w:t>
            </w:r>
          </w:p>
        </w:tc>
        <w:tc>
          <w:tcPr>
            <w:tcW w:w="100" w:type="dxa"/>
            <w:vAlign w:val="bottom"/>
          </w:tcPr>
          <w:p>
            <w:pPr>
              <w:spacing w:after="0"/>
              <w:rPr>
                <w:sz w:val="11"/>
                <w:szCs w:val="11"/>
                <w:color w:val="auto"/>
              </w:rPr>
            </w:pPr>
          </w:p>
        </w:tc>
        <w:tc>
          <w:tcPr>
            <w:tcW w:w="1580" w:type="dxa"/>
            <w:vAlign w:val="bottom"/>
          </w:tcPr>
          <w:p>
            <w:pPr>
              <w:spacing w:after="0" w:line="136" w:lineRule="exact"/>
              <w:rPr>
                <w:sz w:val="20"/>
                <w:szCs w:val="20"/>
                <w:color w:val="auto"/>
              </w:rPr>
            </w:pPr>
            <w:r>
              <w:rPr>
                <w:rFonts w:ascii="Arial" w:cs="Arial" w:eastAsia="Arial" w:hAnsi="Arial"/>
                <w:sz w:val="13"/>
                <w:szCs w:val="13"/>
                <w:color w:val="auto"/>
              </w:rPr>
              <w:t>Giant Food</w:t>
            </w:r>
          </w:p>
        </w:tc>
        <w:tc>
          <w:tcPr>
            <w:tcW w:w="40" w:type="dxa"/>
            <w:vAlign w:val="bottom"/>
          </w:tcPr>
          <w:p>
            <w:pPr>
              <w:spacing w:after="0"/>
              <w:rPr>
                <w:sz w:val="11"/>
                <w:szCs w:val="11"/>
                <w:color w:val="auto"/>
              </w:rPr>
            </w:pPr>
          </w:p>
        </w:tc>
        <w:tc>
          <w:tcPr>
            <w:tcW w:w="880" w:type="dxa"/>
            <w:vAlign w:val="bottom"/>
          </w:tcPr>
          <w:p>
            <w:pPr>
              <w:spacing w:after="0" w:line="136" w:lineRule="exact"/>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DC-MD-VA</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Leesburg Plaza</w:t>
            </w:r>
          </w:p>
        </w:tc>
        <w:tc>
          <w:tcPr>
            <w:tcW w:w="32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(8)</w:t>
            </w:r>
          </w:p>
        </w:tc>
        <w:tc>
          <w:tcPr>
            <w:tcW w:w="7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9"/>
              </w:rPr>
              <w:t>Washington,</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34,519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28,786</w:t>
            </w: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236,000</w:t>
            </w:r>
          </w:p>
        </w:tc>
        <w:tc>
          <w:tcPr>
            <w:tcW w:w="6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95%</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95%</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22.14</w:t>
            </w: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55,000</w:t>
            </w: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Giant Food</w:t>
            </w: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88"/>
              </w:rPr>
              <w:t>Petsmart / Pier 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DC-MD-VA</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7"/>
              </w:rPr>
              <w:t>Imports / Office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Depot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tcPr>
          <w:p>
            <w:pPr>
              <w:spacing w:after="0" w:line="136" w:lineRule="exact"/>
              <w:rPr>
                <w:sz w:val="20"/>
                <w:szCs w:val="20"/>
                <w:color w:val="auto"/>
              </w:rPr>
            </w:pPr>
            <w:r>
              <w:rPr>
                <w:rFonts w:ascii="Arial" w:cs="Arial" w:eastAsia="Arial" w:hAnsi="Arial"/>
                <w:sz w:val="13"/>
                <w:szCs w:val="13"/>
                <w:color w:val="auto"/>
              </w:rPr>
              <w:t>Loehmann’s Plaza</w:t>
            </w:r>
          </w:p>
        </w:tc>
        <w:tc>
          <w:tcPr>
            <w:tcW w:w="3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3"/>
                <w:szCs w:val="13"/>
                <w:color w:val="auto"/>
                <w:w w:val="99"/>
              </w:rPr>
              <w:t>Washington,</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1983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32,634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37,224</w:t>
            </w:r>
          </w:p>
        </w:tc>
        <w:tc>
          <w:tcPr>
            <w:tcW w:w="6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268,000</w:t>
            </w:r>
          </w:p>
        </w:tc>
        <w:tc>
          <w:tcPr>
            <w:tcW w:w="6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96%</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96%</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26.20</w:t>
            </w:r>
          </w:p>
        </w:tc>
        <w:tc>
          <w:tcPr>
            <w:tcW w:w="5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58,000</w:t>
            </w:r>
          </w:p>
        </w:tc>
        <w:tc>
          <w:tcPr>
            <w:tcW w:w="100" w:type="dxa"/>
            <w:vAlign w:val="bottom"/>
          </w:tcPr>
          <w:p>
            <w:pPr>
              <w:spacing w:after="0"/>
              <w:rPr>
                <w:sz w:val="11"/>
                <w:szCs w:val="11"/>
                <w:color w:val="auto"/>
              </w:rPr>
            </w:pPr>
          </w:p>
        </w:tc>
        <w:tc>
          <w:tcPr>
            <w:tcW w:w="1580" w:type="dxa"/>
            <w:vAlign w:val="bottom"/>
          </w:tcPr>
          <w:p>
            <w:pPr>
              <w:spacing w:after="0" w:line="136" w:lineRule="exact"/>
              <w:rPr>
                <w:sz w:val="20"/>
                <w:szCs w:val="20"/>
                <w:color w:val="auto"/>
              </w:rPr>
            </w:pPr>
            <w:r>
              <w:rPr>
                <w:rFonts w:ascii="Arial" w:cs="Arial" w:eastAsia="Arial" w:hAnsi="Arial"/>
                <w:sz w:val="13"/>
                <w:szCs w:val="13"/>
                <w:color w:val="auto"/>
              </w:rPr>
              <w:t>Giant Food</w:t>
            </w:r>
          </w:p>
        </w:tc>
        <w:tc>
          <w:tcPr>
            <w:tcW w:w="40" w:type="dxa"/>
            <w:vAlign w:val="bottom"/>
          </w:tcPr>
          <w:p>
            <w:pPr>
              <w:spacing w:after="0"/>
              <w:rPr>
                <w:sz w:val="11"/>
                <w:szCs w:val="11"/>
                <w:color w:val="auto"/>
              </w:rPr>
            </w:pPr>
          </w:p>
        </w:tc>
        <w:tc>
          <w:tcPr>
            <w:tcW w:w="880" w:type="dxa"/>
            <w:vAlign w:val="bottom"/>
          </w:tcPr>
          <w:p>
            <w:pPr>
              <w:spacing w:after="0" w:line="136" w:lineRule="exact"/>
              <w:rPr>
                <w:sz w:val="20"/>
                <w:szCs w:val="20"/>
                <w:color w:val="auto"/>
              </w:rPr>
            </w:pPr>
            <w:r>
              <w:rPr>
                <w:rFonts w:ascii="Arial" w:cs="Arial" w:eastAsia="Arial" w:hAnsi="Arial"/>
                <w:sz w:val="13"/>
                <w:szCs w:val="13"/>
                <w:color w:val="auto"/>
              </w:rPr>
              <w:t>Bally 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line="144" w:lineRule="exact"/>
              <w:rPr>
                <w:sz w:val="20"/>
                <w:szCs w:val="20"/>
                <w:color w:val="auto"/>
              </w:rPr>
            </w:pPr>
            <w:r>
              <w:rPr>
                <w:rFonts w:ascii="Arial" w:cs="Arial" w:eastAsia="Arial" w:hAnsi="Arial"/>
                <w:sz w:val="13"/>
                <w:szCs w:val="13"/>
                <w:color w:val="auto"/>
              </w:rPr>
              <w:t>DC-MD-VA</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line="144" w:lineRule="exact"/>
              <w:rPr>
                <w:sz w:val="20"/>
                <w:szCs w:val="20"/>
                <w:color w:val="auto"/>
              </w:rPr>
            </w:pPr>
            <w:r>
              <w:rPr>
                <w:rFonts w:ascii="Arial" w:cs="Arial" w:eastAsia="Arial" w:hAnsi="Arial"/>
                <w:sz w:val="13"/>
                <w:szCs w:val="13"/>
                <w:color w:val="auto"/>
              </w:rPr>
              <w:t>Fitness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line="144" w:lineRule="exact"/>
              <w:rPr>
                <w:sz w:val="20"/>
                <w:szCs w:val="20"/>
                <w:color w:val="auto"/>
              </w:rPr>
            </w:pPr>
            <w:r>
              <w:rPr>
                <w:rFonts w:ascii="Arial" w:cs="Arial" w:eastAsia="Arial" w:hAnsi="Arial"/>
                <w:sz w:val="13"/>
                <w:szCs w:val="13"/>
                <w:color w:val="auto"/>
              </w:rPr>
              <w:t>Loehmann’s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Dress Shop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Mid-Pike Plaza</w:t>
            </w: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9"/>
              </w:rPr>
              <w:t>Washington,</w:t>
            </w:r>
          </w:p>
        </w:tc>
        <w:tc>
          <w:tcPr>
            <w:tcW w:w="78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1982/2007</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47,674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309,000</w:t>
            </w:r>
          </w:p>
        </w:tc>
        <w:tc>
          <w:tcPr>
            <w:tcW w:w="6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73%</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73%</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27.12</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Toys R Us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DC-MD-VA</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Bally 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Fitness / AC</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Moore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tcPr>
          <w:p>
            <w:pPr>
              <w:spacing w:after="0" w:line="136" w:lineRule="exact"/>
              <w:rPr>
                <w:sz w:val="20"/>
                <w:szCs w:val="20"/>
                <w:color w:val="auto"/>
              </w:rPr>
            </w:pPr>
            <w:r>
              <w:rPr>
                <w:rFonts w:ascii="Arial" w:cs="Arial" w:eastAsia="Arial" w:hAnsi="Arial"/>
                <w:sz w:val="13"/>
                <w:szCs w:val="13"/>
                <w:color w:val="auto"/>
              </w:rPr>
              <w:t>Mount Vernon/South Valley/7770</w:t>
            </w:r>
          </w:p>
        </w:tc>
        <w:tc>
          <w:tcPr>
            <w:tcW w:w="320" w:type="dxa"/>
            <w:vAlign w:val="bottom"/>
          </w:tcPr>
          <w:p>
            <w:pPr>
              <w:jc w:val="right"/>
              <w:ind w:right="14"/>
              <w:spacing w:after="0" w:line="136" w:lineRule="exact"/>
              <w:rPr>
                <w:sz w:val="20"/>
                <w:szCs w:val="20"/>
                <w:color w:val="auto"/>
              </w:rPr>
            </w:pPr>
            <w:r>
              <w:rPr>
                <w:rFonts w:ascii="Arial" w:cs="Arial" w:eastAsia="Arial" w:hAnsi="Arial"/>
                <w:sz w:val="13"/>
                <w:szCs w:val="13"/>
                <w:color w:val="auto"/>
              </w:rPr>
              <w:t>(8)</w:t>
            </w:r>
          </w:p>
        </w:tc>
        <w:tc>
          <w:tcPr>
            <w:tcW w:w="740" w:type="dxa"/>
            <w:vAlign w:val="bottom"/>
          </w:tcPr>
          <w:p>
            <w:pPr>
              <w:spacing w:after="0" w:line="136" w:lineRule="exact"/>
              <w:rPr>
                <w:sz w:val="20"/>
                <w:szCs w:val="20"/>
                <w:color w:val="auto"/>
              </w:rPr>
            </w:pPr>
            <w:r>
              <w:rPr>
                <w:rFonts w:ascii="Arial" w:cs="Arial" w:eastAsia="Arial" w:hAnsi="Arial"/>
                <w:sz w:val="13"/>
                <w:szCs w:val="13"/>
                <w:color w:val="auto"/>
                <w:w w:val="99"/>
              </w:rPr>
              <w:t>Washington,</w:t>
            </w:r>
          </w:p>
        </w:tc>
        <w:tc>
          <w:tcPr>
            <w:tcW w:w="780" w:type="dxa"/>
            <w:vAlign w:val="bottom"/>
            <w:gridSpan w:val="3"/>
          </w:tcPr>
          <w:p>
            <w:pPr>
              <w:jc w:val="right"/>
              <w:ind w:right="100"/>
              <w:spacing w:after="0" w:line="136" w:lineRule="exact"/>
              <w:rPr>
                <w:sz w:val="20"/>
                <w:szCs w:val="20"/>
                <w:color w:val="auto"/>
              </w:rPr>
            </w:pPr>
            <w:r>
              <w:rPr>
                <w:rFonts w:ascii="Arial" w:cs="Arial" w:eastAsia="Arial" w:hAnsi="Arial"/>
                <w:sz w:val="13"/>
                <w:szCs w:val="13"/>
                <w:color w:val="auto"/>
              </w:rPr>
              <w:t>2003-2006</w:t>
            </w: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78,312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10,937</w:t>
            </w:r>
          </w:p>
        </w:tc>
        <w:tc>
          <w:tcPr>
            <w:tcW w:w="6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565,000</w:t>
            </w:r>
          </w:p>
        </w:tc>
        <w:tc>
          <w:tcPr>
            <w:tcW w:w="6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95%</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95%</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15.32</w:t>
            </w:r>
          </w:p>
        </w:tc>
        <w:tc>
          <w:tcPr>
            <w:tcW w:w="5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62,000</w:t>
            </w:r>
          </w:p>
        </w:tc>
        <w:tc>
          <w:tcPr>
            <w:tcW w:w="100" w:type="dxa"/>
            <w:vAlign w:val="bottom"/>
          </w:tcPr>
          <w:p>
            <w:pPr>
              <w:spacing w:after="0"/>
              <w:rPr>
                <w:sz w:val="11"/>
                <w:szCs w:val="11"/>
                <w:color w:val="auto"/>
              </w:rPr>
            </w:pPr>
          </w:p>
        </w:tc>
        <w:tc>
          <w:tcPr>
            <w:tcW w:w="1580" w:type="dxa"/>
            <w:vAlign w:val="bottom"/>
          </w:tcPr>
          <w:p>
            <w:pPr>
              <w:spacing w:after="0" w:line="136" w:lineRule="exact"/>
              <w:rPr>
                <w:sz w:val="20"/>
                <w:szCs w:val="20"/>
                <w:color w:val="auto"/>
              </w:rPr>
            </w:pPr>
            <w:r>
              <w:rPr>
                <w:rFonts w:ascii="Arial" w:cs="Arial" w:eastAsia="Arial" w:hAnsi="Arial"/>
                <w:sz w:val="13"/>
                <w:szCs w:val="13"/>
                <w:color w:val="auto"/>
                <w:w w:val="98"/>
              </w:rPr>
              <w:t>Shoppers Food Warehouse</w:t>
            </w:r>
          </w:p>
        </w:tc>
        <w:tc>
          <w:tcPr>
            <w:tcW w:w="40" w:type="dxa"/>
            <w:vAlign w:val="bottom"/>
          </w:tcPr>
          <w:p>
            <w:pPr>
              <w:spacing w:after="0"/>
              <w:rPr>
                <w:sz w:val="11"/>
                <w:szCs w:val="11"/>
                <w:color w:val="auto"/>
              </w:rPr>
            </w:pPr>
          </w:p>
        </w:tc>
        <w:tc>
          <w:tcPr>
            <w:tcW w:w="880" w:type="dxa"/>
            <w:vAlign w:val="bottom"/>
          </w:tcPr>
          <w:p>
            <w:pPr>
              <w:spacing w:after="0" w:line="136" w:lineRule="exact"/>
              <w:rPr>
                <w:sz w:val="20"/>
                <w:szCs w:val="20"/>
                <w:color w:val="auto"/>
              </w:rPr>
            </w:pPr>
            <w:r>
              <w:rPr>
                <w:rFonts w:ascii="Arial" w:cs="Arial" w:eastAsia="Arial" w:hAnsi="Arial"/>
                <w:sz w:val="13"/>
                <w:szCs w:val="13"/>
                <w:color w:val="auto"/>
              </w:rPr>
              <w:t>Bed, Bath &amp;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60" w:type="dxa"/>
            <w:vAlign w:val="bottom"/>
            <w:gridSpan w:val="4"/>
          </w:tcPr>
          <w:p>
            <w:pPr>
              <w:ind w:left="200"/>
              <w:spacing w:after="0" w:line="144" w:lineRule="exact"/>
              <w:rPr>
                <w:sz w:val="20"/>
                <w:szCs w:val="20"/>
                <w:color w:val="auto"/>
              </w:rPr>
            </w:pPr>
            <w:r>
              <w:rPr>
                <w:rFonts w:ascii="Arial" w:cs="Arial" w:eastAsia="Arial" w:hAnsi="Arial"/>
                <w:sz w:val="13"/>
                <w:szCs w:val="13"/>
                <w:color w:val="auto"/>
              </w:rPr>
              <w:t>Richmond Hwy</w:t>
            </w:r>
          </w:p>
        </w:tc>
        <w:tc>
          <w:tcPr>
            <w:tcW w:w="320" w:type="dxa"/>
            <w:vAlign w:val="bottom"/>
          </w:tcPr>
          <w:p>
            <w:pPr>
              <w:spacing w:after="0"/>
              <w:rPr>
                <w:sz w:val="12"/>
                <w:szCs w:val="12"/>
                <w:color w:val="auto"/>
              </w:rPr>
            </w:pPr>
          </w:p>
        </w:tc>
        <w:tc>
          <w:tcPr>
            <w:tcW w:w="740" w:type="dxa"/>
            <w:vAlign w:val="bottom"/>
          </w:tcPr>
          <w:p>
            <w:pPr>
              <w:spacing w:after="0" w:line="144" w:lineRule="exact"/>
              <w:rPr>
                <w:sz w:val="20"/>
                <w:szCs w:val="20"/>
                <w:color w:val="auto"/>
              </w:rPr>
            </w:pPr>
            <w:r>
              <w:rPr>
                <w:rFonts w:ascii="Arial" w:cs="Arial" w:eastAsia="Arial" w:hAnsi="Arial"/>
                <w:sz w:val="13"/>
                <w:szCs w:val="13"/>
                <w:color w:val="auto"/>
              </w:rPr>
              <w:t>DC-MD-VA</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line="144" w:lineRule="exact"/>
              <w:rPr>
                <w:sz w:val="20"/>
                <w:szCs w:val="20"/>
                <w:color w:val="auto"/>
              </w:rPr>
            </w:pPr>
            <w:r>
              <w:rPr>
                <w:rFonts w:ascii="Arial" w:cs="Arial" w:eastAsia="Arial" w:hAnsi="Arial"/>
                <w:sz w:val="13"/>
                <w:szCs w:val="13"/>
                <w:color w:val="auto"/>
              </w:rPr>
              <w:t>Beyond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line="144" w:lineRule="exact"/>
              <w:rPr>
                <w:sz w:val="20"/>
                <w:szCs w:val="20"/>
                <w:color w:val="auto"/>
              </w:rPr>
            </w:pPr>
            <w:r>
              <w:rPr>
                <w:rFonts w:ascii="Arial" w:cs="Arial" w:eastAsia="Arial" w:hAnsi="Arial"/>
                <w:sz w:val="13"/>
                <w:szCs w:val="13"/>
                <w:color w:val="auto"/>
              </w:rPr>
              <w:t>Michaels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line="144" w:lineRule="exact"/>
              <w:rPr>
                <w:sz w:val="20"/>
                <w:szCs w:val="20"/>
                <w:color w:val="auto"/>
              </w:rPr>
            </w:pPr>
            <w:r>
              <w:rPr>
                <w:rFonts w:ascii="Arial" w:cs="Arial" w:eastAsia="Arial" w:hAnsi="Arial"/>
                <w:sz w:val="13"/>
                <w:szCs w:val="13"/>
                <w:color w:val="auto"/>
              </w:rPr>
              <w:t>Home Depot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line="144" w:lineRule="exact"/>
              <w:rPr>
                <w:sz w:val="20"/>
                <w:szCs w:val="20"/>
                <w:color w:val="auto"/>
              </w:rPr>
            </w:pPr>
            <w:r>
              <w:rPr>
                <w:rFonts w:ascii="Arial" w:cs="Arial" w:eastAsia="Arial" w:hAnsi="Arial"/>
                <w:sz w:val="13"/>
                <w:szCs w:val="13"/>
                <w:color w:val="auto"/>
              </w:rPr>
              <w:t>TJ Maxx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Gold’s Gym</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Old Keene Mill</w:t>
            </w: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9"/>
              </w:rPr>
              <w:t>Washington,</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1976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5,991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92,000</w:t>
            </w:r>
          </w:p>
        </w:tc>
        <w:tc>
          <w:tcPr>
            <w:tcW w:w="6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97%</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97%</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33.35</w:t>
            </w: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24,000</w:t>
            </w: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Whole Foods</w:t>
            </w: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DC-MD-VA</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tcPr>
          <w:p>
            <w:pPr>
              <w:spacing w:after="0" w:line="136" w:lineRule="exact"/>
              <w:rPr>
                <w:sz w:val="20"/>
                <w:szCs w:val="20"/>
                <w:color w:val="auto"/>
              </w:rPr>
            </w:pPr>
            <w:r>
              <w:rPr>
                <w:rFonts w:ascii="Arial" w:cs="Arial" w:eastAsia="Arial" w:hAnsi="Arial"/>
                <w:sz w:val="13"/>
                <w:szCs w:val="13"/>
                <w:color w:val="auto"/>
              </w:rPr>
              <w:t>Pan Am</w:t>
            </w:r>
          </w:p>
        </w:tc>
        <w:tc>
          <w:tcPr>
            <w:tcW w:w="3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3"/>
                <w:szCs w:val="13"/>
                <w:color w:val="auto"/>
                <w:w w:val="99"/>
              </w:rPr>
              <w:t>Washington,</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1993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28,524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227,000</w:t>
            </w:r>
          </w:p>
        </w:tc>
        <w:tc>
          <w:tcPr>
            <w:tcW w:w="6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18.41</w:t>
            </w:r>
          </w:p>
        </w:tc>
        <w:tc>
          <w:tcPr>
            <w:tcW w:w="5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63,000</w:t>
            </w:r>
          </w:p>
        </w:tc>
        <w:tc>
          <w:tcPr>
            <w:tcW w:w="100" w:type="dxa"/>
            <w:vAlign w:val="bottom"/>
          </w:tcPr>
          <w:p>
            <w:pPr>
              <w:spacing w:after="0"/>
              <w:rPr>
                <w:sz w:val="11"/>
                <w:szCs w:val="11"/>
                <w:color w:val="auto"/>
              </w:rPr>
            </w:pPr>
          </w:p>
        </w:tc>
        <w:tc>
          <w:tcPr>
            <w:tcW w:w="1580" w:type="dxa"/>
            <w:vAlign w:val="bottom"/>
          </w:tcPr>
          <w:p>
            <w:pPr>
              <w:spacing w:after="0" w:line="136" w:lineRule="exact"/>
              <w:rPr>
                <w:sz w:val="20"/>
                <w:szCs w:val="20"/>
                <w:color w:val="auto"/>
              </w:rPr>
            </w:pPr>
            <w:r>
              <w:rPr>
                <w:rFonts w:ascii="Arial" w:cs="Arial" w:eastAsia="Arial" w:hAnsi="Arial"/>
                <w:sz w:val="13"/>
                <w:szCs w:val="13"/>
                <w:color w:val="auto"/>
              </w:rPr>
              <w:t>Safeway</w:t>
            </w:r>
          </w:p>
        </w:tc>
        <w:tc>
          <w:tcPr>
            <w:tcW w:w="40" w:type="dxa"/>
            <w:vAlign w:val="bottom"/>
          </w:tcPr>
          <w:p>
            <w:pPr>
              <w:spacing w:after="0"/>
              <w:rPr>
                <w:sz w:val="11"/>
                <w:szCs w:val="11"/>
                <w:color w:val="auto"/>
              </w:rPr>
            </w:pPr>
          </w:p>
        </w:tc>
        <w:tc>
          <w:tcPr>
            <w:tcW w:w="880" w:type="dxa"/>
            <w:vAlign w:val="bottom"/>
          </w:tcPr>
          <w:p>
            <w:pPr>
              <w:spacing w:after="0" w:line="136" w:lineRule="exact"/>
              <w:rPr>
                <w:sz w:val="20"/>
                <w:szCs w:val="20"/>
                <w:color w:val="auto"/>
              </w:rPr>
            </w:pPr>
            <w:r>
              <w:rPr>
                <w:rFonts w:ascii="Arial" w:cs="Arial" w:eastAsia="Arial" w:hAnsi="Arial"/>
                <w:sz w:val="13"/>
                <w:szCs w:val="13"/>
                <w:color w:val="auto"/>
              </w:rPr>
              <w:t>Micro Center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DC-MD-VA</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Michaels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Pentagon Row</w:t>
            </w: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9"/>
              </w:rPr>
              <w:t>Washington,</w:t>
            </w:r>
          </w:p>
        </w:tc>
        <w:tc>
          <w:tcPr>
            <w:tcW w:w="78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1998/2010</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88,665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53,437</w:t>
            </w: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296,000</w:t>
            </w:r>
          </w:p>
        </w:tc>
        <w:tc>
          <w:tcPr>
            <w:tcW w:w="6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33.69</w:t>
            </w: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45,000</w:t>
            </w: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Harris Teeter</w:t>
            </w: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Bally 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DC-MD-VA</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Fitness / Bed,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9"/>
              </w:rPr>
              <w:t>Bath &amp; Beyond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 DSW</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tcPr>
          <w:p>
            <w:pPr>
              <w:spacing w:after="0" w:line="136" w:lineRule="exact"/>
              <w:rPr>
                <w:sz w:val="20"/>
                <w:szCs w:val="20"/>
                <w:color w:val="auto"/>
              </w:rPr>
            </w:pPr>
            <w:r>
              <w:rPr>
                <w:rFonts w:ascii="Arial" w:cs="Arial" w:eastAsia="Arial" w:hAnsi="Arial"/>
                <w:sz w:val="13"/>
                <w:szCs w:val="13"/>
                <w:color w:val="auto"/>
              </w:rPr>
              <w:t>Pike 7</w:t>
            </w:r>
          </w:p>
        </w:tc>
        <w:tc>
          <w:tcPr>
            <w:tcW w:w="3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3"/>
                <w:szCs w:val="13"/>
                <w:color w:val="auto"/>
                <w:w w:val="99"/>
              </w:rPr>
              <w:t>Washington,</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1997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35,464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164,000</w:t>
            </w:r>
          </w:p>
        </w:tc>
        <w:tc>
          <w:tcPr>
            <w:tcW w:w="6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38.11</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line="136" w:lineRule="exact"/>
              <w:rPr>
                <w:sz w:val="20"/>
                <w:szCs w:val="20"/>
                <w:color w:val="auto"/>
              </w:rPr>
            </w:pPr>
            <w:r>
              <w:rPr>
                <w:rFonts w:ascii="Arial" w:cs="Arial" w:eastAsia="Arial" w:hAnsi="Arial"/>
                <w:sz w:val="13"/>
                <w:szCs w:val="13"/>
                <w:color w:val="auto"/>
                <w:w w:val="93"/>
              </w:rPr>
              <w:t>DSW / Staples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DC-MD-VA</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Quince Orchard</w:t>
            </w: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9"/>
              </w:rPr>
              <w:t>Washington,</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1993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21,799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248,000</w:t>
            </w:r>
          </w:p>
        </w:tc>
        <w:tc>
          <w:tcPr>
            <w:tcW w:w="6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63%</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63%</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20.07</w:t>
            </w: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24,000</w:t>
            </w: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Magruders</w:t>
            </w: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Staples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DC-MD-VA</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tcPr>
          <w:p>
            <w:pPr>
              <w:spacing w:after="0" w:line="136" w:lineRule="exact"/>
              <w:rPr>
                <w:sz w:val="20"/>
                <w:szCs w:val="20"/>
                <w:color w:val="auto"/>
              </w:rPr>
            </w:pPr>
            <w:r>
              <w:rPr>
                <w:rFonts w:ascii="Arial" w:cs="Arial" w:eastAsia="Arial" w:hAnsi="Arial"/>
                <w:sz w:val="13"/>
                <w:szCs w:val="13"/>
                <w:color w:val="auto"/>
              </w:rPr>
              <w:t>Rockville Town Square</w:t>
            </w:r>
          </w:p>
        </w:tc>
        <w:tc>
          <w:tcPr>
            <w:tcW w:w="3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3"/>
                <w:szCs w:val="13"/>
                <w:color w:val="auto"/>
                <w:w w:val="99"/>
              </w:rPr>
              <w:t>Washington,</w:t>
            </w:r>
          </w:p>
        </w:tc>
        <w:tc>
          <w:tcPr>
            <w:tcW w:w="780" w:type="dxa"/>
            <w:vAlign w:val="bottom"/>
            <w:gridSpan w:val="3"/>
          </w:tcPr>
          <w:p>
            <w:pPr>
              <w:jc w:val="right"/>
              <w:ind w:right="100"/>
              <w:spacing w:after="0" w:line="136" w:lineRule="exact"/>
              <w:rPr>
                <w:sz w:val="20"/>
                <w:szCs w:val="20"/>
                <w:color w:val="auto"/>
              </w:rPr>
            </w:pPr>
            <w:r>
              <w:rPr>
                <w:rFonts w:ascii="Arial" w:cs="Arial" w:eastAsia="Arial" w:hAnsi="Arial"/>
                <w:sz w:val="13"/>
                <w:szCs w:val="13"/>
                <w:color w:val="auto"/>
              </w:rPr>
              <w:t>2006-2007</w:t>
            </w: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37,299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182,000</w:t>
            </w:r>
          </w:p>
        </w:tc>
        <w:tc>
          <w:tcPr>
            <w:tcW w:w="6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78%</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78%</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33.13</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line="136" w:lineRule="exact"/>
              <w:rPr>
                <w:sz w:val="20"/>
                <w:szCs w:val="20"/>
                <w:color w:val="auto"/>
              </w:rPr>
            </w:pPr>
            <w:r>
              <w:rPr>
                <w:rFonts w:ascii="Arial" w:cs="Arial" w:eastAsia="Arial" w:hAnsi="Arial"/>
                <w:sz w:val="13"/>
                <w:szCs w:val="13"/>
                <w:color w:val="auto"/>
              </w:rPr>
              <w:t>CVS / Gold’s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DC-MD-VA</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Gym</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Rollingwood Apartments</w:t>
            </w: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9"/>
              </w:rPr>
              <w:t>Washington,</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1971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8,358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23,567</w:t>
            </w:r>
          </w:p>
        </w:tc>
        <w:tc>
          <w:tcPr>
            <w:tcW w:w="600" w:type="dxa"/>
            <w:vAlign w:val="bottom"/>
            <w:gridSpan w:val="2"/>
            <w:shd w:val="clear" w:color="auto" w:fill="CCEEFF"/>
          </w:tcPr>
          <w:p>
            <w:pPr>
              <w:ind w:left="340"/>
              <w:spacing w:after="0" w:line="136" w:lineRule="exact"/>
              <w:rPr>
                <w:sz w:val="20"/>
                <w:szCs w:val="20"/>
                <w:color w:val="auto"/>
              </w:rPr>
            </w:pPr>
            <w:r>
              <w:rPr>
                <w:rFonts w:ascii="Arial" w:cs="Arial" w:eastAsia="Arial" w:hAnsi="Arial"/>
                <w:sz w:val="13"/>
                <w:szCs w:val="13"/>
                <w:color w:val="auto"/>
              </w:rPr>
              <w:t>N/A</w:t>
            </w:r>
          </w:p>
        </w:tc>
        <w:tc>
          <w:tcPr>
            <w:tcW w:w="6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97%</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95%</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N/A</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DC-MD-VA</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tcPr>
          <w:p>
            <w:pPr>
              <w:spacing w:after="0" w:line="136" w:lineRule="exact"/>
              <w:rPr>
                <w:sz w:val="20"/>
                <w:szCs w:val="20"/>
                <w:color w:val="auto"/>
              </w:rPr>
            </w:pPr>
            <w:r>
              <w:rPr>
                <w:rFonts w:ascii="Arial" w:cs="Arial" w:eastAsia="Arial" w:hAnsi="Arial"/>
                <w:sz w:val="13"/>
                <w:szCs w:val="13"/>
                <w:color w:val="auto"/>
              </w:rPr>
              <w:t>Sam’s Park &amp; Shop</w:t>
            </w:r>
          </w:p>
        </w:tc>
        <w:tc>
          <w:tcPr>
            <w:tcW w:w="3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3"/>
                <w:szCs w:val="13"/>
                <w:color w:val="auto"/>
                <w:w w:val="99"/>
              </w:rPr>
              <w:t>Washington,</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1995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12,550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49,000</w:t>
            </w:r>
          </w:p>
        </w:tc>
        <w:tc>
          <w:tcPr>
            <w:tcW w:w="6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38.41</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line="136" w:lineRule="exact"/>
              <w:rPr>
                <w:sz w:val="20"/>
                <w:szCs w:val="20"/>
                <w:color w:val="auto"/>
              </w:rPr>
            </w:pPr>
            <w:r>
              <w:rPr>
                <w:rFonts w:ascii="Arial" w:cs="Arial" w:eastAsia="Arial" w:hAnsi="Arial"/>
                <w:sz w:val="13"/>
                <w:szCs w:val="13"/>
                <w:color w:val="auto"/>
              </w:rPr>
              <w:t>Petco</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DC-MD-VA</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Tower</w:t>
            </w: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9"/>
              </w:rPr>
              <w:t>Washington,</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20,407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112,000</w:t>
            </w:r>
          </w:p>
        </w:tc>
        <w:tc>
          <w:tcPr>
            <w:tcW w:w="6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91%</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67%</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24.04</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Talbots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DC-MD-VA</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tcPr>
          <w:p>
            <w:pPr>
              <w:spacing w:after="0" w:line="136" w:lineRule="exact"/>
              <w:rPr>
                <w:sz w:val="20"/>
                <w:szCs w:val="20"/>
                <w:color w:val="auto"/>
              </w:rPr>
            </w:pPr>
            <w:r>
              <w:rPr>
                <w:rFonts w:ascii="Arial" w:cs="Arial" w:eastAsia="Arial" w:hAnsi="Arial"/>
                <w:sz w:val="13"/>
                <w:szCs w:val="13"/>
                <w:color w:val="auto"/>
              </w:rPr>
              <w:t>Tyson’s Station</w:t>
            </w:r>
          </w:p>
        </w:tc>
        <w:tc>
          <w:tcPr>
            <w:tcW w:w="3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3"/>
                <w:szCs w:val="13"/>
                <w:color w:val="auto"/>
                <w:w w:val="99"/>
              </w:rPr>
              <w:t>Washington,</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1978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3,923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5,713</w:t>
            </w:r>
          </w:p>
        </w:tc>
        <w:tc>
          <w:tcPr>
            <w:tcW w:w="6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49,000</w:t>
            </w:r>
          </w:p>
        </w:tc>
        <w:tc>
          <w:tcPr>
            <w:tcW w:w="6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39.43</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line="136" w:lineRule="exact"/>
              <w:rPr>
                <w:sz w:val="20"/>
                <w:szCs w:val="20"/>
                <w:color w:val="auto"/>
              </w:rPr>
            </w:pPr>
            <w:r>
              <w:rPr>
                <w:rFonts w:ascii="Arial" w:cs="Arial" w:eastAsia="Arial" w:hAnsi="Arial"/>
                <w:sz w:val="13"/>
                <w:szCs w:val="13"/>
                <w:color w:val="auto"/>
              </w:rPr>
              <w:t>Trader Joe’s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DC-MD-VA</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Village at Shirlington</w:t>
            </w:r>
          </w:p>
        </w:tc>
        <w:tc>
          <w:tcPr>
            <w:tcW w:w="32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(6)</w:t>
            </w:r>
          </w:p>
        </w:tc>
        <w:tc>
          <w:tcPr>
            <w:tcW w:w="7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9"/>
              </w:rPr>
              <w:t>Washington,</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1995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53,774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6,327</w:t>
            </w: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255,000</w:t>
            </w:r>
          </w:p>
        </w:tc>
        <w:tc>
          <w:tcPr>
            <w:tcW w:w="6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98%</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96%</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33.22</w:t>
            </w: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28,000</w:t>
            </w: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Harris Teeter</w:t>
            </w: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AMC Loews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DC-MD-VA</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Carlyle Grand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Café</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tcPr>
          <w:p>
            <w:pPr>
              <w:spacing w:after="0" w:line="136" w:lineRule="exact"/>
              <w:rPr>
                <w:sz w:val="20"/>
                <w:szCs w:val="20"/>
                <w:color w:val="auto"/>
              </w:rPr>
            </w:pPr>
            <w:r>
              <w:rPr>
                <w:rFonts w:ascii="Arial" w:cs="Arial" w:eastAsia="Arial" w:hAnsi="Arial"/>
                <w:sz w:val="13"/>
                <w:szCs w:val="13"/>
                <w:color w:val="auto"/>
              </w:rPr>
              <w:t>Wildwood</w:t>
            </w:r>
          </w:p>
        </w:tc>
        <w:tc>
          <w:tcPr>
            <w:tcW w:w="3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3"/>
                <w:szCs w:val="13"/>
                <w:color w:val="auto"/>
                <w:w w:val="99"/>
              </w:rPr>
              <w:t>Washington,</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1969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18,008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24,827</w:t>
            </w:r>
          </w:p>
        </w:tc>
        <w:tc>
          <w:tcPr>
            <w:tcW w:w="6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85,000</w:t>
            </w:r>
          </w:p>
        </w:tc>
        <w:tc>
          <w:tcPr>
            <w:tcW w:w="6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97%</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97%</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82.52</w:t>
            </w:r>
          </w:p>
        </w:tc>
        <w:tc>
          <w:tcPr>
            <w:tcW w:w="5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20,000</w:t>
            </w:r>
          </w:p>
        </w:tc>
        <w:tc>
          <w:tcPr>
            <w:tcW w:w="100" w:type="dxa"/>
            <w:vAlign w:val="bottom"/>
          </w:tcPr>
          <w:p>
            <w:pPr>
              <w:spacing w:after="0"/>
              <w:rPr>
                <w:sz w:val="11"/>
                <w:szCs w:val="11"/>
                <w:color w:val="auto"/>
              </w:rPr>
            </w:pPr>
          </w:p>
        </w:tc>
        <w:tc>
          <w:tcPr>
            <w:tcW w:w="1580" w:type="dxa"/>
            <w:vAlign w:val="bottom"/>
          </w:tcPr>
          <w:p>
            <w:pPr>
              <w:spacing w:after="0" w:line="136" w:lineRule="exact"/>
              <w:rPr>
                <w:sz w:val="20"/>
                <w:szCs w:val="20"/>
                <w:color w:val="auto"/>
              </w:rPr>
            </w:pPr>
            <w:r>
              <w:rPr>
                <w:rFonts w:ascii="Arial" w:cs="Arial" w:eastAsia="Arial" w:hAnsi="Arial"/>
                <w:sz w:val="13"/>
                <w:szCs w:val="13"/>
                <w:color w:val="auto"/>
              </w:rPr>
              <w:t>Balducci’s</w:t>
            </w:r>
          </w:p>
        </w:tc>
        <w:tc>
          <w:tcPr>
            <w:tcW w:w="40" w:type="dxa"/>
            <w:vAlign w:val="bottom"/>
          </w:tcPr>
          <w:p>
            <w:pPr>
              <w:spacing w:after="0"/>
              <w:rPr>
                <w:sz w:val="11"/>
                <w:szCs w:val="11"/>
                <w:color w:val="auto"/>
              </w:rPr>
            </w:pPr>
          </w:p>
        </w:tc>
        <w:tc>
          <w:tcPr>
            <w:tcW w:w="880" w:type="dxa"/>
            <w:vAlign w:val="bottom"/>
          </w:tcPr>
          <w:p>
            <w:pPr>
              <w:spacing w:after="0" w:line="136"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DC-MD-VA</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1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Total</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1,008,714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3"/>
                <w:szCs w:val="13"/>
                <w:color w:val="auto"/>
                <w:w w:val="93"/>
              </w:rPr>
              <w:t>5,207,000</w:t>
            </w:r>
          </w:p>
        </w:tc>
        <w:tc>
          <w:tcPr>
            <w:tcW w:w="640" w:type="dxa"/>
            <w:vAlign w:val="bottom"/>
            <w:gridSpan w:val="3"/>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91%</w:t>
            </w:r>
          </w:p>
        </w:tc>
        <w:tc>
          <w:tcPr>
            <w:tcW w:w="9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91%</w:t>
            </w:r>
          </w:p>
        </w:tc>
        <w:tc>
          <w:tcPr>
            <w:tcW w:w="4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29.37</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w w:val="96"/>
              </w:rPr>
              <w:t>Washington</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w w:val="92"/>
              </w:rPr>
              <w:t>Metropolitan</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Area</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60" w:type="dxa"/>
            <w:vAlign w:val="bottom"/>
            <w:gridSpan w:val="4"/>
          </w:tcPr>
          <w:p>
            <w:pPr>
              <w:ind w:left="200"/>
              <w:spacing w:after="0"/>
              <w:rPr>
                <w:sz w:val="20"/>
                <w:szCs w:val="20"/>
                <w:color w:val="auto"/>
              </w:rPr>
            </w:pPr>
            <w:r>
              <w:rPr>
                <w:rFonts w:ascii="Arial" w:cs="Arial" w:eastAsia="Arial" w:hAnsi="Arial"/>
                <w:sz w:val="13"/>
                <w:szCs w:val="13"/>
                <w:b w:val="1"/>
                <w:bCs w:val="1"/>
                <w:color w:val="auto"/>
                <w:w w:val="96"/>
              </w:rPr>
              <w:t>Philadelphia Metropolitan Area</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206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Andorra</w:t>
            </w: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96"/>
              </w:rPr>
              <w:t>Philadelphia,</w:t>
            </w:r>
          </w:p>
        </w:tc>
        <w:tc>
          <w:tcPr>
            <w:tcW w:w="6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1988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23,772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267,000</w:t>
            </w:r>
          </w:p>
        </w:tc>
        <w:tc>
          <w:tcPr>
            <w:tcW w:w="640" w:type="dxa"/>
            <w:vAlign w:val="bottom"/>
            <w:gridSpan w:val="3"/>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95%</w:t>
            </w:r>
          </w:p>
        </w:tc>
        <w:tc>
          <w:tcPr>
            <w:tcW w:w="90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95%</w:t>
            </w: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14.05</w:t>
            </w:r>
          </w:p>
        </w:tc>
        <w:tc>
          <w:tcPr>
            <w:tcW w:w="5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24,000</w:t>
            </w: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Acme Markets</w:t>
            </w: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95"/>
              </w:rPr>
              <w:t>Kohl’s / Staples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PA-NJ</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 L.A. Fitness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tcPr>
          <w:p>
            <w:pPr>
              <w:spacing w:after="0" w:line="136" w:lineRule="exact"/>
              <w:rPr>
                <w:sz w:val="20"/>
                <w:szCs w:val="20"/>
                <w:color w:val="auto"/>
              </w:rPr>
            </w:pPr>
            <w:r>
              <w:rPr>
                <w:rFonts w:ascii="Arial" w:cs="Arial" w:eastAsia="Arial" w:hAnsi="Arial"/>
                <w:sz w:val="13"/>
                <w:szCs w:val="13"/>
                <w:color w:val="auto"/>
              </w:rPr>
              <w:t>Bala Cynwyd</w:t>
            </w:r>
          </w:p>
        </w:tc>
        <w:tc>
          <w:tcPr>
            <w:tcW w:w="3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3"/>
                <w:szCs w:val="13"/>
                <w:color w:val="auto"/>
                <w:w w:val="96"/>
              </w:rPr>
              <w:t>Philadelphia,</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1993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33,656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282,000</w:t>
            </w:r>
          </w:p>
        </w:tc>
        <w:tc>
          <w:tcPr>
            <w:tcW w:w="6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17.26</w:t>
            </w:r>
          </w:p>
        </w:tc>
        <w:tc>
          <w:tcPr>
            <w:tcW w:w="5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45,000</w:t>
            </w:r>
          </w:p>
        </w:tc>
        <w:tc>
          <w:tcPr>
            <w:tcW w:w="100" w:type="dxa"/>
            <w:vAlign w:val="bottom"/>
          </w:tcPr>
          <w:p>
            <w:pPr>
              <w:spacing w:after="0"/>
              <w:rPr>
                <w:sz w:val="11"/>
                <w:szCs w:val="11"/>
                <w:color w:val="auto"/>
              </w:rPr>
            </w:pPr>
          </w:p>
        </w:tc>
        <w:tc>
          <w:tcPr>
            <w:tcW w:w="1580" w:type="dxa"/>
            <w:vAlign w:val="bottom"/>
          </w:tcPr>
          <w:p>
            <w:pPr>
              <w:spacing w:after="0" w:line="136" w:lineRule="exact"/>
              <w:rPr>
                <w:sz w:val="20"/>
                <w:szCs w:val="20"/>
                <w:color w:val="auto"/>
              </w:rPr>
            </w:pPr>
            <w:r>
              <w:rPr>
                <w:rFonts w:ascii="Arial" w:cs="Arial" w:eastAsia="Arial" w:hAnsi="Arial"/>
                <w:sz w:val="13"/>
                <w:szCs w:val="13"/>
                <w:color w:val="auto"/>
              </w:rPr>
              <w:t>Acme Markets</w:t>
            </w:r>
          </w:p>
        </w:tc>
        <w:tc>
          <w:tcPr>
            <w:tcW w:w="40" w:type="dxa"/>
            <w:vAlign w:val="bottom"/>
          </w:tcPr>
          <w:p>
            <w:pPr>
              <w:spacing w:after="0"/>
              <w:rPr>
                <w:sz w:val="11"/>
                <w:szCs w:val="11"/>
                <w:color w:val="auto"/>
              </w:rPr>
            </w:pPr>
          </w:p>
        </w:tc>
        <w:tc>
          <w:tcPr>
            <w:tcW w:w="880" w:type="dxa"/>
            <w:vAlign w:val="bottom"/>
          </w:tcPr>
          <w:p>
            <w:pPr>
              <w:spacing w:after="0" w:line="136" w:lineRule="exact"/>
              <w:rPr>
                <w:sz w:val="20"/>
                <w:szCs w:val="20"/>
                <w:color w:val="auto"/>
              </w:rPr>
            </w:pPr>
            <w:r>
              <w:rPr>
                <w:rFonts w:ascii="Arial" w:cs="Arial" w:eastAsia="Arial" w:hAnsi="Arial"/>
                <w:sz w:val="13"/>
                <w:szCs w:val="13"/>
                <w:color w:val="auto"/>
              </w:rPr>
              <w:t>Lord &amp; Taylor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PA-NJ</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L.A. Fitness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Ellisburg Circle</w:t>
            </w: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6"/>
              </w:rPr>
              <w:t>Philadelphia,</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1992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28,017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267,000</w:t>
            </w:r>
          </w:p>
        </w:tc>
        <w:tc>
          <w:tcPr>
            <w:tcW w:w="6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94%</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94%</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14.83</w:t>
            </w: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47,000</w:t>
            </w: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Genuardi’s</w:t>
            </w: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6"/>
              </w:rPr>
              <w:t>Buy Buy Baby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PA-NJ</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Stein Mart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tcPr>
          <w:p>
            <w:pPr>
              <w:spacing w:after="0" w:line="136" w:lineRule="exact"/>
              <w:rPr>
                <w:sz w:val="20"/>
                <w:szCs w:val="20"/>
                <w:color w:val="auto"/>
              </w:rPr>
            </w:pPr>
            <w:r>
              <w:rPr>
                <w:rFonts w:ascii="Arial" w:cs="Arial" w:eastAsia="Arial" w:hAnsi="Arial"/>
                <w:sz w:val="13"/>
                <w:szCs w:val="13"/>
                <w:color w:val="auto"/>
              </w:rPr>
              <w:t>Feasterville</w:t>
            </w:r>
          </w:p>
        </w:tc>
        <w:tc>
          <w:tcPr>
            <w:tcW w:w="3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3"/>
                <w:szCs w:val="13"/>
                <w:color w:val="auto"/>
                <w:w w:val="96"/>
              </w:rPr>
              <w:t>Philadelphia,</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1980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12,064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111,000</w:t>
            </w:r>
          </w:p>
        </w:tc>
        <w:tc>
          <w:tcPr>
            <w:tcW w:w="6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91%</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13.81</w:t>
            </w:r>
          </w:p>
        </w:tc>
        <w:tc>
          <w:tcPr>
            <w:tcW w:w="5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53,000</w:t>
            </w:r>
          </w:p>
        </w:tc>
        <w:tc>
          <w:tcPr>
            <w:tcW w:w="100" w:type="dxa"/>
            <w:vAlign w:val="bottom"/>
          </w:tcPr>
          <w:p>
            <w:pPr>
              <w:spacing w:after="0"/>
              <w:rPr>
                <w:sz w:val="11"/>
                <w:szCs w:val="11"/>
                <w:color w:val="auto"/>
              </w:rPr>
            </w:pPr>
          </w:p>
        </w:tc>
        <w:tc>
          <w:tcPr>
            <w:tcW w:w="1580" w:type="dxa"/>
            <w:vAlign w:val="bottom"/>
          </w:tcPr>
          <w:p>
            <w:pPr>
              <w:spacing w:after="0" w:line="136" w:lineRule="exact"/>
              <w:rPr>
                <w:sz w:val="20"/>
                <w:szCs w:val="20"/>
                <w:color w:val="auto"/>
              </w:rPr>
            </w:pPr>
            <w:r>
              <w:rPr>
                <w:rFonts w:ascii="Arial" w:cs="Arial" w:eastAsia="Arial" w:hAnsi="Arial"/>
                <w:sz w:val="13"/>
                <w:szCs w:val="13"/>
                <w:color w:val="auto"/>
              </w:rPr>
              <w:t>Giant Food</w:t>
            </w:r>
          </w:p>
        </w:tc>
        <w:tc>
          <w:tcPr>
            <w:tcW w:w="40" w:type="dxa"/>
            <w:vAlign w:val="bottom"/>
          </w:tcPr>
          <w:p>
            <w:pPr>
              <w:spacing w:after="0"/>
              <w:rPr>
                <w:sz w:val="11"/>
                <w:szCs w:val="11"/>
                <w:color w:val="auto"/>
              </w:rPr>
            </w:pPr>
          </w:p>
        </w:tc>
        <w:tc>
          <w:tcPr>
            <w:tcW w:w="880" w:type="dxa"/>
            <w:vAlign w:val="bottom"/>
          </w:tcPr>
          <w:p>
            <w:pPr>
              <w:spacing w:after="0" w:line="136" w:lineRule="exact"/>
              <w:rPr>
                <w:sz w:val="20"/>
                <w:szCs w:val="20"/>
                <w:color w:val="auto"/>
              </w:rPr>
            </w:pPr>
            <w:r>
              <w:rPr>
                <w:rFonts w:ascii="Arial" w:cs="Arial" w:eastAsia="Arial" w:hAnsi="Arial"/>
                <w:sz w:val="13"/>
                <w:szCs w:val="13"/>
                <w:color w:val="auto"/>
              </w:rPr>
              <w:t>OfficeMax</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PA-NJ</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Flourtown</w:t>
            </w: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6"/>
              </w:rPr>
              <w:t>Philadelphia,</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1980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15,830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166,000</w:t>
            </w:r>
          </w:p>
        </w:tc>
        <w:tc>
          <w:tcPr>
            <w:tcW w:w="6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48%</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48%</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22.44</w:t>
            </w: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42,000</w:t>
            </w: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Genuardi’s</w:t>
            </w: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PA-NJ</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tcPr>
          <w:p>
            <w:pPr>
              <w:spacing w:after="0" w:line="136" w:lineRule="exact"/>
              <w:rPr>
                <w:sz w:val="20"/>
                <w:szCs w:val="20"/>
                <w:color w:val="auto"/>
              </w:rPr>
            </w:pPr>
            <w:r>
              <w:rPr>
                <w:rFonts w:ascii="Arial" w:cs="Arial" w:eastAsia="Arial" w:hAnsi="Arial"/>
                <w:sz w:val="13"/>
                <w:szCs w:val="13"/>
                <w:color w:val="auto"/>
              </w:rPr>
              <w:t>Langhorne Square</w:t>
            </w:r>
          </w:p>
        </w:tc>
        <w:tc>
          <w:tcPr>
            <w:tcW w:w="3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3"/>
                <w:szCs w:val="13"/>
                <w:color w:val="auto"/>
                <w:w w:val="96"/>
              </w:rPr>
              <w:t>Philadelphia,</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1985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20,310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219,000</w:t>
            </w:r>
          </w:p>
        </w:tc>
        <w:tc>
          <w:tcPr>
            <w:tcW w:w="6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96%</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93%</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14.76</w:t>
            </w:r>
          </w:p>
        </w:tc>
        <w:tc>
          <w:tcPr>
            <w:tcW w:w="5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55,000</w:t>
            </w:r>
          </w:p>
        </w:tc>
        <w:tc>
          <w:tcPr>
            <w:tcW w:w="100" w:type="dxa"/>
            <w:vAlign w:val="bottom"/>
          </w:tcPr>
          <w:p>
            <w:pPr>
              <w:spacing w:after="0"/>
              <w:rPr>
                <w:sz w:val="11"/>
                <w:szCs w:val="11"/>
                <w:color w:val="auto"/>
              </w:rPr>
            </w:pPr>
          </w:p>
        </w:tc>
        <w:tc>
          <w:tcPr>
            <w:tcW w:w="1580" w:type="dxa"/>
            <w:vAlign w:val="bottom"/>
          </w:tcPr>
          <w:p>
            <w:pPr>
              <w:spacing w:after="0" w:line="136" w:lineRule="exact"/>
              <w:rPr>
                <w:sz w:val="20"/>
                <w:szCs w:val="20"/>
                <w:color w:val="auto"/>
              </w:rPr>
            </w:pPr>
            <w:r>
              <w:rPr>
                <w:rFonts w:ascii="Arial" w:cs="Arial" w:eastAsia="Arial" w:hAnsi="Arial"/>
                <w:sz w:val="13"/>
                <w:szCs w:val="13"/>
                <w:color w:val="auto"/>
                <w:w w:val="99"/>
              </w:rPr>
              <w:t>Redner’s Warehouse Mkts.</w:t>
            </w:r>
          </w:p>
        </w:tc>
        <w:tc>
          <w:tcPr>
            <w:tcW w:w="40" w:type="dxa"/>
            <w:vAlign w:val="bottom"/>
          </w:tcPr>
          <w:p>
            <w:pPr>
              <w:spacing w:after="0"/>
              <w:rPr>
                <w:sz w:val="11"/>
                <w:szCs w:val="11"/>
                <w:color w:val="auto"/>
              </w:rPr>
            </w:pPr>
          </w:p>
        </w:tc>
        <w:tc>
          <w:tcPr>
            <w:tcW w:w="880" w:type="dxa"/>
            <w:vAlign w:val="bottom"/>
          </w:tcPr>
          <w:p>
            <w:pPr>
              <w:spacing w:after="0" w:line="136" w:lineRule="exact"/>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PA-NJ</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Lawrence Park</w:t>
            </w: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6"/>
              </w:rPr>
              <w:t>Philadelphia,</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1980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30,578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28,246</w:t>
            </w: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353,000</w:t>
            </w:r>
          </w:p>
        </w:tc>
        <w:tc>
          <w:tcPr>
            <w:tcW w:w="6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98%</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98%</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18.37</w:t>
            </w: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53,000</w:t>
            </w: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Acme Markets</w:t>
            </w: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5"/>
              </w:rPr>
              <w:t>CHI / TJ Maxx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PA-NJ</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HomeGoods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tcPr>
          <w:p>
            <w:pPr>
              <w:spacing w:after="0" w:line="136" w:lineRule="exact"/>
              <w:rPr>
                <w:sz w:val="20"/>
                <w:szCs w:val="20"/>
                <w:color w:val="auto"/>
              </w:rPr>
            </w:pPr>
            <w:r>
              <w:rPr>
                <w:rFonts w:ascii="Arial" w:cs="Arial" w:eastAsia="Arial" w:hAnsi="Arial"/>
                <w:sz w:val="13"/>
                <w:szCs w:val="13"/>
                <w:color w:val="auto"/>
              </w:rPr>
              <w:t>Northeast</w:t>
            </w:r>
          </w:p>
        </w:tc>
        <w:tc>
          <w:tcPr>
            <w:tcW w:w="3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3"/>
                <w:szCs w:val="13"/>
                <w:color w:val="auto"/>
                <w:w w:val="96"/>
              </w:rPr>
              <w:t>Philadelphia,</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1983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23,122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284,000</w:t>
            </w:r>
          </w:p>
        </w:tc>
        <w:tc>
          <w:tcPr>
            <w:tcW w:w="6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89%</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88%</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11.30</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line="136" w:lineRule="exact"/>
              <w:rPr>
                <w:sz w:val="20"/>
                <w:szCs w:val="20"/>
                <w:color w:val="auto"/>
              </w:rPr>
            </w:pPr>
            <w:r>
              <w:rPr>
                <w:rFonts w:ascii="Arial" w:cs="Arial" w:eastAsia="Arial" w:hAnsi="Arial"/>
                <w:sz w:val="13"/>
                <w:szCs w:val="13"/>
                <w:color w:val="auto"/>
                <w:w w:val="95"/>
              </w:rPr>
              <w:t>Burlington Coat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line="144" w:lineRule="exact"/>
              <w:rPr>
                <w:sz w:val="20"/>
                <w:szCs w:val="20"/>
                <w:color w:val="auto"/>
              </w:rPr>
            </w:pPr>
            <w:r>
              <w:rPr>
                <w:rFonts w:ascii="Arial" w:cs="Arial" w:eastAsia="Arial" w:hAnsi="Arial"/>
                <w:sz w:val="13"/>
                <w:szCs w:val="13"/>
                <w:color w:val="auto"/>
              </w:rPr>
              <w:t>PA-NJ</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line="144" w:lineRule="exact"/>
              <w:rPr>
                <w:sz w:val="20"/>
                <w:szCs w:val="20"/>
                <w:color w:val="auto"/>
              </w:rPr>
            </w:pPr>
            <w:r>
              <w:rPr>
                <w:rFonts w:ascii="Arial" w:cs="Arial" w:eastAsia="Arial" w:hAnsi="Arial"/>
                <w:sz w:val="13"/>
                <w:szCs w:val="13"/>
                <w:color w:val="auto"/>
              </w:rPr>
              <w:t>Factory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Town Center of New Britain</w:t>
            </w: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6"/>
              </w:rPr>
              <w:t>Philadelphia,</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14,441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124,000</w:t>
            </w:r>
          </w:p>
        </w:tc>
        <w:tc>
          <w:tcPr>
            <w:tcW w:w="6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86%</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86%</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9.09</w:t>
            </w: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36,000</w:t>
            </w: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Giant Food</w:t>
            </w: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Rite Aid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PA-NJ</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tcPr>
          <w:p>
            <w:pPr>
              <w:spacing w:after="0" w:line="136" w:lineRule="exact"/>
              <w:rPr>
                <w:sz w:val="20"/>
                <w:szCs w:val="20"/>
                <w:color w:val="auto"/>
              </w:rPr>
            </w:pPr>
            <w:r>
              <w:rPr>
                <w:rFonts w:ascii="Arial" w:cs="Arial" w:eastAsia="Arial" w:hAnsi="Arial"/>
                <w:sz w:val="13"/>
                <w:szCs w:val="13"/>
                <w:color w:val="auto"/>
              </w:rPr>
              <w:t>Willow Grove</w:t>
            </w:r>
          </w:p>
        </w:tc>
        <w:tc>
          <w:tcPr>
            <w:tcW w:w="3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3"/>
                <w:szCs w:val="13"/>
                <w:color w:val="auto"/>
                <w:w w:val="96"/>
              </w:rPr>
              <w:t>Philadelphia,</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1984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27,903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216,000</w:t>
            </w:r>
          </w:p>
        </w:tc>
        <w:tc>
          <w:tcPr>
            <w:tcW w:w="64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90%</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89%</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19.21</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line="136" w:lineRule="exact"/>
              <w:rPr>
                <w:sz w:val="20"/>
                <w:szCs w:val="20"/>
                <w:color w:val="auto"/>
              </w:rPr>
            </w:pPr>
            <w:r>
              <w:rPr>
                <w:rFonts w:ascii="Arial" w:cs="Arial" w:eastAsia="Arial" w:hAnsi="Arial"/>
                <w:sz w:val="13"/>
                <w:szCs w:val="13"/>
                <w:color w:val="auto"/>
                <w:w w:val="94"/>
              </w:rPr>
              <w:t>Barnes &amp; Noble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line="144" w:lineRule="exact"/>
              <w:rPr>
                <w:sz w:val="20"/>
                <w:szCs w:val="20"/>
                <w:color w:val="auto"/>
              </w:rPr>
            </w:pPr>
            <w:r>
              <w:rPr>
                <w:rFonts w:ascii="Arial" w:cs="Arial" w:eastAsia="Arial" w:hAnsi="Arial"/>
                <w:sz w:val="13"/>
                <w:szCs w:val="13"/>
                <w:color w:val="auto"/>
              </w:rPr>
              <w:t>PA-NJ</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line="144" w:lineRule="exact"/>
              <w:rPr>
                <w:sz w:val="20"/>
                <w:szCs w:val="20"/>
                <w:color w:val="auto"/>
              </w:rPr>
            </w:pPr>
            <w:r>
              <w:rPr>
                <w:rFonts w:ascii="Arial" w:cs="Arial" w:eastAsia="Arial" w:hAnsi="Arial"/>
                <w:sz w:val="13"/>
                <w:szCs w:val="13"/>
                <w:color w:val="auto"/>
                <w:w w:val="98"/>
              </w:rPr>
              <w:t>/ HomeGoods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Wynnewood</w:t>
            </w: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6"/>
              </w:rPr>
              <w:t>Philadelphia,</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1996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37,333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28,785</w:t>
            </w: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257,000</w:t>
            </w:r>
          </w:p>
        </w:tc>
        <w:tc>
          <w:tcPr>
            <w:tcW w:w="6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96%</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96%</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24.74</w:t>
            </w: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98,000</w:t>
            </w: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Genuardi’s</w:t>
            </w: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Bed, Bath &amp;</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PA-NJ</w:t>
            </w: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Beyond /</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10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520"/>
          </w:cols>
          <w:pgMar w:left="240" w:top="271" w:right="1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6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2"/>
              </w:rPr>
              <w:t>Borders Books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Old Navy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ind w:left="40"/>
              <w:spacing w:after="0" w:line="138" w:lineRule="exact"/>
              <w:rPr>
                <w:sz w:val="20"/>
                <w:szCs w:val="20"/>
                <w:color w:val="auto"/>
              </w:rPr>
            </w:pPr>
            <w:r>
              <w:rPr>
                <w:rFonts w:ascii="Arial" w:cs="Arial" w:eastAsia="Arial" w:hAnsi="Arial"/>
                <w:sz w:val="13"/>
                <w:szCs w:val="13"/>
                <w:b w:val="1"/>
                <w:bCs w:val="1"/>
                <w:color w:val="auto"/>
              </w:rPr>
              <w:t>Total</w:t>
            </w:r>
          </w:p>
        </w:tc>
        <w:tc>
          <w:tcPr>
            <w:tcW w:w="72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3"/>
                <w:szCs w:val="13"/>
                <w:color w:val="auto"/>
              </w:rPr>
              <w:t>267,026</w:t>
            </w: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w w:val="93"/>
              </w:rPr>
              <w:t>2,546,000</w:t>
            </w:r>
          </w:p>
        </w:tc>
        <w:tc>
          <w:tcPr>
            <w:tcW w:w="58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92%</w:t>
            </w:r>
          </w:p>
        </w:tc>
        <w:tc>
          <w:tcPr>
            <w:tcW w:w="90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91%</w:t>
            </w:r>
          </w:p>
        </w:tc>
        <w:tc>
          <w:tcPr>
            <w:tcW w:w="460" w:type="dxa"/>
            <w:vAlign w:val="bottom"/>
          </w:tcPr>
          <w:p>
            <w:pPr>
              <w:jc w:val="right"/>
              <w:spacing w:after="0" w:line="138" w:lineRule="exact"/>
              <w:rPr>
                <w:sz w:val="20"/>
                <w:szCs w:val="20"/>
                <w:color w:val="auto"/>
              </w:rPr>
            </w:pPr>
            <w:r>
              <w:rPr>
                <w:rFonts w:ascii="Arial" w:cs="Arial" w:eastAsia="Arial" w:hAnsi="Arial"/>
                <w:sz w:val="13"/>
                <w:szCs w:val="13"/>
                <w:color w:val="auto"/>
              </w:rPr>
              <w:t>16.54</w:t>
            </w:r>
          </w:p>
        </w:tc>
        <w:tc>
          <w:tcPr>
            <w:tcW w:w="6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ind w:left="40"/>
              <w:spacing w:after="0" w:line="144" w:lineRule="exact"/>
              <w:rPr>
                <w:sz w:val="20"/>
                <w:szCs w:val="20"/>
                <w:color w:val="auto"/>
              </w:rPr>
            </w:pPr>
            <w:r>
              <w:rPr>
                <w:rFonts w:ascii="Arial" w:cs="Arial" w:eastAsia="Arial" w:hAnsi="Arial"/>
                <w:sz w:val="13"/>
                <w:szCs w:val="13"/>
                <w:b w:val="1"/>
                <w:bCs w:val="1"/>
                <w:color w:val="auto"/>
              </w:rPr>
              <w:t>Philadelphia</w:t>
            </w: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ind w:left="40"/>
              <w:spacing w:after="0" w:line="144" w:lineRule="exact"/>
              <w:rPr>
                <w:sz w:val="20"/>
                <w:szCs w:val="20"/>
                <w:color w:val="auto"/>
              </w:rPr>
            </w:pPr>
            <w:r>
              <w:rPr>
                <w:rFonts w:ascii="Arial" w:cs="Arial" w:eastAsia="Arial" w:hAnsi="Arial"/>
                <w:sz w:val="13"/>
                <w:szCs w:val="13"/>
                <w:b w:val="1"/>
                <w:bCs w:val="1"/>
                <w:color w:val="auto"/>
                <w:w w:val="99"/>
              </w:rPr>
              <w:t>Metropolitan</w:t>
            </w: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3"/>
                <w:szCs w:val="13"/>
                <w:b w:val="1"/>
                <w:bCs w:val="1"/>
                <w:color w:val="auto"/>
              </w:rPr>
              <w:t>Area</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00" w:type="dxa"/>
            <w:vAlign w:val="bottom"/>
            <w:gridSpan w:val="4"/>
            <w:shd w:val="clear" w:color="auto" w:fill="CCEEFF"/>
          </w:tcPr>
          <w:p>
            <w:pPr>
              <w:ind w:left="200"/>
              <w:spacing w:after="0" w:line="131" w:lineRule="exact"/>
              <w:rPr>
                <w:sz w:val="20"/>
                <w:szCs w:val="20"/>
                <w:color w:val="auto"/>
              </w:rPr>
            </w:pPr>
            <w:r>
              <w:rPr>
                <w:rFonts w:ascii="Arial" w:cs="Arial" w:eastAsia="Arial" w:hAnsi="Arial"/>
                <w:sz w:val="13"/>
                <w:szCs w:val="13"/>
                <w:b w:val="1"/>
                <w:bCs w:val="1"/>
                <w:color w:val="auto"/>
              </w:rPr>
              <w:t>California</w:t>
            </w: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1500" w:type="dxa"/>
            <w:vAlign w:val="bottom"/>
            <w:gridSpan w:val="4"/>
          </w:tcPr>
          <w:p>
            <w:pPr>
              <w:spacing w:after="0" w:line="129" w:lineRule="exact"/>
              <w:rPr>
                <w:sz w:val="20"/>
                <w:szCs w:val="20"/>
                <w:color w:val="auto"/>
              </w:rPr>
            </w:pPr>
            <w:r>
              <w:rPr>
                <w:rFonts w:ascii="Arial" w:cs="Arial" w:eastAsia="Arial" w:hAnsi="Arial"/>
                <w:sz w:val="13"/>
                <w:szCs w:val="13"/>
                <w:color w:val="auto"/>
              </w:rPr>
              <w:t>Colorado Blvd</w:t>
            </w:r>
          </w:p>
        </w:tc>
        <w:tc>
          <w:tcPr>
            <w:tcW w:w="840" w:type="dxa"/>
            <w:vAlign w:val="bottom"/>
          </w:tcPr>
          <w:p>
            <w:pPr>
              <w:spacing w:after="0"/>
              <w:rPr>
                <w:sz w:val="11"/>
                <w:szCs w:val="11"/>
                <w:color w:val="auto"/>
              </w:rPr>
            </w:pPr>
          </w:p>
        </w:tc>
        <w:tc>
          <w:tcPr>
            <w:tcW w:w="840" w:type="dxa"/>
            <w:vAlign w:val="bottom"/>
          </w:tcPr>
          <w:p>
            <w:pPr>
              <w:ind w:left="40"/>
              <w:spacing w:after="0" w:line="129" w:lineRule="exact"/>
              <w:rPr>
                <w:sz w:val="20"/>
                <w:szCs w:val="20"/>
                <w:color w:val="auto"/>
              </w:rPr>
            </w:pPr>
            <w:r>
              <w:rPr>
                <w:rFonts w:ascii="Arial" w:cs="Arial" w:eastAsia="Arial" w:hAnsi="Arial"/>
                <w:sz w:val="13"/>
                <w:szCs w:val="13"/>
                <w:color w:val="auto"/>
              </w:rPr>
              <w:t>Los Angeles-</w:t>
            </w:r>
          </w:p>
        </w:tc>
        <w:tc>
          <w:tcPr>
            <w:tcW w:w="720" w:type="dxa"/>
            <w:vAlign w:val="bottom"/>
          </w:tcPr>
          <w:p>
            <w:pPr>
              <w:jc w:val="right"/>
              <w:ind w:right="34"/>
              <w:spacing w:after="0" w:line="129" w:lineRule="exact"/>
              <w:rPr>
                <w:sz w:val="20"/>
                <w:szCs w:val="20"/>
                <w:color w:val="auto"/>
              </w:rPr>
            </w:pPr>
            <w:r>
              <w:rPr>
                <w:rFonts w:ascii="Arial" w:cs="Arial" w:eastAsia="Arial" w:hAnsi="Arial"/>
                <w:sz w:val="13"/>
                <w:szCs w:val="13"/>
                <w:color w:val="auto"/>
                <w:w w:val="96"/>
              </w:rPr>
              <w:t>1996-1998</w:t>
            </w: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16,704</w:t>
            </w: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69,000</w:t>
            </w:r>
          </w:p>
        </w:tc>
        <w:tc>
          <w:tcPr>
            <w:tcW w:w="58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99%</w:t>
            </w:r>
          </w:p>
        </w:tc>
        <w:tc>
          <w:tcPr>
            <w:tcW w:w="90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99%</w:t>
            </w: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37.58</w:t>
            </w:r>
          </w:p>
        </w:tc>
        <w:tc>
          <w:tcPr>
            <w:tcW w:w="6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60" w:type="dxa"/>
            <w:vAlign w:val="bottom"/>
          </w:tcPr>
          <w:p>
            <w:pPr>
              <w:ind w:left="180"/>
              <w:spacing w:after="0" w:line="129" w:lineRule="exact"/>
              <w:rPr>
                <w:sz w:val="20"/>
                <w:szCs w:val="20"/>
                <w:color w:val="auto"/>
              </w:rPr>
            </w:pPr>
            <w:r>
              <w:rPr>
                <w:rFonts w:ascii="Arial" w:cs="Arial" w:eastAsia="Arial" w:hAnsi="Arial"/>
                <w:sz w:val="13"/>
                <w:szCs w:val="13"/>
                <w:color w:val="auto"/>
              </w:rPr>
              <w:t>Pottery Barn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ind w:left="40"/>
              <w:spacing w:after="0" w:line="144" w:lineRule="exact"/>
              <w:rPr>
                <w:sz w:val="20"/>
                <w:szCs w:val="20"/>
                <w:color w:val="auto"/>
              </w:rPr>
            </w:pPr>
            <w:r>
              <w:rPr>
                <w:rFonts w:ascii="Arial" w:cs="Arial" w:eastAsia="Arial" w:hAnsi="Arial"/>
                <w:sz w:val="13"/>
                <w:szCs w:val="13"/>
                <w:color w:val="auto"/>
              </w:rPr>
              <w:t>Long Beach,</w:t>
            </w: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ind w:left="180"/>
              <w:spacing w:after="0" w:line="144" w:lineRule="exact"/>
              <w:rPr>
                <w:sz w:val="20"/>
                <w:szCs w:val="20"/>
                <w:color w:val="auto"/>
              </w:rPr>
            </w:pPr>
            <w:r>
              <w:rPr>
                <w:rFonts w:ascii="Arial" w:cs="Arial" w:eastAsia="Arial" w:hAnsi="Arial"/>
                <w:sz w:val="13"/>
                <w:szCs w:val="13"/>
                <w:color w:val="auto"/>
              </w:rPr>
              <w:t>Banana</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ind w:left="40"/>
              <w:spacing w:after="0"/>
              <w:rPr>
                <w:sz w:val="20"/>
                <w:szCs w:val="20"/>
                <w:color w:val="auto"/>
              </w:rPr>
            </w:pPr>
            <w:r>
              <w:rPr>
                <w:rFonts w:ascii="Arial" w:cs="Arial" w:eastAsia="Arial" w:hAnsi="Arial"/>
                <w:sz w:val="13"/>
                <w:szCs w:val="13"/>
                <w:color w:val="auto"/>
              </w:rPr>
              <w:t>CA</w:t>
            </w: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60" w:type="dxa"/>
            <w:vAlign w:val="bottom"/>
          </w:tcPr>
          <w:p>
            <w:pPr>
              <w:ind w:left="180"/>
              <w:spacing w:after="0"/>
              <w:rPr>
                <w:sz w:val="20"/>
                <w:szCs w:val="20"/>
                <w:color w:val="auto"/>
              </w:rPr>
            </w:pPr>
            <w:r>
              <w:rPr>
                <w:rFonts w:ascii="Arial" w:cs="Arial" w:eastAsia="Arial" w:hAnsi="Arial"/>
                <w:sz w:val="13"/>
                <w:szCs w:val="13"/>
                <w:color w:val="auto"/>
              </w:rPr>
              <w:t>Republic</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Crow Canyon</w:t>
            </w: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color w:val="auto"/>
              </w:rPr>
              <w:t>San Ramon,</w:t>
            </w:r>
          </w:p>
        </w:tc>
        <w:tc>
          <w:tcPr>
            <w:tcW w:w="720" w:type="dxa"/>
            <w:vAlign w:val="bottom"/>
            <w:shd w:val="clear" w:color="auto" w:fill="CCEEFF"/>
          </w:tcPr>
          <w:p>
            <w:pPr>
              <w:jc w:val="right"/>
              <w:ind w:right="34"/>
              <w:spacing w:after="0" w:line="136" w:lineRule="exact"/>
              <w:rPr>
                <w:sz w:val="20"/>
                <w:szCs w:val="20"/>
                <w:color w:val="auto"/>
              </w:rPr>
            </w:pPr>
            <w:r>
              <w:rPr>
                <w:rFonts w:ascii="Arial" w:cs="Arial" w:eastAsia="Arial" w:hAnsi="Arial"/>
                <w:sz w:val="13"/>
                <w:szCs w:val="13"/>
                <w:color w:val="auto"/>
                <w:w w:val="96"/>
              </w:rPr>
              <w:t>2005-2007</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65,263</w:t>
            </w:r>
          </w:p>
        </w:tc>
        <w:tc>
          <w:tcPr>
            <w:tcW w:w="1020" w:type="dxa"/>
            <w:vAlign w:val="bottom"/>
            <w:shd w:val="clear" w:color="auto" w:fill="CCEEFF"/>
          </w:tcPr>
          <w:p>
            <w:pPr>
              <w:jc w:val="right"/>
              <w:ind w:right="54"/>
              <w:spacing w:after="0" w:line="136" w:lineRule="exact"/>
              <w:rPr>
                <w:sz w:val="20"/>
                <w:szCs w:val="20"/>
                <w:color w:val="auto"/>
              </w:rPr>
            </w:pPr>
            <w:r>
              <w:rPr>
                <w:rFonts w:ascii="Arial" w:cs="Arial" w:eastAsia="Arial" w:hAnsi="Arial"/>
                <w:sz w:val="13"/>
                <w:szCs w:val="13"/>
                <w:color w:val="auto"/>
              </w:rPr>
              <w:t>20,395</w:t>
            </w:r>
          </w:p>
        </w:tc>
        <w:tc>
          <w:tcPr>
            <w:tcW w:w="6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242,000</w:t>
            </w: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89%</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89%</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19.02</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58,000</w:t>
            </w:r>
          </w:p>
        </w:tc>
        <w:tc>
          <w:tcPr>
            <w:tcW w:w="148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color w:val="auto"/>
              </w:rPr>
              <w:t>Lucky</w:t>
            </w:r>
          </w:p>
        </w:tc>
        <w:tc>
          <w:tcPr>
            <w:tcW w:w="1060" w:type="dxa"/>
            <w:vAlign w:val="bottom"/>
            <w:shd w:val="clear" w:color="auto" w:fill="CCEEFF"/>
          </w:tcPr>
          <w:p>
            <w:pPr>
              <w:ind w:left="180"/>
              <w:spacing w:after="0" w:line="136" w:lineRule="exact"/>
              <w:rPr>
                <w:sz w:val="20"/>
                <w:szCs w:val="20"/>
                <w:color w:val="auto"/>
              </w:rPr>
            </w:pPr>
            <w:r>
              <w:rPr>
                <w:rFonts w:ascii="Arial" w:cs="Arial" w:eastAsia="Arial" w:hAnsi="Arial"/>
                <w:sz w:val="13"/>
                <w:szCs w:val="13"/>
                <w:color w:val="auto"/>
              </w:rPr>
              <w:t>Loehmann’s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7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Rite Aid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gridSpan w:val="4"/>
          </w:tcPr>
          <w:p>
            <w:pPr>
              <w:spacing w:after="0" w:line="136" w:lineRule="exact"/>
              <w:rPr>
                <w:sz w:val="20"/>
                <w:szCs w:val="20"/>
                <w:color w:val="auto"/>
              </w:rPr>
            </w:pPr>
            <w:r>
              <w:rPr>
                <w:rFonts w:ascii="Arial" w:cs="Arial" w:eastAsia="Arial" w:hAnsi="Arial"/>
                <w:sz w:val="13"/>
                <w:szCs w:val="13"/>
                <w:color w:val="auto"/>
              </w:rPr>
              <w:t>Escondido</w:t>
            </w:r>
          </w:p>
        </w:tc>
        <w:tc>
          <w:tcPr>
            <w:tcW w:w="840" w:type="dxa"/>
            <w:vAlign w:val="bottom"/>
          </w:tcPr>
          <w:p>
            <w:pPr>
              <w:jc w:val="right"/>
              <w:spacing w:after="0" w:line="136" w:lineRule="exact"/>
              <w:rPr>
                <w:sz w:val="20"/>
                <w:szCs w:val="20"/>
                <w:color w:val="auto"/>
              </w:rPr>
            </w:pPr>
            <w:r>
              <w:rPr>
                <w:rFonts w:ascii="Arial" w:cs="Arial" w:eastAsia="Arial" w:hAnsi="Arial"/>
                <w:sz w:val="13"/>
                <w:szCs w:val="13"/>
                <w:color w:val="auto"/>
              </w:rPr>
              <w:t>(9)</w:t>
            </w:r>
          </w:p>
        </w:tc>
        <w:tc>
          <w:tcPr>
            <w:tcW w:w="840" w:type="dxa"/>
            <w:vAlign w:val="bottom"/>
          </w:tcPr>
          <w:p>
            <w:pPr>
              <w:ind w:left="40"/>
              <w:spacing w:after="0" w:line="136" w:lineRule="exact"/>
              <w:rPr>
                <w:sz w:val="20"/>
                <w:szCs w:val="20"/>
                <w:color w:val="auto"/>
              </w:rPr>
            </w:pPr>
            <w:r>
              <w:rPr>
                <w:rFonts w:ascii="Arial" w:cs="Arial" w:eastAsia="Arial" w:hAnsi="Arial"/>
                <w:sz w:val="13"/>
                <w:szCs w:val="13"/>
                <w:color w:val="auto"/>
              </w:rPr>
              <w:t>San Diego,</w:t>
            </w:r>
          </w:p>
        </w:tc>
        <w:tc>
          <w:tcPr>
            <w:tcW w:w="720" w:type="dxa"/>
            <w:vAlign w:val="bottom"/>
          </w:tcPr>
          <w:p>
            <w:pPr>
              <w:jc w:val="right"/>
              <w:ind w:right="34"/>
              <w:spacing w:after="0" w:line="136" w:lineRule="exact"/>
              <w:rPr>
                <w:sz w:val="20"/>
                <w:szCs w:val="20"/>
                <w:color w:val="auto"/>
              </w:rPr>
            </w:pPr>
            <w:r>
              <w:rPr>
                <w:rFonts w:ascii="Arial" w:cs="Arial" w:eastAsia="Arial" w:hAnsi="Arial"/>
                <w:sz w:val="13"/>
                <w:szCs w:val="13"/>
                <w:color w:val="auto"/>
                <w:w w:val="97"/>
              </w:rPr>
              <w:t>1996/2010</w:t>
            </w:r>
          </w:p>
        </w:tc>
        <w:tc>
          <w:tcPr>
            <w:tcW w:w="800" w:type="dxa"/>
            <w:vAlign w:val="bottom"/>
          </w:tcPr>
          <w:p>
            <w:pPr>
              <w:jc w:val="right"/>
              <w:spacing w:after="0" w:line="136" w:lineRule="exact"/>
              <w:rPr>
                <w:sz w:val="20"/>
                <w:szCs w:val="20"/>
                <w:color w:val="auto"/>
              </w:rPr>
            </w:pPr>
            <w:r>
              <w:rPr>
                <w:rFonts w:ascii="Arial" w:cs="Arial" w:eastAsia="Arial" w:hAnsi="Arial"/>
                <w:sz w:val="13"/>
                <w:szCs w:val="13"/>
                <w:color w:val="auto"/>
              </w:rPr>
              <w:t>43,667</w:t>
            </w: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222,000</w:t>
            </w: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98%</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98%</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23.76</w:t>
            </w:r>
          </w:p>
        </w:tc>
        <w:tc>
          <w:tcPr>
            <w:tcW w:w="6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60" w:type="dxa"/>
            <w:vAlign w:val="bottom"/>
          </w:tcPr>
          <w:p>
            <w:pPr>
              <w:ind w:left="180"/>
              <w:spacing w:after="0" w:line="136" w:lineRule="exact"/>
              <w:rPr>
                <w:sz w:val="20"/>
                <w:szCs w:val="20"/>
                <w:color w:val="auto"/>
              </w:rPr>
            </w:pPr>
            <w:r>
              <w:rPr>
                <w:rFonts w:ascii="Arial" w:cs="Arial" w:eastAsia="Arial" w:hAnsi="Arial"/>
                <w:sz w:val="13"/>
                <w:szCs w:val="13"/>
                <w:color w:val="auto"/>
                <w:w w:val="97"/>
              </w:rPr>
              <w:t>TJ Maxx / Toys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ind w:left="40"/>
              <w:spacing w:after="0"/>
              <w:rPr>
                <w:sz w:val="20"/>
                <w:szCs w:val="20"/>
                <w:color w:val="auto"/>
              </w:rPr>
            </w:pPr>
            <w:r>
              <w:rPr>
                <w:rFonts w:ascii="Arial" w:cs="Arial" w:eastAsia="Arial" w:hAnsi="Arial"/>
                <w:sz w:val="13"/>
                <w:szCs w:val="13"/>
                <w:color w:val="auto"/>
              </w:rPr>
              <w:t>CA</w:t>
            </w: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60" w:type="dxa"/>
            <w:vAlign w:val="bottom"/>
          </w:tcPr>
          <w:p>
            <w:pPr>
              <w:ind w:left="180"/>
              <w:spacing w:after="0"/>
              <w:rPr>
                <w:sz w:val="20"/>
                <w:szCs w:val="20"/>
                <w:color w:val="auto"/>
              </w:rPr>
            </w:pPr>
            <w:r>
              <w:rPr>
                <w:rFonts w:ascii="Arial" w:cs="Arial" w:eastAsia="Arial" w:hAnsi="Arial"/>
                <w:sz w:val="13"/>
                <w:szCs w:val="13"/>
                <w:color w:val="auto"/>
              </w:rPr>
              <w:t>R Us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Fifth Ave</w:t>
            </w: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color w:val="auto"/>
              </w:rPr>
              <w:t>San Diego,</w:t>
            </w:r>
          </w:p>
        </w:tc>
        <w:tc>
          <w:tcPr>
            <w:tcW w:w="720" w:type="dxa"/>
            <w:vAlign w:val="bottom"/>
            <w:shd w:val="clear" w:color="auto" w:fill="CCEEFF"/>
          </w:tcPr>
          <w:p>
            <w:pPr>
              <w:jc w:val="right"/>
              <w:ind w:right="34"/>
              <w:spacing w:after="0" w:line="136" w:lineRule="exact"/>
              <w:rPr>
                <w:sz w:val="20"/>
                <w:szCs w:val="20"/>
                <w:color w:val="auto"/>
              </w:rPr>
            </w:pPr>
            <w:r>
              <w:rPr>
                <w:rFonts w:ascii="Arial" w:cs="Arial" w:eastAsia="Arial" w:hAnsi="Arial"/>
                <w:sz w:val="13"/>
                <w:szCs w:val="13"/>
                <w:color w:val="auto"/>
                <w:w w:val="96"/>
              </w:rPr>
              <w:t>1996-1997</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12,574</w:t>
            </w:r>
          </w:p>
        </w:tc>
        <w:tc>
          <w:tcPr>
            <w:tcW w:w="10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51,000</w:t>
            </w: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93%</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93%</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27.46</w:t>
            </w:r>
          </w:p>
        </w:tc>
        <w:tc>
          <w:tcPr>
            <w:tcW w:w="6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60" w:type="dxa"/>
            <w:vAlign w:val="bottom"/>
            <w:shd w:val="clear" w:color="auto" w:fill="CCEEFF"/>
          </w:tcPr>
          <w:p>
            <w:pPr>
              <w:ind w:left="180"/>
              <w:spacing w:after="0" w:line="136" w:lineRule="exact"/>
              <w:rPr>
                <w:sz w:val="20"/>
                <w:szCs w:val="20"/>
                <w:color w:val="auto"/>
              </w:rPr>
            </w:pPr>
            <w:r>
              <w:rPr>
                <w:rFonts w:ascii="Arial" w:cs="Arial" w:eastAsia="Arial" w:hAnsi="Arial"/>
                <w:sz w:val="13"/>
                <w:szCs w:val="13"/>
                <w:color w:val="auto"/>
                <w:w w:val="93"/>
              </w:rPr>
              <w:t>Urban Outfitters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7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gridSpan w:val="4"/>
          </w:tcPr>
          <w:p>
            <w:pPr>
              <w:spacing w:after="0" w:line="136" w:lineRule="exact"/>
              <w:rPr>
                <w:sz w:val="20"/>
                <w:szCs w:val="20"/>
                <w:color w:val="auto"/>
              </w:rPr>
            </w:pPr>
            <w:r>
              <w:rPr>
                <w:rFonts w:ascii="Arial" w:cs="Arial" w:eastAsia="Arial" w:hAnsi="Arial"/>
                <w:sz w:val="13"/>
                <w:szCs w:val="13"/>
                <w:color w:val="auto"/>
              </w:rPr>
              <w:t>Hermosa Ave</w:t>
            </w:r>
          </w:p>
        </w:tc>
        <w:tc>
          <w:tcPr>
            <w:tcW w:w="8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3"/>
                <w:szCs w:val="13"/>
                <w:color w:val="auto"/>
              </w:rPr>
              <w:t>Los Angeles-</w:t>
            </w:r>
          </w:p>
        </w:tc>
        <w:tc>
          <w:tcPr>
            <w:tcW w:w="720" w:type="dxa"/>
            <w:vAlign w:val="bottom"/>
          </w:tcPr>
          <w:p>
            <w:pPr>
              <w:jc w:val="right"/>
              <w:ind w:right="34"/>
              <w:spacing w:after="0" w:line="136" w:lineRule="exact"/>
              <w:rPr>
                <w:sz w:val="20"/>
                <w:szCs w:val="20"/>
                <w:color w:val="auto"/>
              </w:rPr>
            </w:pPr>
            <w:r>
              <w:rPr>
                <w:rFonts w:ascii="Arial" w:cs="Arial" w:eastAsia="Arial" w:hAnsi="Arial"/>
                <w:sz w:val="13"/>
                <w:szCs w:val="13"/>
                <w:color w:val="auto"/>
              </w:rPr>
              <w:t>1997</w:t>
            </w:r>
          </w:p>
        </w:tc>
        <w:tc>
          <w:tcPr>
            <w:tcW w:w="800" w:type="dxa"/>
            <w:vAlign w:val="bottom"/>
          </w:tcPr>
          <w:p>
            <w:pPr>
              <w:jc w:val="right"/>
              <w:spacing w:after="0" w:line="136" w:lineRule="exact"/>
              <w:rPr>
                <w:sz w:val="20"/>
                <w:szCs w:val="20"/>
                <w:color w:val="auto"/>
              </w:rPr>
            </w:pPr>
            <w:r>
              <w:rPr>
                <w:rFonts w:ascii="Arial" w:cs="Arial" w:eastAsia="Arial" w:hAnsi="Arial"/>
                <w:sz w:val="13"/>
                <w:szCs w:val="13"/>
                <w:color w:val="auto"/>
              </w:rPr>
              <w:t>5,609</w:t>
            </w: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23,000</w:t>
            </w: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31.59</w:t>
            </w:r>
          </w:p>
        </w:tc>
        <w:tc>
          <w:tcPr>
            <w:tcW w:w="6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ind w:left="40"/>
              <w:spacing w:after="0" w:line="144" w:lineRule="exact"/>
              <w:rPr>
                <w:sz w:val="20"/>
                <w:szCs w:val="20"/>
                <w:color w:val="auto"/>
              </w:rPr>
            </w:pPr>
            <w:r>
              <w:rPr>
                <w:rFonts w:ascii="Arial" w:cs="Arial" w:eastAsia="Arial" w:hAnsi="Arial"/>
                <w:sz w:val="13"/>
                <w:szCs w:val="13"/>
                <w:color w:val="auto"/>
              </w:rPr>
              <w:t>Long Beach,</w:t>
            </w: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ind w:left="40"/>
              <w:spacing w:after="0"/>
              <w:rPr>
                <w:sz w:val="20"/>
                <w:szCs w:val="20"/>
                <w:color w:val="auto"/>
              </w:rPr>
            </w:pPr>
            <w:r>
              <w:rPr>
                <w:rFonts w:ascii="Arial" w:cs="Arial" w:eastAsia="Arial" w:hAnsi="Arial"/>
                <w:sz w:val="13"/>
                <w:szCs w:val="13"/>
                <w:color w:val="auto"/>
              </w:rPr>
              <w:t>CA</w:t>
            </w: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Hollywood Blvd</w:t>
            </w: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(10)</w:t>
            </w:r>
          </w:p>
        </w:tc>
        <w:tc>
          <w:tcPr>
            <w:tcW w:w="84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color w:val="auto"/>
              </w:rPr>
              <w:t>Los Angeles-</w:t>
            </w:r>
          </w:p>
        </w:tc>
        <w:tc>
          <w:tcPr>
            <w:tcW w:w="720" w:type="dxa"/>
            <w:vAlign w:val="bottom"/>
            <w:shd w:val="clear" w:color="auto" w:fill="CCEEFF"/>
          </w:tcPr>
          <w:p>
            <w:pPr>
              <w:jc w:val="right"/>
              <w:ind w:right="34"/>
              <w:spacing w:after="0" w:line="136" w:lineRule="exact"/>
              <w:rPr>
                <w:sz w:val="20"/>
                <w:szCs w:val="20"/>
                <w:color w:val="auto"/>
              </w:rPr>
            </w:pPr>
            <w:r>
              <w:rPr>
                <w:rFonts w:ascii="Arial" w:cs="Arial" w:eastAsia="Arial" w:hAnsi="Arial"/>
                <w:sz w:val="13"/>
                <w:szCs w:val="13"/>
                <w:color w:val="auto"/>
              </w:rPr>
              <w:t>1999</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39,176</w:t>
            </w:r>
          </w:p>
        </w:tc>
        <w:tc>
          <w:tcPr>
            <w:tcW w:w="10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153,000</w:t>
            </w: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75%</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75%</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21.90</w:t>
            </w:r>
          </w:p>
        </w:tc>
        <w:tc>
          <w:tcPr>
            <w:tcW w:w="6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60" w:type="dxa"/>
            <w:vAlign w:val="bottom"/>
            <w:shd w:val="clear" w:color="auto" w:fill="CCEEFF"/>
          </w:tcPr>
          <w:p>
            <w:pPr>
              <w:ind w:left="180"/>
              <w:spacing w:after="0" w:line="136" w:lineRule="exact"/>
              <w:rPr>
                <w:sz w:val="20"/>
                <w:szCs w:val="20"/>
                <w:color w:val="auto"/>
              </w:rPr>
            </w:pPr>
            <w:r>
              <w:rPr>
                <w:rFonts w:ascii="Arial" w:cs="Arial" w:eastAsia="Arial" w:hAnsi="Arial"/>
                <w:sz w:val="13"/>
                <w:szCs w:val="13"/>
                <w:color w:val="auto"/>
              </w:rPr>
              <w:t>DSW / L.A.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Long Beach,</w:t>
            </w:r>
          </w:p>
        </w:tc>
        <w:tc>
          <w:tcPr>
            <w:tcW w:w="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6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w w:val="99"/>
              </w:rPr>
              <w:t>Fitness / Fresh</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7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&amp; Easy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00" w:type="dxa"/>
            <w:vAlign w:val="bottom"/>
            <w:gridSpan w:val="4"/>
          </w:tcPr>
          <w:p>
            <w:pPr>
              <w:spacing w:after="0" w:line="144" w:lineRule="exact"/>
              <w:rPr>
                <w:sz w:val="20"/>
                <w:szCs w:val="20"/>
                <w:color w:val="auto"/>
              </w:rPr>
            </w:pPr>
            <w:r>
              <w:rPr>
                <w:rFonts w:ascii="Arial" w:cs="Arial" w:eastAsia="Arial" w:hAnsi="Arial"/>
                <w:sz w:val="13"/>
                <w:szCs w:val="13"/>
                <w:color w:val="auto"/>
              </w:rPr>
              <w:t>Kings Court</w:t>
            </w:r>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(8)</w:t>
            </w:r>
          </w:p>
        </w:tc>
        <w:tc>
          <w:tcPr>
            <w:tcW w:w="840" w:type="dxa"/>
            <w:vAlign w:val="bottom"/>
          </w:tcPr>
          <w:p>
            <w:pPr>
              <w:ind w:left="40"/>
              <w:spacing w:after="0" w:line="144" w:lineRule="exact"/>
              <w:rPr>
                <w:sz w:val="20"/>
                <w:szCs w:val="20"/>
                <w:color w:val="auto"/>
              </w:rPr>
            </w:pPr>
            <w:r>
              <w:rPr>
                <w:rFonts w:ascii="Arial" w:cs="Arial" w:eastAsia="Arial" w:hAnsi="Arial"/>
                <w:sz w:val="13"/>
                <w:szCs w:val="13"/>
                <w:color w:val="auto"/>
                <w:w w:val="98"/>
              </w:rPr>
              <w:t>San Jose, CA</w:t>
            </w:r>
          </w:p>
        </w:tc>
        <w:tc>
          <w:tcPr>
            <w:tcW w:w="720" w:type="dxa"/>
            <w:vAlign w:val="bottom"/>
          </w:tcPr>
          <w:p>
            <w:pPr>
              <w:jc w:val="right"/>
              <w:ind w:right="34"/>
              <w:spacing w:after="0" w:line="144" w:lineRule="exact"/>
              <w:rPr>
                <w:sz w:val="20"/>
                <w:szCs w:val="20"/>
                <w:color w:val="auto"/>
              </w:rPr>
            </w:pPr>
            <w:r>
              <w:rPr>
                <w:rFonts w:ascii="Arial" w:cs="Arial" w:eastAsia="Arial" w:hAnsi="Arial"/>
                <w:sz w:val="13"/>
                <w:szCs w:val="13"/>
                <w:color w:val="auto"/>
              </w:rPr>
              <w:t>1998</w:t>
            </w:r>
          </w:p>
        </w:tc>
        <w:tc>
          <w:tcPr>
            <w:tcW w:w="800" w:type="dxa"/>
            <w:vAlign w:val="bottom"/>
          </w:tcPr>
          <w:p>
            <w:pPr>
              <w:jc w:val="right"/>
              <w:spacing w:after="0" w:line="144" w:lineRule="exact"/>
              <w:rPr>
                <w:sz w:val="20"/>
                <w:szCs w:val="20"/>
                <w:color w:val="auto"/>
              </w:rPr>
            </w:pPr>
            <w:r>
              <w:rPr>
                <w:rFonts w:ascii="Arial" w:cs="Arial" w:eastAsia="Arial" w:hAnsi="Arial"/>
                <w:sz w:val="13"/>
                <w:szCs w:val="13"/>
                <w:color w:val="auto"/>
              </w:rPr>
              <w:t>11,600</w:t>
            </w:r>
          </w:p>
        </w:tc>
        <w:tc>
          <w:tcPr>
            <w:tcW w:w="1020" w:type="dxa"/>
            <w:vAlign w:val="bottom"/>
          </w:tcPr>
          <w:p>
            <w:pPr>
              <w:spacing w:after="0"/>
              <w:rPr>
                <w:sz w:val="12"/>
                <w:szCs w:val="12"/>
                <w:color w:val="auto"/>
              </w:rPr>
            </w:pPr>
          </w:p>
        </w:tc>
        <w:tc>
          <w:tcPr>
            <w:tcW w:w="6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79,000</w:t>
            </w: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97%</w:t>
            </w:r>
          </w:p>
        </w:tc>
        <w:tc>
          <w:tcPr>
            <w:tcW w:w="9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97%</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28.43</w:t>
            </w: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25,000</w:t>
            </w:r>
          </w:p>
        </w:tc>
        <w:tc>
          <w:tcPr>
            <w:tcW w:w="1480" w:type="dxa"/>
            <w:vAlign w:val="bottom"/>
          </w:tcPr>
          <w:p>
            <w:pPr>
              <w:ind w:left="40"/>
              <w:spacing w:after="0" w:line="144" w:lineRule="exact"/>
              <w:rPr>
                <w:sz w:val="20"/>
                <w:szCs w:val="20"/>
                <w:color w:val="auto"/>
              </w:rPr>
            </w:pPr>
            <w:r>
              <w:rPr>
                <w:rFonts w:ascii="Arial" w:cs="Arial" w:eastAsia="Arial" w:hAnsi="Arial"/>
                <w:sz w:val="13"/>
                <w:szCs w:val="13"/>
                <w:color w:val="auto"/>
              </w:rPr>
              <w:t>Lunardi’s Super Market</w:t>
            </w:r>
          </w:p>
        </w:tc>
        <w:tc>
          <w:tcPr>
            <w:tcW w:w="1060" w:type="dxa"/>
            <w:vAlign w:val="bottom"/>
          </w:tcPr>
          <w:p>
            <w:pPr>
              <w:ind w:left="180"/>
              <w:spacing w:after="0" w:line="144"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Old Town Center</w:t>
            </w: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color w:val="auto"/>
                <w:w w:val="98"/>
              </w:rPr>
              <w:t>San Jose, CA</w:t>
            </w:r>
          </w:p>
        </w:tc>
        <w:tc>
          <w:tcPr>
            <w:tcW w:w="720" w:type="dxa"/>
            <w:vAlign w:val="bottom"/>
            <w:shd w:val="clear" w:color="auto" w:fill="CCEEFF"/>
          </w:tcPr>
          <w:p>
            <w:pPr>
              <w:jc w:val="right"/>
              <w:ind w:right="34"/>
              <w:spacing w:after="0" w:line="136" w:lineRule="exact"/>
              <w:rPr>
                <w:sz w:val="20"/>
                <w:szCs w:val="20"/>
                <w:color w:val="auto"/>
              </w:rPr>
            </w:pPr>
            <w:r>
              <w:rPr>
                <w:rFonts w:ascii="Arial" w:cs="Arial" w:eastAsia="Arial" w:hAnsi="Arial"/>
                <w:sz w:val="13"/>
                <w:szCs w:val="13"/>
                <w:color w:val="auto"/>
              </w:rPr>
              <w:t>1997</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34,312</w:t>
            </w:r>
          </w:p>
        </w:tc>
        <w:tc>
          <w:tcPr>
            <w:tcW w:w="10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95,000</w:t>
            </w: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97%</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97%</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30.04</w:t>
            </w:r>
          </w:p>
        </w:tc>
        <w:tc>
          <w:tcPr>
            <w:tcW w:w="6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60" w:type="dxa"/>
            <w:vAlign w:val="bottom"/>
            <w:shd w:val="clear" w:color="auto" w:fill="CCEEFF"/>
          </w:tcPr>
          <w:p>
            <w:pPr>
              <w:ind w:left="180"/>
              <w:spacing w:after="0" w:line="136" w:lineRule="exact"/>
              <w:rPr>
                <w:sz w:val="20"/>
                <w:szCs w:val="20"/>
                <w:color w:val="auto"/>
              </w:rPr>
            </w:pPr>
            <w:r>
              <w:rPr>
                <w:rFonts w:ascii="Arial" w:cs="Arial" w:eastAsia="Arial" w:hAnsi="Arial"/>
                <w:sz w:val="13"/>
                <w:szCs w:val="13"/>
                <w:color w:val="auto"/>
                <w:w w:val="92"/>
              </w:rPr>
              <w:t>Borders Books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6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Gap Kids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6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Banana</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Republic</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gridSpan w:val="4"/>
          </w:tcPr>
          <w:p>
            <w:pPr>
              <w:spacing w:after="0" w:line="136" w:lineRule="exact"/>
              <w:rPr>
                <w:sz w:val="20"/>
                <w:szCs w:val="20"/>
                <w:color w:val="auto"/>
              </w:rPr>
            </w:pPr>
            <w:r>
              <w:rPr>
                <w:rFonts w:ascii="Arial" w:cs="Arial" w:eastAsia="Arial" w:hAnsi="Arial"/>
                <w:sz w:val="13"/>
                <w:szCs w:val="13"/>
                <w:color w:val="auto"/>
              </w:rPr>
              <w:t>Santana Row</w:t>
            </w:r>
          </w:p>
        </w:tc>
        <w:tc>
          <w:tcPr>
            <w:tcW w:w="8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3"/>
                <w:szCs w:val="13"/>
                <w:color w:val="auto"/>
                <w:w w:val="98"/>
              </w:rPr>
              <w:t>San Jose, CA</w:t>
            </w:r>
          </w:p>
        </w:tc>
        <w:tc>
          <w:tcPr>
            <w:tcW w:w="720" w:type="dxa"/>
            <w:vAlign w:val="bottom"/>
          </w:tcPr>
          <w:p>
            <w:pPr>
              <w:jc w:val="right"/>
              <w:ind w:right="34"/>
              <w:spacing w:after="0" w:line="136" w:lineRule="exact"/>
              <w:rPr>
                <w:sz w:val="20"/>
                <w:szCs w:val="20"/>
                <w:color w:val="auto"/>
              </w:rPr>
            </w:pPr>
            <w:r>
              <w:rPr>
                <w:rFonts w:ascii="Arial" w:cs="Arial" w:eastAsia="Arial" w:hAnsi="Arial"/>
                <w:sz w:val="13"/>
                <w:szCs w:val="13"/>
                <w:color w:val="auto"/>
              </w:rPr>
              <w:t>1997</w:t>
            </w:r>
          </w:p>
        </w:tc>
        <w:tc>
          <w:tcPr>
            <w:tcW w:w="800" w:type="dxa"/>
            <w:vAlign w:val="bottom"/>
          </w:tcPr>
          <w:p>
            <w:pPr>
              <w:jc w:val="right"/>
              <w:spacing w:after="0" w:line="136" w:lineRule="exact"/>
              <w:rPr>
                <w:sz w:val="20"/>
                <w:szCs w:val="20"/>
                <w:color w:val="auto"/>
              </w:rPr>
            </w:pPr>
            <w:r>
              <w:rPr>
                <w:rFonts w:ascii="Arial" w:cs="Arial" w:eastAsia="Arial" w:hAnsi="Arial"/>
                <w:sz w:val="13"/>
                <w:szCs w:val="13"/>
                <w:color w:val="auto"/>
              </w:rPr>
              <w:t>550,310</w:t>
            </w: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608,000</w:t>
            </w: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98%</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44.31</w:t>
            </w:r>
          </w:p>
        </w:tc>
        <w:tc>
          <w:tcPr>
            <w:tcW w:w="6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60" w:type="dxa"/>
            <w:vAlign w:val="bottom"/>
          </w:tcPr>
          <w:p>
            <w:pPr>
              <w:ind w:left="180"/>
              <w:spacing w:after="0" w:line="136" w:lineRule="exact"/>
              <w:rPr>
                <w:sz w:val="20"/>
                <w:szCs w:val="20"/>
                <w:color w:val="auto"/>
              </w:rPr>
            </w:pPr>
            <w:r>
              <w:rPr>
                <w:rFonts w:ascii="Arial" w:cs="Arial" w:eastAsia="Arial" w:hAnsi="Arial"/>
                <w:sz w:val="13"/>
                <w:szCs w:val="13"/>
                <w:color w:val="auto"/>
                <w:w w:val="95"/>
              </w:rPr>
              <w:t>Crate &amp; Barrel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ind w:left="180"/>
              <w:spacing w:after="0" w:line="144" w:lineRule="exact"/>
              <w:rPr>
                <w:sz w:val="20"/>
                <w:szCs w:val="20"/>
                <w:color w:val="auto"/>
              </w:rPr>
            </w:pPr>
            <w:r>
              <w:rPr>
                <w:rFonts w:ascii="Arial" w:cs="Arial" w:eastAsia="Arial" w:hAnsi="Arial"/>
                <w:sz w:val="13"/>
                <w:szCs w:val="13"/>
                <w:color w:val="auto"/>
                <w:w w:val="94"/>
              </w:rPr>
              <w:t>Container Store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ind w:left="180"/>
              <w:spacing w:after="0" w:line="144" w:lineRule="exact"/>
              <w:rPr>
                <w:sz w:val="20"/>
                <w:szCs w:val="20"/>
                <w:color w:val="auto"/>
              </w:rPr>
            </w:pPr>
            <w:r>
              <w:rPr>
                <w:rFonts w:ascii="Arial" w:cs="Arial" w:eastAsia="Arial" w:hAnsi="Arial"/>
                <w:sz w:val="13"/>
                <w:szCs w:val="13"/>
                <w:color w:val="auto"/>
              </w:rPr>
              <w:t>/ Best Buy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ind w:left="180"/>
              <w:spacing w:after="0" w:line="144" w:lineRule="exact"/>
              <w:rPr>
                <w:sz w:val="20"/>
                <w:szCs w:val="20"/>
                <w:color w:val="auto"/>
              </w:rPr>
            </w:pPr>
            <w:r>
              <w:rPr>
                <w:rFonts w:ascii="Arial" w:cs="Arial" w:eastAsia="Arial" w:hAnsi="Arial"/>
                <w:sz w:val="13"/>
                <w:szCs w:val="13"/>
                <w:color w:val="auto"/>
                <w:w w:val="92"/>
              </w:rPr>
              <w:t>Borders Books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ind w:left="180"/>
              <w:spacing w:after="0" w:line="144" w:lineRule="exact"/>
              <w:rPr>
                <w:sz w:val="20"/>
                <w:szCs w:val="20"/>
                <w:color w:val="auto"/>
              </w:rPr>
            </w:pPr>
            <w:r>
              <w:rPr>
                <w:rFonts w:ascii="Arial" w:cs="Arial" w:eastAsia="Arial" w:hAnsi="Arial"/>
                <w:sz w:val="13"/>
                <w:szCs w:val="13"/>
                <w:color w:val="auto"/>
              </w:rPr>
              <w:t>CineArts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ind w:left="180"/>
              <w:spacing w:after="0" w:line="144" w:lineRule="exact"/>
              <w:rPr>
                <w:sz w:val="20"/>
                <w:szCs w:val="20"/>
                <w:color w:val="auto"/>
              </w:rPr>
            </w:pPr>
            <w:r>
              <w:rPr>
                <w:rFonts w:ascii="Arial" w:cs="Arial" w:eastAsia="Arial" w:hAnsi="Arial"/>
                <w:sz w:val="13"/>
                <w:szCs w:val="13"/>
                <w:color w:val="auto"/>
                <w:w w:val="99"/>
              </w:rPr>
              <w:t>Theatre / Hotel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60" w:type="dxa"/>
            <w:vAlign w:val="bottom"/>
          </w:tcPr>
          <w:p>
            <w:pPr>
              <w:ind w:left="180"/>
              <w:spacing w:after="0"/>
              <w:rPr>
                <w:sz w:val="20"/>
                <w:szCs w:val="20"/>
                <w:color w:val="auto"/>
              </w:rPr>
            </w:pPr>
            <w:r>
              <w:rPr>
                <w:rFonts w:ascii="Arial" w:cs="Arial" w:eastAsia="Arial" w:hAnsi="Arial"/>
                <w:sz w:val="13"/>
                <w:szCs w:val="13"/>
                <w:color w:val="auto"/>
              </w:rPr>
              <w:t>Valencia</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500" w:type="dxa"/>
            <w:vAlign w:val="bottom"/>
            <w:gridSpan w:val="4"/>
          </w:tcPr>
          <w:p>
            <w:pPr>
              <w:spacing w:after="0" w:line="136" w:lineRule="exact"/>
              <w:rPr>
                <w:sz w:val="20"/>
                <w:szCs w:val="20"/>
                <w:color w:val="auto"/>
              </w:rPr>
            </w:pPr>
            <w:r>
              <w:rPr>
                <w:rFonts w:ascii="Arial" w:cs="Arial" w:eastAsia="Arial" w:hAnsi="Arial"/>
                <w:sz w:val="13"/>
                <w:szCs w:val="13"/>
                <w:color w:val="auto"/>
              </w:rPr>
              <w:t>Third St Promenade</w:t>
            </w:r>
          </w:p>
        </w:tc>
        <w:tc>
          <w:tcPr>
            <w:tcW w:w="8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3"/>
                <w:szCs w:val="13"/>
                <w:color w:val="auto"/>
              </w:rPr>
              <w:t>Los Angeles-</w:t>
            </w:r>
          </w:p>
        </w:tc>
        <w:tc>
          <w:tcPr>
            <w:tcW w:w="720" w:type="dxa"/>
            <w:vAlign w:val="bottom"/>
          </w:tcPr>
          <w:p>
            <w:pPr>
              <w:jc w:val="right"/>
              <w:ind w:right="34"/>
              <w:spacing w:after="0" w:line="136" w:lineRule="exact"/>
              <w:rPr>
                <w:sz w:val="20"/>
                <w:szCs w:val="20"/>
                <w:color w:val="auto"/>
              </w:rPr>
            </w:pPr>
            <w:r>
              <w:rPr>
                <w:rFonts w:ascii="Arial" w:cs="Arial" w:eastAsia="Arial" w:hAnsi="Arial"/>
                <w:sz w:val="13"/>
                <w:szCs w:val="13"/>
                <w:color w:val="auto"/>
                <w:w w:val="96"/>
              </w:rPr>
              <w:t>1996-2000</w:t>
            </w:r>
          </w:p>
        </w:tc>
        <w:tc>
          <w:tcPr>
            <w:tcW w:w="800" w:type="dxa"/>
            <w:vAlign w:val="bottom"/>
          </w:tcPr>
          <w:p>
            <w:pPr>
              <w:jc w:val="right"/>
              <w:spacing w:after="0" w:line="136" w:lineRule="exact"/>
              <w:rPr>
                <w:sz w:val="20"/>
                <w:szCs w:val="20"/>
                <w:color w:val="auto"/>
              </w:rPr>
            </w:pPr>
            <w:r>
              <w:rPr>
                <w:rFonts w:ascii="Arial" w:cs="Arial" w:eastAsia="Arial" w:hAnsi="Arial"/>
                <w:sz w:val="13"/>
                <w:szCs w:val="13"/>
                <w:color w:val="auto"/>
              </w:rPr>
              <w:t>76,547</w:t>
            </w: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209,000</w:t>
            </w: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97%</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97%</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61.59</w:t>
            </w:r>
          </w:p>
        </w:tc>
        <w:tc>
          <w:tcPr>
            <w:tcW w:w="6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60" w:type="dxa"/>
            <w:vAlign w:val="bottom"/>
          </w:tcPr>
          <w:p>
            <w:pPr>
              <w:ind w:left="180"/>
              <w:spacing w:after="0" w:line="136" w:lineRule="exact"/>
              <w:rPr>
                <w:sz w:val="20"/>
                <w:szCs w:val="20"/>
                <w:color w:val="auto"/>
              </w:rPr>
            </w:pPr>
            <w:r>
              <w:rPr>
                <w:rFonts w:ascii="Arial" w:cs="Arial" w:eastAsia="Arial" w:hAnsi="Arial"/>
                <w:sz w:val="13"/>
                <w:szCs w:val="13"/>
                <w:color w:val="auto"/>
              </w:rPr>
              <w:t>J. Crew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ind w:left="40"/>
              <w:spacing w:after="0" w:line="144" w:lineRule="exact"/>
              <w:rPr>
                <w:sz w:val="20"/>
                <w:szCs w:val="20"/>
                <w:color w:val="auto"/>
              </w:rPr>
            </w:pPr>
            <w:r>
              <w:rPr>
                <w:rFonts w:ascii="Arial" w:cs="Arial" w:eastAsia="Arial" w:hAnsi="Arial"/>
                <w:sz w:val="13"/>
                <w:szCs w:val="13"/>
                <w:color w:val="auto"/>
              </w:rPr>
              <w:t>Long Beach,</w:t>
            </w: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ind w:left="180"/>
              <w:spacing w:after="0" w:line="144" w:lineRule="exact"/>
              <w:rPr>
                <w:sz w:val="20"/>
                <w:szCs w:val="20"/>
                <w:color w:val="auto"/>
              </w:rPr>
            </w:pPr>
            <w:r>
              <w:rPr>
                <w:rFonts w:ascii="Arial" w:cs="Arial" w:eastAsia="Arial" w:hAnsi="Arial"/>
                <w:sz w:val="13"/>
                <w:szCs w:val="13"/>
                <w:color w:val="auto"/>
              </w:rPr>
              <w:t>Banana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ind w:left="40"/>
              <w:spacing w:after="0" w:line="144" w:lineRule="exact"/>
              <w:rPr>
                <w:sz w:val="20"/>
                <w:szCs w:val="20"/>
                <w:color w:val="auto"/>
              </w:rPr>
            </w:pPr>
            <w:r>
              <w:rPr>
                <w:rFonts w:ascii="Arial" w:cs="Arial" w:eastAsia="Arial" w:hAnsi="Arial"/>
                <w:sz w:val="13"/>
                <w:szCs w:val="13"/>
                <w:color w:val="auto"/>
              </w:rPr>
              <w:t>CA</w:t>
            </w: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ind w:left="180"/>
              <w:spacing w:after="0" w:line="144" w:lineRule="exact"/>
              <w:rPr>
                <w:sz w:val="20"/>
                <w:szCs w:val="20"/>
                <w:color w:val="auto"/>
              </w:rPr>
            </w:pPr>
            <w:r>
              <w:rPr>
                <w:rFonts w:ascii="Arial" w:cs="Arial" w:eastAsia="Arial" w:hAnsi="Arial"/>
                <w:sz w:val="13"/>
                <w:szCs w:val="13"/>
                <w:color w:val="auto"/>
              </w:rPr>
              <w:t>Republic / Old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ind w:left="180"/>
              <w:spacing w:after="0" w:line="144" w:lineRule="exact"/>
              <w:rPr>
                <w:sz w:val="20"/>
                <w:szCs w:val="20"/>
                <w:color w:val="auto"/>
              </w:rPr>
            </w:pPr>
            <w:r>
              <w:rPr>
                <w:rFonts w:ascii="Arial" w:cs="Arial" w:eastAsia="Arial" w:hAnsi="Arial"/>
                <w:sz w:val="13"/>
                <w:szCs w:val="13"/>
                <w:color w:val="auto"/>
              </w:rPr>
              <w:t>Navy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ind w:left="180"/>
              <w:spacing w:after="0" w:line="144" w:lineRule="exact"/>
              <w:rPr>
                <w:sz w:val="20"/>
                <w:szCs w:val="20"/>
                <w:color w:val="auto"/>
              </w:rPr>
            </w:pPr>
            <w:r>
              <w:rPr>
                <w:rFonts w:ascii="Arial" w:cs="Arial" w:eastAsia="Arial" w:hAnsi="Arial"/>
                <w:sz w:val="13"/>
                <w:szCs w:val="13"/>
                <w:color w:val="auto"/>
                <w:w w:val="99"/>
              </w:rPr>
              <w:t>Abercrombie &amp;</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60" w:type="dxa"/>
            <w:vAlign w:val="bottom"/>
          </w:tcPr>
          <w:p>
            <w:pPr>
              <w:ind w:left="180"/>
              <w:spacing w:after="0"/>
              <w:rPr>
                <w:sz w:val="20"/>
                <w:szCs w:val="20"/>
                <w:color w:val="auto"/>
              </w:rPr>
            </w:pPr>
            <w:r>
              <w:rPr>
                <w:rFonts w:ascii="Arial" w:cs="Arial" w:eastAsia="Arial" w:hAnsi="Arial"/>
                <w:sz w:val="13"/>
                <w:szCs w:val="13"/>
                <w:color w:val="auto"/>
              </w:rPr>
              <w:t>Fitch</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Westgate</w:t>
            </w: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color w:val="auto"/>
                <w:w w:val="98"/>
              </w:rPr>
              <w:t>San Jose, CA</w:t>
            </w:r>
          </w:p>
        </w:tc>
        <w:tc>
          <w:tcPr>
            <w:tcW w:w="720" w:type="dxa"/>
            <w:vAlign w:val="bottom"/>
            <w:shd w:val="clear" w:color="auto" w:fill="CCEEFF"/>
          </w:tcPr>
          <w:p>
            <w:pPr>
              <w:jc w:val="right"/>
              <w:ind w:right="34"/>
              <w:spacing w:after="0" w:line="136" w:lineRule="exact"/>
              <w:rPr>
                <w:sz w:val="20"/>
                <w:szCs w:val="20"/>
                <w:color w:val="auto"/>
              </w:rPr>
            </w:pPr>
            <w:r>
              <w:rPr>
                <w:rFonts w:ascii="Arial" w:cs="Arial" w:eastAsia="Arial" w:hAnsi="Arial"/>
                <w:sz w:val="13"/>
                <w:szCs w:val="13"/>
                <w:color w:val="auto"/>
              </w:rPr>
              <w:t>2004</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117,187</w:t>
            </w:r>
          </w:p>
        </w:tc>
        <w:tc>
          <w:tcPr>
            <w:tcW w:w="10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644,000</w:t>
            </w: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95%</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94%</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12.96</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38,000</w:t>
            </w:r>
          </w:p>
        </w:tc>
        <w:tc>
          <w:tcPr>
            <w:tcW w:w="148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color w:val="auto"/>
              </w:rPr>
              <w:t>Safeway</w:t>
            </w:r>
          </w:p>
        </w:tc>
        <w:tc>
          <w:tcPr>
            <w:tcW w:w="1060" w:type="dxa"/>
            <w:vAlign w:val="bottom"/>
            <w:shd w:val="clear" w:color="auto" w:fill="CCEEFF"/>
          </w:tcPr>
          <w:p>
            <w:pPr>
              <w:ind w:left="180"/>
              <w:spacing w:after="0" w:line="136" w:lineRule="exact"/>
              <w:rPr>
                <w:sz w:val="20"/>
                <w:szCs w:val="20"/>
                <w:color w:val="auto"/>
              </w:rPr>
            </w:pPr>
            <w:r>
              <w:rPr>
                <w:rFonts w:ascii="Arial" w:cs="Arial" w:eastAsia="Arial" w:hAnsi="Arial"/>
                <w:sz w:val="13"/>
                <w:szCs w:val="13"/>
                <w:color w:val="auto"/>
              </w:rPr>
              <w:t>Target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6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w w:val="95"/>
              </w:rPr>
              <w:t>Burlington Coat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6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w w:val="90"/>
              </w:rPr>
              <w:t>Factory / Barnes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6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w w:val="99"/>
              </w:rPr>
              <w:t>&amp; Noble / Ross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6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w w:val="90"/>
              </w:rPr>
              <w:t>Dress For Less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Michaels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gridSpan w:val="4"/>
          </w:tcPr>
          <w:p>
            <w:pPr>
              <w:spacing w:after="0" w:line="136" w:lineRule="exact"/>
              <w:rPr>
                <w:sz w:val="20"/>
                <w:szCs w:val="20"/>
                <w:color w:val="auto"/>
              </w:rPr>
            </w:pPr>
            <w:r>
              <w:rPr>
                <w:rFonts w:ascii="Arial" w:cs="Arial" w:eastAsia="Arial" w:hAnsi="Arial"/>
                <w:sz w:val="13"/>
                <w:szCs w:val="13"/>
                <w:color w:val="auto"/>
              </w:rPr>
              <w:t>150 Post Street</w:t>
            </w:r>
          </w:p>
        </w:tc>
        <w:tc>
          <w:tcPr>
            <w:tcW w:w="8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3"/>
                <w:szCs w:val="13"/>
                <w:color w:val="auto"/>
              </w:rPr>
              <w:t>San</w:t>
            </w:r>
          </w:p>
        </w:tc>
        <w:tc>
          <w:tcPr>
            <w:tcW w:w="720" w:type="dxa"/>
            <w:vAlign w:val="bottom"/>
          </w:tcPr>
          <w:p>
            <w:pPr>
              <w:jc w:val="right"/>
              <w:ind w:right="34"/>
              <w:spacing w:after="0" w:line="136" w:lineRule="exact"/>
              <w:rPr>
                <w:sz w:val="20"/>
                <w:szCs w:val="20"/>
                <w:color w:val="auto"/>
              </w:rPr>
            </w:pPr>
            <w:r>
              <w:rPr>
                <w:rFonts w:ascii="Arial" w:cs="Arial" w:eastAsia="Arial" w:hAnsi="Arial"/>
                <w:sz w:val="13"/>
                <w:szCs w:val="13"/>
                <w:color w:val="auto"/>
              </w:rPr>
              <w:t>1997</w:t>
            </w:r>
          </w:p>
        </w:tc>
        <w:tc>
          <w:tcPr>
            <w:tcW w:w="800" w:type="dxa"/>
            <w:vAlign w:val="bottom"/>
          </w:tcPr>
          <w:p>
            <w:pPr>
              <w:jc w:val="right"/>
              <w:spacing w:after="0" w:line="136" w:lineRule="exact"/>
              <w:rPr>
                <w:sz w:val="20"/>
                <w:szCs w:val="20"/>
                <w:color w:val="auto"/>
              </w:rPr>
            </w:pPr>
            <w:r>
              <w:rPr>
                <w:rFonts w:ascii="Arial" w:cs="Arial" w:eastAsia="Arial" w:hAnsi="Arial"/>
                <w:sz w:val="13"/>
                <w:szCs w:val="13"/>
                <w:color w:val="auto"/>
              </w:rPr>
              <w:t>37,861</w:t>
            </w: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102,000</w:t>
            </w: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42.36</w:t>
            </w:r>
          </w:p>
        </w:tc>
        <w:tc>
          <w:tcPr>
            <w:tcW w:w="6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60" w:type="dxa"/>
            <w:vAlign w:val="bottom"/>
          </w:tcPr>
          <w:p>
            <w:pPr>
              <w:ind w:left="180"/>
              <w:spacing w:after="0" w:line="136" w:lineRule="exact"/>
              <w:rPr>
                <w:sz w:val="20"/>
                <w:szCs w:val="20"/>
                <w:color w:val="auto"/>
              </w:rPr>
            </w:pPr>
            <w:r>
              <w:rPr>
                <w:rFonts w:ascii="Arial" w:cs="Arial" w:eastAsia="Arial" w:hAnsi="Arial"/>
                <w:sz w:val="13"/>
                <w:szCs w:val="13"/>
                <w:color w:val="auto"/>
                <w:w w:val="92"/>
              </w:rPr>
              <w:t>Brooks Brothers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ind w:left="40"/>
              <w:spacing w:after="0" w:line="144" w:lineRule="exact"/>
              <w:rPr>
                <w:sz w:val="20"/>
                <w:szCs w:val="20"/>
                <w:color w:val="auto"/>
              </w:rPr>
            </w:pPr>
            <w:r>
              <w:rPr>
                <w:rFonts w:ascii="Arial" w:cs="Arial" w:eastAsia="Arial" w:hAnsi="Arial"/>
                <w:sz w:val="13"/>
                <w:szCs w:val="13"/>
                <w:color w:val="auto"/>
              </w:rPr>
              <w:t>Francisco,</w:t>
            </w: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ind w:left="180"/>
              <w:spacing w:after="0" w:line="144" w:lineRule="exact"/>
              <w:rPr>
                <w:sz w:val="20"/>
                <w:szCs w:val="20"/>
                <w:color w:val="auto"/>
              </w:rPr>
            </w:pPr>
            <w:r>
              <w:rPr>
                <w:rFonts w:ascii="Arial" w:cs="Arial" w:eastAsia="Arial" w:hAnsi="Arial"/>
                <w:sz w:val="13"/>
                <w:szCs w:val="13"/>
                <w:color w:val="auto"/>
              </w:rPr>
              <w:t>/ H &amp; M</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ind w:left="40"/>
              <w:spacing w:after="0"/>
              <w:rPr>
                <w:sz w:val="20"/>
                <w:szCs w:val="20"/>
                <w:color w:val="auto"/>
              </w:rPr>
            </w:pPr>
            <w:r>
              <w:rPr>
                <w:rFonts w:ascii="Arial" w:cs="Arial" w:eastAsia="Arial" w:hAnsi="Arial"/>
                <w:sz w:val="13"/>
                <w:szCs w:val="13"/>
                <w:color w:val="auto"/>
              </w:rPr>
              <w:t>CA</w:t>
            </w:r>
          </w:p>
        </w:tc>
        <w:tc>
          <w:tcPr>
            <w:tcW w:w="7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ind w:left="40"/>
              <w:spacing w:after="0" w:line="131" w:lineRule="exact"/>
              <w:rPr>
                <w:sz w:val="20"/>
                <w:szCs w:val="20"/>
                <w:color w:val="auto"/>
              </w:rPr>
            </w:pPr>
            <w:r>
              <w:rPr>
                <w:rFonts w:ascii="Arial" w:cs="Arial" w:eastAsia="Arial" w:hAnsi="Arial"/>
                <w:sz w:val="13"/>
                <w:szCs w:val="13"/>
                <w:b w:val="1"/>
                <w:bCs w:val="1"/>
                <w:color w:val="auto"/>
              </w:rPr>
              <w:t>Total</w:t>
            </w:r>
          </w:p>
        </w:tc>
        <w:tc>
          <w:tcPr>
            <w:tcW w:w="7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1,010,810</w:t>
            </w:r>
          </w:p>
        </w:tc>
        <w:tc>
          <w:tcPr>
            <w:tcW w:w="10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w w:val="93"/>
              </w:rPr>
              <w:t>2,497,000</w:t>
            </w:r>
          </w:p>
        </w:tc>
        <w:tc>
          <w:tcPr>
            <w:tcW w:w="58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95%</w:t>
            </w:r>
          </w:p>
        </w:tc>
        <w:tc>
          <w:tcPr>
            <w:tcW w:w="9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3"/>
                <w:szCs w:val="13"/>
                <w:color w:val="auto"/>
              </w:rPr>
              <w:t>95%</w:t>
            </w:r>
          </w:p>
        </w:tc>
        <w:tc>
          <w:tcPr>
            <w:tcW w:w="4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30.51</w:t>
            </w:r>
          </w:p>
        </w:tc>
        <w:tc>
          <w:tcPr>
            <w:tcW w:w="6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California</w:t>
            </w:r>
          </w:p>
        </w:tc>
        <w:tc>
          <w:tcPr>
            <w:tcW w:w="7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500" w:type="dxa"/>
            <w:vAlign w:val="bottom"/>
            <w:gridSpan w:val="4"/>
          </w:tcPr>
          <w:p>
            <w:pPr>
              <w:ind w:left="200"/>
              <w:spacing w:after="0"/>
              <w:rPr>
                <w:sz w:val="20"/>
                <w:szCs w:val="20"/>
                <w:color w:val="auto"/>
              </w:rPr>
            </w:pPr>
            <w:r>
              <w:rPr>
                <w:rFonts w:ascii="Arial" w:cs="Arial" w:eastAsia="Arial" w:hAnsi="Arial"/>
                <w:sz w:val="13"/>
                <w:szCs w:val="13"/>
                <w:b w:val="1"/>
                <w:bCs w:val="1"/>
                <w:color w:val="auto"/>
                <w:w w:val="90"/>
              </w:rPr>
              <w:t>New York / New Jersey</w:t>
            </w: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150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Brick Plaza</w:t>
            </w: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Monmouth-</w:t>
            </w:r>
          </w:p>
        </w:tc>
        <w:tc>
          <w:tcPr>
            <w:tcW w:w="720" w:type="dxa"/>
            <w:vAlign w:val="bottom"/>
            <w:shd w:val="clear" w:color="auto" w:fill="CCEEFF"/>
          </w:tcPr>
          <w:p>
            <w:pPr>
              <w:jc w:val="right"/>
              <w:ind w:right="34"/>
              <w:spacing w:after="0" w:line="129" w:lineRule="exact"/>
              <w:rPr>
                <w:sz w:val="20"/>
                <w:szCs w:val="20"/>
                <w:color w:val="auto"/>
              </w:rPr>
            </w:pPr>
            <w:r>
              <w:rPr>
                <w:rFonts w:ascii="Arial" w:cs="Arial" w:eastAsia="Arial" w:hAnsi="Arial"/>
                <w:sz w:val="13"/>
                <w:szCs w:val="13"/>
                <w:color w:val="auto"/>
              </w:rPr>
              <w:t>1989</w:t>
            </w: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57,943</w:t>
            </w:r>
          </w:p>
        </w:tc>
        <w:tc>
          <w:tcPr>
            <w:tcW w:w="1020" w:type="dxa"/>
            <w:vAlign w:val="bottom"/>
            <w:shd w:val="clear" w:color="auto" w:fill="CCEEFF"/>
          </w:tcPr>
          <w:p>
            <w:pPr>
              <w:jc w:val="right"/>
              <w:ind w:right="54"/>
              <w:spacing w:after="0" w:line="129" w:lineRule="exact"/>
              <w:rPr>
                <w:sz w:val="20"/>
                <w:szCs w:val="20"/>
                <w:color w:val="auto"/>
              </w:rPr>
            </w:pPr>
            <w:r>
              <w:rPr>
                <w:rFonts w:ascii="Arial" w:cs="Arial" w:eastAsia="Arial" w:hAnsi="Arial"/>
                <w:sz w:val="13"/>
                <w:szCs w:val="13"/>
                <w:color w:val="auto"/>
              </w:rPr>
              <w:t>29,429</w:t>
            </w:r>
          </w:p>
        </w:tc>
        <w:tc>
          <w:tcPr>
            <w:tcW w:w="6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rPr>
              <w:t>409,000</w:t>
            </w:r>
          </w:p>
        </w:tc>
        <w:tc>
          <w:tcPr>
            <w:tcW w:w="5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95%</w:t>
            </w:r>
          </w:p>
        </w:tc>
        <w:tc>
          <w:tcPr>
            <w:tcW w:w="90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94%</w:t>
            </w: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15.05</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66,000</w:t>
            </w:r>
          </w:p>
        </w:tc>
        <w:tc>
          <w:tcPr>
            <w:tcW w:w="148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A&amp;P</w:t>
            </w:r>
          </w:p>
        </w:tc>
        <w:tc>
          <w:tcPr>
            <w:tcW w:w="106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AMC Loews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Ocean, NJ</w:t>
            </w:r>
          </w:p>
        </w:tc>
        <w:tc>
          <w:tcPr>
            <w:tcW w:w="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6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w w:val="94"/>
              </w:rPr>
              <w:t>Barnes &amp; Noble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6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 Sports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Authority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gridSpan w:val="4"/>
          </w:tcPr>
          <w:p>
            <w:pPr>
              <w:spacing w:after="0" w:line="136" w:lineRule="exact"/>
              <w:rPr>
                <w:sz w:val="20"/>
                <w:szCs w:val="20"/>
                <w:color w:val="auto"/>
              </w:rPr>
            </w:pPr>
            <w:r>
              <w:rPr>
                <w:rFonts w:ascii="Arial" w:cs="Arial" w:eastAsia="Arial" w:hAnsi="Arial"/>
                <w:sz w:val="13"/>
                <w:szCs w:val="13"/>
                <w:color w:val="auto"/>
              </w:rPr>
              <w:t>Forest Hills</w:t>
            </w:r>
          </w:p>
        </w:tc>
        <w:tc>
          <w:tcPr>
            <w:tcW w:w="8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3"/>
                <w:szCs w:val="13"/>
                <w:color w:val="auto"/>
              </w:rPr>
              <w:t>New York,</w:t>
            </w:r>
          </w:p>
        </w:tc>
        <w:tc>
          <w:tcPr>
            <w:tcW w:w="720" w:type="dxa"/>
            <w:vAlign w:val="bottom"/>
          </w:tcPr>
          <w:p>
            <w:pPr>
              <w:jc w:val="right"/>
              <w:ind w:right="34"/>
              <w:spacing w:after="0" w:line="136" w:lineRule="exact"/>
              <w:rPr>
                <w:sz w:val="20"/>
                <w:szCs w:val="20"/>
                <w:color w:val="auto"/>
              </w:rPr>
            </w:pPr>
            <w:r>
              <w:rPr>
                <w:rFonts w:ascii="Arial" w:cs="Arial" w:eastAsia="Arial" w:hAnsi="Arial"/>
                <w:sz w:val="13"/>
                <w:szCs w:val="13"/>
                <w:color w:val="auto"/>
              </w:rPr>
              <w:t>1997</w:t>
            </w:r>
          </w:p>
        </w:tc>
        <w:tc>
          <w:tcPr>
            <w:tcW w:w="800" w:type="dxa"/>
            <w:vAlign w:val="bottom"/>
          </w:tcPr>
          <w:p>
            <w:pPr>
              <w:jc w:val="right"/>
              <w:spacing w:after="0" w:line="136" w:lineRule="exact"/>
              <w:rPr>
                <w:sz w:val="20"/>
                <w:szCs w:val="20"/>
                <w:color w:val="auto"/>
              </w:rPr>
            </w:pPr>
            <w:r>
              <w:rPr>
                <w:rFonts w:ascii="Arial" w:cs="Arial" w:eastAsia="Arial" w:hAnsi="Arial"/>
                <w:sz w:val="13"/>
                <w:szCs w:val="13"/>
                <w:color w:val="auto"/>
              </w:rPr>
              <w:t>8,104</w:t>
            </w: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46,000</w:t>
            </w: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96%</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93%</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20.04</w:t>
            </w:r>
          </w:p>
        </w:tc>
        <w:tc>
          <w:tcPr>
            <w:tcW w:w="6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60" w:type="dxa"/>
            <w:vAlign w:val="bottom"/>
          </w:tcPr>
          <w:p>
            <w:pPr>
              <w:ind w:left="180"/>
              <w:spacing w:after="0" w:line="136" w:lineRule="exact"/>
              <w:rPr>
                <w:sz w:val="20"/>
                <w:szCs w:val="20"/>
                <w:color w:val="auto"/>
              </w:rPr>
            </w:pPr>
            <w:r>
              <w:rPr>
                <w:rFonts w:ascii="Arial" w:cs="Arial" w:eastAsia="Arial" w:hAnsi="Arial"/>
                <w:sz w:val="13"/>
                <w:szCs w:val="13"/>
                <w:color w:val="auto"/>
                <w:w w:val="92"/>
              </w:rPr>
              <w:t>Midway Theatre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ind w:left="40"/>
              <w:spacing w:after="0"/>
              <w:rPr>
                <w:sz w:val="20"/>
                <w:szCs w:val="20"/>
                <w:color w:val="auto"/>
              </w:rPr>
            </w:pPr>
            <w:r>
              <w:rPr>
                <w:rFonts w:ascii="Arial" w:cs="Arial" w:eastAsia="Arial" w:hAnsi="Arial"/>
                <w:sz w:val="13"/>
                <w:szCs w:val="13"/>
                <w:color w:val="auto"/>
              </w:rPr>
              <w:t>NY</w:t>
            </w: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Fresh Meadows</w:t>
            </w: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color w:val="auto"/>
              </w:rPr>
              <w:t>New York,</w:t>
            </w:r>
          </w:p>
        </w:tc>
        <w:tc>
          <w:tcPr>
            <w:tcW w:w="720" w:type="dxa"/>
            <w:vAlign w:val="bottom"/>
            <w:shd w:val="clear" w:color="auto" w:fill="CCEEFF"/>
          </w:tcPr>
          <w:p>
            <w:pPr>
              <w:jc w:val="right"/>
              <w:ind w:right="34"/>
              <w:spacing w:after="0" w:line="136" w:lineRule="exact"/>
              <w:rPr>
                <w:sz w:val="20"/>
                <w:szCs w:val="20"/>
                <w:color w:val="auto"/>
              </w:rPr>
            </w:pPr>
            <w:r>
              <w:rPr>
                <w:rFonts w:ascii="Arial" w:cs="Arial" w:eastAsia="Arial" w:hAnsi="Arial"/>
                <w:sz w:val="13"/>
                <w:szCs w:val="13"/>
                <w:color w:val="auto"/>
              </w:rPr>
              <w:t>1997</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70,216</w:t>
            </w:r>
          </w:p>
        </w:tc>
        <w:tc>
          <w:tcPr>
            <w:tcW w:w="10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405,000</w:t>
            </w: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98%</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98%</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25.16</w:t>
            </w:r>
          </w:p>
        </w:tc>
        <w:tc>
          <w:tcPr>
            <w:tcW w:w="6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60" w:type="dxa"/>
            <w:vAlign w:val="bottom"/>
            <w:shd w:val="clear" w:color="auto" w:fill="CCEEFF"/>
          </w:tcPr>
          <w:p>
            <w:pPr>
              <w:ind w:left="180"/>
              <w:spacing w:after="0" w:line="136" w:lineRule="exact"/>
              <w:rPr>
                <w:sz w:val="20"/>
                <w:szCs w:val="20"/>
                <w:color w:val="auto"/>
              </w:rPr>
            </w:pPr>
            <w:r>
              <w:rPr>
                <w:rFonts w:ascii="Arial" w:cs="Arial" w:eastAsia="Arial" w:hAnsi="Arial"/>
                <w:sz w:val="13"/>
                <w:szCs w:val="13"/>
                <w:color w:val="auto"/>
              </w:rPr>
              <w:t>Kohl’s / AMC</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NY</w:t>
            </w:r>
          </w:p>
        </w:tc>
        <w:tc>
          <w:tcPr>
            <w:tcW w:w="7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Loews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gridSpan w:val="4"/>
          </w:tcPr>
          <w:p>
            <w:pPr>
              <w:spacing w:after="0" w:line="136" w:lineRule="exact"/>
              <w:rPr>
                <w:sz w:val="20"/>
                <w:szCs w:val="20"/>
                <w:color w:val="auto"/>
              </w:rPr>
            </w:pPr>
            <w:r>
              <w:rPr>
                <w:rFonts w:ascii="Arial" w:cs="Arial" w:eastAsia="Arial" w:hAnsi="Arial"/>
                <w:sz w:val="13"/>
                <w:szCs w:val="13"/>
                <w:color w:val="auto"/>
              </w:rPr>
              <w:t>Hauppauge</w:t>
            </w:r>
          </w:p>
        </w:tc>
        <w:tc>
          <w:tcPr>
            <w:tcW w:w="8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3"/>
                <w:szCs w:val="13"/>
                <w:color w:val="auto"/>
              </w:rPr>
              <w:t>Nassau-</w:t>
            </w:r>
          </w:p>
        </w:tc>
        <w:tc>
          <w:tcPr>
            <w:tcW w:w="720" w:type="dxa"/>
            <w:vAlign w:val="bottom"/>
          </w:tcPr>
          <w:p>
            <w:pPr>
              <w:jc w:val="right"/>
              <w:ind w:right="34"/>
              <w:spacing w:after="0" w:line="136" w:lineRule="exact"/>
              <w:rPr>
                <w:sz w:val="20"/>
                <w:szCs w:val="20"/>
                <w:color w:val="auto"/>
              </w:rPr>
            </w:pPr>
            <w:r>
              <w:rPr>
                <w:rFonts w:ascii="Arial" w:cs="Arial" w:eastAsia="Arial" w:hAnsi="Arial"/>
                <w:sz w:val="13"/>
                <w:szCs w:val="13"/>
                <w:color w:val="auto"/>
              </w:rPr>
              <w:t>1998</w:t>
            </w:r>
          </w:p>
        </w:tc>
        <w:tc>
          <w:tcPr>
            <w:tcW w:w="800" w:type="dxa"/>
            <w:vAlign w:val="bottom"/>
          </w:tcPr>
          <w:p>
            <w:pPr>
              <w:jc w:val="right"/>
              <w:spacing w:after="0" w:line="136" w:lineRule="exact"/>
              <w:rPr>
                <w:sz w:val="20"/>
                <w:szCs w:val="20"/>
                <w:color w:val="auto"/>
              </w:rPr>
            </w:pPr>
            <w:r>
              <w:rPr>
                <w:rFonts w:ascii="Arial" w:cs="Arial" w:eastAsia="Arial" w:hAnsi="Arial"/>
                <w:sz w:val="13"/>
                <w:szCs w:val="13"/>
                <w:color w:val="auto"/>
              </w:rPr>
              <w:t>27,983</w:t>
            </w:r>
          </w:p>
        </w:tc>
        <w:tc>
          <w:tcPr>
            <w:tcW w:w="1020" w:type="dxa"/>
            <w:vAlign w:val="bottom"/>
          </w:tcPr>
          <w:p>
            <w:pPr>
              <w:jc w:val="right"/>
              <w:ind w:right="54"/>
              <w:spacing w:after="0" w:line="136" w:lineRule="exact"/>
              <w:rPr>
                <w:sz w:val="20"/>
                <w:szCs w:val="20"/>
                <w:color w:val="auto"/>
              </w:rPr>
            </w:pPr>
            <w:r>
              <w:rPr>
                <w:rFonts w:ascii="Arial" w:cs="Arial" w:eastAsia="Arial" w:hAnsi="Arial"/>
                <w:sz w:val="13"/>
                <w:szCs w:val="13"/>
                <w:color w:val="auto"/>
              </w:rPr>
              <w:t>15,022</w:t>
            </w:r>
          </w:p>
        </w:tc>
        <w:tc>
          <w:tcPr>
            <w:tcW w:w="6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133,000</w:t>
            </w: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24.39</w:t>
            </w: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61,000</w:t>
            </w:r>
          </w:p>
        </w:tc>
        <w:tc>
          <w:tcPr>
            <w:tcW w:w="1480" w:type="dxa"/>
            <w:vAlign w:val="bottom"/>
          </w:tcPr>
          <w:p>
            <w:pPr>
              <w:ind w:left="40"/>
              <w:spacing w:after="0" w:line="136" w:lineRule="exact"/>
              <w:rPr>
                <w:sz w:val="20"/>
                <w:szCs w:val="20"/>
                <w:color w:val="auto"/>
              </w:rPr>
            </w:pPr>
            <w:r>
              <w:rPr>
                <w:rFonts w:ascii="Arial" w:cs="Arial" w:eastAsia="Arial" w:hAnsi="Arial"/>
                <w:sz w:val="13"/>
                <w:szCs w:val="13"/>
                <w:color w:val="auto"/>
              </w:rPr>
              <w:t>Shop Rite</w:t>
            </w:r>
          </w:p>
        </w:tc>
        <w:tc>
          <w:tcPr>
            <w:tcW w:w="1060" w:type="dxa"/>
            <w:vAlign w:val="bottom"/>
          </w:tcPr>
          <w:p>
            <w:pPr>
              <w:ind w:left="180"/>
              <w:spacing w:after="0" w:line="136" w:lineRule="exact"/>
              <w:rPr>
                <w:sz w:val="20"/>
                <w:szCs w:val="20"/>
                <w:color w:val="auto"/>
              </w:rPr>
            </w:pPr>
            <w:r>
              <w:rPr>
                <w:rFonts w:ascii="Arial" w:cs="Arial" w:eastAsia="Arial" w:hAnsi="Arial"/>
                <w:sz w:val="13"/>
                <w:szCs w:val="13"/>
                <w:color w:val="auto"/>
              </w:rPr>
              <w:t>AC Moore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ind w:left="40"/>
              <w:spacing w:after="0"/>
              <w:rPr>
                <w:sz w:val="20"/>
                <w:szCs w:val="20"/>
                <w:color w:val="auto"/>
              </w:rPr>
            </w:pPr>
            <w:r>
              <w:rPr>
                <w:rFonts w:ascii="Arial" w:cs="Arial" w:eastAsia="Arial" w:hAnsi="Arial"/>
                <w:sz w:val="13"/>
                <w:szCs w:val="13"/>
                <w:color w:val="auto"/>
              </w:rPr>
              <w:t>Suffolk, NY</w:t>
            </w: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Huntington</w:t>
            </w: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color w:val="auto"/>
              </w:rPr>
              <w:t>Nassau-</w:t>
            </w:r>
          </w:p>
        </w:tc>
        <w:tc>
          <w:tcPr>
            <w:tcW w:w="720" w:type="dxa"/>
            <w:vAlign w:val="bottom"/>
            <w:shd w:val="clear" w:color="auto" w:fill="CCEEFF"/>
          </w:tcPr>
          <w:p>
            <w:pPr>
              <w:jc w:val="right"/>
              <w:ind w:right="34"/>
              <w:spacing w:after="0" w:line="136" w:lineRule="exact"/>
              <w:rPr>
                <w:sz w:val="20"/>
                <w:szCs w:val="20"/>
                <w:color w:val="auto"/>
              </w:rPr>
            </w:pPr>
            <w:r>
              <w:rPr>
                <w:rFonts w:ascii="Arial" w:cs="Arial" w:eastAsia="Arial" w:hAnsi="Arial"/>
                <w:sz w:val="13"/>
                <w:szCs w:val="13"/>
                <w:color w:val="auto"/>
                <w:w w:val="97"/>
              </w:rPr>
              <w:t>1988/2007</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38,784</w:t>
            </w:r>
          </w:p>
        </w:tc>
        <w:tc>
          <w:tcPr>
            <w:tcW w:w="10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292,000</w:t>
            </w: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20.94</w:t>
            </w:r>
          </w:p>
        </w:tc>
        <w:tc>
          <w:tcPr>
            <w:tcW w:w="6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60" w:type="dxa"/>
            <w:vAlign w:val="bottom"/>
            <w:shd w:val="clear" w:color="auto" w:fill="CCEEFF"/>
          </w:tcPr>
          <w:p>
            <w:pPr>
              <w:ind w:left="180"/>
              <w:spacing w:after="0" w:line="136" w:lineRule="exact"/>
              <w:rPr>
                <w:sz w:val="20"/>
                <w:szCs w:val="20"/>
                <w:color w:val="auto"/>
              </w:rPr>
            </w:pPr>
            <w:r>
              <w:rPr>
                <w:rFonts w:ascii="Arial" w:cs="Arial" w:eastAsia="Arial" w:hAnsi="Arial"/>
                <w:sz w:val="13"/>
                <w:szCs w:val="13"/>
                <w:color w:val="auto"/>
                <w:w w:val="96"/>
              </w:rPr>
              <w:t>Buy Buy Baby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Suffolk, NY</w:t>
            </w:r>
          </w:p>
        </w:tc>
        <w:tc>
          <w:tcPr>
            <w:tcW w:w="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6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Toys R Us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6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Bed, Bath &amp;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6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w w:val="89"/>
              </w:rPr>
              <w:t>Beyond / Barnes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6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&amp; Noble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Michaels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gridSpan w:val="4"/>
          </w:tcPr>
          <w:p>
            <w:pPr>
              <w:spacing w:after="0" w:line="136" w:lineRule="exact"/>
              <w:rPr>
                <w:sz w:val="20"/>
                <w:szCs w:val="20"/>
                <w:color w:val="auto"/>
              </w:rPr>
            </w:pPr>
            <w:r>
              <w:rPr>
                <w:rFonts w:ascii="Arial" w:cs="Arial" w:eastAsia="Arial" w:hAnsi="Arial"/>
                <w:sz w:val="13"/>
                <w:szCs w:val="13"/>
                <w:color w:val="auto"/>
              </w:rPr>
              <w:t>Huntington Square</w:t>
            </w:r>
          </w:p>
        </w:tc>
        <w:tc>
          <w:tcPr>
            <w:tcW w:w="8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3"/>
                <w:szCs w:val="13"/>
                <w:color w:val="auto"/>
              </w:rPr>
              <w:t>Nassau-</w:t>
            </w:r>
          </w:p>
        </w:tc>
        <w:tc>
          <w:tcPr>
            <w:tcW w:w="720" w:type="dxa"/>
            <w:vAlign w:val="bottom"/>
          </w:tcPr>
          <w:p>
            <w:pPr>
              <w:jc w:val="right"/>
              <w:ind w:right="34"/>
              <w:spacing w:after="0" w:line="136" w:lineRule="exact"/>
              <w:rPr>
                <w:sz w:val="20"/>
                <w:szCs w:val="20"/>
                <w:color w:val="auto"/>
              </w:rPr>
            </w:pPr>
            <w:r>
              <w:rPr>
                <w:rFonts w:ascii="Arial" w:cs="Arial" w:eastAsia="Arial" w:hAnsi="Arial"/>
                <w:sz w:val="13"/>
                <w:szCs w:val="13"/>
                <w:color w:val="auto"/>
              </w:rPr>
              <w:t>2010</w:t>
            </w:r>
          </w:p>
        </w:tc>
        <w:tc>
          <w:tcPr>
            <w:tcW w:w="800" w:type="dxa"/>
            <w:vAlign w:val="bottom"/>
          </w:tcPr>
          <w:p>
            <w:pPr>
              <w:jc w:val="right"/>
              <w:spacing w:after="0" w:line="136" w:lineRule="exact"/>
              <w:rPr>
                <w:sz w:val="20"/>
                <w:szCs w:val="20"/>
                <w:color w:val="auto"/>
              </w:rPr>
            </w:pPr>
            <w:r>
              <w:rPr>
                <w:rFonts w:ascii="Arial" w:cs="Arial" w:eastAsia="Arial" w:hAnsi="Arial"/>
                <w:sz w:val="13"/>
                <w:szCs w:val="13"/>
                <w:color w:val="auto"/>
              </w:rPr>
              <w:t>10,079</w:t>
            </w: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74,000</w:t>
            </w: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89%</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89%</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24.98</w:t>
            </w:r>
          </w:p>
        </w:tc>
        <w:tc>
          <w:tcPr>
            <w:tcW w:w="6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60" w:type="dxa"/>
            <w:vAlign w:val="bottom"/>
          </w:tcPr>
          <w:p>
            <w:pPr>
              <w:ind w:left="180"/>
              <w:spacing w:after="0" w:line="136" w:lineRule="exact"/>
              <w:rPr>
                <w:sz w:val="20"/>
                <w:szCs w:val="20"/>
                <w:color w:val="auto"/>
              </w:rPr>
            </w:pPr>
            <w:r>
              <w:rPr>
                <w:rFonts w:ascii="Arial" w:cs="Arial" w:eastAsia="Arial" w:hAnsi="Arial"/>
                <w:sz w:val="13"/>
                <w:szCs w:val="13"/>
                <w:color w:val="auto"/>
                <w:w w:val="94"/>
              </w:rPr>
              <w:t>Barnes &amp; Noble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ind w:left="40"/>
              <w:spacing w:after="0"/>
              <w:rPr>
                <w:sz w:val="20"/>
                <w:szCs w:val="20"/>
                <w:color w:val="auto"/>
              </w:rPr>
            </w:pPr>
            <w:r>
              <w:rPr>
                <w:rFonts w:ascii="Arial" w:cs="Arial" w:eastAsia="Arial" w:hAnsi="Arial"/>
                <w:sz w:val="13"/>
                <w:szCs w:val="13"/>
                <w:color w:val="auto"/>
              </w:rPr>
              <w:t>Suffolk, NY</w:t>
            </w: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Melville Mall</w:t>
            </w: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(11)</w:t>
            </w:r>
          </w:p>
        </w:tc>
        <w:tc>
          <w:tcPr>
            <w:tcW w:w="84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color w:val="auto"/>
              </w:rPr>
              <w:t>Nassau-</w:t>
            </w:r>
          </w:p>
        </w:tc>
        <w:tc>
          <w:tcPr>
            <w:tcW w:w="720" w:type="dxa"/>
            <w:vAlign w:val="bottom"/>
            <w:shd w:val="clear" w:color="auto" w:fill="CCEEFF"/>
          </w:tcPr>
          <w:p>
            <w:pPr>
              <w:jc w:val="right"/>
              <w:ind w:right="34"/>
              <w:spacing w:after="0" w:line="136" w:lineRule="exact"/>
              <w:rPr>
                <w:sz w:val="20"/>
                <w:szCs w:val="20"/>
                <w:color w:val="auto"/>
              </w:rPr>
            </w:pPr>
            <w:r>
              <w:rPr>
                <w:rFonts w:ascii="Arial" w:cs="Arial" w:eastAsia="Arial" w:hAnsi="Arial"/>
                <w:sz w:val="13"/>
                <w:szCs w:val="13"/>
                <w:color w:val="auto"/>
              </w:rPr>
              <w:t>2006</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68,767</w:t>
            </w:r>
          </w:p>
        </w:tc>
        <w:tc>
          <w:tcPr>
            <w:tcW w:w="1020" w:type="dxa"/>
            <w:vAlign w:val="bottom"/>
            <w:shd w:val="clear" w:color="auto" w:fill="CCEEFF"/>
          </w:tcPr>
          <w:p>
            <w:pPr>
              <w:jc w:val="right"/>
              <w:ind w:right="54"/>
              <w:spacing w:after="0" w:line="136" w:lineRule="exact"/>
              <w:rPr>
                <w:sz w:val="20"/>
                <w:szCs w:val="20"/>
                <w:color w:val="auto"/>
              </w:rPr>
            </w:pPr>
            <w:r>
              <w:rPr>
                <w:rFonts w:ascii="Arial" w:cs="Arial" w:eastAsia="Arial" w:hAnsi="Arial"/>
                <w:sz w:val="13"/>
                <w:szCs w:val="13"/>
                <w:color w:val="auto"/>
              </w:rPr>
              <w:t>23,073</w:t>
            </w:r>
          </w:p>
        </w:tc>
        <w:tc>
          <w:tcPr>
            <w:tcW w:w="6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248,000</w:t>
            </w: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17.98</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54,000</w:t>
            </w:r>
          </w:p>
        </w:tc>
        <w:tc>
          <w:tcPr>
            <w:tcW w:w="148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color w:val="auto"/>
              </w:rPr>
              <w:t>Waldbaum’s</w:t>
            </w:r>
          </w:p>
        </w:tc>
        <w:tc>
          <w:tcPr>
            <w:tcW w:w="1060" w:type="dxa"/>
            <w:vAlign w:val="bottom"/>
            <w:shd w:val="clear" w:color="auto" w:fill="CCEEFF"/>
          </w:tcPr>
          <w:p>
            <w:pPr>
              <w:ind w:left="180"/>
              <w:spacing w:after="0" w:line="136" w:lineRule="exact"/>
              <w:rPr>
                <w:sz w:val="20"/>
                <w:szCs w:val="20"/>
                <w:color w:val="auto"/>
              </w:rPr>
            </w:pPr>
            <w:r>
              <w:rPr>
                <w:rFonts w:ascii="Arial" w:cs="Arial" w:eastAsia="Arial" w:hAnsi="Arial"/>
                <w:sz w:val="13"/>
                <w:szCs w:val="13"/>
                <w:color w:val="auto"/>
              </w:rPr>
              <w:t>Kohl’s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Suffolk, NY</w:t>
            </w:r>
          </w:p>
        </w:tc>
        <w:tc>
          <w:tcPr>
            <w:tcW w:w="7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gridSpan w:val="4"/>
          </w:tcPr>
          <w:p>
            <w:pPr>
              <w:spacing w:after="0" w:line="136" w:lineRule="exact"/>
              <w:rPr>
                <w:sz w:val="20"/>
                <w:szCs w:val="20"/>
                <w:color w:val="auto"/>
              </w:rPr>
            </w:pPr>
            <w:r>
              <w:rPr>
                <w:rFonts w:ascii="Arial" w:cs="Arial" w:eastAsia="Arial" w:hAnsi="Arial"/>
                <w:sz w:val="13"/>
                <w:szCs w:val="13"/>
                <w:color w:val="auto"/>
              </w:rPr>
              <w:t>Mercer Mall</w:t>
            </w:r>
          </w:p>
        </w:tc>
        <w:tc>
          <w:tcPr>
            <w:tcW w:w="840" w:type="dxa"/>
            <w:vAlign w:val="bottom"/>
          </w:tcPr>
          <w:p>
            <w:pPr>
              <w:jc w:val="right"/>
              <w:spacing w:after="0" w:line="136" w:lineRule="exact"/>
              <w:rPr>
                <w:sz w:val="20"/>
                <w:szCs w:val="20"/>
                <w:color w:val="auto"/>
              </w:rPr>
            </w:pPr>
            <w:r>
              <w:rPr>
                <w:rFonts w:ascii="Arial" w:cs="Arial" w:eastAsia="Arial" w:hAnsi="Arial"/>
                <w:sz w:val="13"/>
                <w:szCs w:val="13"/>
                <w:color w:val="auto"/>
              </w:rPr>
              <w:t>(6)</w:t>
            </w:r>
          </w:p>
        </w:tc>
        <w:tc>
          <w:tcPr>
            <w:tcW w:w="840" w:type="dxa"/>
            <w:vAlign w:val="bottom"/>
          </w:tcPr>
          <w:p>
            <w:pPr>
              <w:ind w:left="40"/>
              <w:spacing w:after="0" w:line="136" w:lineRule="exact"/>
              <w:rPr>
                <w:sz w:val="20"/>
                <w:szCs w:val="20"/>
                <w:color w:val="auto"/>
              </w:rPr>
            </w:pPr>
            <w:r>
              <w:rPr>
                <w:rFonts w:ascii="Arial" w:cs="Arial" w:eastAsia="Arial" w:hAnsi="Arial"/>
                <w:sz w:val="13"/>
                <w:szCs w:val="13"/>
                <w:color w:val="auto"/>
              </w:rPr>
              <w:t>Trenton, NJ</w:t>
            </w:r>
          </w:p>
        </w:tc>
        <w:tc>
          <w:tcPr>
            <w:tcW w:w="720" w:type="dxa"/>
            <w:vAlign w:val="bottom"/>
          </w:tcPr>
          <w:p>
            <w:pPr>
              <w:jc w:val="right"/>
              <w:ind w:right="34"/>
              <w:spacing w:after="0" w:line="136" w:lineRule="exact"/>
              <w:rPr>
                <w:sz w:val="20"/>
                <w:szCs w:val="20"/>
                <w:color w:val="auto"/>
              </w:rPr>
            </w:pPr>
            <w:r>
              <w:rPr>
                <w:rFonts w:ascii="Arial" w:cs="Arial" w:eastAsia="Arial" w:hAnsi="Arial"/>
                <w:sz w:val="13"/>
                <w:szCs w:val="13"/>
                <w:color w:val="auto"/>
              </w:rPr>
              <w:t>2003</w:t>
            </w:r>
          </w:p>
        </w:tc>
        <w:tc>
          <w:tcPr>
            <w:tcW w:w="800" w:type="dxa"/>
            <w:vAlign w:val="bottom"/>
          </w:tcPr>
          <w:p>
            <w:pPr>
              <w:jc w:val="right"/>
              <w:spacing w:after="0" w:line="136" w:lineRule="exact"/>
              <w:rPr>
                <w:sz w:val="20"/>
                <w:szCs w:val="20"/>
                <w:color w:val="auto"/>
              </w:rPr>
            </w:pPr>
            <w:r>
              <w:rPr>
                <w:rFonts w:ascii="Arial" w:cs="Arial" w:eastAsia="Arial" w:hAnsi="Arial"/>
                <w:sz w:val="13"/>
                <w:szCs w:val="13"/>
                <w:color w:val="auto"/>
              </w:rPr>
              <w:t>105,092</w:t>
            </w:r>
          </w:p>
        </w:tc>
        <w:tc>
          <w:tcPr>
            <w:tcW w:w="1020" w:type="dxa"/>
            <w:vAlign w:val="bottom"/>
          </w:tcPr>
          <w:p>
            <w:pPr>
              <w:jc w:val="right"/>
              <w:ind w:right="54"/>
              <w:spacing w:after="0" w:line="136" w:lineRule="exact"/>
              <w:rPr>
                <w:sz w:val="20"/>
                <w:szCs w:val="20"/>
                <w:color w:val="auto"/>
              </w:rPr>
            </w:pPr>
            <w:r>
              <w:rPr>
                <w:rFonts w:ascii="Arial" w:cs="Arial" w:eastAsia="Arial" w:hAnsi="Arial"/>
                <w:sz w:val="13"/>
                <w:szCs w:val="13"/>
                <w:color w:val="auto"/>
              </w:rPr>
              <w:t>48,706</w:t>
            </w:r>
          </w:p>
        </w:tc>
        <w:tc>
          <w:tcPr>
            <w:tcW w:w="6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500,000</w:t>
            </w: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20.30</w:t>
            </w: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75,000</w:t>
            </w:r>
          </w:p>
        </w:tc>
        <w:tc>
          <w:tcPr>
            <w:tcW w:w="1480" w:type="dxa"/>
            <w:vAlign w:val="bottom"/>
          </w:tcPr>
          <w:p>
            <w:pPr>
              <w:ind w:left="40"/>
              <w:spacing w:after="0" w:line="136" w:lineRule="exact"/>
              <w:rPr>
                <w:sz w:val="20"/>
                <w:szCs w:val="20"/>
                <w:color w:val="auto"/>
              </w:rPr>
            </w:pPr>
            <w:r>
              <w:rPr>
                <w:rFonts w:ascii="Arial" w:cs="Arial" w:eastAsia="Arial" w:hAnsi="Arial"/>
                <w:sz w:val="13"/>
                <w:szCs w:val="13"/>
                <w:color w:val="auto"/>
              </w:rPr>
              <w:t>Shop Rite</w:t>
            </w:r>
          </w:p>
        </w:tc>
        <w:tc>
          <w:tcPr>
            <w:tcW w:w="1060" w:type="dxa"/>
            <w:vAlign w:val="bottom"/>
          </w:tcPr>
          <w:p>
            <w:pPr>
              <w:ind w:left="180"/>
              <w:spacing w:after="0" w:line="136" w:lineRule="exact"/>
              <w:rPr>
                <w:sz w:val="20"/>
                <w:szCs w:val="20"/>
                <w:color w:val="auto"/>
              </w:rPr>
            </w:pPr>
            <w:r>
              <w:rPr>
                <w:rFonts w:ascii="Arial" w:cs="Arial" w:eastAsia="Arial" w:hAnsi="Arial"/>
                <w:sz w:val="13"/>
                <w:szCs w:val="13"/>
                <w:color w:val="auto"/>
              </w:rPr>
              <w:t>Bed, Bath &amp;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ind w:left="180"/>
              <w:spacing w:after="0" w:line="144" w:lineRule="exact"/>
              <w:rPr>
                <w:sz w:val="20"/>
                <w:szCs w:val="20"/>
                <w:color w:val="auto"/>
              </w:rPr>
            </w:pPr>
            <w:r>
              <w:rPr>
                <w:rFonts w:ascii="Arial" w:cs="Arial" w:eastAsia="Arial" w:hAnsi="Arial"/>
                <w:sz w:val="13"/>
                <w:szCs w:val="13"/>
                <w:color w:val="auto"/>
                <w:w w:val="92"/>
              </w:rPr>
              <w:t>Beyond / DSW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ind w:left="180"/>
              <w:spacing w:after="0" w:line="144" w:lineRule="exact"/>
              <w:rPr>
                <w:sz w:val="20"/>
                <w:szCs w:val="20"/>
                <w:color w:val="auto"/>
              </w:rPr>
            </w:pPr>
            <w:r>
              <w:rPr>
                <w:rFonts w:ascii="Arial" w:cs="Arial" w:eastAsia="Arial" w:hAnsi="Arial"/>
                <w:sz w:val="13"/>
                <w:szCs w:val="13"/>
                <w:color w:val="auto"/>
              </w:rPr>
              <w:t>TJ Maxx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ind w:left="180"/>
              <w:spacing w:after="0" w:line="144" w:lineRule="exact"/>
              <w:rPr>
                <w:sz w:val="20"/>
                <w:szCs w:val="20"/>
                <w:color w:val="auto"/>
              </w:rPr>
            </w:pPr>
            <w:r>
              <w:rPr>
                <w:rFonts w:ascii="Arial" w:cs="Arial" w:eastAsia="Arial" w:hAnsi="Arial"/>
                <w:sz w:val="13"/>
                <w:szCs w:val="13"/>
                <w:color w:val="auto"/>
              </w:rPr>
              <w:t>Raymour &amp;</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60" w:type="dxa"/>
            <w:vAlign w:val="bottom"/>
          </w:tcPr>
          <w:p>
            <w:pPr>
              <w:ind w:left="180"/>
              <w:spacing w:after="0"/>
              <w:rPr>
                <w:sz w:val="20"/>
                <w:szCs w:val="20"/>
                <w:color w:val="auto"/>
              </w:rPr>
            </w:pPr>
            <w:r>
              <w:rPr>
                <w:rFonts w:ascii="Arial" w:cs="Arial" w:eastAsia="Arial" w:hAnsi="Arial"/>
                <w:sz w:val="13"/>
                <w:szCs w:val="13"/>
                <w:color w:val="auto"/>
              </w:rPr>
              <w:t>Flanigan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00" w:type="dxa"/>
            <w:vAlign w:val="bottom"/>
            <w:gridSpan w:val="4"/>
            <w:shd w:val="clear" w:color="auto" w:fill="CCEEFF"/>
          </w:tcPr>
          <w:p>
            <w:pPr>
              <w:spacing w:after="0" w:line="144" w:lineRule="exact"/>
              <w:rPr>
                <w:sz w:val="20"/>
                <w:szCs w:val="20"/>
                <w:color w:val="auto"/>
              </w:rPr>
            </w:pPr>
            <w:r>
              <w:rPr>
                <w:rFonts w:ascii="Arial" w:cs="Arial" w:eastAsia="Arial" w:hAnsi="Arial"/>
                <w:sz w:val="13"/>
                <w:szCs w:val="13"/>
                <w:color w:val="auto"/>
              </w:rPr>
              <w:t>Troy</w:t>
            </w: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Newark, NJ</w:t>
            </w:r>
          </w:p>
        </w:tc>
        <w:tc>
          <w:tcPr>
            <w:tcW w:w="720" w:type="dxa"/>
            <w:vAlign w:val="bottom"/>
            <w:shd w:val="clear" w:color="auto" w:fill="CCEEFF"/>
          </w:tcPr>
          <w:p>
            <w:pPr>
              <w:jc w:val="right"/>
              <w:ind w:right="34"/>
              <w:spacing w:after="0" w:line="144" w:lineRule="exact"/>
              <w:rPr>
                <w:sz w:val="20"/>
                <w:szCs w:val="20"/>
                <w:color w:val="auto"/>
              </w:rPr>
            </w:pPr>
            <w:r>
              <w:rPr>
                <w:rFonts w:ascii="Arial" w:cs="Arial" w:eastAsia="Arial" w:hAnsi="Arial"/>
                <w:sz w:val="13"/>
                <w:szCs w:val="13"/>
                <w:color w:val="auto"/>
              </w:rPr>
              <w:t>1980</w:t>
            </w: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25,311</w:t>
            </w: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207,000</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9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88%</w:t>
            </w: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20.24</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64,000</w:t>
            </w:r>
          </w:p>
        </w:tc>
        <w:tc>
          <w:tcPr>
            <w:tcW w:w="148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Pathmark</w:t>
            </w:r>
          </w:p>
        </w:tc>
        <w:tc>
          <w:tcPr>
            <w:tcW w:w="106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L.A. Fitness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Total New</w:t>
            </w:r>
          </w:p>
        </w:tc>
        <w:tc>
          <w:tcPr>
            <w:tcW w:w="7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3"/>
                <w:szCs w:val="13"/>
                <w:color w:val="auto"/>
              </w:rPr>
              <w:t>412,279</w:t>
            </w:r>
          </w:p>
        </w:tc>
        <w:tc>
          <w:tcPr>
            <w:tcW w:w="102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3"/>
                <w:szCs w:val="13"/>
                <w:color w:val="auto"/>
                <w:w w:val="93"/>
              </w:rPr>
              <w:t>2,314,000</w:t>
            </w:r>
          </w:p>
        </w:tc>
        <w:tc>
          <w:tcPr>
            <w:tcW w:w="100" w:type="dxa"/>
            <w:vAlign w:val="bottom"/>
          </w:tcPr>
          <w:p>
            <w:pPr>
              <w:spacing w:after="0"/>
              <w:rPr>
                <w:sz w:val="11"/>
                <w:szCs w:val="11"/>
                <w:color w:val="auto"/>
              </w:rPr>
            </w:pPr>
          </w:p>
        </w:tc>
        <w:tc>
          <w:tcPr>
            <w:tcW w:w="58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98%</w:t>
            </w:r>
          </w:p>
        </w:tc>
        <w:tc>
          <w:tcPr>
            <w:tcW w:w="90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97%</w:t>
            </w:r>
          </w:p>
        </w:tc>
        <w:tc>
          <w:tcPr>
            <w:tcW w:w="460" w:type="dxa"/>
            <w:vAlign w:val="bottom"/>
          </w:tcPr>
          <w:p>
            <w:pPr>
              <w:jc w:val="right"/>
              <w:spacing w:after="0" w:line="138" w:lineRule="exact"/>
              <w:rPr>
                <w:sz w:val="20"/>
                <w:szCs w:val="20"/>
                <w:color w:val="auto"/>
              </w:rPr>
            </w:pPr>
            <w:r>
              <w:rPr>
                <w:rFonts w:ascii="Arial" w:cs="Arial" w:eastAsia="Arial" w:hAnsi="Arial"/>
                <w:sz w:val="13"/>
                <w:szCs w:val="13"/>
                <w:color w:val="auto"/>
              </w:rPr>
              <w:t>20.45</w:t>
            </w:r>
          </w:p>
        </w:tc>
        <w:tc>
          <w:tcPr>
            <w:tcW w:w="6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ind w:left="40"/>
              <w:spacing w:after="0" w:line="144" w:lineRule="exact"/>
              <w:rPr>
                <w:sz w:val="20"/>
                <w:szCs w:val="20"/>
                <w:color w:val="auto"/>
              </w:rPr>
            </w:pPr>
            <w:r>
              <w:rPr>
                <w:rFonts w:ascii="Arial" w:cs="Arial" w:eastAsia="Arial" w:hAnsi="Arial"/>
                <w:sz w:val="13"/>
                <w:szCs w:val="13"/>
                <w:b w:val="1"/>
                <w:bCs w:val="1"/>
                <w:color w:val="auto"/>
              </w:rPr>
              <w:t>York / New</w:t>
            </w: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3"/>
                <w:szCs w:val="13"/>
                <w:b w:val="1"/>
                <w:bCs w:val="1"/>
                <w:color w:val="auto"/>
              </w:rPr>
              <w:t>Jersey</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00" w:type="dxa"/>
            <w:vAlign w:val="bottom"/>
            <w:gridSpan w:val="4"/>
            <w:shd w:val="clear" w:color="auto" w:fill="CCEEFF"/>
          </w:tcPr>
          <w:p>
            <w:pPr>
              <w:ind w:left="200"/>
              <w:spacing w:after="0" w:line="131" w:lineRule="exact"/>
              <w:rPr>
                <w:sz w:val="20"/>
                <w:szCs w:val="20"/>
                <w:color w:val="auto"/>
              </w:rPr>
            </w:pPr>
            <w:r>
              <w:rPr>
                <w:rFonts w:ascii="Arial" w:cs="Arial" w:eastAsia="Arial" w:hAnsi="Arial"/>
                <w:sz w:val="13"/>
                <w:szCs w:val="13"/>
                <w:b w:val="1"/>
                <w:bCs w:val="1"/>
                <w:color w:val="auto"/>
              </w:rPr>
              <w:t>New England</w:t>
            </w: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1500" w:type="dxa"/>
            <w:vAlign w:val="bottom"/>
            <w:gridSpan w:val="4"/>
          </w:tcPr>
          <w:p>
            <w:pPr>
              <w:spacing w:after="0" w:line="129" w:lineRule="exact"/>
              <w:rPr>
                <w:sz w:val="20"/>
                <w:szCs w:val="20"/>
                <w:color w:val="auto"/>
              </w:rPr>
            </w:pPr>
            <w:r>
              <w:rPr>
                <w:rFonts w:ascii="Arial" w:cs="Arial" w:eastAsia="Arial" w:hAnsi="Arial"/>
                <w:sz w:val="13"/>
                <w:szCs w:val="13"/>
                <w:color w:val="auto"/>
              </w:rPr>
              <w:t>Assembly Square</w:t>
            </w:r>
          </w:p>
        </w:tc>
        <w:tc>
          <w:tcPr>
            <w:tcW w:w="840" w:type="dxa"/>
            <w:vAlign w:val="bottom"/>
          </w:tcPr>
          <w:p>
            <w:pPr>
              <w:spacing w:after="0"/>
              <w:rPr>
                <w:sz w:val="11"/>
                <w:szCs w:val="11"/>
                <w:color w:val="auto"/>
              </w:rPr>
            </w:pPr>
          </w:p>
        </w:tc>
        <w:tc>
          <w:tcPr>
            <w:tcW w:w="840" w:type="dxa"/>
            <w:vAlign w:val="bottom"/>
          </w:tcPr>
          <w:p>
            <w:pPr>
              <w:ind w:left="40"/>
              <w:spacing w:after="0" w:line="129" w:lineRule="exact"/>
              <w:rPr>
                <w:sz w:val="20"/>
                <w:szCs w:val="20"/>
                <w:color w:val="auto"/>
              </w:rPr>
            </w:pPr>
            <w:r>
              <w:rPr>
                <w:rFonts w:ascii="Arial" w:cs="Arial" w:eastAsia="Arial" w:hAnsi="Arial"/>
                <w:sz w:val="13"/>
                <w:szCs w:val="13"/>
                <w:color w:val="auto"/>
              </w:rPr>
              <w:t>Boston-</w:t>
            </w:r>
          </w:p>
        </w:tc>
        <w:tc>
          <w:tcPr>
            <w:tcW w:w="720" w:type="dxa"/>
            <w:vAlign w:val="bottom"/>
          </w:tcPr>
          <w:p>
            <w:pPr>
              <w:jc w:val="right"/>
              <w:ind w:right="34"/>
              <w:spacing w:after="0" w:line="129" w:lineRule="exact"/>
              <w:rPr>
                <w:sz w:val="20"/>
                <w:szCs w:val="20"/>
                <w:color w:val="auto"/>
              </w:rPr>
            </w:pPr>
            <w:r>
              <w:rPr>
                <w:rFonts w:ascii="Arial" w:cs="Arial" w:eastAsia="Arial" w:hAnsi="Arial"/>
                <w:sz w:val="13"/>
                <w:szCs w:val="13"/>
                <w:color w:val="auto"/>
                <w:w w:val="96"/>
              </w:rPr>
              <w:t>2005-2010</w:t>
            </w: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193,901</w:t>
            </w: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332,000</w:t>
            </w:r>
          </w:p>
        </w:tc>
        <w:tc>
          <w:tcPr>
            <w:tcW w:w="58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100%</w:t>
            </w: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16.42</w:t>
            </w:r>
          </w:p>
        </w:tc>
        <w:tc>
          <w:tcPr>
            <w:tcW w:w="6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60" w:type="dxa"/>
            <w:vAlign w:val="bottom"/>
          </w:tcPr>
          <w:p>
            <w:pPr>
              <w:ind w:left="180"/>
              <w:spacing w:after="0" w:line="129" w:lineRule="exact"/>
              <w:rPr>
                <w:sz w:val="20"/>
                <w:szCs w:val="20"/>
                <w:color w:val="auto"/>
              </w:rPr>
            </w:pPr>
            <w:r>
              <w:rPr>
                <w:rFonts w:ascii="Arial" w:cs="Arial" w:eastAsia="Arial" w:hAnsi="Arial"/>
                <w:sz w:val="13"/>
                <w:szCs w:val="13"/>
                <w:color w:val="auto"/>
              </w:rPr>
              <w:t>AC Moore /</w:t>
            </w:r>
          </w:p>
        </w:tc>
        <w:tc>
          <w:tcPr>
            <w:tcW w:w="0" w:type="dxa"/>
            <w:vAlign w:val="bottom"/>
          </w:tcPr>
          <w:p>
            <w:pPr>
              <w:spacing w:after="0"/>
              <w:rPr>
                <w:sz w:val="1"/>
                <w:szCs w:val="1"/>
                <w:color w:val="auto"/>
              </w:rPr>
            </w:pPr>
          </w:p>
        </w:tc>
      </w:tr>
      <w:tr>
        <w:trPr>
          <w:trHeight w:val="144"/>
        </w:trPr>
        <w:tc>
          <w:tcPr>
            <w:tcW w:w="1520" w:type="dxa"/>
            <w:vAlign w:val="bottom"/>
            <w:gridSpan w:val="5"/>
          </w:tcPr>
          <w:p>
            <w:pPr>
              <w:spacing w:after="0" w:line="144" w:lineRule="exact"/>
              <w:rPr>
                <w:sz w:val="20"/>
                <w:szCs w:val="20"/>
                <w:color w:val="auto"/>
              </w:rPr>
            </w:pPr>
            <w:r>
              <w:rPr>
                <w:rFonts w:ascii="Arial" w:cs="Arial" w:eastAsia="Arial" w:hAnsi="Arial"/>
                <w:sz w:val="13"/>
                <w:szCs w:val="13"/>
                <w:color w:val="auto"/>
                <w:w w:val="93"/>
              </w:rPr>
              <w:t>Marketplace/Assembly Row</w:t>
            </w:r>
          </w:p>
        </w:tc>
        <w:tc>
          <w:tcPr>
            <w:tcW w:w="840" w:type="dxa"/>
            <w:vAlign w:val="bottom"/>
          </w:tcPr>
          <w:p>
            <w:pPr>
              <w:spacing w:after="0"/>
              <w:rPr>
                <w:sz w:val="12"/>
                <w:szCs w:val="12"/>
                <w:color w:val="auto"/>
              </w:rPr>
            </w:pPr>
          </w:p>
        </w:tc>
        <w:tc>
          <w:tcPr>
            <w:tcW w:w="840" w:type="dxa"/>
            <w:vAlign w:val="bottom"/>
          </w:tcPr>
          <w:p>
            <w:pPr>
              <w:ind w:left="40"/>
              <w:spacing w:after="0" w:line="144" w:lineRule="exact"/>
              <w:rPr>
                <w:sz w:val="20"/>
                <w:szCs w:val="20"/>
                <w:color w:val="auto"/>
              </w:rPr>
            </w:pPr>
            <w:r>
              <w:rPr>
                <w:rFonts w:ascii="Arial" w:cs="Arial" w:eastAsia="Arial" w:hAnsi="Arial"/>
                <w:sz w:val="13"/>
                <w:szCs w:val="13"/>
                <w:color w:val="auto"/>
              </w:rPr>
              <w:t>Cambridge-</w:t>
            </w: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ind w:left="180"/>
              <w:spacing w:after="0" w:line="144" w:lineRule="exact"/>
              <w:rPr>
                <w:sz w:val="20"/>
                <w:szCs w:val="20"/>
                <w:color w:val="auto"/>
              </w:rPr>
            </w:pPr>
            <w:r>
              <w:rPr>
                <w:rFonts w:ascii="Arial" w:cs="Arial" w:eastAsia="Arial" w:hAnsi="Arial"/>
                <w:sz w:val="13"/>
                <w:szCs w:val="13"/>
                <w:color w:val="auto"/>
              </w:rPr>
              <w:t>Bed, Bath &amp;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ind w:left="40"/>
              <w:spacing w:after="0" w:line="144" w:lineRule="exact"/>
              <w:rPr>
                <w:sz w:val="20"/>
                <w:szCs w:val="20"/>
                <w:color w:val="auto"/>
              </w:rPr>
            </w:pPr>
            <w:r>
              <w:rPr>
                <w:rFonts w:ascii="Arial" w:cs="Arial" w:eastAsia="Arial" w:hAnsi="Arial"/>
                <w:sz w:val="13"/>
                <w:szCs w:val="13"/>
                <w:color w:val="auto"/>
              </w:rPr>
              <w:t>Quincy, MA-</w:t>
            </w: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ind w:left="180"/>
              <w:spacing w:after="0" w:line="144" w:lineRule="exact"/>
              <w:rPr>
                <w:sz w:val="20"/>
                <w:szCs w:val="20"/>
                <w:color w:val="auto"/>
              </w:rPr>
            </w:pPr>
            <w:r>
              <w:rPr>
                <w:rFonts w:ascii="Arial" w:cs="Arial" w:eastAsia="Arial" w:hAnsi="Arial"/>
                <w:sz w:val="13"/>
                <w:szCs w:val="13"/>
                <w:color w:val="auto"/>
              </w:rPr>
              <w:t>Beyond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ind w:left="40"/>
              <w:spacing w:after="0" w:line="144" w:lineRule="exact"/>
              <w:rPr>
                <w:sz w:val="20"/>
                <w:szCs w:val="20"/>
                <w:color w:val="auto"/>
              </w:rPr>
            </w:pPr>
            <w:r>
              <w:rPr>
                <w:rFonts w:ascii="Arial" w:cs="Arial" w:eastAsia="Arial" w:hAnsi="Arial"/>
                <w:sz w:val="13"/>
                <w:szCs w:val="13"/>
                <w:color w:val="auto"/>
              </w:rPr>
              <w:t>NH</w:t>
            </w: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ind w:left="180"/>
              <w:spacing w:after="0" w:line="144" w:lineRule="exact"/>
              <w:rPr>
                <w:sz w:val="20"/>
                <w:szCs w:val="20"/>
                <w:color w:val="auto"/>
              </w:rPr>
            </w:pPr>
            <w:r>
              <w:rPr>
                <w:rFonts w:ascii="Arial" w:cs="Arial" w:eastAsia="Arial" w:hAnsi="Arial"/>
                <w:sz w:val="13"/>
                <w:szCs w:val="13"/>
                <w:color w:val="auto"/>
                <w:w w:val="96"/>
              </w:rPr>
              <w:t>Christmas Tree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ind w:left="180"/>
              <w:spacing w:after="0" w:line="144" w:lineRule="exact"/>
              <w:rPr>
                <w:sz w:val="20"/>
                <w:szCs w:val="20"/>
                <w:color w:val="auto"/>
              </w:rPr>
            </w:pPr>
            <w:r>
              <w:rPr>
                <w:rFonts w:ascii="Arial" w:cs="Arial" w:eastAsia="Arial" w:hAnsi="Arial"/>
                <w:sz w:val="13"/>
                <w:szCs w:val="13"/>
                <w:color w:val="auto"/>
                <w:w w:val="95"/>
              </w:rPr>
              <w:t>Shops / Kmart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ind w:left="180"/>
              <w:spacing w:after="0" w:line="144" w:lineRule="exact"/>
              <w:rPr>
                <w:sz w:val="20"/>
                <w:szCs w:val="20"/>
                <w:color w:val="auto"/>
              </w:rPr>
            </w:pPr>
            <w:r>
              <w:rPr>
                <w:rFonts w:ascii="Arial" w:cs="Arial" w:eastAsia="Arial" w:hAnsi="Arial"/>
                <w:sz w:val="13"/>
                <w:szCs w:val="13"/>
                <w:color w:val="auto"/>
                <w:w w:val="93"/>
              </w:rPr>
              <w:t>Staples / Sports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ind w:left="180"/>
              <w:spacing w:after="0" w:line="144" w:lineRule="exact"/>
              <w:rPr>
                <w:sz w:val="20"/>
                <w:szCs w:val="20"/>
                <w:color w:val="auto"/>
              </w:rPr>
            </w:pPr>
            <w:r>
              <w:rPr>
                <w:rFonts w:ascii="Arial" w:cs="Arial" w:eastAsia="Arial" w:hAnsi="Arial"/>
                <w:sz w:val="13"/>
                <w:szCs w:val="13"/>
                <w:color w:val="auto"/>
              </w:rPr>
              <w:t>Authority / TJ</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60" w:type="dxa"/>
            <w:vAlign w:val="bottom"/>
          </w:tcPr>
          <w:p>
            <w:pPr>
              <w:ind w:left="180"/>
              <w:spacing w:after="0"/>
              <w:rPr>
                <w:sz w:val="20"/>
                <w:szCs w:val="20"/>
                <w:color w:val="auto"/>
              </w:rPr>
            </w:pPr>
            <w:r>
              <w:rPr>
                <w:rFonts w:ascii="Arial" w:cs="Arial" w:eastAsia="Arial" w:hAnsi="Arial"/>
                <w:sz w:val="13"/>
                <w:szCs w:val="13"/>
                <w:color w:val="auto"/>
              </w:rPr>
              <w:t>Maxx</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Chelsea Commons</w:t>
            </w: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color w:val="auto"/>
              </w:rPr>
              <w:t>Boston-</w:t>
            </w:r>
          </w:p>
        </w:tc>
        <w:tc>
          <w:tcPr>
            <w:tcW w:w="720" w:type="dxa"/>
            <w:vAlign w:val="bottom"/>
            <w:shd w:val="clear" w:color="auto" w:fill="CCEEFF"/>
          </w:tcPr>
          <w:p>
            <w:pPr>
              <w:jc w:val="right"/>
              <w:ind w:right="34"/>
              <w:spacing w:after="0" w:line="136" w:lineRule="exact"/>
              <w:rPr>
                <w:sz w:val="20"/>
                <w:szCs w:val="20"/>
                <w:color w:val="auto"/>
              </w:rPr>
            </w:pPr>
            <w:r>
              <w:rPr>
                <w:rFonts w:ascii="Arial" w:cs="Arial" w:eastAsia="Arial" w:hAnsi="Arial"/>
                <w:sz w:val="13"/>
                <w:szCs w:val="13"/>
                <w:color w:val="auto"/>
                <w:w w:val="96"/>
              </w:rPr>
              <w:t>2006-2008</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30,268</w:t>
            </w:r>
          </w:p>
        </w:tc>
        <w:tc>
          <w:tcPr>
            <w:tcW w:w="1020" w:type="dxa"/>
            <w:vAlign w:val="bottom"/>
            <w:shd w:val="clear" w:color="auto" w:fill="CCEEFF"/>
          </w:tcPr>
          <w:p>
            <w:pPr>
              <w:jc w:val="right"/>
              <w:ind w:right="54"/>
              <w:spacing w:after="0" w:line="136" w:lineRule="exact"/>
              <w:rPr>
                <w:sz w:val="20"/>
                <w:szCs w:val="20"/>
                <w:color w:val="auto"/>
              </w:rPr>
            </w:pPr>
            <w:r>
              <w:rPr>
                <w:rFonts w:ascii="Arial" w:cs="Arial" w:eastAsia="Arial" w:hAnsi="Arial"/>
                <w:sz w:val="13"/>
                <w:szCs w:val="13"/>
                <w:color w:val="auto"/>
              </w:rPr>
              <w:t>7,795</w:t>
            </w:r>
          </w:p>
        </w:tc>
        <w:tc>
          <w:tcPr>
            <w:tcW w:w="6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222,000</w:t>
            </w: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10.71</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16,000</w:t>
            </w:r>
          </w:p>
        </w:tc>
        <w:tc>
          <w:tcPr>
            <w:tcW w:w="148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color w:val="auto"/>
              </w:rPr>
              <w:t>Sav-A-Lot</w:t>
            </w:r>
          </w:p>
        </w:tc>
        <w:tc>
          <w:tcPr>
            <w:tcW w:w="1060" w:type="dxa"/>
            <w:vAlign w:val="bottom"/>
            <w:shd w:val="clear" w:color="auto" w:fill="CCEEFF"/>
          </w:tcPr>
          <w:p>
            <w:pPr>
              <w:ind w:left="180"/>
              <w:spacing w:after="0" w:line="136" w:lineRule="exact"/>
              <w:rPr>
                <w:sz w:val="20"/>
                <w:szCs w:val="20"/>
                <w:color w:val="auto"/>
              </w:rPr>
            </w:pPr>
            <w:r>
              <w:rPr>
                <w:rFonts w:ascii="Arial" w:cs="Arial" w:eastAsia="Arial" w:hAnsi="Arial"/>
                <w:sz w:val="13"/>
                <w:szCs w:val="13"/>
                <w:color w:val="auto"/>
              </w:rPr>
              <w:t>Home Depot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Cambridge-</w:t>
            </w:r>
          </w:p>
        </w:tc>
        <w:tc>
          <w:tcPr>
            <w:tcW w:w="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6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Planet Fitness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Quincy, MA-</w:t>
            </w:r>
          </w:p>
        </w:tc>
        <w:tc>
          <w:tcPr>
            <w:tcW w:w="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NH</w:t>
            </w:r>
          </w:p>
        </w:tc>
        <w:tc>
          <w:tcPr>
            <w:tcW w:w="7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gridSpan w:val="4"/>
          </w:tcPr>
          <w:p>
            <w:pPr>
              <w:spacing w:after="0" w:line="136" w:lineRule="exact"/>
              <w:rPr>
                <w:sz w:val="20"/>
                <w:szCs w:val="20"/>
                <w:color w:val="auto"/>
              </w:rPr>
            </w:pPr>
            <w:r>
              <w:rPr>
                <w:rFonts w:ascii="Arial" w:cs="Arial" w:eastAsia="Arial" w:hAnsi="Arial"/>
                <w:sz w:val="13"/>
                <w:szCs w:val="13"/>
                <w:color w:val="auto"/>
              </w:rPr>
              <w:t>Dedham Plaza</w:t>
            </w:r>
          </w:p>
        </w:tc>
        <w:tc>
          <w:tcPr>
            <w:tcW w:w="8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3"/>
                <w:szCs w:val="13"/>
                <w:color w:val="auto"/>
              </w:rPr>
              <w:t>Boston-</w:t>
            </w:r>
          </w:p>
        </w:tc>
        <w:tc>
          <w:tcPr>
            <w:tcW w:w="720" w:type="dxa"/>
            <w:vAlign w:val="bottom"/>
          </w:tcPr>
          <w:p>
            <w:pPr>
              <w:jc w:val="right"/>
              <w:ind w:right="34"/>
              <w:spacing w:after="0" w:line="136" w:lineRule="exact"/>
              <w:rPr>
                <w:sz w:val="20"/>
                <w:szCs w:val="20"/>
                <w:color w:val="auto"/>
              </w:rPr>
            </w:pPr>
            <w:r>
              <w:rPr>
                <w:rFonts w:ascii="Arial" w:cs="Arial" w:eastAsia="Arial" w:hAnsi="Arial"/>
                <w:sz w:val="13"/>
                <w:szCs w:val="13"/>
                <w:color w:val="auto"/>
              </w:rPr>
              <w:t>1993</w:t>
            </w:r>
          </w:p>
        </w:tc>
        <w:tc>
          <w:tcPr>
            <w:tcW w:w="800" w:type="dxa"/>
            <w:vAlign w:val="bottom"/>
          </w:tcPr>
          <w:p>
            <w:pPr>
              <w:jc w:val="right"/>
              <w:spacing w:after="0" w:line="136" w:lineRule="exact"/>
              <w:rPr>
                <w:sz w:val="20"/>
                <w:szCs w:val="20"/>
                <w:color w:val="auto"/>
              </w:rPr>
            </w:pPr>
            <w:r>
              <w:rPr>
                <w:rFonts w:ascii="Arial" w:cs="Arial" w:eastAsia="Arial" w:hAnsi="Arial"/>
                <w:sz w:val="13"/>
                <w:szCs w:val="13"/>
                <w:color w:val="auto"/>
              </w:rPr>
              <w:t>33,008</w:t>
            </w: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243,000</w:t>
            </w: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93%</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93%</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15.79</w:t>
            </w: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80,000</w:t>
            </w:r>
          </w:p>
        </w:tc>
        <w:tc>
          <w:tcPr>
            <w:tcW w:w="1480" w:type="dxa"/>
            <w:vAlign w:val="bottom"/>
          </w:tcPr>
          <w:p>
            <w:pPr>
              <w:ind w:left="40"/>
              <w:spacing w:after="0" w:line="136" w:lineRule="exact"/>
              <w:rPr>
                <w:sz w:val="20"/>
                <w:szCs w:val="20"/>
                <w:color w:val="auto"/>
              </w:rPr>
            </w:pPr>
            <w:r>
              <w:rPr>
                <w:rFonts w:ascii="Arial" w:cs="Arial" w:eastAsia="Arial" w:hAnsi="Arial"/>
                <w:sz w:val="13"/>
                <w:szCs w:val="13"/>
                <w:color w:val="auto"/>
              </w:rPr>
              <w:t>Star Market</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ind w:left="40"/>
              <w:spacing w:after="0" w:line="144" w:lineRule="exact"/>
              <w:rPr>
                <w:sz w:val="20"/>
                <w:szCs w:val="20"/>
                <w:color w:val="auto"/>
              </w:rPr>
            </w:pPr>
            <w:r>
              <w:rPr>
                <w:rFonts w:ascii="Arial" w:cs="Arial" w:eastAsia="Arial" w:hAnsi="Arial"/>
                <w:sz w:val="13"/>
                <w:szCs w:val="13"/>
                <w:color w:val="auto"/>
              </w:rPr>
              <w:t>Cambridge-</w:t>
            </w: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ind w:left="40"/>
              <w:spacing w:after="0" w:line="144" w:lineRule="exact"/>
              <w:rPr>
                <w:sz w:val="20"/>
                <w:szCs w:val="20"/>
                <w:color w:val="auto"/>
              </w:rPr>
            </w:pPr>
            <w:r>
              <w:rPr>
                <w:rFonts w:ascii="Arial" w:cs="Arial" w:eastAsia="Arial" w:hAnsi="Arial"/>
                <w:sz w:val="13"/>
                <w:szCs w:val="13"/>
                <w:color w:val="auto"/>
              </w:rPr>
              <w:t>Quincy, MA-</w:t>
            </w: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ind w:left="40"/>
              <w:spacing w:after="0"/>
              <w:rPr>
                <w:sz w:val="20"/>
                <w:szCs w:val="20"/>
                <w:color w:val="auto"/>
              </w:rPr>
            </w:pPr>
            <w:r>
              <w:rPr>
                <w:rFonts w:ascii="Arial" w:cs="Arial" w:eastAsia="Arial" w:hAnsi="Arial"/>
                <w:sz w:val="13"/>
                <w:szCs w:val="13"/>
                <w:color w:val="auto"/>
              </w:rPr>
              <w:t>NH</w:t>
            </w: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Linden Square</w:t>
            </w: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color w:val="auto"/>
              </w:rPr>
              <w:t>Boston-</w:t>
            </w:r>
          </w:p>
        </w:tc>
        <w:tc>
          <w:tcPr>
            <w:tcW w:w="720" w:type="dxa"/>
            <w:vAlign w:val="bottom"/>
            <w:shd w:val="clear" w:color="auto" w:fill="CCEEFF"/>
          </w:tcPr>
          <w:p>
            <w:pPr>
              <w:jc w:val="right"/>
              <w:ind w:right="34"/>
              <w:spacing w:after="0" w:line="136" w:lineRule="exact"/>
              <w:rPr>
                <w:sz w:val="20"/>
                <w:szCs w:val="20"/>
                <w:color w:val="auto"/>
              </w:rPr>
            </w:pPr>
            <w:r>
              <w:rPr>
                <w:rFonts w:ascii="Arial" w:cs="Arial" w:eastAsia="Arial" w:hAnsi="Arial"/>
                <w:sz w:val="13"/>
                <w:szCs w:val="13"/>
                <w:color w:val="auto"/>
              </w:rPr>
              <w:t>2006</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144,701</w:t>
            </w:r>
          </w:p>
        </w:tc>
        <w:tc>
          <w:tcPr>
            <w:tcW w:w="10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218,000</w:t>
            </w: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92%</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91%</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40.13</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50,000</w:t>
            </w:r>
          </w:p>
        </w:tc>
        <w:tc>
          <w:tcPr>
            <w:tcW w:w="254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Roche Brothers Supermarkets CVS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Cambridge-</w:t>
            </w:r>
          </w:p>
        </w:tc>
        <w:tc>
          <w:tcPr>
            <w:tcW w:w="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Quincy, MA-</w:t>
            </w:r>
          </w:p>
        </w:tc>
        <w:tc>
          <w:tcPr>
            <w:tcW w:w="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NH</w:t>
            </w:r>
          </w:p>
        </w:tc>
        <w:tc>
          <w:tcPr>
            <w:tcW w:w="7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gridSpan w:val="4"/>
          </w:tcPr>
          <w:p>
            <w:pPr>
              <w:spacing w:after="0" w:line="136" w:lineRule="exact"/>
              <w:rPr>
                <w:sz w:val="20"/>
                <w:szCs w:val="20"/>
                <w:color w:val="auto"/>
              </w:rPr>
            </w:pPr>
            <w:r>
              <w:rPr>
                <w:rFonts w:ascii="Arial" w:cs="Arial" w:eastAsia="Arial" w:hAnsi="Arial"/>
                <w:sz w:val="13"/>
                <w:szCs w:val="13"/>
                <w:color w:val="auto"/>
              </w:rPr>
              <w:t>Newbury Street</w:t>
            </w:r>
          </w:p>
        </w:tc>
        <w:tc>
          <w:tcPr>
            <w:tcW w:w="840" w:type="dxa"/>
            <w:vAlign w:val="bottom"/>
          </w:tcPr>
          <w:p>
            <w:pPr>
              <w:jc w:val="right"/>
              <w:spacing w:after="0" w:line="136" w:lineRule="exact"/>
              <w:rPr>
                <w:sz w:val="20"/>
                <w:szCs w:val="20"/>
                <w:color w:val="auto"/>
              </w:rPr>
            </w:pPr>
            <w:r>
              <w:rPr>
                <w:rFonts w:ascii="Arial" w:cs="Arial" w:eastAsia="Arial" w:hAnsi="Arial"/>
                <w:sz w:val="13"/>
                <w:szCs w:val="13"/>
                <w:color w:val="auto"/>
              </w:rPr>
              <w:t>(12)</w:t>
            </w:r>
          </w:p>
        </w:tc>
        <w:tc>
          <w:tcPr>
            <w:tcW w:w="840" w:type="dxa"/>
            <w:vAlign w:val="bottom"/>
          </w:tcPr>
          <w:p>
            <w:pPr>
              <w:ind w:left="40"/>
              <w:spacing w:after="0" w:line="136" w:lineRule="exact"/>
              <w:rPr>
                <w:sz w:val="20"/>
                <w:szCs w:val="20"/>
                <w:color w:val="auto"/>
              </w:rPr>
            </w:pPr>
            <w:r>
              <w:rPr>
                <w:rFonts w:ascii="Arial" w:cs="Arial" w:eastAsia="Arial" w:hAnsi="Arial"/>
                <w:sz w:val="13"/>
                <w:szCs w:val="13"/>
                <w:color w:val="auto"/>
              </w:rPr>
              <w:t>Boston-</w:t>
            </w:r>
          </w:p>
        </w:tc>
        <w:tc>
          <w:tcPr>
            <w:tcW w:w="720" w:type="dxa"/>
            <w:vAlign w:val="bottom"/>
          </w:tcPr>
          <w:p>
            <w:pPr>
              <w:jc w:val="right"/>
              <w:ind w:right="34"/>
              <w:spacing w:after="0" w:line="136" w:lineRule="exact"/>
              <w:rPr>
                <w:sz w:val="20"/>
                <w:szCs w:val="20"/>
                <w:color w:val="auto"/>
              </w:rPr>
            </w:pPr>
            <w:r>
              <w:rPr>
                <w:rFonts w:ascii="Arial" w:cs="Arial" w:eastAsia="Arial" w:hAnsi="Arial"/>
                <w:sz w:val="13"/>
                <w:szCs w:val="13"/>
                <w:color w:val="auto"/>
              </w:rPr>
              <w:t>2010</w:t>
            </w:r>
          </w:p>
        </w:tc>
        <w:tc>
          <w:tcPr>
            <w:tcW w:w="800" w:type="dxa"/>
            <w:vAlign w:val="bottom"/>
          </w:tcPr>
          <w:p>
            <w:pPr>
              <w:jc w:val="right"/>
              <w:spacing w:after="0" w:line="136" w:lineRule="exact"/>
              <w:rPr>
                <w:sz w:val="20"/>
                <w:szCs w:val="20"/>
                <w:color w:val="auto"/>
              </w:rPr>
            </w:pPr>
            <w:r>
              <w:rPr>
                <w:rFonts w:ascii="Arial" w:cs="Arial" w:eastAsia="Arial" w:hAnsi="Arial"/>
                <w:sz w:val="13"/>
                <w:szCs w:val="13"/>
                <w:color w:val="auto"/>
              </w:rPr>
              <w:t>17,241</w:t>
            </w: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32,000</w:t>
            </w: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55%</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52%</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80.37</w:t>
            </w:r>
          </w:p>
        </w:tc>
        <w:tc>
          <w:tcPr>
            <w:tcW w:w="6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60" w:type="dxa"/>
            <w:vAlign w:val="bottom"/>
          </w:tcPr>
          <w:p>
            <w:pPr>
              <w:ind w:left="180"/>
              <w:spacing w:after="0" w:line="136" w:lineRule="exact"/>
              <w:rPr>
                <w:sz w:val="20"/>
                <w:szCs w:val="20"/>
                <w:color w:val="auto"/>
              </w:rPr>
            </w:pPr>
            <w:r>
              <w:rPr>
                <w:rFonts w:ascii="Arial" w:cs="Arial" w:eastAsia="Arial" w:hAnsi="Arial"/>
                <w:sz w:val="13"/>
                <w:szCs w:val="13"/>
                <w:color w:val="auto"/>
              </w:rPr>
              <w:t>Pierre Deux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ind w:left="40"/>
              <w:spacing w:after="0" w:line="144" w:lineRule="exact"/>
              <w:rPr>
                <w:sz w:val="20"/>
                <w:szCs w:val="20"/>
                <w:color w:val="auto"/>
              </w:rPr>
            </w:pPr>
            <w:r>
              <w:rPr>
                <w:rFonts w:ascii="Arial" w:cs="Arial" w:eastAsia="Arial" w:hAnsi="Arial"/>
                <w:sz w:val="13"/>
                <w:szCs w:val="13"/>
                <w:color w:val="auto"/>
              </w:rPr>
              <w:t>Cambridge-</w:t>
            </w: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ind w:left="180"/>
              <w:spacing w:after="0" w:line="144" w:lineRule="exact"/>
              <w:rPr>
                <w:sz w:val="20"/>
                <w:szCs w:val="20"/>
                <w:color w:val="auto"/>
              </w:rPr>
            </w:pPr>
            <w:r>
              <w:rPr>
                <w:rFonts w:ascii="Arial" w:cs="Arial" w:eastAsia="Arial" w:hAnsi="Arial"/>
                <w:sz w:val="13"/>
                <w:szCs w:val="13"/>
                <w:color w:val="auto"/>
                <w:w w:val="98"/>
              </w:rPr>
              <w:t>Jonathan Adler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ind w:left="40"/>
              <w:spacing w:after="0" w:line="144" w:lineRule="exact"/>
              <w:rPr>
                <w:sz w:val="20"/>
                <w:szCs w:val="20"/>
                <w:color w:val="auto"/>
              </w:rPr>
            </w:pPr>
            <w:r>
              <w:rPr>
                <w:rFonts w:ascii="Arial" w:cs="Arial" w:eastAsia="Arial" w:hAnsi="Arial"/>
                <w:sz w:val="13"/>
                <w:szCs w:val="13"/>
                <w:color w:val="auto"/>
              </w:rPr>
              <w:t>Quincy, MA-</w:t>
            </w: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ind w:left="40"/>
              <w:spacing w:after="0" w:line="144" w:lineRule="exact"/>
              <w:rPr>
                <w:sz w:val="20"/>
                <w:szCs w:val="20"/>
                <w:color w:val="auto"/>
              </w:rPr>
            </w:pPr>
            <w:r>
              <w:rPr>
                <w:rFonts w:ascii="Arial" w:cs="Arial" w:eastAsia="Arial" w:hAnsi="Arial"/>
                <w:sz w:val="13"/>
                <w:szCs w:val="13"/>
                <w:color w:val="auto"/>
              </w:rPr>
              <w:t>NH</w:t>
            </w: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gridSpan w:val="5"/>
          </w:tcPr>
          <w:p>
            <w:pPr>
              <w:spacing w:after="0" w:line="144" w:lineRule="exact"/>
              <w:rPr>
                <w:sz w:val="20"/>
                <w:szCs w:val="20"/>
                <w:color w:val="auto"/>
              </w:rPr>
            </w:pPr>
            <w:r>
              <w:rPr>
                <w:rFonts w:ascii="Arial" w:cs="Arial" w:eastAsia="Arial" w:hAnsi="Arial"/>
                <w:sz w:val="13"/>
                <w:szCs w:val="13"/>
                <w:color w:val="auto"/>
              </w:rPr>
              <w:t>North Dartmouth</w:t>
            </w:r>
          </w:p>
        </w:tc>
        <w:tc>
          <w:tcPr>
            <w:tcW w:w="840" w:type="dxa"/>
            <w:vAlign w:val="bottom"/>
          </w:tcPr>
          <w:p>
            <w:pPr>
              <w:spacing w:after="0"/>
              <w:rPr>
                <w:sz w:val="12"/>
                <w:szCs w:val="12"/>
                <w:color w:val="auto"/>
              </w:rPr>
            </w:pPr>
          </w:p>
        </w:tc>
        <w:tc>
          <w:tcPr>
            <w:tcW w:w="840" w:type="dxa"/>
            <w:vAlign w:val="bottom"/>
          </w:tcPr>
          <w:p>
            <w:pPr>
              <w:ind w:left="40"/>
              <w:spacing w:after="0" w:line="144" w:lineRule="exact"/>
              <w:rPr>
                <w:sz w:val="20"/>
                <w:szCs w:val="20"/>
                <w:color w:val="auto"/>
              </w:rPr>
            </w:pPr>
            <w:r>
              <w:rPr>
                <w:rFonts w:ascii="Arial" w:cs="Arial" w:eastAsia="Arial" w:hAnsi="Arial"/>
                <w:sz w:val="13"/>
                <w:szCs w:val="13"/>
                <w:color w:val="auto"/>
              </w:rPr>
              <w:t>Boston-</w:t>
            </w:r>
          </w:p>
        </w:tc>
        <w:tc>
          <w:tcPr>
            <w:tcW w:w="720" w:type="dxa"/>
            <w:vAlign w:val="bottom"/>
          </w:tcPr>
          <w:p>
            <w:pPr>
              <w:jc w:val="right"/>
              <w:ind w:right="34"/>
              <w:spacing w:after="0" w:line="144" w:lineRule="exact"/>
              <w:rPr>
                <w:sz w:val="20"/>
                <w:szCs w:val="20"/>
                <w:color w:val="auto"/>
              </w:rPr>
            </w:pPr>
            <w:r>
              <w:rPr>
                <w:rFonts w:ascii="Arial" w:cs="Arial" w:eastAsia="Arial" w:hAnsi="Arial"/>
                <w:sz w:val="13"/>
                <w:szCs w:val="13"/>
                <w:color w:val="auto"/>
              </w:rPr>
              <w:t>2006</w:t>
            </w:r>
          </w:p>
        </w:tc>
        <w:tc>
          <w:tcPr>
            <w:tcW w:w="800" w:type="dxa"/>
            <w:vAlign w:val="bottom"/>
          </w:tcPr>
          <w:p>
            <w:pPr>
              <w:jc w:val="right"/>
              <w:spacing w:after="0" w:line="144" w:lineRule="exact"/>
              <w:rPr>
                <w:sz w:val="20"/>
                <w:szCs w:val="20"/>
                <w:color w:val="auto"/>
              </w:rPr>
            </w:pPr>
            <w:r>
              <w:rPr>
                <w:rFonts w:ascii="Arial" w:cs="Arial" w:eastAsia="Arial" w:hAnsi="Arial"/>
                <w:sz w:val="13"/>
                <w:szCs w:val="13"/>
                <w:color w:val="auto"/>
              </w:rPr>
              <w:t>9,368</w:t>
            </w:r>
          </w:p>
        </w:tc>
        <w:tc>
          <w:tcPr>
            <w:tcW w:w="1020" w:type="dxa"/>
            <w:vAlign w:val="bottom"/>
          </w:tcPr>
          <w:p>
            <w:pPr>
              <w:spacing w:after="0"/>
              <w:rPr>
                <w:sz w:val="12"/>
                <w:szCs w:val="12"/>
                <w:color w:val="auto"/>
              </w:rPr>
            </w:pPr>
          </w:p>
        </w:tc>
        <w:tc>
          <w:tcPr>
            <w:tcW w:w="6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48,000</w:t>
            </w: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13.80</w:t>
            </w: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48,000</w:t>
            </w:r>
          </w:p>
        </w:tc>
        <w:tc>
          <w:tcPr>
            <w:tcW w:w="1480" w:type="dxa"/>
            <w:vAlign w:val="bottom"/>
          </w:tcPr>
          <w:p>
            <w:pPr>
              <w:ind w:left="40"/>
              <w:spacing w:after="0" w:line="144" w:lineRule="exact"/>
              <w:rPr>
                <w:sz w:val="20"/>
                <w:szCs w:val="20"/>
                <w:color w:val="auto"/>
              </w:rPr>
            </w:pPr>
            <w:r>
              <w:rPr>
                <w:rFonts w:ascii="Arial" w:cs="Arial" w:eastAsia="Arial" w:hAnsi="Arial"/>
                <w:sz w:val="13"/>
                <w:szCs w:val="13"/>
                <w:color w:val="auto"/>
              </w:rPr>
              <w:t>Stop &amp; Shop</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ind w:left="40"/>
              <w:spacing w:after="0"/>
              <w:rPr>
                <w:sz w:val="20"/>
                <w:szCs w:val="20"/>
                <w:color w:val="auto"/>
              </w:rPr>
            </w:pPr>
            <w:r>
              <w:rPr>
                <w:rFonts w:ascii="Arial" w:cs="Arial" w:eastAsia="Arial" w:hAnsi="Arial"/>
                <w:sz w:val="13"/>
                <w:szCs w:val="13"/>
                <w:color w:val="auto"/>
              </w:rPr>
              <w:t>Cambridge-</w:t>
            </w: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312025" cy="36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2025" cy="366395"/>
                    </a:xfrm>
                    <a:prstGeom prst="rect">
                      <a:avLst/>
                    </a:prstGeom>
                    <a:noFill/>
                  </pic:spPr>
                </pic:pic>
              </a:graphicData>
            </a:graphic>
          </wp:anchor>
        </w:drawing>
      </w:r>
    </w:p>
    <w:p>
      <w:pPr>
        <w:ind w:left="2400"/>
        <w:spacing w:after="0" w:line="231" w:lineRule="auto"/>
        <w:rPr>
          <w:sz w:val="20"/>
          <w:szCs w:val="20"/>
          <w:color w:val="auto"/>
        </w:rPr>
      </w:pPr>
      <w:r>
        <w:rPr>
          <w:rFonts w:ascii="Arial" w:cs="Arial" w:eastAsia="Arial" w:hAnsi="Arial"/>
          <w:sz w:val="13"/>
          <w:szCs w:val="13"/>
          <w:color w:val="auto"/>
        </w:rPr>
        <w:t>Quincy, MA-</w:t>
      </w:r>
    </w:p>
    <w:p>
      <w:pPr>
        <w:ind w:left="2400"/>
        <w:spacing w:after="0"/>
        <w:rPr>
          <w:sz w:val="20"/>
          <w:szCs w:val="20"/>
          <w:color w:val="auto"/>
        </w:rPr>
      </w:pPr>
      <w:r>
        <w:rPr>
          <w:rFonts w:ascii="Arial" w:cs="Arial" w:eastAsia="Arial" w:hAnsi="Arial"/>
          <w:sz w:val="13"/>
          <w:szCs w:val="13"/>
          <w:color w:val="auto"/>
        </w:rPr>
        <w:t>NH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312025" cy="10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2025" cy="10160"/>
                    </a:xfrm>
                    <a:prstGeom prst="rect">
                      <a:avLst/>
                    </a:prstGeom>
                    <a:noFill/>
                  </pic:spPr>
                </pic:pic>
              </a:graphicData>
            </a:graphic>
          </wp:anchor>
        </w:drawing>
      </w:r>
    </w:p>
    <w:p>
      <w:pPr>
        <w:sectPr>
          <w:pgSz w:w="11900" w:h="16838" w:orient="portrait"/>
          <w:cols w:equalWidth="0" w:num="1">
            <w:col w:w="11520"/>
          </w:cols>
          <w:pgMar w:left="240" w:top="125" w:right="139"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49"/>
        </w:trPr>
        <w:tc>
          <w:tcPr>
            <w:tcW w:w="2020" w:type="dxa"/>
            <w:vAlign w:val="bottom"/>
            <w:shd w:val="clear" w:color="auto" w:fill="CCEEFF"/>
          </w:tcPr>
          <w:p>
            <w:pPr>
              <w:spacing w:after="0"/>
              <w:rPr>
                <w:sz w:val="20"/>
                <w:szCs w:val="20"/>
                <w:color w:val="auto"/>
              </w:rPr>
            </w:pPr>
            <w:r>
              <w:rPr>
                <w:rFonts w:ascii="Arial" w:cs="Arial" w:eastAsia="Arial" w:hAnsi="Arial"/>
                <w:sz w:val="13"/>
                <w:szCs w:val="13"/>
                <w:color w:val="auto"/>
              </w:rPr>
              <w:t>Queen Anne Plaza</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Boston-</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15,659</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149,000</w:t>
            </w:r>
          </w:p>
        </w:tc>
        <w:tc>
          <w:tcPr>
            <w:tcW w:w="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15.11</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Hannaford</w:t>
            </w: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TJ Maxx</w:t>
            </w:r>
          </w:p>
        </w:tc>
      </w:tr>
      <w:tr>
        <w:trPr>
          <w:trHeight w:val="144"/>
        </w:trPr>
        <w:tc>
          <w:tcPr>
            <w:tcW w:w="2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Cambridge-</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4"/>
        </w:trPr>
        <w:tc>
          <w:tcPr>
            <w:tcW w:w="2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Quincy, MA-</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59"/>
        </w:trPr>
        <w:tc>
          <w:tcPr>
            <w:tcW w:w="2020" w:type="dxa"/>
            <w:vAlign w:val="bottom"/>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NH</w:t>
            </w:r>
          </w:p>
        </w:tc>
        <w:tc>
          <w:tcPr>
            <w:tcW w:w="40" w:type="dxa"/>
            <w:vAlign w:val="bottom"/>
            <w:tcBorders>
              <w:bottom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09"/>
        </w:trPr>
        <w:tc>
          <w:tcPr>
            <w:tcW w:w="2020" w:type="dxa"/>
            <w:vAlign w:val="bottom"/>
          </w:tcPr>
          <w:p>
            <w:pPr>
              <w:spacing w:after="0" w:line="109" w:lineRule="exact"/>
              <w:rPr>
                <w:sz w:val="20"/>
                <w:szCs w:val="20"/>
                <w:color w:val="auto"/>
              </w:rPr>
            </w:pPr>
            <w:r>
              <w:rPr>
                <w:rFonts w:ascii="Arial" w:cs="Arial" w:eastAsia="Arial" w:hAnsi="Arial"/>
                <w:sz w:val="12"/>
                <w:szCs w:val="12"/>
                <w:color w:val="auto"/>
              </w:rPr>
              <w:t>Saugus Plaza</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line="109" w:lineRule="exact"/>
              <w:rPr>
                <w:sz w:val="20"/>
                <w:szCs w:val="20"/>
                <w:color w:val="auto"/>
              </w:rPr>
            </w:pPr>
            <w:r>
              <w:rPr>
                <w:rFonts w:ascii="Arial" w:cs="Arial" w:eastAsia="Arial" w:hAnsi="Arial"/>
                <w:sz w:val="12"/>
                <w:szCs w:val="12"/>
                <w:color w:val="auto"/>
              </w:rPr>
              <w:t>Boston-</w:t>
            </w:r>
          </w:p>
        </w:tc>
        <w:tc>
          <w:tcPr>
            <w:tcW w:w="40" w:type="dxa"/>
            <w:vAlign w:val="bottom"/>
          </w:tcPr>
          <w:p>
            <w:pPr>
              <w:spacing w:after="0"/>
              <w:rPr>
                <w:sz w:val="9"/>
                <w:szCs w:val="9"/>
                <w:color w:val="auto"/>
              </w:rPr>
            </w:pPr>
          </w:p>
        </w:tc>
        <w:tc>
          <w:tcPr>
            <w:tcW w:w="700" w:type="dxa"/>
            <w:vAlign w:val="bottom"/>
          </w:tcPr>
          <w:p>
            <w:pPr>
              <w:jc w:val="right"/>
              <w:spacing w:after="0" w:line="109" w:lineRule="exact"/>
              <w:rPr>
                <w:sz w:val="20"/>
                <w:szCs w:val="20"/>
                <w:color w:val="auto"/>
              </w:rPr>
            </w:pPr>
            <w:r>
              <w:rPr>
                <w:rFonts w:ascii="Arial" w:cs="Arial" w:eastAsia="Arial" w:hAnsi="Arial"/>
                <w:sz w:val="12"/>
                <w:szCs w:val="12"/>
                <w:color w:val="auto"/>
              </w:rPr>
              <w:t>1996</w:t>
            </w:r>
          </w:p>
        </w:tc>
        <w:tc>
          <w:tcPr>
            <w:tcW w:w="40" w:type="dxa"/>
            <w:vAlign w:val="bottom"/>
          </w:tcPr>
          <w:p>
            <w:pPr>
              <w:spacing w:after="0"/>
              <w:rPr>
                <w:sz w:val="9"/>
                <w:szCs w:val="9"/>
                <w:color w:val="auto"/>
              </w:rPr>
            </w:pPr>
          </w:p>
        </w:tc>
        <w:tc>
          <w:tcPr>
            <w:tcW w:w="800" w:type="dxa"/>
            <w:vAlign w:val="bottom"/>
          </w:tcPr>
          <w:p>
            <w:pPr>
              <w:jc w:val="right"/>
              <w:spacing w:after="0" w:line="109" w:lineRule="exact"/>
              <w:rPr>
                <w:sz w:val="20"/>
                <w:szCs w:val="20"/>
                <w:color w:val="auto"/>
              </w:rPr>
            </w:pPr>
            <w:r>
              <w:rPr>
                <w:rFonts w:ascii="Arial" w:cs="Arial" w:eastAsia="Arial" w:hAnsi="Arial"/>
                <w:sz w:val="12"/>
                <w:szCs w:val="12"/>
                <w:color w:val="auto"/>
              </w:rPr>
              <w:t>13,892</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right"/>
              <w:ind w:right="60"/>
              <w:spacing w:after="0" w:line="109" w:lineRule="exact"/>
              <w:rPr>
                <w:sz w:val="20"/>
                <w:szCs w:val="20"/>
                <w:color w:val="auto"/>
              </w:rPr>
            </w:pPr>
            <w:r>
              <w:rPr>
                <w:rFonts w:ascii="Arial" w:cs="Arial" w:eastAsia="Arial" w:hAnsi="Arial"/>
                <w:sz w:val="12"/>
                <w:szCs w:val="12"/>
                <w:color w:val="auto"/>
              </w:rPr>
              <w:t>170,000</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09" w:lineRule="exact"/>
              <w:rPr>
                <w:sz w:val="20"/>
                <w:szCs w:val="20"/>
                <w:color w:val="auto"/>
              </w:rPr>
            </w:pPr>
            <w:r>
              <w:rPr>
                <w:rFonts w:ascii="Arial" w:cs="Arial" w:eastAsia="Arial" w:hAnsi="Arial"/>
                <w:sz w:val="12"/>
                <w:szCs w:val="12"/>
                <w:color w:val="auto"/>
              </w:rPr>
              <w:t>94%</w:t>
            </w:r>
          </w:p>
        </w:tc>
        <w:tc>
          <w:tcPr>
            <w:tcW w:w="40" w:type="dxa"/>
            <w:vAlign w:val="bottom"/>
          </w:tcPr>
          <w:p>
            <w:pPr>
              <w:spacing w:after="0"/>
              <w:rPr>
                <w:sz w:val="9"/>
                <w:szCs w:val="9"/>
                <w:color w:val="auto"/>
              </w:rPr>
            </w:pPr>
          </w:p>
        </w:tc>
        <w:tc>
          <w:tcPr>
            <w:tcW w:w="860" w:type="dxa"/>
            <w:vAlign w:val="bottom"/>
            <w:gridSpan w:val="2"/>
          </w:tcPr>
          <w:p>
            <w:pPr>
              <w:jc w:val="right"/>
              <w:ind w:right="40"/>
              <w:spacing w:after="0" w:line="109" w:lineRule="exact"/>
              <w:rPr>
                <w:sz w:val="20"/>
                <w:szCs w:val="20"/>
                <w:color w:val="auto"/>
              </w:rPr>
            </w:pPr>
            <w:r>
              <w:rPr>
                <w:rFonts w:ascii="Arial" w:cs="Arial" w:eastAsia="Arial" w:hAnsi="Arial"/>
                <w:sz w:val="12"/>
                <w:szCs w:val="12"/>
                <w:color w:val="auto"/>
              </w:rPr>
              <w:t>92%</w:t>
            </w:r>
          </w:p>
        </w:tc>
        <w:tc>
          <w:tcPr>
            <w:tcW w:w="40" w:type="dxa"/>
            <w:vAlign w:val="bottom"/>
          </w:tcPr>
          <w:p>
            <w:pPr>
              <w:spacing w:after="0"/>
              <w:rPr>
                <w:sz w:val="9"/>
                <w:szCs w:val="9"/>
                <w:color w:val="auto"/>
              </w:rPr>
            </w:pPr>
          </w:p>
        </w:tc>
        <w:tc>
          <w:tcPr>
            <w:tcW w:w="460" w:type="dxa"/>
            <w:vAlign w:val="bottom"/>
          </w:tcPr>
          <w:p>
            <w:pPr>
              <w:jc w:val="right"/>
              <w:spacing w:after="0" w:line="109" w:lineRule="exact"/>
              <w:rPr>
                <w:sz w:val="20"/>
                <w:szCs w:val="20"/>
                <w:color w:val="auto"/>
              </w:rPr>
            </w:pPr>
            <w:r>
              <w:rPr>
                <w:rFonts w:ascii="Arial" w:cs="Arial" w:eastAsia="Arial" w:hAnsi="Arial"/>
                <w:sz w:val="12"/>
                <w:szCs w:val="12"/>
                <w:color w:val="auto"/>
              </w:rPr>
              <w:t>10.81</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jc w:val="right"/>
              <w:spacing w:after="0" w:line="109" w:lineRule="exact"/>
              <w:rPr>
                <w:sz w:val="20"/>
                <w:szCs w:val="20"/>
                <w:color w:val="auto"/>
              </w:rPr>
            </w:pPr>
            <w:r>
              <w:rPr>
                <w:rFonts w:ascii="Arial" w:cs="Arial" w:eastAsia="Arial" w:hAnsi="Arial"/>
                <w:sz w:val="12"/>
                <w:szCs w:val="12"/>
                <w:color w:val="auto"/>
              </w:rPr>
              <w:t>55,000</w:t>
            </w:r>
          </w:p>
        </w:tc>
        <w:tc>
          <w:tcPr>
            <w:tcW w:w="40" w:type="dxa"/>
            <w:vAlign w:val="bottom"/>
          </w:tcPr>
          <w:p>
            <w:pPr>
              <w:spacing w:after="0"/>
              <w:rPr>
                <w:sz w:val="9"/>
                <w:szCs w:val="9"/>
                <w:color w:val="auto"/>
              </w:rPr>
            </w:pPr>
          </w:p>
        </w:tc>
        <w:tc>
          <w:tcPr>
            <w:tcW w:w="1580" w:type="dxa"/>
            <w:vAlign w:val="bottom"/>
          </w:tcPr>
          <w:p>
            <w:pPr>
              <w:spacing w:after="0" w:line="109" w:lineRule="exact"/>
              <w:rPr>
                <w:sz w:val="20"/>
                <w:szCs w:val="20"/>
                <w:color w:val="auto"/>
              </w:rPr>
            </w:pPr>
            <w:r>
              <w:rPr>
                <w:rFonts w:ascii="Arial" w:cs="Arial" w:eastAsia="Arial" w:hAnsi="Arial"/>
                <w:sz w:val="12"/>
                <w:szCs w:val="12"/>
                <w:color w:val="auto"/>
              </w:rPr>
              <w:t>Super Stop &amp; Shop</w:t>
            </w:r>
          </w:p>
        </w:tc>
        <w:tc>
          <w:tcPr>
            <w:tcW w:w="40" w:type="dxa"/>
            <w:vAlign w:val="bottom"/>
          </w:tcPr>
          <w:p>
            <w:pPr>
              <w:spacing w:after="0"/>
              <w:rPr>
                <w:sz w:val="9"/>
                <w:szCs w:val="9"/>
                <w:color w:val="auto"/>
              </w:rPr>
            </w:pPr>
          </w:p>
        </w:tc>
        <w:tc>
          <w:tcPr>
            <w:tcW w:w="880" w:type="dxa"/>
            <w:vAlign w:val="bottom"/>
          </w:tcPr>
          <w:p>
            <w:pPr>
              <w:spacing w:after="0" w:line="109" w:lineRule="exact"/>
              <w:rPr>
                <w:sz w:val="20"/>
                <w:szCs w:val="20"/>
                <w:color w:val="auto"/>
              </w:rPr>
            </w:pPr>
            <w:r>
              <w:rPr>
                <w:rFonts w:ascii="Arial" w:cs="Arial" w:eastAsia="Arial" w:hAnsi="Arial"/>
                <w:sz w:val="12"/>
                <w:szCs w:val="12"/>
                <w:color w:val="auto"/>
              </w:rPr>
              <w:t>Kmart</w:t>
            </w:r>
          </w:p>
        </w:tc>
      </w:tr>
      <w:tr>
        <w:trPr>
          <w:trHeight w:val="144"/>
        </w:trPr>
        <w:tc>
          <w:tcPr>
            <w:tcW w:w="2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line="144" w:lineRule="exact"/>
              <w:rPr>
                <w:sz w:val="20"/>
                <w:szCs w:val="20"/>
                <w:color w:val="auto"/>
              </w:rPr>
            </w:pPr>
            <w:r>
              <w:rPr>
                <w:rFonts w:ascii="Arial" w:cs="Arial" w:eastAsia="Arial" w:hAnsi="Arial"/>
                <w:sz w:val="13"/>
                <w:szCs w:val="13"/>
                <w:color w:val="auto"/>
              </w:rPr>
              <w:t>Cambridge-</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4"/>
        </w:trPr>
        <w:tc>
          <w:tcPr>
            <w:tcW w:w="2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line="144" w:lineRule="exact"/>
              <w:rPr>
                <w:sz w:val="20"/>
                <w:szCs w:val="20"/>
                <w:color w:val="auto"/>
              </w:rPr>
            </w:pPr>
            <w:r>
              <w:rPr>
                <w:rFonts w:ascii="Arial" w:cs="Arial" w:eastAsia="Arial" w:hAnsi="Arial"/>
                <w:sz w:val="13"/>
                <w:szCs w:val="13"/>
                <w:color w:val="auto"/>
              </w:rPr>
              <w:t>Quincy, MA-</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53"/>
        </w:trPr>
        <w:tc>
          <w:tcPr>
            <w:tcW w:w="2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NH</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ind w:left="2400" w:hanging="302"/>
        <w:spacing w:after="0"/>
        <w:tabs>
          <w:tab w:leader="none" w:pos="2400" w:val="left"/>
        </w:tabs>
        <w:numPr>
          <w:ilvl w:val="0"/>
          <w:numId w:val="15"/>
        </w:numPr>
        <w:rPr>
          <w:rFonts w:ascii="Arial" w:cs="Arial" w:eastAsia="Arial" w:hAnsi="Arial"/>
          <w:sz w:val="13"/>
          <w:szCs w:val="13"/>
          <w:color w:val="auto"/>
        </w:rPr>
      </w:pPr>
      <w:r>
        <w:rPr>
          <w:rFonts w:ascii="Arial" w:cs="Arial" w:eastAsia="Arial" w:hAnsi="Arial"/>
          <w:sz w:val="13"/>
          <w:szCs w:val="13"/>
          <w:b w:val="1"/>
          <w:bCs w:val="1"/>
          <w:color w:val="auto"/>
        </w:rPr>
        <w:t>Total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312025" cy="182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2025" cy="182880"/>
                    </a:xfrm>
                    <a:prstGeom prst="rect">
                      <a:avLst/>
                    </a:prstGeom>
                    <a:noFill/>
                  </pic:spPr>
                </pic:pic>
              </a:graphicData>
            </a:graphic>
          </wp:anchor>
        </w:drawing>
      </w:r>
    </w:p>
    <w:tbl>
      <w:tblPr>
        <w:tblLayout w:type="fixed"/>
        <w:tblInd w:w="2400" w:type="dxa"/>
        <w:tblCellMar>
          <w:top w:w="0" w:type="dxa"/>
          <w:left w:w="0" w:type="dxa"/>
          <w:bottom w:w="0" w:type="dxa"/>
          <w:right w:w="0" w:type="dxa"/>
        </w:tblCellMar>
      </w:tblPr>
      <w:tr>
        <w:trPr>
          <w:trHeight w:val="169"/>
        </w:trPr>
        <w:tc>
          <w:tcPr>
            <w:tcW w:w="1180" w:type="dxa"/>
            <w:vAlign w:val="bottom"/>
          </w:tcPr>
          <w:p>
            <w:pPr>
              <w:spacing w:after="0"/>
              <w:rPr>
                <w:sz w:val="20"/>
                <w:szCs w:val="20"/>
                <w:color w:val="auto"/>
              </w:rPr>
            </w:pPr>
            <w:r>
              <w:rPr>
                <w:rFonts w:ascii="Arial" w:cs="Arial" w:eastAsia="Arial" w:hAnsi="Arial"/>
                <w:sz w:val="13"/>
                <w:szCs w:val="13"/>
                <w:b w:val="1"/>
                <w:bCs w:val="1"/>
                <w:color w:val="auto"/>
              </w:rPr>
              <w:t>England</w:t>
            </w:r>
          </w:p>
        </w:tc>
        <w:tc>
          <w:tcPr>
            <w:tcW w:w="1660" w:type="dxa"/>
            <w:vAlign w:val="bottom"/>
          </w:tcPr>
          <w:p>
            <w:pPr>
              <w:jc w:val="right"/>
              <w:ind w:right="454"/>
              <w:spacing w:after="0"/>
              <w:rPr>
                <w:sz w:val="20"/>
                <w:szCs w:val="20"/>
                <w:color w:val="auto"/>
              </w:rPr>
            </w:pPr>
            <w:r>
              <w:rPr>
                <w:rFonts w:ascii="Arial" w:cs="Arial" w:eastAsia="Arial" w:hAnsi="Arial"/>
                <w:sz w:val="13"/>
                <w:szCs w:val="13"/>
                <w:color w:val="auto"/>
              </w:rPr>
              <w:t>440,797</w:t>
            </w:r>
          </w:p>
        </w:tc>
        <w:tc>
          <w:tcPr>
            <w:tcW w:w="1240" w:type="dxa"/>
            <w:vAlign w:val="bottom"/>
          </w:tcPr>
          <w:p>
            <w:pPr>
              <w:jc w:val="right"/>
              <w:ind w:right="114"/>
              <w:spacing w:after="0"/>
              <w:rPr>
                <w:sz w:val="20"/>
                <w:szCs w:val="20"/>
                <w:color w:val="auto"/>
              </w:rPr>
            </w:pPr>
            <w:r>
              <w:rPr>
                <w:rFonts w:ascii="Arial" w:cs="Arial" w:eastAsia="Arial" w:hAnsi="Arial"/>
                <w:sz w:val="13"/>
                <w:szCs w:val="13"/>
                <w:color w:val="auto"/>
              </w:rPr>
              <w:t>1,382,000</w:t>
            </w:r>
          </w:p>
        </w:tc>
        <w:tc>
          <w:tcPr>
            <w:tcW w:w="760" w:type="dxa"/>
            <w:vAlign w:val="bottom"/>
          </w:tcPr>
          <w:p>
            <w:pPr>
              <w:jc w:val="right"/>
              <w:ind w:right="274"/>
              <w:spacing w:after="0"/>
              <w:rPr>
                <w:sz w:val="20"/>
                <w:szCs w:val="20"/>
                <w:color w:val="auto"/>
              </w:rPr>
            </w:pPr>
            <w:r>
              <w:rPr>
                <w:rFonts w:ascii="Arial" w:cs="Arial" w:eastAsia="Arial" w:hAnsi="Arial"/>
                <w:sz w:val="13"/>
                <w:szCs w:val="13"/>
                <w:color w:val="auto"/>
              </w:rPr>
              <w:t>97%</w:t>
            </w: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96%</w:t>
            </w:r>
          </w:p>
        </w:tc>
        <w:tc>
          <w:tcPr>
            <w:tcW w:w="420" w:type="dxa"/>
            <w:vAlign w:val="bottom"/>
          </w:tcPr>
          <w:p>
            <w:pPr>
              <w:jc w:val="right"/>
              <w:spacing w:after="0"/>
              <w:rPr>
                <w:sz w:val="20"/>
                <w:szCs w:val="20"/>
                <w:color w:val="auto"/>
              </w:rPr>
            </w:pPr>
            <w:r>
              <w:rPr>
                <w:rFonts w:ascii="Arial" w:cs="Arial" w:eastAsia="Arial" w:hAnsi="Arial"/>
                <w:sz w:val="13"/>
                <w:szCs w:val="13"/>
                <w:color w:val="auto"/>
              </w:rPr>
              <w:t>18.17</w:t>
            </w:r>
          </w:p>
        </w:tc>
      </w:tr>
    </w:tbl>
    <w:p>
      <w:pPr>
        <w:spacing w:after="0" w:line="11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520"/>
          </w:cols>
          <w:pgMar w:left="240" w:top="125" w:right="1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Leasing Summary (1)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Mortgage</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5"/>
              </w:rPr>
              <w:t>and/or</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jc w:val="center"/>
              <w:ind w:right="40"/>
              <w:spacing w:after="0"/>
              <w:rPr>
                <w:sz w:val="20"/>
                <w:szCs w:val="20"/>
                <w:color w:val="auto"/>
              </w:rPr>
            </w:pPr>
            <w:r>
              <w:rPr>
                <w:rFonts w:ascii="Arial" w:cs="Arial" w:eastAsia="Arial" w:hAnsi="Arial"/>
                <w:sz w:val="13"/>
                <w:szCs w:val="13"/>
                <w:b w:val="1"/>
                <w:bCs w:val="1"/>
                <w:color w:val="auto"/>
                <w:w w:val="92"/>
              </w:rPr>
              <w:t>Year</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Real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6"/>
              </w:rPr>
              <w:t>Capital</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9"/>
              </w:rPr>
              <w:t>Average</w:t>
            </w:r>
          </w:p>
        </w:tc>
        <w:tc>
          <w:tcPr>
            <w:tcW w:w="600" w:type="dxa"/>
            <w:vAlign w:val="bottom"/>
            <w:gridSpan w:val="2"/>
          </w:tcPr>
          <w:p>
            <w:pPr>
              <w:jc w:val="right"/>
              <w:ind w:right="120"/>
              <w:spacing w:after="0" w:line="144" w:lineRule="exact"/>
              <w:rPr>
                <w:sz w:val="20"/>
                <w:szCs w:val="20"/>
                <w:color w:val="auto"/>
              </w:rPr>
            </w:pPr>
            <w:r>
              <w:rPr>
                <w:rFonts w:ascii="Arial" w:cs="Arial" w:eastAsia="Arial" w:hAnsi="Arial"/>
                <w:sz w:val="13"/>
                <w:szCs w:val="13"/>
                <w:b w:val="1"/>
                <w:bCs w:val="1"/>
                <w:color w:val="auto"/>
                <w:w w:val="92"/>
              </w:rPr>
              <w:t>Grocery</w:t>
            </w:r>
          </w:p>
        </w:tc>
        <w:tc>
          <w:tcPr>
            <w:tcW w:w="64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Grocery</w:t>
            </w:r>
          </w:p>
        </w:tc>
        <w:tc>
          <w:tcPr>
            <w:tcW w:w="80" w:type="dxa"/>
            <w:vAlign w:val="bottom"/>
          </w:tcPr>
          <w:p>
            <w:pPr>
              <w:spacing w:after="0"/>
              <w:rPr>
                <w:sz w:val="12"/>
                <w:szCs w:val="12"/>
                <w:color w:val="auto"/>
              </w:rPr>
            </w:pPr>
          </w:p>
        </w:tc>
        <w:tc>
          <w:tcPr>
            <w:tcW w:w="1000" w:type="dxa"/>
            <w:vAlign w:val="bottom"/>
            <w:vMerge w:val="restart"/>
          </w:tcPr>
          <w:p>
            <w:pPr>
              <w:ind w:left="60"/>
              <w:spacing w:after="0"/>
              <w:rPr>
                <w:sz w:val="20"/>
                <w:szCs w:val="20"/>
                <w:color w:val="auto"/>
              </w:rPr>
            </w:pPr>
            <w:r>
              <w:rPr>
                <w:rFonts w:ascii="Arial" w:cs="Arial" w:eastAsia="Arial" w:hAnsi="Arial"/>
                <w:sz w:val="13"/>
                <w:szCs w:val="13"/>
                <w:b w:val="1"/>
                <w:bCs w:val="1"/>
                <w:color w:val="auto"/>
                <w:w w:val="98"/>
              </w:rPr>
              <w:t>Other Principal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2"/>
              </w:rPr>
              <w:t>Estate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6"/>
              </w:rPr>
              <w:t>Lease</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74"/>
              <w:spacing w:after="0" w:line="131"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1"/>
                <w:szCs w:val="11"/>
                <w:color w:val="auto"/>
              </w:rPr>
            </w:pPr>
          </w:p>
        </w:tc>
        <w:tc>
          <w:tcPr>
            <w:tcW w:w="720" w:type="dxa"/>
            <w:vAlign w:val="bottom"/>
          </w:tcPr>
          <w:p>
            <w:pPr>
              <w:jc w:val="right"/>
              <w:ind w:right="234"/>
              <w:spacing w:after="0" w:line="131"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96"/>
              </w:rPr>
              <w:t>Rent</w:t>
            </w:r>
          </w:p>
        </w:tc>
        <w:tc>
          <w:tcPr>
            <w:tcW w:w="600" w:type="dxa"/>
            <w:vAlign w:val="bottom"/>
            <w:gridSpan w:val="2"/>
          </w:tcPr>
          <w:p>
            <w:pPr>
              <w:ind w:left="20"/>
              <w:spacing w:after="0" w:line="131" w:lineRule="exact"/>
              <w:rPr>
                <w:sz w:val="20"/>
                <w:szCs w:val="20"/>
                <w:color w:val="auto"/>
              </w:rPr>
            </w:pPr>
            <w:r>
              <w:rPr>
                <w:rFonts w:ascii="Arial" w:cs="Arial" w:eastAsia="Arial" w:hAnsi="Arial"/>
                <w:sz w:val="13"/>
                <w:szCs w:val="13"/>
                <w:b w:val="1"/>
                <w:bCs w:val="1"/>
                <w:color w:val="auto"/>
              </w:rPr>
              <w:t>Anchor</w:t>
            </w: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920" w:type="dxa"/>
            <w:vAlign w:val="bottom"/>
            <w:gridSpan w:val="9"/>
          </w:tcPr>
          <w:p>
            <w:pPr>
              <w:spacing w:after="0"/>
              <w:rPr>
                <w:sz w:val="20"/>
                <w:szCs w:val="20"/>
                <w:color w:val="auto"/>
              </w:rPr>
            </w:pPr>
            <w:r>
              <w:rPr>
                <w:rFonts w:ascii="Arial" w:cs="Arial" w:eastAsia="Arial" w:hAnsi="Arial"/>
                <w:sz w:val="13"/>
                <w:szCs w:val="13"/>
                <w:b w:val="1"/>
                <w:bCs w:val="1"/>
                <w:color w:val="auto"/>
              </w:rPr>
              <w:t>Property Name</w:t>
            </w:r>
          </w:p>
        </w:tc>
        <w:tc>
          <w:tcPr>
            <w:tcW w:w="360" w:type="dxa"/>
            <w:vAlign w:val="bottom"/>
          </w:tcPr>
          <w:p>
            <w:pPr>
              <w:spacing w:after="0"/>
              <w:rPr>
                <w:sz w:val="14"/>
                <w:szCs w:val="14"/>
                <w:color w:val="auto"/>
              </w:rPr>
            </w:pPr>
          </w:p>
        </w:tc>
        <w:tc>
          <w:tcPr>
            <w:tcW w:w="1360" w:type="dxa"/>
            <w:vAlign w:val="bottom"/>
          </w:tcPr>
          <w:p>
            <w:pPr>
              <w:ind w:left="200"/>
              <w:spacing w:after="0"/>
              <w:rPr>
                <w:sz w:val="20"/>
                <w:szCs w:val="20"/>
                <w:color w:val="auto"/>
              </w:rPr>
            </w:pPr>
            <w:r>
              <w:rPr>
                <w:rFonts w:ascii="Arial" w:cs="Arial" w:eastAsia="Arial" w:hAnsi="Arial"/>
                <w:sz w:val="13"/>
                <w:szCs w:val="13"/>
                <w:b w:val="1"/>
                <w:bCs w:val="1"/>
                <w:color w:val="auto"/>
              </w:rPr>
              <w:t>MSA Description</w:t>
            </w:r>
          </w:p>
        </w:tc>
        <w:tc>
          <w:tcPr>
            <w:tcW w:w="40" w:type="dxa"/>
            <w:vAlign w:val="bottom"/>
          </w:tcPr>
          <w:p>
            <w:pPr>
              <w:spacing w:after="0"/>
              <w:rPr>
                <w:sz w:val="14"/>
                <w:szCs w:val="14"/>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5"/>
              </w:rPr>
              <w:t>Acquired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at Cost</w:t>
            </w:r>
          </w:p>
        </w:tc>
        <w:tc>
          <w:tcPr>
            <w:tcW w:w="14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Obligation (1)</w:t>
            </w:r>
          </w:p>
        </w:tc>
        <w:tc>
          <w:tcPr>
            <w:tcW w:w="700" w:type="dxa"/>
            <w:vAlign w:val="bottom"/>
            <w:gridSpan w:val="2"/>
          </w:tcPr>
          <w:p>
            <w:pPr>
              <w:ind w:left="80"/>
              <w:spacing w:after="0"/>
              <w:rPr>
                <w:sz w:val="20"/>
                <w:szCs w:val="20"/>
                <w:color w:val="auto"/>
              </w:rPr>
            </w:pPr>
            <w:r>
              <w:rPr>
                <w:rFonts w:ascii="Arial" w:cs="Arial" w:eastAsia="Arial" w:hAnsi="Arial"/>
                <w:sz w:val="13"/>
                <w:szCs w:val="13"/>
                <w:b w:val="1"/>
                <w:bCs w:val="1"/>
                <w:color w:val="auto"/>
              </w:rPr>
              <w:t>GLA (2)</w:t>
            </w:r>
          </w:p>
        </w:tc>
        <w:tc>
          <w:tcPr>
            <w:tcW w:w="7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9"/>
              </w:rPr>
              <w:t>Leased</w:t>
            </w: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Occupied (3)</w:t>
            </w:r>
          </w:p>
        </w:tc>
        <w:tc>
          <w:tcPr>
            <w:tcW w:w="6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PSF (4)</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7"/>
              </w:rPr>
              <w:t>GLA (5)</w:t>
            </w:r>
          </w:p>
        </w:tc>
        <w:tc>
          <w:tcPr>
            <w:tcW w:w="640" w:type="dxa"/>
            <w:vAlign w:val="bottom"/>
          </w:tcPr>
          <w:p>
            <w:pPr>
              <w:ind w:left="20"/>
              <w:spacing w:after="0"/>
              <w:rPr>
                <w:sz w:val="20"/>
                <w:szCs w:val="20"/>
                <w:color w:val="auto"/>
              </w:rPr>
            </w:pPr>
            <w:r>
              <w:rPr>
                <w:rFonts w:ascii="Arial" w:cs="Arial" w:eastAsia="Arial" w:hAnsi="Arial"/>
                <w:sz w:val="13"/>
                <w:szCs w:val="13"/>
                <w:b w:val="1"/>
                <w:bCs w:val="1"/>
                <w:color w:val="auto"/>
                <w:w w:val="92"/>
              </w:rPr>
              <w:t>Anchor (5)</w:t>
            </w:r>
          </w:p>
        </w:tc>
        <w:tc>
          <w:tcPr>
            <w:tcW w:w="8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Arial" w:cs="Arial" w:eastAsia="Arial" w:hAnsi="Arial"/>
                <w:sz w:val="13"/>
                <w:szCs w:val="13"/>
                <w:b w:val="1"/>
                <w:bCs w:val="1"/>
                <w:color w:val="auto"/>
              </w:rPr>
              <w:t>Tenants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 thousands)</w:t>
            </w:r>
          </w:p>
        </w:tc>
        <w:tc>
          <w:tcPr>
            <w:tcW w:w="140" w:type="dxa"/>
            <w:vAlign w:val="bottom"/>
          </w:tcPr>
          <w:p>
            <w:pPr>
              <w:spacing w:after="0"/>
              <w:rPr>
                <w:sz w:val="14"/>
                <w:szCs w:val="14"/>
                <w:color w:val="auto"/>
              </w:rPr>
            </w:pP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(in thousands)</w:t>
            </w:r>
          </w:p>
        </w:tc>
        <w:tc>
          <w:tcPr>
            <w:tcW w:w="1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00" w:type="dxa"/>
            <w:vAlign w:val="bottom"/>
            <w:gridSpan w:val="8"/>
            <w:shd w:val="clear" w:color="auto" w:fill="CCEEFF"/>
          </w:tcPr>
          <w:p>
            <w:pPr>
              <w:ind w:left="200"/>
              <w:spacing w:after="0" w:line="131" w:lineRule="exact"/>
              <w:rPr>
                <w:sz w:val="20"/>
                <w:szCs w:val="20"/>
                <w:color w:val="auto"/>
              </w:rPr>
            </w:pPr>
            <w:r>
              <w:rPr>
                <w:rFonts w:ascii="Arial" w:cs="Arial" w:eastAsia="Arial" w:hAnsi="Arial"/>
                <w:sz w:val="13"/>
                <w:szCs w:val="13"/>
                <w:b w:val="1"/>
                <w:bCs w:val="1"/>
                <w:color w:val="auto"/>
              </w:rPr>
              <w:t>Baltimore</w:t>
            </w:r>
          </w:p>
        </w:tc>
        <w:tc>
          <w:tcPr>
            <w:tcW w:w="3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1900" w:type="dxa"/>
            <w:vAlign w:val="bottom"/>
            <w:gridSpan w:val="8"/>
          </w:tcPr>
          <w:p>
            <w:pPr>
              <w:spacing w:after="0" w:line="129" w:lineRule="exact"/>
              <w:rPr>
                <w:sz w:val="20"/>
                <w:szCs w:val="20"/>
                <w:color w:val="auto"/>
              </w:rPr>
            </w:pPr>
            <w:r>
              <w:rPr>
                <w:rFonts w:ascii="Arial" w:cs="Arial" w:eastAsia="Arial" w:hAnsi="Arial"/>
                <w:sz w:val="13"/>
                <w:szCs w:val="13"/>
                <w:color w:val="auto"/>
              </w:rPr>
              <w:t>Governor Plaza</w:t>
            </w:r>
          </w:p>
        </w:tc>
        <w:tc>
          <w:tcPr>
            <w:tcW w:w="360" w:type="dxa"/>
            <w:vAlign w:val="bottom"/>
          </w:tcPr>
          <w:p>
            <w:pPr>
              <w:spacing w:after="0"/>
              <w:rPr>
                <w:sz w:val="11"/>
                <w:szCs w:val="11"/>
                <w:color w:val="auto"/>
              </w:rPr>
            </w:pPr>
          </w:p>
        </w:tc>
        <w:tc>
          <w:tcPr>
            <w:tcW w:w="1360" w:type="dxa"/>
            <w:vAlign w:val="bottom"/>
          </w:tcPr>
          <w:p>
            <w:pPr>
              <w:spacing w:after="0" w:line="129" w:lineRule="exact"/>
              <w:rPr>
                <w:sz w:val="20"/>
                <w:szCs w:val="20"/>
                <w:color w:val="auto"/>
              </w:rPr>
            </w:pPr>
            <w:r>
              <w:rPr>
                <w:rFonts w:ascii="Arial" w:cs="Arial" w:eastAsia="Arial" w:hAnsi="Arial"/>
                <w:sz w:val="13"/>
                <w:szCs w:val="13"/>
                <w:color w:val="auto"/>
              </w:rPr>
              <w:t>Baltimore, MD</w:t>
            </w:r>
          </w:p>
        </w:tc>
        <w:tc>
          <w:tcPr>
            <w:tcW w:w="660" w:type="dxa"/>
            <w:vAlign w:val="bottom"/>
            <w:gridSpan w:val="3"/>
          </w:tcPr>
          <w:p>
            <w:pPr>
              <w:jc w:val="right"/>
              <w:ind w:right="40"/>
              <w:spacing w:after="0" w:line="129" w:lineRule="exact"/>
              <w:rPr>
                <w:sz w:val="20"/>
                <w:szCs w:val="20"/>
                <w:color w:val="auto"/>
              </w:rPr>
            </w:pPr>
            <w:r>
              <w:rPr>
                <w:rFonts w:ascii="Arial" w:cs="Arial" w:eastAsia="Arial" w:hAnsi="Arial"/>
                <w:sz w:val="13"/>
                <w:szCs w:val="13"/>
                <w:color w:val="auto"/>
              </w:rPr>
              <w:t>1985</w:t>
            </w: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25,741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268,000</w:t>
            </w:r>
          </w:p>
        </w:tc>
        <w:tc>
          <w:tcPr>
            <w:tcW w:w="700" w:type="dxa"/>
            <w:vAlign w:val="bottom"/>
            <w:gridSpan w:val="3"/>
          </w:tcPr>
          <w:p>
            <w:pPr>
              <w:jc w:val="right"/>
              <w:ind w:right="140"/>
              <w:spacing w:after="0" w:line="129" w:lineRule="exact"/>
              <w:rPr>
                <w:sz w:val="20"/>
                <w:szCs w:val="20"/>
                <w:color w:val="auto"/>
              </w:rPr>
            </w:pPr>
            <w:r>
              <w:rPr>
                <w:rFonts w:ascii="Arial" w:cs="Arial" w:eastAsia="Arial" w:hAnsi="Arial"/>
                <w:sz w:val="13"/>
                <w:szCs w:val="13"/>
                <w:color w:val="auto"/>
              </w:rPr>
              <w:t>87%</w:t>
            </w:r>
          </w:p>
        </w:tc>
        <w:tc>
          <w:tcPr>
            <w:tcW w:w="90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87%</w:t>
            </w: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17.17</w:t>
            </w:r>
          </w:p>
        </w:tc>
        <w:tc>
          <w:tcPr>
            <w:tcW w:w="120" w:type="dxa"/>
            <w:vAlign w:val="bottom"/>
          </w:tcPr>
          <w:p>
            <w:pPr>
              <w:spacing w:after="0"/>
              <w:rPr>
                <w:sz w:val="11"/>
                <w:szCs w:val="11"/>
                <w:color w:val="auto"/>
              </w:rPr>
            </w:pPr>
          </w:p>
        </w:tc>
        <w:tc>
          <w:tcPr>
            <w:tcW w:w="60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16,500</w:t>
            </w:r>
          </w:p>
        </w:tc>
        <w:tc>
          <w:tcPr>
            <w:tcW w:w="640" w:type="dxa"/>
            <w:vAlign w:val="bottom"/>
          </w:tcPr>
          <w:p>
            <w:pPr>
              <w:spacing w:after="0" w:line="129" w:lineRule="exact"/>
              <w:rPr>
                <w:sz w:val="20"/>
                <w:szCs w:val="20"/>
                <w:color w:val="auto"/>
              </w:rPr>
            </w:pPr>
            <w:r>
              <w:rPr>
                <w:rFonts w:ascii="Arial" w:cs="Arial" w:eastAsia="Arial" w:hAnsi="Arial"/>
                <w:sz w:val="13"/>
                <w:szCs w:val="13"/>
                <w:color w:val="auto"/>
              </w:rPr>
              <w:t>Aldi</w:t>
            </w:r>
          </w:p>
        </w:tc>
        <w:tc>
          <w:tcPr>
            <w:tcW w:w="80" w:type="dxa"/>
            <w:vAlign w:val="bottom"/>
          </w:tcPr>
          <w:p>
            <w:pPr>
              <w:spacing w:after="0"/>
              <w:rPr>
                <w:sz w:val="11"/>
                <w:szCs w:val="11"/>
                <w:color w:val="auto"/>
              </w:rPr>
            </w:pPr>
          </w:p>
        </w:tc>
        <w:tc>
          <w:tcPr>
            <w:tcW w:w="1000" w:type="dxa"/>
            <w:vAlign w:val="bottom"/>
          </w:tcPr>
          <w:p>
            <w:pPr>
              <w:spacing w:after="0" w:line="129" w:lineRule="exact"/>
              <w:rPr>
                <w:sz w:val="20"/>
                <w:szCs w:val="20"/>
                <w:color w:val="auto"/>
              </w:rPr>
            </w:pPr>
            <w:r>
              <w:rPr>
                <w:rFonts w:ascii="Arial" w:cs="Arial" w:eastAsia="Arial" w:hAnsi="Arial"/>
                <w:sz w:val="13"/>
                <w:szCs w:val="13"/>
                <w:color w:val="auto"/>
                <w:w w:val="92"/>
              </w:rPr>
              <w:t>Bally Total Fitness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line="144" w:lineRule="exact"/>
              <w:rPr>
                <w:sz w:val="20"/>
                <w:szCs w:val="20"/>
                <w:color w:val="auto"/>
              </w:rPr>
            </w:pPr>
            <w:r>
              <w:rPr>
                <w:rFonts w:ascii="Arial" w:cs="Arial" w:eastAsia="Arial" w:hAnsi="Arial"/>
                <w:sz w:val="13"/>
                <w:szCs w:val="13"/>
                <w:color w:val="auto"/>
              </w:rPr>
              <w:t>/ Dick’s Sporting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Goods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gridSpan w:val="8"/>
            <w:shd w:val="clear" w:color="auto" w:fill="CCEEFF"/>
          </w:tcPr>
          <w:p>
            <w:pPr>
              <w:spacing w:after="0" w:line="136" w:lineRule="exact"/>
              <w:rPr>
                <w:sz w:val="20"/>
                <w:szCs w:val="20"/>
                <w:color w:val="auto"/>
              </w:rPr>
            </w:pPr>
            <w:r>
              <w:rPr>
                <w:rFonts w:ascii="Arial" w:cs="Arial" w:eastAsia="Arial" w:hAnsi="Arial"/>
                <w:sz w:val="13"/>
                <w:szCs w:val="13"/>
                <w:color w:val="auto"/>
              </w:rPr>
              <w:t>Perring Plaza</w:t>
            </w:r>
          </w:p>
        </w:tc>
        <w:tc>
          <w:tcPr>
            <w:tcW w:w="3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Baltimore, MD</w:t>
            </w:r>
          </w:p>
        </w:tc>
        <w:tc>
          <w:tcPr>
            <w:tcW w:w="66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1985</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27,309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401,000</w:t>
            </w:r>
          </w:p>
        </w:tc>
        <w:tc>
          <w:tcPr>
            <w:tcW w:w="700" w:type="dxa"/>
            <w:vAlign w:val="bottom"/>
            <w:gridSpan w:val="3"/>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98%</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98%</w:t>
            </w:r>
          </w:p>
        </w:tc>
        <w:tc>
          <w:tcPr>
            <w:tcW w:w="5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12.42</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58,000</w:t>
            </w:r>
          </w:p>
        </w:tc>
        <w:tc>
          <w:tcPr>
            <w:tcW w:w="6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Shoppers</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Home Depot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Food</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Burlington Coat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3"/>
              </w:rPr>
              <w:t>Warehouse</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Factory / Jo-Ann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Stores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gridSpan w:val="8"/>
          </w:tcPr>
          <w:p>
            <w:pPr>
              <w:spacing w:after="0" w:line="136" w:lineRule="exact"/>
              <w:rPr>
                <w:sz w:val="20"/>
                <w:szCs w:val="20"/>
                <w:color w:val="auto"/>
              </w:rPr>
            </w:pPr>
            <w:r>
              <w:rPr>
                <w:rFonts w:ascii="Arial" w:cs="Arial" w:eastAsia="Arial" w:hAnsi="Arial"/>
                <w:sz w:val="13"/>
                <w:szCs w:val="13"/>
                <w:color w:val="auto"/>
              </w:rPr>
              <w:t>THE AVENUE at White Marsh</w:t>
            </w:r>
          </w:p>
        </w:tc>
        <w:tc>
          <w:tcPr>
            <w:tcW w:w="360" w:type="dxa"/>
            <w:vAlign w:val="bottom"/>
          </w:tcPr>
          <w:p>
            <w:pPr>
              <w:jc w:val="right"/>
              <w:ind w:right="34"/>
              <w:spacing w:after="0" w:line="136" w:lineRule="exact"/>
              <w:rPr>
                <w:sz w:val="20"/>
                <w:szCs w:val="20"/>
                <w:color w:val="auto"/>
              </w:rPr>
            </w:pPr>
            <w:r>
              <w:rPr>
                <w:rFonts w:ascii="Arial" w:cs="Arial" w:eastAsia="Arial" w:hAnsi="Arial"/>
                <w:sz w:val="13"/>
                <w:szCs w:val="13"/>
                <w:color w:val="auto"/>
              </w:rPr>
              <w:t>(14)</w:t>
            </w:r>
          </w:p>
        </w:tc>
        <w:tc>
          <w:tcPr>
            <w:tcW w:w="1360" w:type="dxa"/>
            <w:vAlign w:val="bottom"/>
          </w:tcPr>
          <w:p>
            <w:pPr>
              <w:spacing w:after="0" w:line="136" w:lineRule="exact"/>
              <w:rPr>
                <w:sz w:val="20"/>
                <w:szCs w:val="20"/>
                <w:color w:val="auto"/>
              </w:rPr>
            </w:pPr>
            <w:r>
              <w:rPr>
                <w:rFonts w:ascii="Arial" w:cs="Arial" w:eastAsia="Arial" w:hAnsi="Arial"/>
                <w:sz w:val="13"/>
                <w:szCs w:val="13"/>
                <w:color w:val="auto"/>
              </w:rPr>
              <w:t>Baltimore, MD</w:t>
            </w:r>
          </w:p>
        </w:tc>
        <w:tc>
          <w:tcPr>
            <w:tcW w:w="6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2007</w:t>
            </w:r>
          </w:p>
        </w:tc>
        <w:tc>
          <w:tcPr>
            <w:tcW w:w="800" w:type="dxa"/>
            <w:vAlign w:val="bottom"/>
          </w:tcPr>
          <w:p>
            <w:pPr>
              <w:jc w:val="right"/>
              <w:spacing w:after="0" w:line="136" w:lineRule="exact"/>
              <w:rPr>
                <w:sz w:val="20"/>
                <w:szCs w:val="20"/>
                <w:color w:val="auto"/>
              </w:rPr>
            </w:pPr>
            <w:r>
              <w:rPr>
                <w:rFonts w:ascii="Arial" w:cs="Arial" w:eastAsia="Arial" w:hAnsi="Arial"/>
                <w:sz w:val="13"/>
                <w:szCs w:val="13"/>
                <w:color w:val="auto"/>
              </w:rPr>
              <w:t>95,755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57,803</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298,000</w:t>
            </w:r>
          </w:p>
        </w:tc>
        <w:tc>
          <w:tcPr>
            <w:tcW w:w="700" w:type="dxa"/>
            <w:vAlign w:val="bottom"/>
            <w:gridSpan w:val="3"/>
          </w:tcPr>
          <w:p>
            <w:pPr>
              <w:jc w:val="right"/>
              <w:ind w:right="140"/>
              <w:spacing w:after="0" w:line="136"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5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21.14</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line="136" w:lineRule="exact"/>
              <w:rPr>
                <w:sz w:val="20"/>
                <w:szCs w:val="20"/>
                <w:color w:val="auto"/>
              </w:rPr>
            </w:pPr>
            <w:r>
              <w:rPr>
                <w:rFonts w:ascii="Arial" w:cs="Arial" w:eastAsia="Arial" w:hAnsi="Arial"/>
                <w:sz w:val="13"/>
                <w:szCs w:val="13"/>
                <w:color w:val="auto"/>
                <w:w w:val="96"/>
              </w:rPr>
              <w:t>AMC Loews / Old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line="144" w:lineRule="exact"/>
              <w:rPr>
                <w:sz w:val="20"/>
                <w:szCs w:val="20"/>
                <w:color w:val="auto"/>
              </w:rPr>
            </w:pPr>
            <w:r>
              <w:rPr>
                <w:rFonts w:ascii="Arial" w:cs="Arial" w:eastAsia="Arial" w:hAnsi="Arial"/>
                <w:sz w:val="13"/>
                <w:szCs w:val="13"/>
                <w:color w:val="auto"/>
              </w:rPr>
              <w:t>Navy / Barnes &amp;</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color w:val="auto"/>
                <w:w w:val="94"/>
              </w:rPr>
              <w:t>Noble / AC Moore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00" w:type="dxa"/>
            <w:vAlign w:val="bottom"/>
            <w:gridSpan w:val="8"/>
            <w:shd w:val="clear" w:color="auto" w:fill="CCEEFF"/>
          </w:tcPr>
          <w:p>
            <w:pPr>
              <w:spacing w:after="0" w:line="144" w:lineRule="exact"/>
              <w:rPr>
                <w:sz w:val="20"/>
                <w:szCs w:val="20"/>
                <w:color w:val="auto"/>
              </w:rPr>
            </w:pPr>
            <w:r>
              <w:rPr>
                <w:rFonts w:ascii="Arial" w:cs="Arial" w:eastAsia="Arial" w:hAnsi="Arial"/>
                <w:sz w:val="13"/>
                <w:szCs w:val="13"/>
                <w:color w:val="auto"/>
                <w:w w:val="90"/>
              </w:rPr>
              <w:t>The Shoppes at Nottingham Square</w:t>
            </w:r>
          </w:p>
        </w:tc>
        <w:tc>
          <w:tcPr>
            <w:tcW w:w="3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Baltimore, MD</w:t>
            </w:r>
          </w:p>
        </w:tc>
        <w:tc>
          <w:tcPr>
            <w:tcW w:w="660" w:type="dxa"/>
            <w:vAlign w:val="bottom"/>
            <w:gridSpan w:val="3"/>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2007</w:t>
            </w: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27,570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52,000</w:t>
            </w:r>
          </w:p>
        </w:tc>
        <w:tc>
          <w:tcPr>
            <w:tcW w:w="700" w:type="dxa"/>
            <w:vAlign w:val="bottom"/>
            <w:gridSpan w:val="3"/>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100%</w:t>
            </w:r>
          </w:p>
        </w:tc>
        <w:tc>
          <w:tcPr>
            <w:tcW w:w="9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5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37.54</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00" w:type="dxa"/>
            <w:vAlign w:val="bottom"/>
            <w:gridSpan w:val="8"/>
          </w:tcPr>
          <w:p>
            <w:pPr>
              <w:spacing w:after="0" w:line="144" w:lineRule="exact"/>
              <w:rPr>
                <w:sz w:val="20"/>
                <w:szCs w:val="20"/>
                <w:color w:val="auto"/>
              </w:rPr>
            </w:pPr>
            <w:r>
              <w:rPr>
                <w:rFonts w:ascii="Arial" w:cs="Arial" w:eastAsia="Arial" w:hAnsi="Arial"/>
                <w:sz w:val="13"/>
                <w:szCs w:val="13"/>
                <w:color w:val="auto"/>
              </w:rPr>
              <w:t>White Marsh Plaza</w:t>
            </w:r>
          </w:p>
        </w:tc>
        <w:tc>
          <w:tcPr>
            <w:tcW w:w="360" w:type="dxa"/>
            <w:vAlign w:val="bottom"/>
          </w:tcPr>
          <w:p>
            <w:pPr>
              <w:spacing w:after="0"/>
              <w:rPr>
                <w:sz w:val="12"/>
                <w:szCs w:val="12"/>
                <w:color w:val="auto"/>
              </w:rPr>
            </w:pPr>
          </w:p>
        </w:tc>
        <w:tc>
          <w:tcPr>
            <w:tcW w:w="1360" w:type="dxa"/>
            <w:vAlign w:val="bottom"/>
          </w:tcPr>
          <w:p>
            <w:pPr>
              <w:spacing w:after="0" w:line="144" w:lineRule="exact"/>
              <w:rPr>
                <w:sz w:val="20"/>
                <w:szCs w:val="20"/>
                <w:color w:val="auto"/>
              </w:rPr>
            </w:pPr>
            <w:r>
              <w:rPr>
                <w:rFonts w:ascii="Arial" w:cs="Arial" w:eastAsia="Arial" w:hAnsi="Arial"/>
                <w:sz w:val="13"/>
                <w:szCs w:val="13"/>
                <w:color w:val="auto"/>
              </w:rPr>
              <w:t>Baltimore, MD</w:t>
            </w:r>
          </w:p>
        </w:tc>
        <w:tc>
          <w:tcPr>
            <w:tcW w:w="660" w:type="dxa"/>
            <w:vAlign w:val="bottom"/>
            <w:gridSpan w:val="3"/>
          </w:tcPr>
          <w:p>
            <w:pPr>
              <w:jc w:val="right"/>
              <w:ind w:right="40"/>
              <w:spacing w:after="0" w:line="144" w:lineRule="exact"/>
              <w:rPr>
                <w:sz w:val="20"/>
                <w:szCs w:val="20"/>
                <w:color w:val="auto"/>
              </w:rPr>
            </w:pPr>
            <w:r>
              <w:rPr>
                <w:rFonts w:ascii="Arial" w:cs="Arial" w:eastAsia="Arial" w:hAnsi="Arial"/>
                <w:sz w:val="13"/>
                <w:szCs w:val="13"/>
                <w:color w:val="auto"/>
              </w:rPr>
              <w:t>2007</w:t>
            </w:r>
          </w:p>
        </w:tc>
        <w:tc>
          <w:tcPr>
            <w:tcW w:w="800" w:type="dxa"/>
            <w:vAlign w:val="bottom"/>
          </w:tcPr>
          <w:p>
            <w:pPr>
              <w:jc w:val="right"/>
              <w:spacing w:after="0" w:line="144" w:lineRule="exact"/>
              <w:rPr>
                <w:sz w:val="20"/>
                <w:szCs w:val="20"/>
                <w:color w:val="auto"/>
              </w:rPr>
            </w:pPr>
            <w:r>
              <w:rPr>
                <w:rFonts w:ascii="Arial" w:cs="Arial" w:eastAsia="Arial" w:hAnsi="Arial"/>
                <w:sz w:val="13"/>
                <w:szCs w:val="13"/>
                <w:color w:val="auto"/>
              </w:rPr>
              <w:t>25,022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9,580</w:t>
            </w:r>
          </w:p>
        </w:tc>
        <w:tc>
          <w:tcPr>
            <w:tcW w:w="7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80,000</w:t>
            </w:r>
          </w:p>
        </w:tc>
        <w:tc>
          <w:tcPr>
            <w:tcW w:w="700" w:type="dxa"/>
            <w:vAlign w:val="bottom"/>
            <w:gridSpan w:val="3"/>
          </w:tcPr>
          <w:p>
            <w:pPr>
              <w:jc w:val="right"/>
              <w:ind w:right="140"/>
              <w:spacing w:after="0" w:line="144"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5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20.12</w:t>
            </w: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54,000</w:t>
            </w:r>
          </w:p>
        </w:tc>
        <w:tc>
          <w:tcPr>
            <w:tcW w:w="640" w:type="dxa"/>
            <w:vAlign w:val="bottom"/>
          </w:tcPr>
          <w:p>
            <w:pPr>
              <w:spacing w:after="0" w:line="144" w:lineRule="exact"/>
              <w:rPr>
                <w:sz w:val="20"/>
                <w:szCs w:val="20"/>
                <w:color w:val="auto"/>
              </w:rPr>
            </w:pPr>
            <w:r>
              <w:rPr>
                <w:rFonts w:ascii="Arial" w:cs="Arial" w:eastAsia="Arial" w:hAnsi="Arial"/>
                <w:sz w:val="13"/>
                <w:szCs w:val="13"/>
                <w:color w:val="auto"/>
                <w:w w:val="96"/>
              </w:rPr>
              <w:t>Giant Food</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00" w:type="dxa"/>
            <w:vAlign w:val="bottom"/>
            <w:gridSpan w:val="8"/>
            <w:shd w:val="clear" w:color="auto" w:fill="CCEEFF"/>
          </w:tcPr>
          <w:p>
            <w:pPr>
              <w:spacing w:after="0" w:line="144" w:lineRule="exact"/>
              <w:rPr>
                <w:sz w:val="20"/>
                <w:szCs w:val="20"/>
                <w:color w:val="auto"/>
              </w:rPr>
            </w:pPr>
            <w:r>
              <w:rPr>
                <w:rFonts w:ascii="Arial" w:cs="Arial" w:eastAsia="Arial" w:hAnsi="Arial"/>
                <w:sz w:val="13"/>
                <w:szCs w:val="13"/>
                <w:color w:val="auto"/>
              </w:rPr>
              <w:t>White Marsh Other</w:t>
            </w:r>
          </w:p>
        </w:tc>
        <w:tc>
          <w:tcPr>
            <w:tcW w:w="3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Baltimore, MD</w:t>
            </w:r>
          </w:p>
        </w:tc>
        <w:tc>
          <w:tcPr>
            <w:tcW w:w="660" w:type="dxa"/>
            <w:vAlign w:val="bottom"/>
            <w:gridSpan w:val="3"/>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2007</w:t>
            </w: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28,883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49,000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100%</w:t>
            </w:r>
          </w:p>
        </w:tc>
        <w:tc>
          <w:tcPr>
            <w:tcW w:w="9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100%</w:t>
            </w:r>
          </w:p>
        </w:tc>
        <w:tc>
          <w:tcPr>
            <w:tcW w:w="5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28.05</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vMerge w:val="restart"/>
          </w:tcPr>
          <w:p>
            <w:pPr>
              <w:spacing w:after="0"/>
              <w:rPr>
                <w:sz w:val="20"/>
                <w:szCs w:val="20"/>
                <w:color w:val="auto"/>
              </w:rPr>
            </w:pPr>
            <w:r>
              <w:rPr>
                <w:rFonts w:ascii="Arial" w:cs="Arial" w:eastAsia="Arial" w:hAnsi="Arial"/>
                <w:sz w:val="13"/>
                <w:szCs w:val="13"/>
                <w:b w:val="1"/>
                <w:bCs w:val="1"/>
                <w:color w:val="auto"/>
              </w:rPr>
              <w:t>Total Baltimore</w:t>
            </w: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230,280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1,148,000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96%</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96%</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18.20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00" w:type="dxa"/>
            <w:vAlign w:val="bottom"/>
            <w:gridSpan w:val="8"/>
            <w:shd w:val="clear" w:color="auto" w:fill="CCEEFF"/>
          </w:tcPr>
          <w:p>
            <w:pPr>
              <w:ind w:left="200"/>
              <w:spacing w:after="0" w:line="131" w:lineRule="exact"/>
              <w:rPr>
                <w:sz w:val="20"/>
                <w:szCs w:val="20"/>
                <w:color w:val="auto"/>
              </w:rPr>
            </w:pPr>
            <w:r>
              <w:rPr>
                <w:rFonts w:ascii="Arial" w:cs="Arial" w:eastAsia="Arial" w:hAnsi="Arial"/>
                <w:sz w:val="13"/>
                <w:szCs w:val="13"/>
                <w:b w:val="1"/>
                <w:bCs w:val="1"/>
                <w:color w:val="auto"/>
              </w:rPr>
              <w:t>Chicago</w:t>
            </w:r>
          </w:p>
        </w:tc>
        <w:tc>
          <w:tcPr>
            <w:tcW w:w="3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1900" w:type="dxa"/>
            <w:vAlign w:val="bottom"/>
            <w:gridSpan w:val="8"/>
          </w:tcPr>
          <w:p>
            <w:pPr>
              <w:spacing w:after="0" w:line="129" w:lineRule="exact"/>
              <w:rPr>
                <w:sz w:val="20"/>
                <w:szCs w:val="20"/>
                <w:color w:val="auto"/>
              </w:rPr>
            </w:pPr>
            <w:r>
              <w:rPr>
                <w:rFonts w:ascii="Arial" w:cs="Arial" w:eastAsia="Arial" w:hAnsi="Arial"/>
                <w:sz w:val="13"/>
                <w:szCs w:val="13"/>
                <w:color w:val="auto"/>
              </w:rPr>
              <w:t>Crossroads</w:t>
            </w:r>
          </w:p>
        </w:tc>
        <w:tc>
          <w:tcPr>
            <w:tcW w:w="360" w:type="dxa"/>
            <w:vAlign w:val="bottom"/>
          </w:tcPr>
          <w:p>
            <w:pPr>
              <w:spacing w:after="0"/>
              <w:rPr>
                <w:sz w:val="11"/>
                <w:szCs w:val="11"/>
                <w:color w:val="auto"/>
              </w:rPr>
            </w:pPr>
          </w:p>
        </w:tc>
        <w:tc>
          <w:tcPr>
            <w:tcW w:w="1360" w:type="dxa"/>
            <w:vAlign w:val="bottom"/>
          </w:tcPr>
          <w:p>
            <w:pPr>
              <w:spacing w:after="0" w:line="129" w:lineRule="exact"/>
              <w:rPr>
                <w:sz w:val="20"/>
                <w:szCs w:val="20"/>
                <w:color w:val="auto"/>
              </w:rPr>
            </w:pPr>
            <w:r>
              <w:rPr>
                <w:rFonts w:ascii="Arial" w:cs="Arial" w:eastAsia="Arial" w:hAnsi="Arial"/>
                <w:sz w:val="13"/>
                <w:szCs w:val="13"/>
                <w:color w:val="auto"/>
              </w:rPr>
              <w:t>Chicago, IL</w:t>
            </w:r>
          </w:p>
        </w:tc>
        <w:tc>
          <w:tcPr>
            <w:tcW w:w="660" w:type="dxa"/>
            <w:vAlign w:val="bottom"/>
            <w:gridSpan w:val="3"/>
          </w:tcPr>
          <w:p>
            <w:pPr>
              <w:jc w:val="right"/>
              <w:ind w:right="40"/>
              <w:spacing w:after="0" w:line="129" w:lineRule="exact"/>
              <w:rPr>
                <w:sz w:val="20"/>
                <w:szCs w:val="20"/>
                <w:color w:val="auto"/>
              </w:rPr>
            </w:pPr>
            <w:r>
              <w:rPr>
                <w:rFonts w:ascii="Arial" w:cs="Arial" w:eastAsia="Arial" w:hAnsi="Arial"/>
                <w:sz w:val="13"/>
                <w:szCs w:val="13"/>
                <w:color w:val="auto"/>
              </w:rPr>
              <w:t>1993</w:t>
            </w: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29,225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168,000</w:t>
            </w:r>
          </w:p>
        </w:tc>
        <w:tc>
          <w:tcPr>
            <w:tcW w:w="700" w:type="dxa"/>
            <w:vAlign w:val="bottom"/>
            <w:gridSpan w:val="3"/>
          </w:tcPr>
          <w:p>
            <w:pPr>
              <w:jc w:val="right"/>
              <w:ind w:right="140"/>
              <w:spacing w:after="0" w:line="129" w:lineRule="exact"/>
              <w:rPr>
                <w:sz w:val="20"/>
                <w:szCs w:val="20"/>
                <w:color w:val="auto"/>
              </w:rPr>
            </w:pPr>
            <w:r>
              <w:rPr>
                <w:rFonts w:ascii="Arial" w:cs="Arial" w:eastAsia="Arial" w:hAnsi="Arial"/>
                <w:sz w:val="13"/>
                <w:szCs w:val="13"/>
                <w:color w:val="auto"/>
              </w:rPr>
              <w:t>95%</w:t>
            </w:r>
          </w:p>
        </w:tc>
        <w:tc>
          <w:tcPr>
            <w:tcW w:w="90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95%</w:t>
            </w: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17.46</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line="129" w:lineRule="exact"/>
              <w:rPr>
                <w:sz w:val="20"/>
                <w:szCs w:val="20"/>
                <w:color w:val="auto"/>
              </w:rPr>
            </w:pPr>
            <w:r>
              <w:rPr>
                <w:rFonts w:ascii="Arial" w:cs="Arial" w:eastAsia="Arial" w:hAnsi="Arial"/>
                <w:sz w:val="13"/>
                <w:szCs w:val="13"/>
                <w:color w:val="auto"/>
                <w:w w:val="96"/>
              </w:rPr>
              <w:t>Golfsmith / Guitar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line="144" w:lineRule="exact"/>
              <w:rPr>
                <w:sz w:val="20"/>
                <w:szCs w:val="20"/>
                <w:color w:val="auto"/>
              </w:rPr>
            </w:pPr>
            <w:r>
              <w:rPr>
                <w:rFonts w:ascii="Arial" w:cs="Arial" w:eastAsia="Arial" w:hAnsi="Arial"/>
                <w:sz w:val="13"/>
                <w:szCs w:val="13"/>
                <w:color w:val="auto"/>
              </w:rPr>
              <w:t>Center / L.A.</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Fitness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gridSpan w:val="8"/>
            <w:shd w:val="clear" w:color="auto" w:fill="CCEEFF"/>
          </w:tcPr>
          <w:p>
            <w:pPr>
              <w:spacing w:after="0" w:line="136" w:lineRule="exact"/>
              <w:rPr>
                <w:sz w:val="20"/>
                <w:szCs w:val="20"/>
                <w:color w:val="auto"/>
              </w:rPr>
            </w:pPr>
            <w:r>
              <w:rPr>
                <w:rFonts w:ascii="Arial" w:cs="Arial" w:eastAsia="Arial" w:hAnsi="Arial"/>
                <w:sz w:val="13"/>
                <w:szCs w:val="13"/>
                <w:color w:val="auto"/>
              </w:rPr>
              <w:t>Finley Square</w:t>
            </w:r>
          </w:p>
        </w:tc>
        <w:tc>
          <w:tcPr>
            <w:tcW w:w="3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Chicago, IL</w:t>
            </w:r>
          </w:p>
        </w:tc>
        <w:tc>
          <w:tcPr>
            <w:tcW w:w="66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1995</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32,475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315,000</w:t>
            </w:r>
          </w:p>
        </w:tc>
        <w:tc>
          <w:tcPr>
            <w:tcW w:w="700" w:type="dxa"/>
            <w:vAlign w:val="bottom"/>
            <w:gridSpan w:val="3"/>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99%</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5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10.58</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Bed, Bath &amp;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4"/>
              </w:rPr>
              <w:t>Beyond / Buy Buy</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Baby / Petsmart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00" w:type="dxa"/>
            <w:vAlign w:val="bottom"/>
            <w:gridSpan w:val="8"/>
          </w:tcPr>
          <w:p>
            <w:pPr>
              <w:spacing w:after="0" w:line="144" w:lineRule="exact"/>
              <w:rPr>
                <w:sz w:val="20"/>
                <w:szCs w:val="20"/>
                <w:color w:val="auto"/>
              </w:rPr>
            </w:pPr>
            <w:r>
              <w:rPr>
                <w:rFonts w:ascii="Arial" w:cs="Arial" w:eastAsia="Arial" w:hAnsi="Arial"/>
                <w:sz w:val="13"/>
                <w:szCs w:val="13"/>
                <w:color w:val="auto"/>
              </w:rPr>
              <w:t>Garden Market</w:t>
            </w:r>
          </w:p>
        </w:tc>
        <w:tc>
          <w:tcPr>
            <w:tcW w:w="360" w:type="dxa"/>
            <w:vAlign w:val="bottom"/>
          </w:tcPr>
          <w:p>
            <w:pPr>
              <w:spacing w:after="0"/>
              <w:rPr>
                <w:sz w:val="12"/>
                <w:szCs w:val="12"/>
                <w:color w:val="auto"/>
              </w:rPr>
            </w:pPr>
          </w:p>
        </w:tc>
        <w:tc>
          <w:tcPr>
            <w:tcW w:w="1360" w:type="dxa"/>
            <w:vAlign w:val="bottom"/>
          </w:tcPr>
          <w:p>
            <w:pPr>
              <w:spacing w:after="0" w:line="144" w:lineRule="exact"/>
              <w:rPr>
                <w:sz w:val="20"/>
                <w:szCs w:val="20"/>
                <w:color w:val="auto"/>
              </w:rPr>
            </w:pPr>
            <w:r>
              <w:rPr>
                <w:rFonts w:ascii="Arial" w:cs="Arial" w:eastAsia="Arial" w:hAnsi="Arial"/>
                <w:sz w:val="13"/>
                <w:szCs w:val="13"/>
                <w:color w:val="auto"/>
              </w:rPr>
              <w:t>Chicago, IL</w:t>
            </w:r>
          </w:p>
        </w:tc>
        <w:tc>
          <w:tcPr>
            <w:tcW w:w="660" w:type="dxa"/>
            <w:vAlign w:val="bottom"/>
            <w:gridSpan w:val="3"/>
          </w:tcPr>
          <w:p>
            <w:pPr>
              <w:jc w:val="right"/>
              <w:ind w:right="40"/>
              <w:spacing w:after="0" w:line="144" w:lineRule="exact"/>
              <w:rPr>
                <w:sz w:val="20"/>
                <w:szCs w:val="20"/>
                <w:color w:val="auto"/>
              </w:rPr>
            </w:pPr>
            <w:r>
              <w:rPr>
                <w:rFonts w:ascii="Arial" w:cs="Arial" w:eastAsia="Arial" w:hAnsi="Arial"/>
                <w:sz w:val="13"/>
                <w:szCs w:val="13"/>
                <w:color w:val="auto"/>
              </w:rPr>
              <w:t>1994</w:t>
            </w:r>
          </w:p>
        </w:tc>
        <w:tc>
          <w:tcPr>
            <w:tcW w:w="800" w:type="dxa"/>
            <w:vAlign w:val="bottom"/>
          </w:tcPr>
          <w:p>
            <w:pPr>
              <w:jc w:val="right"/>
              <w:spacing w:after="0" w:line="144" w:lineRule="exact"/>
              <w:rPr>
                <w:sz w:val="20"/>
                <w:szCs w:val="20"/>
                <w:color w:val="auto"/>
              </w:rPr>
            </w:pPr>
            <w:r>
              <w:rPr>
                <w:rFonts w:ascii="Arial" w:cs="Arial" w:eastAsia="Arial" w:hAnsi="Arial"/>
                <w:sz w:val="13"/>
                <w:szCs w:val="13"/>
                <w:color w:val="auto"/>
              </w:rPr>
              <w:t>12,372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140,000</w:t>
            </w:r>
          </w:p>
        </w:tc>
        <w:tc>
          <w:tcPr>
            <w:tcW w:w="700" w:type="dxa"/>
            <w:vAlign w:val="bottom"/>
            <w:gridSpan w:val="3"/>
          </w:tcPr>
          <w:p>
            <w:pPr>
              <w:jc w:val="right"/>
              <w:ind w:right="140"/>
              <w:spacing w:after="0" w:line="144" w:lineRule="exact"/>
              <w:rPr>
                <w:sz w:val="20"/>
                <w:szCs w:val="20"/>
                <w:color w:val="auto"/>
              </w:rPr>
            </w:pPr>
            <w:r>
              <w:rPr>
                <w:rFonts w:ascii="Arial" w:cs="Arial" w:eastAsia="Arial" w:hAnsi="Arial"/>
                <w:sz w:val="13"/>
                <w:szCs w:val="13"/>
                <w:color w:val="auto"/>
              </w:rPr>
              <w:t>95%</w:t>
            </w:r>
          </w:p>
        </w:tc>
        <w:tc>
          <w:tcPr>
            <w:tcW w:w="9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95%</w:t>
            </w:r>
          </w:p>
        </w:tc>
        <w:tc>
          <w:tcPr>
            <w:tcW w:w="5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12.50</w:t>
            </w: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63,000</w:t>
            </w:r>
          </w:p>
        </w:tc>
        <w:tc>
          <w:tcPr>
            <w:tcW w:w="640" w:type="dxa"/>
            <w:vAlign w:val="bottom"/>
          </w:tcPr>
          <w:p>
            <w:pPr>
              <w:spacing w:after="0" w:line="144" w:lineRule="exact"/>
              <w:rPr>
                <w:sz w:val="20"/>
                <w:szCs w:val="20"/>
                <w:color w:val="auto"/>
              </w:rPr>
            </w:pPr>
            <w:r>
              <w:rPr>
                <w:rFonts w:ascii="Arial" w:cs="Arial" w:eastAsia="Arial" w:hAnsi="Arial"/>
                <w:sz w:val="13"/>
                <w:szCs w:val="13"/>
                <w:color w:val="auto"/>
                <w:w w:val="98"/>
              </w:rPr>
              <w:t>Dominick’s</w:t>
            </w:r>
          </w:p>
        </w:tc>
        <w:tc>
          <w:tcPr>
            <w:tcW w:w="80" w:type="dxa"/>
            <w:vAlign w:val="bottom"/>
          </w:tcPr>
          <w:p>
            <w:pPr>
              <w:spacing w:after="0"/>
              <w:rPr>
                <w:sz w:val="12"/>
                <w:szCs w:val="12"/>
                <w:color w:val="auto"/>
              </w:rPr>
            </w:pPr>
          </w:p>
        </w:tc>
        <w:tc>
          <w:tcPr>
            <w:tcW w:w="1000" w:type="dxa"/>
            <w:vAlign w:val="bottom"/>
          </w:tcPr>
          <w:p>
            <w:pPr>
              <w:spacing w:after="0" w:line="144" w:lineRule="exact"/>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00" w:type="dxa"/>
            <w:vAlign w:val="bottom"/>
            <w:gridSpan w:val="8"/>
            <w:shd w:val="clear" w:color="auto" w:fill="CCEEFF"/>
          </w:tcPr>
          <w:p>
            <w:pPr>
              <w:spacing w:after="0" w:line="144" w:lineRule="exact"/>
              <w:rPr>
                <w:sz w:val="20"/>
                <w:szCs w:val="20"/>
                <w:color w:val="auto"/>
              </w:rPr>
            </w:pPr>
            <w:r>
              <w:rPr>
                <w:rFonts w:ascii="Arial" w:cs="Arial" w:eastAsia="Arial" w:hAnsi="Arial"/>
                <w:sz w:val="13"/>
                <w:szCs w:val="13"/>
                <w:color w:val="auto"/>
              </w:rPr>
              <w:t>North Lake Commons</w:t>
            </w:r>
          </w:p>
        </w:tc>
        <w:tc>
          <w:tcPr>
            <w:tcW w:w="3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Chicago, IL</w:t>
            </w:r>
          </w:p>
        </w:tc>
        <w:tc>
          <w:tcPr>
            <w:tcW w:w="660" w:type="dxa"/>
            <w:vAlign w:val="bottom"/>
            <w:gridSpan w:val="3"/>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1994</w:t>
            </w: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14,135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129,000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89%</w:t>
            </w:r>
          </w:p>
        </w:tc>
        <w:tc>
          <w:tcPr>
            <w:tcW w:w="9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89%</w:t>
            </w:r>
          </w:p>
        </w:tc>
        <w:tc>
          <w:tcPr>
            <w:tcW w:w="5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12.19</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77,000</w:t>
            </w:r>
          </w:p>
        </w:tc>
        <w:tc>
          <w:tcPr>
            <w:tcW w:w="6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8"/>
              </w:rPr>
              <w:t>Dominick’s</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vMerge w:val="restart"/>
          </w:tcPr>
          <w:p>
            <w:pPr>
              <w:spacing w:after="0"/>
              <w:rPr>
                <w:sz w:val="20"/>
                <w:szCs w:val="20"/>
                <w:color w:val="auto"/>
              </w:rPr>
            </w:pPr>
            <w:r>
              <w:rPr>
                <w:rFonts w:ascii="Arial" w:cs="Arial" w:eastAsia="Arial" w:hAnsi="Arial"/>
                <w:sz w:val="13"/>
                <w:szCs w:val="13"/>
                <w:b w:val="1"/>
                <w:bCs w:val="1"/>
                <w:color w:val="auto"/>
              </w:rPr>
              <w:t>Total Chicago</w:t>
            </w: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88,207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752,000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96%</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96%</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12.73</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00" w:type="dxa"/>
            <w:vAlign w:val="bottom"/>
            <w:gridSpan w:val="8"/>
            <w:shd w:val="clear" w:color="auto" w:fill="CCEEFF"/>
          </w:tcPr>
          <w:p>
            <w:pPr>
              <w:ind w:left="200"/>
              <w:spacing w:after="0" w:line="131" w:lineRule="exact"/>
              <w:rPr>
                <w:sz w:val="20"/>
                <w:szCs w:val="20"/>
                <w:color w:val="auto"/>
              </w:rPr>
            </w:pPr>
            <w:r>
              <w:rPr>
                <w:rFonts w:ascii="Arial" w:cs="Arial" w:eastAsia="Arial" w:hAnsi="Arial"/>
                <w:sz w:val="13"/>
                <w:szCs w:val="13"/>
                <w:b w:val="1"/>
                <w:bCs w:val="1"/>
                <w:color w:val="auto"/>
              </w:rPr>
              <w:t>South Florida</w:t>
            </w:r>
          </w:p>
        </w:tc>
        <w:tc>
          <w:tcPr>
            <w:tcW w:w="3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continue"/>
          </w:tcPr>
          <w:p>
            <w:pPr>
              <w:spacing w:after="0"/>
              <w:rPr>
                <w:sz w:val="11"/>
                <w:szCs w:val="11"/>
                <w:color w:val="auto"/>
              </w:rPr>
            </w:pPr>
          </w:p>
        </w:tc>
        <w:tc>
          <w:tcPr>
            <w:tcW w:w="1900" w:type="dxa"/>
            <w:vAlign w:val="bottom"/>
            <w:gridSpan w:val="8"/>
          </w:tcPr>
          <w:p>
            <w:pPr>
              <w:spacing w:after="0" w:line="138" w:lineRule="exact"/>
              <w:rPr>
                <w:sz w:val="20"/>
                <w:szCs w:val="20"/>
                <w:color w:val="auto"/>
              </w:rPr>
            </w:pPr>
            <w:r>
              <w:rPr>
                <w:rFonts w:ascii="Arial" w:cs="Arial" w:eastAsia="Arial" w:hAnsi="Arial"/>
                <w:sz w:val="13"/>
                <w:szCs w:val="13"/>
                <w:color w:val="auto"/>
              </w:rPr>
              <w:t>Courtyard Shops</w:t>
            </w:r>
          </w:p>
        </w:tc>
        <w:tc>
          <w:tcPr>
            <w:tcW w:w="360" w:type="dxa"/>
            <w:vAlign w:val="bottom"/>
          </w:tcPr>
          <w:p>
            <w:pPr>
              <w:spacing w:after="0"/>
              <w:rPr>
                <w:sz w:val="11"/>
                <w:szCs w:val="11"/>
                <w:color w:val="auto"/>
              </w:rPr>
            </w:pPr>
          </w:p>
        </w:tc>
        <w:tc>
          <w:tcPr>
            <w:tcW w:w="1360" w:type="dxa"/>
            <w:vAlign w:val="bottom"/>
          </w:tcPr>
          <w:p>
            <w:pPr>
              <w:spacing w:after="0" w:line="138" w:lineRule="exact"/>
              <w:rPr>
                <w:sz w:val="20"/>
                <w:szCs w:val="20"/>
                <w:color w:val="auto"/>
              </w:rPr>
            </w:pPr>
            <w:r>
              <w:rPr>
                <w:rFonts w:ascii="Arial" w:cs="Arial" w:eastAsia="Arial" w:hAnsi="Arial"/>
                <w:sz w:val="13"/>
                <w:szCs w:val="13"/>
                <w:color w:val="auto"/>
              </w:rPr>
              <w:t>Miami-Ft Lauderdale</w:t>
            </w:r>
          </w:p>
        </w:tc>
        <w:tc>
          <w:tcPr>
            <w:tcW w:w="66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2008</w:t>
            </w:r>
          </w:p>
        </w:tc>
        <w:tc>
          <w:tcPr>
            <w:tcW w:w="800" w:type="dxa"/>
            <w:vAlign w:val="bottom"/>
          </w:tcPr>
          <w:p>
            <w:pPr>
              <w:jc w:val="right"/>
              <w:spacing w:after="0" w:line="138" w:lineRule="exact"/>
              <w:rPr>
                <w:sz w:val="20"/>
                <w:szCs w:val="20"/>
                <w:color w:val="auto"/>
              </w:rPr>
            </w:pPr>
            <w:r>
              <w:rPr>
                <w:rFonts w:ascii="Arial" w:cs="Arial" w:eastAsia="Arial" w:hAnsi="Arial"/>
                <w:sz w:val="13"/>
                <w:szCs w:val="13"/>
                <w:color w:val="auto"/>
              </w:rPr>
              <w:t>39,717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7,289</w:t>
            </w:r>
          </w:p>
        </w:tc>
        <w:tc>
          <w:tcPr>
            <w:tcW w:w="70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130,000</w:t>
            </w:r>
          </w:p>
        </w:tc>
        <w:tc>
          <w:tcPr>
            <w:tcW w:w="70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88%</w:t>
            </w:r>
          </w:p>
        </w:tc>
        <w:tc>
          <w:tcPr>
            <w:tcW w:w="90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86%</w:t>
            </w:r>
          </w:p>
        </w:tc>
        <w:tc>
          <w:tcPr>
            <w:tcW w:w="5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19.28</w:t>
            </w:r>
          </w:p>
        </w:tc>
        <w:tc>
          <w:tcPr>
            <w:tcW w:w="120" w:type="dxa"/>
            <w:vAlign w:val="bottom"/>
          </w:tcPr>
          <w:p>
            <w:pPr>
              <w:spacing w:after="0"/>
              <w:rPr>
                <w:sz w:val="11"/>
                <w:szCs w:val="11"/>
                <w:color w:val="auto"/>
              </w:rPr>
            </w:pPr>
          </w:p>
        </w:tc>
        <w:tc>
          <w:tcPr>
            <w:tcW w:w="6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49,000</w:t>
            </w:r>
          </w:p>
        </w:tc>
        <w:tc>
          <w:tcPr>
            <w:tcW w:w="640" w:type="dxa"/>
            <w:vAlign w:val="bottom"/>
          </w:tcPr>
          <w:p>
            <w:pPr>
              <w:spacing w:after="0" w:line="138" w:lineRule="exact"/>
              <w:rPr>
                <w:sz w:val="20"/>
                <w:szCs w:val="20"/>
                <w:color w:val="auto"/>
              </w:rPr>
            </w:pPr>
            <w:r>
              <w:rPr>
                <w:rFonts w:ascii="Arial" w:cs="Arial" w:eastAsia="Arial" w:hAnsi="Arial"/>
                <w:sz w:val="13"/>
                <w:szCs w:val="13"/>
                <w:color w:val="auto"/>
              </w:rPr>
              <w:t>Publix</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00" w:type="dxa"/>
            <w:vAlign w:val="bottom"/>
            <w:gridSpan w:val="8"/>
            <w:shd w:val="clear" w:color="auto" w:fill="CCEEFF"/>
          </w:tcPr>
          <w:p>
            <w:pPr>
              <w:spacing w:after="0" w:line="144" w:lineRule="exact"/>
              <w:rPr>
                <w:sz w:val="20"/>
                <w:szCs w:val="20"/>
                <w:color w:val="auto"/>
              </w:rPr>
            </w:pPr>
            <w:r>
              <w:rPr>
                <w:rFonts w:ascii="Arial" w:cs="Arial" w:eastAsia="Arial" w:hAnsi="Arial"/>
                <w:sz w:val="13"/>
                <w:szCs w:val="13"/>
                <w:color w:val="auto"/>
              </w:rPr>
              <w:t>Del Mar Village</w:t>
            </w:r>
          </w:p>
        </w:tc>
        <w:tc>
          <w:tcPr>
            <w:tcW w:w="3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Miami-Ft Lauderdale</w:t>
            </w:r>
          </w:p>
        </w:tc>
        <w:tc>
          <w:tcPr>
            <w:tcW w:w="660" w:type="dxa"/>
            <w:vAlign w:val="bottom"/>
            <w:gridSpan w:val="3"/>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2008</w:t>
            </w: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54,880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178,000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90%</w:t>
            </w:r>
          </w:p>
        </w:tc>
        <w:tc>
          <w:tcPr>
            <w:tcW w:w="9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90%</w:t>
            </w:r>
          </w:p>
        </w:tc>
        <w:tc>
          <w:tcPr>
            <w:tcW w:w="5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17.24</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44,000</w:t>
            </w:r>
          </w:p>
        </w:tc>
        <w:tc>
          <w:tcPr>
            <w:tcW w:w="6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9"/>
              </w:rPr>
              <w:t>Winn Dixie</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vMerge w:val="restart"/>
          </w:tcPr>
          <w:p>
            <w:pPr>
              <w:spacing w:after="0"/>
              <w:rPr>
                <w:sz w:val="20"/>
                <w:szCs w:val="20"/>
                <w:color w:val="auto"/>
              </w:rPr>
            </w:pPr>
            <w:r>
              <w:rPr>
                <w:rFonts w:ascii="Arial" w:cs="Arial" w:eastAsia="Arial" w:hAnsi="Arial"/>
                <w:sz w:val="13"/>
                <w:szCs w:val="13"/>
                <w:b w:val="1"/>
                <w:bCs w:val="1"/>
                <w:color w:val="auto"/>
              </w:rPr>
              <w:t>Total South Florida</w:t>
            </w: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94,597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308,000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90%</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89%</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18.05</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00" w:type="dxa"/>
            <w:vAlign w:val="bottom"/>
            <w:gridSpan w:val="8"/>
            <w:shd w:val="clear" w:color="auto" w:fill="CCEEFF"/>
          </w:tcPr>
          <w:p>
            <w:pPr>
              <w:ind w:left="200"/>
              <w:spacing w:after="0" w:line="131" w:lineRule="exact"/>
              <w:rPr>
                <w:sz w:val="20"/>
                <w:szCs w:val="20"/>
                <w:color w:val="auto"/>
              </w:rPr>
            </w:pPr>
            <w:r>
              <w:rPr>
                <w:rFonts w:ascii="Arial" w:cs="Arial" w:eastAsia="Arial" w:hAnsi="Arial"/>
                <w:sz w:val="13"/>
                <w:szCs w:val="13"/>
                <w:b w:val="1"/>
                <w:bCs w:val="1"/>
                <w:color w:val="auto"/>
              </w:rPr>
              <w:t>Other</w:t>
            </w:r>
          </w:p>
        </w:tc>
        <w:tc>
          <w:tcPr>
            <w:tcW w:w="3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1900" w:type="dxa"/>
            <w:vAlign w:val="bottom"/>
            <w:gridSpan w:val="8"/>
          </w:tcPr>
          <w:p>
            <w:pPr>
              <w:spacing w:after="0" w:line="129" w:lineRule="exact"/>
              <w:rPr>
                <w:sz w:val="20"/>
                <w:szCs w:val="20"/>
                <w:color w:val="auto"/>
              </w:rPr>
            </w:pPr>
            <w:r>
              <w:rPr>
                <w:rFonts w:ascii="Arial" w:cs="Arial" w:eastAsia="Arial" w:hAnsi="Arial"/>
                <w:sz w:val="13"/>
                <w:szCs w:val="13"/>
                <w:color w:val="auto"/>
              </w:rPr>
              <w:t>Barracks Road</w:t>
            </w:r>
          </w:p>
        </w:tc>
        <w:tc>
          <w:tcPr>
            <w:tcW w:w="360" w:type="dxa"/>
            <w:vAlign w:val="bottom"/>
          </w:tcPr>
          <w:p>
            <w:pPr>
              <w:spacing w:after="0"/>
              <w:rPr>
                <w:sz w:val="11"/>
                <w:szCs w:val="11"/>
                <w:color w:val="auto"/>
              </w:rPr>
            </w:pPr>
          </w:p>
        </w:tc>
        <w:tc>
          <w:tcPr>
            <w:tcW w:w="1360" w:type="dxa"/>
            <w:vAlign w:val="bottom"/>
          </w:tcPr>
          <w:p>
            <w:pPr>
              <w:spacing w:after="0" w:line="129" w:lineRule="exact"/>
              <w:rPr>
                <w:sz w:val="20"/>
                <w:szCs w:val="20"/>
                <w:color w:val="auto"/>
              </w:rPr>
            </w:pPr>
            <w:r>
              <w:rPr>
                <w:rFonts w:ascii="Arial" w:cs="Arial" w:eastAsia="Arial" w:hAnsi="Arial"/>
                <w:sz w:val="13"/>
                <w:szCs w:val="13"/>
                <w:color w:val="auto"/>
              </w:rPr>
              <w:t>Charlottesville, VA</w:t>
            </w:r>
          </w:p>
        </w:tc>
        <w:tc>
          <w:tcPr>
            <w:tcW w:w="660" w:type="dxa"/>
            <w:vAlign w:val="bottom"/>
            <w:gridSpan w:val="3"/>
          </w:tcPr>
          <w:p>
            <w:pPr>
              <w:jc w:val="right"/>
              <w:ind w:right="40"/>
              <w:spacing w:after="0" w:line="129" w:lineRule="exact"/>
              <w:rPr>
                <w:sz w:val="20"/>
                <w:szCs w:val="20"/>
                <w:color w:val="auto"/>
              </w:rPr>
            </w:pPr>
            <w:r>
              <w:rPr>
                <w:rFonts w:ascii="Arial" w:cs="Arial" w:eastAsia="Arial" w:hAnsi="Arial"/>
                <w:sz w:val="13"/>
                <w:szCs w:val="13"/>
                <w:color w:val="auto"/>
              </w:rPr>
              <w:t>1985</w:t>
            </w: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50,961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39,850</w:t>
            </w:r>
          </w:p>
        </w:tc>
        <w:tc>
          <w:tcPr>
            <w:tcW w:w="70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486,000</w:t>
            </w:r>
          </w:p>
        </w:tc>
        <w:tc>
          <w:tcPr>
            <w:tcW w:w="700" w:type="dxa"/>
            <w:vAlign w:val="bottom"/>
            <w:gridSpan w:val="3"/>
          </w:tcPr>
          <w:p>
            <w:pPr>
              <w:jc w:val="right"/>
              <w:ind w:right="140"/>
              <w:spacing w:after="0" w:line="129" w:lineRule="exact"/>
              <w:rPr>
                <w:sz w:val="20"/>
                <w:szCs w:val="20"/>
                <w:color w:val="auto"/>
              </w:rPr>
            </w:pPr>
            <w:r>
              <w:rPr>
                <w:rFonts w:ascii="Arial" w:cs="Arial" w:eastAsia="Arial" w:hAnsi="Arial"/>
                <w:sz w:val="13"/>
                <w:szCs w:val="13"/>
                <w:color w:val="auto"/>
              </w:rPr>
              <w:t>99%</w:t>
            </w:r>
          </w:p>
        </w:tc>
        <w:tc>
          <w:tcPr>
            <w:tcW w:w="90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99%</w:t>
            </w: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21.44</w:t>
            </w:r>
          </w:p>
        </w:tc>
        <w:tc>
          <w:tcPr>
            <w:tcW w:w="120" w:type="dxa"/>
            <w:vAlign w:val="bottom"/>
          </w:tcPr>
          <w:p>
            <w:pPr>
              <w:spacing w:after="0"/>
              <w:rPr>
                <w:sz w:val="11"/>
                <w:szCs w:val="11"/>
                <w:color w:val="auto"/>
              </w:rPr>
            </w:pPr>
          </w:p>
        </w:tc>
        <w:tc>
          <w:tcPr>
            <w:tcW w:w="60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99,000</w:t>
            </w:r>
          </w:p>
        </w:tc>
        <w:tc>
          <w:tcPr>
            <w:tcW w:w="640" w:type="dxa"/>
            <w:vAlign w:val="bottom"/>
          </w:tcPr>
          <w:p>
            <w:pPr>
              <w:spacing w:after="0" w:line="129" w:lineRule="exact"/>
              <w:rPr>
                <w:sz w:val="20"/>
                <w:szCs w:val="20"/>
                <w:color w:val="auto"/>
              </w:rPr>
            </w:pPr>
            <w:r>
              <w:rPr>
                <w:rFonts w:ascii="Arial" w:cs="Arial" w:eastAsia="Arial" w:hAnsi="Arial"/>
                <w:sz w:val="13"/>
                <w:szCs w:val="13"/>
                <w:color w:val="auto"/>
              </w:rPr>
              <w:t>Harris</w:t>
            </w:r>
          </w:p>
        </w:tc>
        <w:tc>
          <w:tcPr>
            <w:tcW w:w="80" w:type="dxa"/>
            <w:vAlign w:val="bottom"/>
          </w:tcPr>
          <w:p>
            <w:pPr>
              <w:spacing w:after="0"/>
              <w:rPr>
                <w:sz w:val="11"/>
                <w:szCs w:val="11"/>
                <w:color w:val="auto"/>
              </w:rPr>
            </w:pPr>
          </w:p>
        </w:tc>
        <w:tc>
          <w:tcPr>
            <w:tcW w:w="1000" w:type="dxa"/>
            <w:vAlign w:val="bottom"/>
          </w:tcPr>
          <w:p>
            <w:pPr>
              <w:spacing w:after="0" w:line="129" w:lineRule="exact"/>
              <w:rPr>
                <w:sz w:val="20"/>
                <w:szCs w:val="20"/>
                <w:color w:val="auto"/>
              </w:rPr>
            </w:pPr>
            <w:r>
              <w:rPr>
                <w:rFonts w:ascii="Arial" w:cs="Arial" w:eastAsia="Arial" w:hAnsi="Arial"/>
                <w:sz w:val="13"/>
                <w:szCs w:val="13"/>
                <w:color w:val="auto"/>
              </w:rPr>
              <w:t>Anthropologie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line="144" w:lineRule="exact"/>
              <w:rPr>
                <w:sz w:val="20"/>
                <w:szCs w:val="20"/>
                <w:color w:val="auto"/>
              </w:rPr>
            </w:pPr>
            <w:r>
              <w:rPr>
                <w:rFonts w:ascii="Arial" w:cs="Arial" w:eastAsia="Arial" w:hAnsi="Arial"/>
                <w:sz w:val="13"/>
                <w:szCs w:val="13"/>
                <w:color w:val="auto"/>
              </w:rPr>
              <w:t>Teeter /</w:t>
            </w:r>
          </w:p>
        </w:tc>
        <w:tc>
          <w:tcPr>
            <w:tcW w:w="80" w:type="dxa"/>
            <w:vAlign w:val="bottom"/>
          </w:tcPr>
          <w:p>
            <w:pPr>
              <w:spacing w:after="0"/>
              <w:rPr>
                <w:sz w:val="12"/>
                <w:szCs w:val="12"/>
                <w:color w:val="auto"/>
              </w:rPr>
            </w:pPr>
          </w:p>
        </w:tc>
        <w:tc>
          <w:tcPr>
            <w:tcW w:w="1000" w:type="dxa"/>
            <w:vAlign w:val="bottom"/>
          </w:tcPr>
          <w:p>
            <w:pPr>
              <w:spacing w:after="0" w:line="144" w:lineRule="exact"/>
              <w:rPr>
                <w:sz w:val="20"/>
                <w:szCs w:val="20"/>
                <w:color w:val="auto"/>
              </w:rPr>
            </w:pPr>
            <w:r>
              <w:rPr>
                <w:rFonts w:ascii="Arial" w:cs="Arial" w:eastAsia="Arial" w:hAnsi="Arial"/>
                <w:sz w:val="13"/>
                <w:szCs w:val="13"/>
                <w:color w:val="auto"/>
              </w:rPr>
              <w:t>Bed, Bath &amp;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line="144" w:lineRule="exact"/>
              <w:rPr>
                <w:sz w:val="20"/>
                <w:szCs w:val="20"/>
                <w:color w:val="auto"/>
              </w:rPr>
            </w:pPr>
            <w:r>
              <w:rPr>
                <w:rFonts w:ascii="Arial" w:cs="Arial" w:eastAsia="Arial" w:hAnsi="Arial"/>
                <w:sz w:val="13"/>
                <w:szCs w:val="13"/>
                <w:color w:val="auto"/>
              </w:rPr>
              <w:t>Kroger</w:t>
            </w:r>
          </w:p>
        </w:tc>
        <w:tc>
          <w:tcPr>
            <w:tcW w:w="80" w:type="dxa"/>
            <w:vAlign w:val="bottom"/>
          </w:tcPr>
          <w:p>
            <w:pPr>
              <w:spacing w:after="0"/>
              <w:rPr>
                <w:sz w:val="12"/>
                <w:szCs w:val="12"/>
                <w:color w:val="auto"/>
              </w:rPr>
            </w:pPr>
          </w:p>
        </w:tc>
        <w:tc>
          <w:tcPr>
            <w:tcW w:w="1000" w:type="dxa"/>
            <w:vAlign w:val="bottom"/>
          </w:tcPr>
          <w:p>
            <w:pPr>
              <w:spacing w:after="0" w:line="144" w:lineRule="exact"/>
              <w:rPr>
                <w:sz w:val="20"/>
                <w:szCs w:val="20"/>
                <w:color w:val="auto"/>
              </w:rPr>
            </w:pPr>
            <w:r>
              <w:rPr>
                <w:rFonts w:ascii="Arial" w:cs="Arial" w:eastAsia="Arial" w:hAnsi="Arial"/>
                <w:sz w:val="13"/>
                <w:szCs w:val="13"/>
                <w:color w:val="auto"/>
                <w:w w:val="90"/>
              </w:rPr>
              <w:t>Beyond / Barnes &amp;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line="144" w:lineRule="exact"/>
              <w:rPr>
                <w:sz w:val="20"/>
                <w:szCs w:val="20"/>
                <w:color w:val="auto"/>
              </w:rPr>
            </w:pPr>
            <w:r>
              <w:rPr>
                <w:rFonts w:ascii="Arial" w:cs="Arial" w:eastAsia="Arial" w:hAnsi="Arial"/>
                <w:sz w:val="13"/>
                <w:szCs w:val="13"/>
                <w:color w:val="auto"/>
                <w:w w:val="92"/>
              </w:rPr>
              <w:t>Noble / Old Navy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Michaels / Ulta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gridSpan w:val="8"/>
            <w:shd w:val="clear" w:color="auto" w:fill="CCEEFF"/>
          </w:tcPr>
          <w:p>
            <w:pPr>
              <w:spacing w:after="0" w:line="136" w:lineRule="exact"/>
              <w:rPr>
                <w:sz w:val="20"/>
                <w:szCs w:val="20"/>
                <w:color w:val="auto"/>
              </w:rPr>
            </w:pPr>
            <w:r>
              <w:rPr>
                <w:rFonts w:ascii="Arial" w:cs="Arial" w:eastAsia="Arial" w:hAnsi="Arial"/>
                <w:sz w:val="13"/>
                <w:szCs w:val="13"/>
                <w:color w:val="auto"/>
              </w:rPr>
              <w:t>Bristol Plaza</w:t>
            </w:r>
          </w:p>
        </w:tc>
        <w:tc>
          <w:tcPr>
            <w:tcW w:w="3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Hartford, CT</w:t>
            </w:r>
          </w:p>
        </w:tc>
        <w:tc>
          <w:tcPr>
            <w:tcW w:w="66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1995</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28,271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269,000</w:t>
            </w:r>
          </w:p>
        </w:tc>
        <w:tc>
          <w:tcPr>
            <w:tcW w:w="700" w:type="dxa"/>
            <w:vAlign w:val="bottom"/>
            <w:gridSpan w:val="3"/>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94%</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94%</w:t>
            </w:r>
          </w:p>
        </w:tc>
        <w:tc>
          <w:tcPr>
            <w:tcW w:w="5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12.24</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74,000</w:t>
            </w:r>
          </w:p>
        </w:tc>
        <w:tc>
          <w:tcPr>
            <w:tcW w:w="6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Stop &amp;</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3"/>
                <w:szCs w:val="13"/>
                <w:color w:val="auto"/>
              </w:rPr>
              <w:t>Shop</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gridSpan w:val="8"/>
          </w:tcPr>
          <w:p>
            <w:pPr>
              <w:spacing w:after="0" w:line="136" w:lineRule="exact"/>
              <w:rPr>
                <w:sz w:val="20"/>
                <w:szCs w:val="20"/>
                <w:color w:val="auto"/>
              </w:rPr>
            </w:pPr>
            <w:r>
              <w:rPr>
                <w:rFonts w:ascii="Arial" w:cs="Arial" w:eastAsia="Arial" w:hAnsi="Arial"/>
                <w:sz w:val="13"/>
                <w:szCs w:val="13"/>
                <w:color w:val="auto"/>
              </w:rPr>
              <w:t>Eastgate</w:t>
            </w:r>
          </w:p>
        </w:tc>
        <w:tc>
          <w:tcPr>
            <w:tcW w:w="360" w:type="dxa"/>
            <w:vAlign w:val="bottom"/>
          </w:tcPr>
          <w:p>
            <w:pPr>
              <w:spacing w:after="0"/>
              <w:rPr>
                <w:sz w:val="11"/>
                <w:szCs w:val="11"/>
                <w:color w:val="auto"/>
              </w:rPr>
            </w:pPr>
          </w:p>
        </w:tc>
        <w:tc>
          <w:tcPr>
            <w:tcW w:w="1360" w:type="dxa"/>
            <w:vAlign w:val="bottom"/>
          </w:tcPr>
          <w:p>
            <w:pPr>
              <w:spacing w:after="0" w:line="136" w:lineRule="exact"/>
              <w:rPr>
                <w:sz w:val="20"/>
                <w:szCs w:val="20"/>
                <w:color w:val="auto"/>
              </w:rPr>
            </w:pPr>
            <w:r>
              <w:rPr>
                <w:rFonts w:ascii="Arial" w:cs="Arial" w:eastAsia="Arial" w:hAnsi="Arial"/>
                <w:sz w:val="13"/>
                <w:szCs w:val="13"/>
                <w:color w:val="auto"/>
                <w:w w:val="95"/>
              </w:rPr>
              <w:t>Raleigh-Durham-Chapel</w:t>
            </w:r>
          </w:p>
        </w:tc>
        <w:tc>
          <w:tcPr>
            <w:tcW w:w="6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1986</w:t>
            </w:r>
          </w:p>
        </w:tc>
        <w:tc>
          <w:tcPr>
            <w:tcW w:w="800" w:type="dxa"/>
            <w:vAlign w:val="bottom"/>
          </w:tcPr>
          <w:p>
            <w:pPr>
              <w:jc w:val="right"/>
              <w:spacing w:after="0" w:line="136" w:lineRule="exact"/>
              <w:rPr>
                <w:sz w:val="20"/>
                <w:szCs w:val="20"/>
                <w:color w:val="auto"/>
              </w:rPr>
            </w:pPr>
            <w:r>
              <w:rPr>
                <w:rFonts w:ascii="Arial" w:cs="Arial" w:eastAsia="Arial" w:hAnsi="Arial"/>
                <w:sz w:val="13"/>
                <w:szCs w:val="13"/>
                <w:color w:val="auto"/>
              </w:rPr>
              <w:t>26,377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153,000</w:t>
            </w:r>
          </w:p>
        </w:tc>
        <w:tc>
          <w:tcPr>
            <w:tcW w:w="700" w:type="dxa"/>
            <w:vAlign w:val="bottom"/>
            <w:gridSpan w:val="3"/>
          </w:tcPr>
          <w:p>
            <w:pPr>
              <w:jc w:val="right"/>
              <w:ind w:right="140"/>
              <w:spacing w:after="0" w:line="136"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5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20.68</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line="136" w:lineRule="exact"/>
              <w:rPr>
                <w:sz w:val="20"/>
                <w:szCs w:val="20"/>
                <w:color w:val="auto"/>
              </w:rPr>
            </w:pPr>
            <w:r>
              <w:rPr>
                <w:rFonts w:ascii="Arial" w:cs="Arial" w:eastAsia="Arial" w:hAnsi="Arial"/>
                <w:sz w:val="13"/>
                <w:szCs w:val="13"/>
                <w:color w:val="auto"/>
                <w:w w:val="90"/>
              </w:rPr>
              <w:t>Stein Mart / Trader</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Hill, NC</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Joe’s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gridSpan w:val="8"/>
            <w:shd w:val="clear" w:color="auto" w:fill="CCEEFF"/>
          </w:tcPr>
          <w:p>
            <w:pPr>
              <w:spacing w:after="0" w:line="136" w:lineRule="exact"/>
              <w:rPr>
                <w:sz w:val="20"/>
                <w:szCs w:val="20"/>
                <w:color w:val="auto"/>
              </w:rPr>
            </w:pPr>
            <w:r>
              <w:rPr>
                <w:rFonts w:ascii="Arial" w:cs="Arial" w:eastAsia="Arial" w:hAnsi="Arial"/>
                <w:sz w:val="13"/>
                <w:szCs w:val="13"/>
                <w:color w:val="auto"/>
              </w:rPr>
              <w:t>Gratiot Plaza</w:t>
            </w:r>
          </w:p>
        </w:tc>
        <w:tc>
          <w:tcPr>
            <w:tcW w:w="3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Detroit, MI</w:t>
            </w:r>
          </w:p>
        </w:tc>
        <w:tc>
          <w:tcPr>
            <w:tcW w:w="66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1973</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18,887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217,000</w:t>
            </w:r>
          </w:p>
        </w:tc>
        <w:tc>
          <w:tcPr>
            <w:tcW w:w="700" w:type="dxa"/>
            <w:vAlign w:val="bottom"/>
            <w:gridSpan w:val="3"/>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99%</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640" w:type="dxa"/>
            <w:vAlign w:val="bottom"/>
            <w:gridSpan w:val="3"/>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11.73</w:t>
            </w: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69,000</w:t>
            </w:r>
          </w:p>
        </w:tc>
        <w:tc>
          <w:tcPr>
            <w:tcW w:w="6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Kroger</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Bed, Bath &amp;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1"/>
              </w:rPr>
              <w:t>Beyond / Best Buy</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 DSW</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gridSpan w:val="8"/>
          </w:tcPr>
          <w:p>
            <w:pPr>
              <w:spacing w:after="0" w:line="136" w:lineRule="exact"/>
              <w:rPr>
                <w:sz w:val="20"/>
                <w:szCs w:val="20"/>
                <w:color w:val="auto"/>
              </w:rPr>
            </w:pPr>
            <w:r>
              <w:rPr>
                <w:rFonts w:ascii="Arial" w:cs="Arial" w:eastAsia="Arial" w:hAnsi="Arial"/>
                <w:sz w:val="13"/>
                <w:szCs w:val="13"/>
                <w:color w:val="auto"/>
              </w:rPr>
              <w:t>Greenwich Avenue</w:t>
            </w:r>
          </w:p>
        </w:tc>
        <w:tc>
          <w:tcPr>
            <w:tcW w:w="360" w:type="dxa"/>
            <w:vAlign w:val="bottom"/>
          </w:tcPr>
          <w:p>
            <w:pPr>
              <w:spacing w:after="0"/>
              <w:rPr>
                <w:sz w:val="11"/>
                <w:szCs w:val="11"/>
                <w:color w:val="auto"/>
              </w:rPr>
            </w:pPr>
          </w:p>
        </w:tc>
        <w:tc>
          <w:tcPr>
            <w:tcW w:w="1360" w:type="dxa"/>
            <w:vAlign w:val="bottom"/>
          </w:tcPr>
          <w:p>
            <w:pPr>
              <w:spacing w:after="0" w:line="136" w:lineRule="exact"/>
              <w:rPr>
                <w:sz w:val="20"/>
                <w:szCs w:val="20"/>
                <w:color w:val="auto"/>
              </w:rPr>
            </w:pPr>
            <w:r>
              <w:rPr>
                <w:rFonts w:ascii="Arial" w:cs="Arial" w:eastAsia="Arial" w:hAnsi="Arial"/>
                <w:sz w:val="13"/>
                <w:szCs w:val="13"/>
                <w:color w:val="auto"/>
                <w:w w:val="98"/>
              </w:rPr>
              <w:t>New Haven-Bridgeport-</w:t>
            </w:r>
          </w:p>
        </w:tc>
        <w:tc>
          <w:tcPr>
            <w:tcW w:w="6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1995</w:t>
            </w:r>
          </w:p>
        </w:tc>
        <w:tc>
          <w:tcPr>
            <w:tcW w:w="800" w:type="dxa"/>
            <w:vAlign w:val="bottom"/>
          </w:tcPr>
          <w:p>
            <w:pPr>
              <w:jc w:val="right"/>
              <w:spacing w:after="0" w:line="136" w:lineRule="exact"/>
              <w:rPr>
                <w:sz w:val="20"/>
                <w:szCs w:val="20"/>
                <w:color w:val="auto"/>
              </w:rPr>
            </w:pPr>
            <w:r>
              <w:rPr>
                <w:rFonts w:ascii="Arial" w:cs="Arial" w:eastAsia="Arial" w:hAnsi="Arial"/>
                <w:sz w:val="13"/>
                <w:szCs w:val="13"/>
                <w:color w:val="auto"/>
              </w:rPr>
              <w:t>13,969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36,000</w:t>
            </w:r>
          </w:p>
        </w:tc>
        <w:tc>
          <w:tcPr>
            <w:tcW w:w="700" w:type="dxa"/>
            <w:vAlign w:val="bottom"/>
            <w:gridSpan w:val="3"/>
          </w:tcPr>
          <w:p>
            <w:pPr>
              <w:jc w:val="right"/>
              <w:ind w:right="140"/>
              <w:spacing w:after="0" w:line="136"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5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53.00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line="136" w:lineRule="exact"/>
              <w:rPr>
                <w:sz w:val="20"/>
                <w:szCs w:val="20"/>
                <w:color w:val="auto"/>
              </w:rPr>
            </w:pPr>
            <w:r>
              <w:rPr>
                <w:rFonts w:ascii="Arial" w:cs="Arial" w:eastAsia="Arial" w:hAnsi="Arial"/>
                <w:sz w:val="13"/>
                <w:szCs w:val="13"/>
                <w:color w:val="auto"/>
                <w:w w:val="92"/>
              </w:rPr>
              <w:t>Saks Fifth Avenue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Stamford-Waterbury</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gridSpan w:val="8"/>
            <w:shd w:val="clear" w:color="auto" w:fill="CCEEFF"/>
          </w:tcPr>
          <w:p>
            <w:pPr>
              <w:spacing w:after="0" w:line="136" w:lineRule="exact"/>
              <w:rPr>
                <w:sz w:val="20"/>
                <w:szCs w:val="20"/>
                <w:color w:val="auto"/>
              </w:rPr>
            </w:pPr>
            <w:r>
              <w:rPr>
                <w:rFonts w:ascii="Arial" w:cs="Arial" w:eastAsia="Arial" w:hAnsi="Arial"/>
                <w:sz w:val="13"/>
                <w:szCs w:val="13"/>
                <w:color w:val="auto"/>
              </w:rPr>
              <w:t>Houston St</w:t>
            </w:r>
          </w:p>
        </w:tc>
        <w:tc>
          <w:tcPr>
            <w:tcW w:w="3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San Antonio, TX</w:t>
            </w:r>
          </w:p>
        </w:tc>
        <w:tc>
          <w:tcPr>
            <w:tcW w:w="66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1998</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65,773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196,000</w:t>
            </w:r>
          </w:p>
        </w:tc>
        <w:tc>
          <w:tcPr>
            <w:tcW w:w="700" w:type="dxa"/>
            <w:vAlign w:val="bottom"/>
            <w:gridSpan w:val="3"/>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83%</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83%</w:t>
            </w:r>
          </w:p>
        </w:tc>
        <w:tc>
          <w:tcPr>
            <w:tcW w:w="5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22.44</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Hotel Valencia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00" w:type="dxa"/>
            <w:vAlign w:val="bottom"/>
            <w:gridSpan w:val="8"/>
          </w:tcPr>
          <w:p>
            <w:pPr>
              <w:spacing w:after="0" w:line="144" w:lineRule="exact"/>
              <w:rPr>
                <w:sz w:val="20"/>
                <w:szCs w:val="20"/>
                <w:color w:val="auto"/>
              </w:rPr>
            </w:pPr>
            <w:r>
              <w:rPr>
                <w:rFonts w:ascii="Arial" w:cs="Arial" w:eastAsia="Arial" w:hAnsi="Arial"/>
                <w:sz w:val="13"/>
                <w:szCs w:val="13"/>
                <w:color w:val="auto"/>
              </w:rPr>
              <w:t>Lancaster</w:t>
            </w:r>
          </w:p>
        </w:tc>
        <w:tc>
          <w:tcPr>
            <w:tcW w:w="360" w:type="dxa"/>
            <w:vAlign w:val="bottom"/>
          </w:tcPr>
          <w:p>
            <w:pPr>
              <w:jc w:val="right"/>
              <w:ind w:right="34"/>
              <w:spacing w:after="0" w:line="144" w:lineRule="exact"/>
              <w:rPr>
                <w:sz w:val="20"/>
                <w:szCs w:val="20"/>
                <w:color w:val="auto"/>
              </w:rPr>
            </w:pPr>
            <w:r>
              <w:rPr>
                <w:rFonts w:ascii="Arial" w:cs="Arial" w:eastAsia="Arial" w:hAnsi="Arial"/>
                <w:sz w:val="13"/>
                <w:szCs w:val="13"/>
                <w:color w:val="auto"/>
              </w:rPr>
              <w:t>(15)</w:t>
            </w:r>
          </w:p>
        </w:tc>
        <w:tc>
          <w:tcPr>
            <w:tcW w:w="1360" w:type="dxa"/>
            <w:vAlign w:val="bottom"/>
          </w:tcPr>
          <w:p>
            <w:pPr>
              <w:spacing w:after="0" w:line="144" w:lineRule="exact"/>
              <w:rPr>
                <w:sz w:val="20"/>
                <w:szCs w:val="20"/>
                <w:color w:val="auto"/>
              </w:rPr>
            </w:pPr>
            <w:r>
              <w:rPr>
                <w:rFonts w:ascii="Arial" w:cs="Arial" w:eastAsia="Arial" w:hAnsi="Arial"/>
                <w:sz w:val="13"/>
                <w:szCs w:val="13"/>
                <w:color w:val="auto"/>
              </w:rPr>
              <w:t>Lancaster, PA</w:t>
            </w:r>
          </w:p>
        </w:tc>
        <w:tc>
          <w:tcPr>
            <w:tcW w:w="660" w:type="dxa"/>
            <w:vAlign w:val="bottom"/>
            <w:gridSpan w:val="3"/>
          </w:tcPr>
          <w:p>
            <w:pPr>
              <w:jc w:val="right"/>
              <w:ind w:right="40"/>
              <w:spacing w:after="0" w:line="144" w:lineRule="exact"/>
              <w:rPr>
                <w:sz w:val="20"/>
                <w:szCs w:val="20"/>
                <w:color w:val="auto"/>
              </w:rPr>
            </w:pPr>
            <w:r>
              <w:rPr>
                <w:rFonts w:ascii="Arial" w:cs="Arial" w:eastAsia="Arial" w:hAnsi="Arial"/>
                <w:sz w:val="13"/>
                <w:szCs w:val="13"/>
                <w:color w:val="auto"/>
              </w:rPr>
              <w:t>1980</w:t>
            </w:r>
          </w:p>
        </w:tc>
        <w:tc>
          <w:tcPr>
            <w:tcW w:w="800" w:type="dxa"/>
            <w:vAlign w:val="bottom"/>
          </w:tcPr>
          <w:p>
            <w:pPr>
              <w:jc w:val="right"/>
              <w:spacing w:after="0" w:line="144" w:lineRule="exact"/>
              <w:rPr>
                <w:sz w:val="20"/>
                <w:szCs w:val="20"/>
                <w:color w:val="auto"/>
              </w:rPr>
            </w:pPr>
            <w:r>
              <w:rPr>
                <w:rFonts w:ascii="Arial" w:cs="Arial" w:eastAsia="Arial" w:hAnsi="Arial"/>
                <w:sz w:val="13"/>
                <w:szCs w:val="13"/>
                <w:color w:val="auto"/>
              </w:rPr>
              <w:t>12,761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4,907</w:t>
            </w:r>
          </w:p>
        </w:tc>
        <w:tc>
          <w:tcPr>
            <w:tcW w:w="7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126,000</w:t>
            </w:r>
          </w:p>
        </w:tc>
        <w:tc>
          <w:tcPr>
            <w:tcW w:w="700" w:type="dxa"/>
            <w:vAlign w:val="bottom"/>
            <w:gridSpan w:val="3"/>
          </w:tcPr>
          <w:p>
            <w:pPr>
              <w:jc w:val="right"/>
              <w:ind w:right="140"/>
              <w:spacing w:after="0" w:line="144" w:lineRule="exact"/>
              <w:rPr>
                <w:sz w:val="20"/>
                <w:szCs w:val="20"/>
                <w:color w:val="auto"/>
              </w:rPr>
            </w:pPr>
            <w:r>
              <w:rPr>
                <w:rFonts w:ascii="Arial" w:cs="Arial" w:eastAsia="Arial" w:hAnsi="Arial"/>
                <w:sz w:val="13"/>
                <w:szCs w:val="13"/>
                <w:color w:val="auto"/>
              </w:rPr>
              <w:t>94%</w:t>
            </w:r>
          </w:p>
        </w:tc>
        <w:tc>
          <w:tcPr>
            <w:tcW w:w="9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94%</w:t>
            </w:r>
          </w:p>
        </w:tc>
        <w:tc>
          <w:tcPr>
            <w:tcW w:w="5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17.64</w:t>
            </w: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74,500</w:t>
            </w:r>
          </w:p>
        </w:tc>
        <w:tc>
          <w:tcPr>
            <w:tcW w:w="640" w:type="dxa"/>
            <w:vAlign w:val="bottom"/>
          </w:tcPr>
          <w:p>
            <w:pPr>
              <w:spacing w:after="0" w:line="144" w:lineRule="exact"/>
              <w:rPr>
                <w:sz w:val="20"/>
                <w:szCs w:val="20"/>
                <w:color w:val="auto"/>
              </w:rPr>
            </w:pPr>
            <w:r>
              <w:rPr>
                <w:rFonts w:ascii="Arial" w:cs="Arial" w:eastAsia="Arial" w:hAnsi="Arial"/>
                <w:sz w:val="13"/>
                <w:szCs w:val="13"/>
                <w:color w:val="auto"/>
                <w:w w:val="96"/>
              </w:rPr>
              <w:t>Giant Food</w:t>
            </w:r>
          </w:p>
        </w:tc>
        <w:tc>
          <w:tcPr>
            <w:tcW w:w="80" w:type="dxa"/>
            <w:vAlign w:val="bottom"/>
          </w:tcPr>
          <w:p>
            <w:pPr>
              <w:spacing w:after="0"/>
              <w:rPr>
                <w:sz w:val="12"/>
                <w:szCs w:val="12"/>
                <w:color w:val="auto"/>
              </w:rPr>
            </w:pPr>
          </w:p>
        </w:tc>
        <w:tc>
          <w:tcPr>
            <w:tcW w:w="1000" w:type="dxa"/>
            <w:vAlign w:val="bottom"/>
          </w:tcPr>
          <w:p>
            <w:pPr>
              <w:spacing w:after="0" w:line="144" w:lineRule="exact"/>
              <w:rPr>
                <w:sz w:val="20"/>
                <w:szCs w:val="20"/>
                <w:color w:val="auto"/>
              </w:rPr>
            </w:pPr>
            <w:r>
              <w:rPr>
                <w:rFonts w:ascii="Arial" w:cs="Arial" w:eastAsia="Arial" w:hAnsi="Arial"/>
                <w:sz w:val="13"/>
                <w:szCs w:val="13"/>
                <w:color w:val="auto"/>
              </w:rPr>
              <w:t>Michaels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gridSpan w:val="8"/>
            <w:shd w:val="clear" w:color="auto" w:fill="CCEEFF"/>
          </w:tcPr>
          <w:p>
            <w:pPr>
              <w:spacing w:after="0" w:line="136" w:lineRule="exact"/>
              <w:rPr>
                <w:sz w:val="20"/>
                <w:szCs w:val="20"/>
                <w:color w:val="auto"/>
              </w:rPr>
            </w:pPr>
            <w:r>
              <w:rPr>
                <w:rFonts w:ascii="Arial" w:cs="Arial" w:eastAsia="Arial" w:hAnsi="Arial"/>
                <w:sz w:val="13"/>
                <w:szCs w:val="13"/>
                <w:color w:val="auto"/>
              </w:rPr>
              <w:t>Shoppers’ World</w:t>
            </w:r>
          </w:p>
        </w:tc>
        <w:tc>
          <w:tcPr>
            <w:tcW w:w="3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Charlottesville, VA</w:t>
            </w:r>
          </w:p>
        </w:tc>
        <w:tc>
          <w:tcPr>
            <w:tcW w:w="66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2007</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30,221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5,593</w:t>
            </w:r>
          </w:p>
        </w:tc>
        <w:tc>
          <w:tcPr>
            <w:tcW w:w="7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169,000</w:t>
            </w:r>
          </w:p>
        </w:tc>
        <w:tc>
          <w:tcPr>
            <w:tcW w:w="700" w:type="dxa"/>
            <w:vAlign w:val="bottom"/>
            <w:gridSpan w:val="3"/>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94%</w:t>
            </w:r>
          </w:p>
        </w:tc>
        <w:tc>
          <w:tcPr>
            <w:tcW w:w="9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94%</w:t>
            </w:r>
          </w:p>
        </w:tc>
        <w:tc>
          <w:tcPr>
            <w:tcW w:w="640" w:type="dxa"/>
            <w:vAlign w:val="bottom"/>
            <w:gridSpan w:val="3"/>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11.92</w:t>
            </w: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28,000</w:t>
            </w:r>
          </w:p>
        </w:tc>
        <w:tc>
          <w:tcPr>
            <w:tcW w:w="6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Whole</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Staples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3"/>
                <w:szCs w:val="13"/>
                <w:color w:val="auto"/>
              </w:rPr>
              <w:t>Foods</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gridSpan w:val="8"/>
          </w:tcPr>
          <w:p>
            <w:pPr>
              <w:spacing w:after="0" w:line="136" w:lineRule="exact"/>
              <w:rPr>
                <w:sz w:val="20"/>
                <w:szCs w:val="20"/>
                <w:color w:val="auto"/>
              </w:rPr>
            </w:pPr>
            <w:r>
              <w:rPr>
                <w:rFonts w:ascii="Arial" w:cs="Arial" w:eastAsia="Arial" w:hAnsi="Arial"/>
                <w:sz w:val="13"/>
                <w:szCs w:val="13"/>
                <w:color w:val="auto"/>
              </w:rPr>
              <w:t>Shops at Willow Lawn</w:t>
            </w:r>
          </w:p>
        </w:tc>
        <w:tc>
          <w:tcPr>
            <w:tcW w:w="360" w:type="dxa"/>
            <w:vAlign w:val="bottom"/>
          </w:tcPr>
          <w:p>
            <w:pPr>
              <w:spacing w:after="0"/>
              <w:rPr>
                <w:sz w:val="11"/>
                <w:szCs w:val="11"/>
                <w:color w:val="auto"/>
              </w:rPr>
            </w:pPr>
          </w:p>
        </w:tc>
        <w:tc>
          <w:tcPr>
            <w:tcW w:w="1360" w:type="dxa"/>
            <w:vAlign w:val="bottom"/>
          </w:tcPr>
          <w:p>
            <w:pPr>
              <w:spacing w:after="0" w:line="136" w:lineRule="exact"/>
              <w:rPr>
                <w:sz w:val="20"/>
                <w:szCs w:val="20"/>
                <w:color w:val="auto"/>
              </w:rPr>
            </w:pPr>
            <w:r>
              <w:rPr>
                <w:rFonts w:ascii="Arial" w:cs="Arial" w:eastAsia="Arial" w:hAnsi="Arial"/>
                <w:sz w:val="13"/>
                <w:szCs w:val="13"/>
                <w:color w:val="auto"/>
              </w:rPr>
              <w:t>Richmond-Petersburg,</w:t>
            </w:r>
          </w:p>
        </w:tc>
        <w:tc>
          <w:tcPr>
            <w:tcW w:w="66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1983</w:t>
            </w:r>
          </w:p>
        </w:tc>
        <w:tc>
          <w:tcPr>
            <w:tcW w:w="800" w:type="dxa"/>
            <w:vAlign w:val="bottom"/>
          </w:tcPr>
          <w:p>
            <w:pPr>
              <w:jc w:val="right"/>
              <w:spacing w:after="0" w:line="136" w:lineRule="exact"/>
              <w:rPr>
                <w:sz w:val="20"/>
                <w:szCs w:val="20"/>
                <w:color w:val="auto"/>
              </w:rPr>
            </w:pPr>
            <w:r>
              <w:rPr>
                <w:rFonts w:ascii="Arial" w:cs="Arial" w:eastAsia="Arial" w:hAnsi="Arial"/>
                <w:sz w:val="13"/>
                <w:szCs w:val="13"/>
                <w:color w:val="auto"/>
              </w:rPr>
              <w:t>77,701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480,000</w:t>
            </w:r>
          </w:p>
        </w:tc>
        <w:tc>
          <w:tcPr>
            <w:tcW w:w="700" w:type="dxa"/>
            <w:vAlign w:val="bottom"/>
            <w:gridSpan w:val="3"/>
          </w:tcPr>
          <w:p>
            <w:pPr>
              <w:jc w:val="right"/>
              <w:ind w:right="140"/>
              <w:spacing w:after="0" w:line="136" w:lineRule="exact"/>
              <w:rPr>
                <w:sz w:val="20"/>
                <w:szCs w:val="20"/>
                <w:color w:val="auto"/>
              </w:rPr>
            </w:pPr>
            <w:r>
              <w:rPr>
                <w:rFonts w:ascii="Arial" w:cs="Arial" w:eastAsia="Arial" w:hAnsi="Arial"/>
                <w:sz w:val="13"/>
                <w:szCs w:val="13"/>
                <w:color w:val="auto"/>
              </w:rPr>
              <w:t>88%</w:t>
            </w:r>
          </w:p>
        </w:tc>
        <w:tc>
          <w:tcPr>
            <w:tcW w:w="9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87%</w:t>
            </w:r>
          </w:p>
        </w:tc>
        <w:tc>
          <w:tcPr>
            <w:tcW w:w="5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16.02</w:t>
            </w:r>
          </w:p>
        </w:tc>
        <w:tc>
          <w:tcPr>
            <w:tcW w:w="120" w:type="dxa"/>
            <w:vAlign w:val="bottom"/>
          </w:tcPr>
          <w:p>
            <w:pPr>
              <w:spacing w:after="0"/>
              <w:rPr>
                <w:sz w:val="11"/>
                <w:szCs w:val="11"/>
                <w:color w:val="auto"/>
              </w:rPr>
            </w:pPr>
          </w:p>
        </w:tc>
        <w:tc>
          <w:tcPr>
            <w:tcW w:w="60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60,000</w:t>
            </w:r>
          </w:p>
        </w:tc>
        <w:tc>
          <w:tcPr>
            <w:tcW w:w="640" w:type="dxa"/>
            <w:vAlign w:val="bottom"/>
          </w:tcPr>
          <w:p>
            <w:pPr>
              <w:spacing w:after="0" w:line="136" w:lineRule="exact"/>
              <w:rPr>
                <w:sz w:val="20"/>
                <w:szCs w:val="20"/>
                <w:color w:val="auto"/>
              </w:rPr>
            </w:pPr>
            <w:r>
              <w:rPr>
                <w:rFonts w:ascii="Arial" w:cs="Arial" w:eastAsia="Arial" w:hAnsi="Arial"/>
                <w:sz w:val="13"/>
                <w:szCs w:val="13"/>
                <w:color w:val="auto"/>
              </w:rPr>
              <w:t>Kroger</w:t>
            </w:r>
          </w:p>
        </w:tc>
        <w:tc>
          <w:tcPr>
            <w:tcW w:w="80" w:type="dxa"/>
            <w:vAlign w:val="bottom"/>
          </w:tcPr>
          <w:p>
            <w:pPr>
              <w:spacing w:after="0"/>
              <w:rPr>
                <w:sz w:val="11"/>
                <w:szCs w:val="11"/>
                <w:color w:val="auto"/>
              </w:rPr>
            </w:pPr>
          </w:p>
        </w:tc>
        <w:tc>
          <w:tcPr>
            <w:tcW w:w="1000" w:type="dxa"/>
            <w:vAlign w:val="bottom"/>
          </w:tcPr>
          <w:p>
            <w:pPr>
              <w:spacing w:after="0" w:line="136" w:lineRule="exact"/>
              <w:rPr>
                <w:sz w:val="20"/>
                <w:szCs w:val="20"/>
                <w:color w:val="auto"/>
              </w:rPr>
            </w:pPr>
            <w:r>
              <w:rPr>
                <w:rFonts w:ascii="Arial" w:cs="Arial" w:eastAsia="Arial" w:hAnsi="Arial"/>
                <w:sz w:val="13"/>
                <w:szCs w:val="13"/>
                <w:color w:val="auto"/>
                <w:w w:val="90"/>
              </w:rPr>
              <w:t>Old Navy / Staples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line="144" w:lineRule="exact"/>
              <w:rPr>
                <w:sz w:val="20"/>
                <w:szCs w:val="20"/>
                <w:color w:val="auto"/>
              </w:rPr>
            </w:pPr>
            <w:r>
              <w:rPr>
                <w:rFonts w:ascii="Arial" w:cs="Arial" w:eastAsia="Arial" w:hAnsi="Arial"/>
                <w:sz w:val="13"/>
                <w:szCs w:val="13"/>
                <w:color w:val="auto"/>
              </w:rPr>
              <w:t>VA</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line="144" w:lineRule="exact"/>
              <w:rPr>
                <w:sz w:val="20"/>
                <w:szCs w:val="20"/>
                <w:color w:val="auto"/>
              </w:rPr>
            </w:pPr>
            <w:r>
              <w:rPr>
                <w:rFonts w:ascii="Arial" w:cs="Arial" w:eastAsia="Arial" w:hAnsi="Arial"/>
                <w:sz w:val="13"/>
                <w:szCs w:val="13"/>
                <w:color w:val="auto"/>
              </w:rPr>
              <w:t>/ Ross Dress For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Less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Other</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324,921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2,132,000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94%</w:t>
            </w:r>
          </w:p>
        </w:tc>
        <w:tc>
          <w:tcPr>
            <w:tcW w:w="9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94%</w:t>
            </w:r>
          </w:p>
        </w:tc>
        <w:tc>
          <w:tcPr>
            <w:tcW w:w="5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17.69</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gridSpan w:val="9"/>
            <w:vMerge w:val="restart"/>
          </w:tcPr>
          <w:p>
            <w:pPr>
              <w:spacing w:after="0"/>
              <w:rPr>
                <w:sz w:val="20"/>
                <w:szCs w:val="20"/>
                <w:color w:val="auto"/>
              </w:rPr>
            </w:pPr>
            <w:r>
              <w:rPr>
                <w:rFonts w:ascii="Arial" w:cs="Arial" w:eastAsia="Arial" w:hAnsi="Arial"/>
                <w:sz w:val="13"/>
                <w:szCs w:val="13"/>
                <w:b w:val="1"/>
                <w:bCs w:val="1"/>
                <w:color w:val="auto"/>
              </w:rPr>
              <w:t>Grand Total</w:t>
            </w:r>
          </w:p>
        </w:tc>
        <w:tc>
          <w:tcPr>
            <w:tcW w:w="360" w:type="dxa"/>
            <w:vAlign w:val="bottom"/>
            <w:vMerge w:val="restart"/>
          </w:tcPr>
          <w:p>
            <w:pPr>
              <w:jc w:val="right"/>
              <w:ind w:right="34"/>
              <w:spacing w:after="0"/>
              <w:rPr>
                <w:sz w:val="20"/>
                <w:szCs w:val="20"/>
                <w:color w:val="auto"/>
              </w:rPr>
            </w:pPr>
            <w:r>
              <w:rPr>
                <w:rFonts w:ascii="Arial" w:cs="Arial" w:eastAsia="Arial" w:hAnsi="Arial"/>
                <w:sz w:val="13"/>
                <w:szCs w:val="13"/>
                <w:b w:val="1"/>
                <w:bCs w:val="1"/>
                <w:color w:val="auto"/>
              </w:rPr>
              <w:t>(13)</w:t>
            </w: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920" w:type="dxa"/>
            <w:vAlign w:val="bottom"/>
            <w:gridSpan w:val="9"/>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   3,877,631</w:t>
            </w:r>
          </w:p>
        </w:tc>
        <w:tc>
          <w:tcPr>
            <w:tcW w:w="2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589,893</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5"/>
              </w:rPr>
              <w:t>18,286,000</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94%</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93%</w:t>
            </w: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rPr>
              <w:t>$  22.77</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60" w:right="40" w:hanging="455"/>
        <w:spacing w:after="0" w:line="257"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mortgage or capital lease obligations differ from the total reported on the consolidated balance sheet due to the unamortized discount or premium on certain mortgage payables.</w:t>
      </w:r>
    </w:p>
    <w:p>
      <w:pPr>
        <w:ind w:left="460" w:hanging="45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Excludes newly created redevelopment square footage not yet in service, as well as residential and hotel square footage.</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 purposes of this schedule, “occupied” refers to spaces where the lease term and obligation to pay rent have commenced.</w:t>
      </w:r>
    </w:p>
    <w:p>
      <w:pPr>
        <w:spacing w:after="0" w:line="14" w:lineRule="exact"/>
        <w:rPr>
          <w:rFonts w:ascii="Arial" w:cs="Arial" w:eastAsia="Arial" w:hAnsi="Arial"/>
          <w:sz w:val="17"/>
          <w:szCs w:val="17"/>
          <w:color w:val="auto"/>
        </w:rPr>
      </w:pPr>
    </w:p>
    <w:p>
      <w:pPr>
        <w:ind w:left="460" w:right="260" w:hanging="455"/>
        <w:spacing w:after="0" w:line="257"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Calculated as the aggregate, annualized in-place contractual (cash basis) minimum rent for all occupied spaces divided by the aggregate GLA of all occupied spaces.</w:t>
      </w:r>
    </w:p>
    <w:p>
      <w:pPr>
        <w:ind w:left="460" w:hanging="45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Grocery anchor is defined as a grocery tenant leasing 15,000 square feet or more.</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Portion of property subject to capital lease obligation.</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Trust has a 64.1% ownership interest in the property.</w:t>
      </w:r>
    </w:p>
    <w:p>
      <w:pPr>
        <w:spacing w:after="0" w:line="14" w:lineRule="exact"/>
        <w:rPr>
          <w:rFonts w:ascii="Arial" w:cs="Arial" w:eastAsia="Arial" w:hAnsi="Arial"/>
          <w:sz w:val="17"/>
          <w:szCs w:val="17"/>
          <w:color w:val="auto"/>
        </w:rPr>
      </w:pPr>
    </w:p>
    <w:p>
      <w:pPr>
        <w:ind w:left="460" w:right="500" w:hanging="455"/>
        <w:spacing w:after="0" w:line="257"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Property owned in a “downreit” partnership, of which a wholly owned subsidiary of the Trust is the sole general partner, with third party partners holding operating partnership units.</w:t>
      </w:r>
    </w:p>
    <w:p>
      <w:pPr>
        <w:ind w:left="460" w:right="460" w:hanging="455"/>
        <w:spacing w:after="0" w:line="257"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Trust has a 70% ownership interest in the property. On November 10, 2010, we acquired an adjacent site to this property which totaled approximately 75,000 square feet, and we are in the process of preparing the space for lease.</w:t>
      </w:r>
    </w:p>
    <w:p>
      <w:pPr>
        <w:ind w:left="460" w:hanging="45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Trust has a 90% ownership interest in the property.</w:t>
      </w:r>
    </w:p>
    <w:p>
      <w:pPr>
        <w:spacing w:after="0" w:line="14" w:lineRule="exact"/>
        <w:rPr>
          <w:rFonts w:ascii="Arial" w:cs="Arial" w:eastAsia="Arial" w:hAnsi="Arial"/>
          <w:sz w:val="17"/>
          <w:szCs w:val="17"/>
          <w:color w:val="auto"/>
        </w:rPr>
      </w:pPr>
    </w:p>
    <w:p>
      <w:pPr>
        <w:jc w:val="both"/>
        <w:ind w:left="460" w:right="80" w:hanging="455"/>
        <w:spacing w:after="0" w:line="257"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October 16, 2006, the Trust acquired control of Melville Mall through a 20 year master lease and secondary financing. Since the Trust controls the activities that most significantly impact this property and retains substantially all of the economic benefit and risks associated with it, we consolidate this property and its operations.</w:t>
      </w:r>
    </w:p>
    <w:p>
      <w:pPr>
        <w:spacing w:after="0" w:line="1" w:lineRule="exact"/>
        <w:rPr>
          <w:rFonts w:ascii="Arial" w:cs="Arial" w:eastAsia="Arial" w:hAnsi="Arial"/>
          <w:sz w:val="17"/>
          <w:szCs w:val="17"/>
          <w:color w:val="auto"/>
        </w:rPr>
      </w:pPr>
    </w:p>
    <w:p>
      <w:pPr>
        <w:ind w:left="460" w:hanging="45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Trust has an 85% ownership interest in the property which is accounted for on the equity method.</w:t>
      </w:r>
    </w:p>
    <w:p>
      <w:pPr>
        <w:spacing w:after="0" w:line="14" w:lineRule="exact"/>
        <w:rPr>
          <w:rFonts w:ascii="Arial" w:cs="Arial" w:eastAsia="Arial" w:hAnsi="Arial"/>
          <w:sz w:val="17"/>
          <w:szCs w:val="17"/>
          <w:color w:val="auto"/>
        </w:rPr>
      </w:pPr>
    </w:p>
    <w:p>
      <w:pPr>
        <w:ind w:left="460" w:right="640" w:hanging="455"/>
        <w:spacing w:after="0" w:line="257"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Aggregate information is calculated on a GLA weighted-average basis, excluding properties acquired through the Taurus Newbury Street JV II Limited Partnership.</w:t>
      </w:r>
    </w:p>
    <w:p>
      <w:pPr>
        <w:ind w:left="460" w:right="380" w:hanging="455"/>
        <w:spacing w:after="0" w:line="257"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50% of the ownership of this property is in a “downreit” partnership, of which a wholly owned subsidiary of the Trust is the sole general partner, with third party partners holding operating partnership units.</w:t>
      </w:r>
    </w:p>
    <w:p>
      <w:pPr>
        <w:ind w:left="460" w:hanging="45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Property subject to capital lease obligation.</w:t>
      </w:r>
    </w:p>
    <w:p>
      <w:pPr>
        <w:sectPr>
          <w:pgSz w:w="11900" w:h="16838" w:orient="portrait"/>
          <w:cols w:equalWidth="0" w:num="1">
            <w:col w:w="11420"/>
          </w:cols>
          <w:pgMar w:left="240" w:top="271" w:right="239" w:bottom="175"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271" w:right="239" w:bottom="175" w:gutter="0" w:footer="0" w:header="0"/>
          <w:type w:val="continuous"/>
        </w:sectPr>
      </w:pPr>
    </w:p>
    <w:bookmarkStart w:id="24" w:name="page25"/>
    <w:bookmarkEnd w:id="2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Leasing Summary (1)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Total Lease Summary - Comparable (2)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Straight-</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ind w:left="100"/>
              <w:spacing w:after="0" w:line="144" w:lineRule="exact"/>
              <w:rPr>
                <w:sz w:val="20"/>
                <w:szCs w:val="20"/>
                <w:color w:val="auto"/>
              </w:rPr>
            </w:pPr>
            <w:r>
              <w:rPr>
                <w:rFonts w:ascii="Arial" w:cs="Arial" w:eastAsia="Arial" w:hAnsi="Arial"/>
                <w:sz w:val="13"/>
                <w:szCs w:val="13"/>
                <w:b w:val="1"/>
                <w:bCs w:val="1"/>
                <w:color w:val="auto"/>
              </w:rPr>
              <w:t>Cash</w:t>
            </w:r>
          </w:p>
        </w:tc>
        <w:tc>
          <w:tcPr>
            <w:tcW w:w="120" w:type="dxa"/>
            <w:vAlign w:val="bottom"/>
          </w:tcPr>
          <w:p>
            <w:pPr>
              <w:spacing w:after="0"/>
              <w:rPr>
                <w:sz w:val="12"/>
                <w:szCs w:val="12"/>
                <w:color w:val="auto"/>
              </w:rPr>
            </w:pPr>
          </w:p>
        </w:tc>
        <w:tc>
          <w:tcPr>
            <w:tcW w:w="800" w:type="dxa"/>
            <w:vAlign w:val="bottom"/>
            <w:gridSpan w:val="3"/>
          </w:tcPr>
          <w:p>
            <w:pPr>
              <w:jc w:val="right"/>
              <w:ind w:right="420"/>
              <w:spacing w:after="0" w:line="144" w:lineRule="exact"/>
              <w:rPr>
                <w:sz w:val="20"/>
                <w:szCs w:val="20"/>
                <w:color w:val="auto"/>
              </w:rPr>
            </w:pPr>
            <w:r>
              <w:rPr>
                <w:rFonts w:ascii="Arial" w:cs="Arial" w:eastAsia="Arial" w:hAnsi="Arial"/>
                <w:sz w:val="13"/>
                <w:szCs w:val="13"/>
                <w:b w:val="1"/>
                <w:bCs w:val="1"/>
                <w:color w:val="auto"/>
              </w:rPr>
              <w:t>lined</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98"/>
              </w:rPr>
              <w:t>Prior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Basis %</w:t>
            </w:r>
          </w:p>
        </w:tc>
        <w:tc>
          <w:tcPr>
            <w:tcW w:w="120" w:type="dxa"/>
            <w:vAlign w:val="bottom"/>
          </w:tcPr>
          <w:p>
            <w:pPr>
              <w:spacing w:after="0"/>
              <w:rPr>
                <w:sz w:val="12"/>
                <w:szCs w:val="12"/>
                <w:color w:val="auto"/>
              </w:rPr>
            </w:pPr>
          </w:p>
        </w:tc>
        <w:tc>
          <w:tcPr>
            <w:tcW w:w="80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Basis %</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Number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5"/>
          </w:tcPr>
          <w:p>
            <w:pPr>
              <w:jc w:val="center"/>
              <w:ind w:right="180"/>
              <w:spacing w:after="0" w:line="144" w:lineRule="exact"/>
              <w:rPr>
                <w:sz w:val="20"/>
                <w:szCs w:val="20"/>
                <w:color w:val="auto"/>
              </w:rPr>
            </w:pPr>
            <w:r>
              <w:rPr>
                <w:rFonts w:ascii="Arial" w:cs="Arial" w:eastAsia="Arial" w:hAnsi="Arial"/>
                <w:sz w:val="13"/>
                <w:szCs w:val="13"/>
                <w:b w:val="1"/>
                <w:bCs w:val="1"/>
                <w:color w:val="auto"/>
                <w:w w:val="94"/>
              </w:rPr>
              <w:t>% of</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96"/>
              </w:rPr>
              <w:t>Rent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Increase</w:t>
            </w:r>
          </w:p>
        </w:tc>
        <w:tc>
          <w:tcPr>
            <w:tcW w:w="120" w:type="dxa"/>
            <w:vAlign w:val="bottom"/>
          </w:tcPr>
          <w:p>
            <w:pPr>
              <w:spacing w:after="0"/>
              <w:rPr>
                <w:sz w:val="12"/>
                <w:szCs w:val="12"/>
                <w:color w:val="auto"/>
              </w:rPr>
            </w:pPr>
          </w:p>
        </w:tc>
        <w:tc>
          <w:tcPr>
            <w:tcW w:w="80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Increase</w:t>
            </w:r>
          </w:p>
        </w:tc>
        <w:tc>
          <w:tcPr>
            <w:tcW w:w="480" w:type="dxa"/>
            <w:vAlign w:val="bottom"/>
          </w:tcPr>
          <w:p>
            <w:pPr>
              <w:jc w:val="right"/>
              <w:spacing w:after="0" w:line="144" w:lineRule="exact"/>
              <w:rPr>
                <w:sz w:val="20"/>
                <w:szCs w:val="20"/>
                <w:color w:val="auto"/>
              </w:rPr>
            </w:pPr>
            <w:r>
              <w:rPr>
                <w:rFonts w:ascii="Arial" w:cs="Arial" w:eastAsia="Arial" w:hAnsi="Arial"/>
                <w:sz w:val="13"/>
                <w:szCs w:val="13"/>
                <w:b w:val="1"/>
                <w:bCs w:val="1"/>
                <w:color w:val="auto"/>
                <w:w w:val="88"/>
              </w:rPr>
              <w:t>Weighted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1"/>
              </w:rPr>
              <w:t>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5"/>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Comparable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4"/>
          </w:tcPr>
          <w:p>
            <w:pPr>
              <w:ind w:left="20"/>
              <w:spacing w:after="0" w:line="144" w:lineRule="exact"/>
              <w:rPr>
                <w:sz w:val="20"/>
                <w:szCs w:val="20"/>
                <w:color w:val="auto"/>
              </w:rPr>
            </w:pPr>
            <w:r>
              <w:rPr>
                <w:rFonts w:ascii="Arial" w:cs="Arial" w:eastAsia="Arial" w:hAnsi="Arial"/>
                <w:sz w:val="13"/>
                <w:szCs w:val="13"/>
                <w:b w:val="1"/>
                <w:bCs w:val="1"/>
                <w:color w:val="auto"/>
                <w:w w:val="96"/>
              </w:rPr>
              <w:t>Contractual</w:t>
            </w:r>
          </w:p>
        </w:tc>
        <w:tc>
          <w:tcPr>
            <w:tcW w:w="48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rPr>
              <w:t>(4)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right"/>
              <w:ind w:right="220"/>
              <w:spacing w:after="0" w:line="144" w:lineRule="exact"/>
              <w:rPr>
                <w:sz w:val="20"/>
                <w:szCs w:val="20"/>
                <w:color w:val="auto"/>
              </w:rPr>
            </w:pPr>
            <w:r>
              <w:rPr>
                <w:rFonts w:ascii="Arial" w:cs="Arial" w:eastAsia="Arial" w:hAnsi="Arial"/>
                <w:sz w:val="13"/>
                <w:szCs w:val="13"/>
                <w:b w:val="1"/>
                <w:bCs w:val="1"/>
                <w:color w:val="auto"/>
              </w:rPr>
              <w:t>Annual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ind w:left="100"/>
              <w:spacing w:after="0" w:line="144" w:lineRule="exact"/>
              <w:rPr>
                <w:sz w:val="20"/>
                <w:szCs w:val="20"/>
                <w:color w:val="auto"/>
              </w:rPr>
            </w:pPr>
            <w:r>
              <w:rPr>
                <w:rFonts w:ascii="Arial" w:cs="Arial" w:eastAsia="Arial" w:hAnsi="Arial"/>
                <w:sz w:val="13"/>
                <w:szCs w:val="13"/>
                <w:b w:val="1"/>
                <w:bCs w:val="1"/>
                <w:color w:val="auto"/>
              </w:rPr>
              <w:t>Over</w:t>
            </w:r>
          </w:p>
        </w:tc>
        <w:tc>
          <w:tcPr>
            <w:tcW w:w="120" w:type="dxa"/>
            <w:vAlign w:val="bottom"/>
          </w:tcPr>
          <w:p>
            <w:pPr>
              <w:spacing w:after="0"/>
              <w:rPr>
                <w:sz w:val="12"/>
                <w:szCs w:val="12"/>
                <w:color w:val="auto"/>
              </w:rPr>
            </w:pPr>
          </w:p>
        </w:tc>
        <w:tc>
          <w:tcPr>
            <w:tcW w:w="800" w:type="dxa"/>
            <w:vAlign w:val="bottom"/>
            <w:gridSpan w:val="3"/>
          </w:tcPr>
          <w:p>
            <w:pPr>
              <w:jc w:val="right"/>
              <w:ind w:right="420"/>
              <w:spacing w:after="0" w:line="144" w:lineRule="exact"/>
              <w:rPr>
                <w:sz w:val="20"/>
                <w:szCs w:val="20"/>
                <w:color w:val="auto"/>
              </w:rPr>
            </w:pPr>
            <w:r>
              <w:rPr>
                <w:rFonts w:ascii="Arial" w:cs="Arial" w:eastAsia="Arial" w:hAnsi="Arial"/>
                <w:sz w:val="13"/>
                <w:szCs w:val="13"/>
                <w:b w:val="1"/>
                <w:bCs w:val="1"/>
                <w:color w:val="auto"/>
              </w:rPr>
              <w:t>Over</w:t>
            </w:r>
          </w:p>
        </w:tc>
        <w:tc>
          <w:tcPr>
            <w:tcW w:w="480" w:type="dxa"/>
            <w:vAlign w:val="bottom"/>
          </w:tcPr>
          <w:p>
            <w:pPr>
              <w:ind w:left="40"/>
              <w:spacing w:after="0" w:line="144" w:lineRule="exact"/>
              <w:rPr>
                <w:sz w:val="20"/>
                <w:szCs w:val="20"/>
                <w:color w:val="auto"/>
              </w:rPr>
            </w:pPr>
            <w:r>
              <w:rPr>
                <w:rFonts w:ascii="Arial" w:cs="Arial" w:eastAsia="Arial" w:hAnsi="Arial"/>
                <w:sz w:val="13"/>
                <w:szCs w:val="13"/>
                <w:b w:val="1"/>
                <w:bCs w:val="1"/>
                <w:color w:val="auto"/>
                <w:w w:val="77"/>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3"/>
              </w:rPr>
              <w:t>Tenant</w:t>
            </w:r>
          </w:p>
        </w:tc>
        <w:tc>
          <w:tcPr>
            <w:tcW w:w="100" w:type="dxa"/>
            <w:vAlign w:val="bottom"/>
          </w:tcPr>
          <w:p>
            <w:pPr>
              <w:spacing w:after="0"/>
              <w:rPr>
                <w:sz w:val="12"/>
                <w:szCs w:val="12"/>
                <w:color w:val="auto"/>
              </w:rPr>
            </w:pPr>
          </w:p>
        </w:tc>
        <w:tc>
          <w:tcPr>
            <w:tcW w:w="92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w w:val="98"/>
              </w:rPr>
              <w:t>Improvements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Leases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5"/>
          </w:tcPr>
          <w:p>
            <w:pPr>
              <w:jc w:val="center"/>
              <w:ind w:right="180"/>
              <w:spacing w:after="0" w:line="144" w:lineRule="exact"/>
              <w:rPr>
                <w:sz w:val="20"/>
                <w:szCs w:val="20"/>
                <w:color w:val="auto"/>
              </w:rPr>
            </w:pPr>
            <w:r>
              <w:rPr>
                <w:rFonts w:ascii="Arial" w:cs="Arial" w:eastAsia="Arial" w:hAnsi="Arial"/>
                <w:sz w:val="13"/>
                <w:szCs w:val="13"/>
                <w:b w:val="1"/>
                <w:bCs w:val="1"/>
                <w:color w:val="auto"/>
                <w:w w:val="86"/>
              </w:rPr>
              <w:t>Leases</w:t>
            </w: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Arial" w:cs="Arial" w:eastAsia="Arial" w:hAnsi="Arial"/>
                <w:sz w:val="13"/>
                <w:szCs w:val="13"/>
                <w:b w:val="1"/>
                <w:bCs w:val="1"/>
                <w:color w:val="auto"/>
              </w:rPr>
              <w:t>GLA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right"/>
              <w:ind w:right="160"/>
              <w:spacing w:after="0" w:line="144" w:lineRule="exact"/>
              <w:rPr>
                <w:sz w:val="20"/>
                <w:szCs w:val="20"/>
                <w:color w:val="auto"/>
              </w:rPr>
            </w:pPr>
            <w:r>
              <w:rPr>
                <w:rFonts w:ascii="Arial" w:cs="Arial" w:eastAsia="Arial" w:hAnsi="Arial"/>
                <w:sz w:val="13"/>
                <w:szCs w:val="13"/>
                <w:b w:val="1"/>
                <w:bCs w:val="1"/>
                <w:color w:val="auto"/>
                <w:w w:val="94"/>
              </w:rPr>
              <w:t>Rent (3)</w:t>
            </w:r>
          </w:p>
        </w:tc>
        <w:tc>
          <w:tcPr>
            <w:tcW w:w="160" w:type="dxa"/>
            <w:vAlign w:val="bottom"/>
          </w:tcPr>
          <w:p>
            <w:pPr>
              <w:spacing w:after="0"/>
              <w:rPr>
                <w:sz w:val="12"/>
                <w:szCs w:val="12"/>
                <w:color w:val="auto"/>
              </w:rPr>
            </w:pPr>
          </w:p>
        </w:tc>
        <w:tc>
          <w:tcPr>
            <w:tcW w:w="58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89"/>
              </w:rPr>
              <w:t>Per Sq.</w:t>
            </w:r>
          </w:p>
        </w:tc>
        <w:tc>
          <w:tcPr>
            <w:tcW w:w="120" w:type="dxa"/>
            <w:vAlign w:val="bottom"/>
          </w:tcPr>
          <w:p>
            <w:pPr>
              <w:spacing w:after="0"/>
              <w:rPr>
                <w:sz w:val="12"/>
                <w:szCs w:val="12"/>
                <w:color w:val="auto"/>
              </w:rPr>
            </w:pPr>
          </w:p>
        </w:tc>
        <w:tc>
          <w:tcPr>
            <w:tcW w:w="800" w:type="dxa"/>
            <w:vAlign w:val="bottom"/>
            <w:gridSpan w:val="5"/>
          </w:tcPr>
          <w:p>
            <w:pPr>
              <w:ind w:left="80"/>
              <w:spacing w:after="0" w:line="144" w:lineRule="exact"/>
              <w:rPr>
                <w:sz w:val="20"/>
                <w:szCs w:val="20"/>
                <w:color w:val="auto"/>
              </w:rPr>
            </w:pPr>
            <w:r>
              <w:rPr>
                <w:rFonts w:ascii="Arial" w:cs="Arial" w:eastAsia="Arial" w:hAnsi="Arial"/>
                <w:sz w:val="13"/>
                <w:szCs w:val="13"/>
                <w:b w:val="1"/>
                <w:bCs w:val="1"/>
                <w:color w:val="auto"/>
              </w:rPr>
              <w:t>Increase 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rPr>
              <w:t>Prior</w:t>
            </w:r>
          </w:p>
        </w:tc>
        <w:tc>
          <w:tcPr>
            <w:tcW w:w="120" w:type="dxa"/>
            <w:vAlign w:val="bottom"/>
          </w:tcPr>
          <w:p>
            <w:pPr>
              <w:spacing w:after="0"/>
              <w:rPr>
                <w:sz w:val="12"/>
                <w:szCs w:val="12"/>
                <w:color w:val="auto"/>
              </w:rPr>
            </w:pPr>
          </w:p>
        </w:tc>
        <w:tc>
          <w:tcPr>
            <w:tcW w:w="800" w:type="dxa"/>
            <w:vAlign w:val="bottom"/>
            <w:gridSpan w:val="3"/>
          </w:tcPr>
          <w:p>
            <w:pPr>
              <w:jc w:val="right"/>
              <w:ind w:right="400"/>
              <w:spacing w:after="0" w:line="144" w:lineRule="exact"/>
              <w:rPr>
                <w:sz w:val="20"/>
                <w:szCs w:val="20"/>
                <w:color w:val="auto"/>
              </w:rPr>
            </w:pPr>
            <w:r>
              <w:rPr>
                <w:rFonts w:ascii="Arial" w:cs="Arial" w:eastAsia="Arial" w:hAnsi="Arial"/>
                <w:sz w:val="13"/>
                <w:szCs w:val="13"/>
                <w:b w:val="1"/>
                <w:bCs w:val="1"/>
                <w:color w:val="auto"/>
              </w:rPr>
              <w:t>Prior</w:t>
            </w:r>
          </w:p>
        </w:tc>
        <w:tc>
          <w:tcPr>
            <w:tcW w:w="48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Lease</w:t>
            </w:r>
          </w:p>
        </w:tc>
        <w:tc>
          <w:tcPr>
            <w:tcW w:w="320" w:type="dxa"/>
            <w:vAlign w:val="bottom"/>
          </w:tcPr>
          <w:p>
            <w:pPr>
              <w:spacing w:after="0"/>
              <w:rPr>
                <w:sz w:val="12"/>
                <w:szCs w:val="12"/>
                <w:color w:val="auto"/>
              </w:rPr>
            </w:pPr>
          </w:p>
        </w:tc>
        <w:tc>
          <w:tcPr>
            <w:tcW w:w="96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Improvements</w:t>
            </w:r>
          </w:p>
        </w:tc>
        <w:tc>
          <w:tcPr>
            <w:tcW w:w="100" w:type="dxa"/>
            <w:vAlign w:val="bottom"/>
          </w:tcPr>
          <w:p>
            <w:pPr>
              <w:spacing w:after="0"/>
              <w:rPr>
                <w:sz w:val="12"/>
                <w:szCs w:val="12"/>
                <w:color w:val="auto"/>
              </w:rPr>
            </w:pPr>
          </w:p>
        </w:tc>
        <w:tc>
          <w:tcPr>
            <w:tcW w:w="92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93"/>
              </w:rPr>
              <w:t>&amp; Incentives</w:t>
            </w:r>
          </w:p>
        </w:tc>
        <w:tc>
          <w:tcPr>
            <w:tcW w:w="0" w:type="dxa"/>
            <w:vAlign w:val="bottom"/>
          </w:tcPr>
          <w:p>
            <w:pPr>
              <w:spacing w:after="0"/>
              <w:rPr>
                <w:sz w:val="1"/>
                <w:szCs w:val="1"/>
                <w:color w:val="auto"/>
              </w:rPr>
            </w:pPr>
          </w:p>
        </w:tc>
      </w:tr>
      <w:tr>
        <w:trPr>
          <w:trHeight w:val="157"/>
        </w:trPr>
        <w:tc>
          <w:tcPr>
            <w:tcW w:w="1660" w:type="dxa"/>
            <w:vAlign w:val="bottom"/>
            <w:gridSpan w:val="3"/>
          </w:tcPr>
          <w:p>
            <w:pPr>
              <w:spacing w:after="0"/>
              <w:rPr>
                <w:sz w:val="20"/>
                <w:szCs w:val="20"/>
                <w:color w:val="auto"/>
              </w:rPr>
            </w:pPr>
            <w:r>
              <w:rPr>
                <w:rFonts w:ascii="Arial" w:cs="Arial" w:eastAsia="Arial" w:hAnsi="Arial"/>
                <w:sz w:val="13"/>
                <w:szCs w:val="13"/>
                <w:b w:val="1"/>
                <w:bCs w:val="1"/>
                <w:color w:val="auto"/>
              </w:rPr>
              <w:t>Quarter</w:t>
            </w:r>
          </w:p>
        </w:tc>
        <w:tc>
          <w:tcPr>
            <w:tcW w:w="200" w:type="dxa"/>
            <w:vAlign w:val="bottom"/>
          </w:tcPr>
          <w:p>
            <w:pPr>
              <w:spacing w:after="0"/>
              <w:rPr>
                <w:sz w:val="13"/>
                <w:szCs w:val="13"/>
                <w:color w:val="auto"/>
              </w:rPr>
            </w:pPr>
          </w:p>
        </w:tc>
        <w:tc>
          <w:tcPr>
            <w:tcW w:w="4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Signed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7"/>
              </w:rPr>
              <w:t>Signed</w:t>
            </w:r>
          </w:p>
        </w:tc>
        <w:tc>
          <w:tcPr>
            <w:tcW w:w="12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Signed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w w:val="96"/>
              </w:rPr>
              <w:t>Per Sq. Ft.</w:t>
            </w:r>
          </w:p>
        </w:tc>
        <w:tc>
          <w:tcPr>
            <w:tcW w:w="160" w:type="dxa"/>
            <w:vAlign w:val="bottom"/>
          </w:tcPr>
          <w:p>
            <w:pPr>
              <w:spacing w:after="0"/>
              <w:rPr>
                <w:sz w:val="13"/>
                <w:szCs w:val="13"/>
                <w:color w:val="auto"/>
              </w:rPr>
            </w:pPr>
          </w:p>
        </w:tc>
        <w:tc>
          <w:tcPr>
            <w:tcW w:w="5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Ft.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4"/>
          </w:tcPr>
          <w:p>
            <w:pPr>
              <w:jc w:val="right"/>
              <w:ind w:right="280"/>
              <w:spacing w:after="0"/>
              <w:rPr>
                <w:sz w:val="20"/>
                <w:szCs w:val="20"/>
                <w:color w:val="auto"/>
              </w:rPr>
            </w:pPr>
            <w:r>
              <w:rPr>
                <w:rFonts w:ascii="Arial" w:cs="Arial" w:eastAsia="Arial" w:hAnsi="Arial"/>
                <w:sz w:val="13"/>
                <w:szCs w:val="13"/>
                <w:b w:val="1"/>
                <w:bCs w:val="1"/>
                <w:color w:val="auto"/>
              </w:rPr>
              <w:t>Rent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ind w:left="100"/>
              <w:spacing w:after="0"/>
              <w:rPr>
                <w:sz w:val="20"/>
                <w:szCs w:val="20"/>
                <w:color w:val="auto"/>
              </w:rPr>
            </w:pPr>
            <w:r>
              <w:rPr>
                <w:rFonts w:ascii="Arial" w:cs="Arial" w:eastAsia="Arial" w:hAnsi="Arial"/>
                <w:sz w:val="13"/>
                <w:szCs w:val="13"/>
                <w:b w:val="1"/>
                <w:bCs w:val="1"/>
                <w:color w:val="auto"/>
              </w:rPr>
              <w:t>Rent</w:t>
            </w:r>
          </w:p>
        </w:tc>
        <w:tc>
          <w:tcPr>
            <w:tcW w:w="120" w:type="dxa"/>
            <w:vAlign w:val="bottom"/>
          </w:tcPr>
          <w:p>
            <w:pPr>
              <w:spacing w:after="0"/>
              <w:rPr>
                <w:sz w:val="13"/>
                <w:szCs w:val="13"/>
                <w:color w:val="auto"/>
              </w:rPr>
            </w:pPr>
          </w:p>
        </w:tc>
        <w:tc>
          <w:tcPr>
            <w:tcW w:w="80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Rent</w:t>
            </w:r>
          </w:p>
        </w:tc>
        <w:tc>
          <w:tcPr>
            <w:tcW w:w="1760" w:type="dxa"/>
            <w:vAlign w:val="bottom"/>
            <w:gridSpan w:val="5"/>
          </w:tcPr>
          <w:p>
            <w:pPr>
              <w:ind w:left="20"/>
              <w:spacing w:after="0"/>
              <w:rPr>
                <w:sz w:val="20"/>
                <w:szCs w:val="20"/>
                <w:color w:val="auto"/>
              </w:rPr>
            </w:pPr>
            <w:r>
              <w:rPr>
                <w:rFonts w:ascii="Arial" w:cs="Arial" w:eastAsia="Arial" w:hAnsi="Arial"/>
                <w:sz w:val="13"/>
                <w:szCs w:val="13"/>
                <w:b w:val="1"/>
                <w:bCs w:val="1"/>
                <w:color w:val="auto"/>
              </w:rPr>
              <w:t>Term (5)    &amp; Incentives (6)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4th Quarter 2010</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100" w:type="dxa"/>
            <w:vAlign w:val="bottom"/>
            <w:gridSpan w:val="7"/>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490,233</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23.68</w:t>
            </w:r>
          </w:p>
        </w:tc>
        <w:tc>
          <w:tcPr>
            <w:tcW w:w="740" w:type="dxa"/>
            <w:vAlign w:val="bottom"/>
            <w:gridSpan w:val="4"/>
            <w:shd w:val="clear" w:color="auto" w:fill="CCEEFF"/>
          </w:tcPr>
          <w:p>
            <w:pPr>
              <w:jc w:val="center"/>
              <w:spacing w:after="0"/>
              <w:rPr>
                <w:sz w:val="20"/>
                <w:szCs w:val="20"/>
                <w:color w:val="auto"/>
              </w:rPr>
            </w:pPr>
            <w:r>
              <w:rPr>
                <w:rFonts w:ascii="Arial" w:cs="Arial" w:eastAsia="Arial" w:hAnsi="Arial"/>
                <w:sz w:val="17"/>
                <w:szCs w:val="17"/>
                <w:color w:val="auto"/>
                <w:w w:val="84"/>
              </w:rPr>
              <w:t>$ 22.11</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772,696</w:t>
            </w: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7%</w:t>
            </w:r>
          </w:p>
        </w:tc>
        <w:tc>
          <w:tcPr>
            <w:tcW w:w="92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4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5,696,969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7"/>
                <w:szCs w:val="17"/>
                <w:color w:val="auto"/>
              </w:rPr>
              <w:t>3rd Quarter 2010</w:t>
            </w: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75</w:t>
            </w:r>
          </w:p>
        </w:tc>
        <w:tc>
          <w:tcPr>
            <w:tcW w:w="1100" w:type="dxa"/>
            <w:vAlign w:val="bottom"/>
            <w:gridSpan w:val="7"/>
          </w:tcPr>
          <w:p>
            <w:pPr>
              <w:jc w:val="right"/>
              <w:ind w:right="40"/>
              <w:spacing w:after="0"/>
              <w:rPr>
                <w:sz w:val="20"/>
                <w:szCs w:val="20"/>
                <w:color w:val="auto"/>
              </w:rPr>
            </w:pPr>
            <w:r>
              <w:rPr>
                <w:rFonts w:ascii="Arial" w:cs="Arial" w:eastAsia="Arial" w:hAnsi="Arial"/>
                <w:sz w:val="17"/>
                <w:szCs w:val="17"/>
                <w:color w:val="auto"/>
              </w:rPr>
              <w:t>100%</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349,489</w:t>
            </w:r>
          </w:p>
        </w:tc>
        <w:tc>
          <w:tcPr>
            <w:tcW w:w="300" w:type="dxa"/>
            <w:vAlign w:val="bottom"/>
            <w:gridSpan w:val="3"/>
          </w:tcPr>
          <w:p>
            <w:pPr>
              <w:ind w:left="200"/>
              <w:spacing w:after="0"/>
              <w:rPr>
                <w:sz w:val="20"/>
                <w:szCs w:val="20"/>
                <w:color w:val="auto"/>
              </w:rPr>
            </w:pPr>
            <w:r>
              <w:rPr>
                <w:rFonts w:ascii="Arial" w:cs="Arial" w:eastAsia="Arial" w:hAnsi="Arial"/>
                <w:sz w:val="17"/>
                <w:szCs w:val="17"/>
                <w:color w:val="auto"/>
                <w:w w:val="84"/>
              </w:rPr>
              <w:t>$</w:t>
            </w:r>
          </w:p>
        </w:tc>
        <w:tc>
          <w:tcPr>
            <w:tcW w:w="640" w:type="dxa"/>
            <w:vAlign w:val="bottom"/>
            <w:gridSpan w:val="3"/>
          </w:tcPr>
          <w:p>
            <w:pPr>
              <w:jc w:val="right"/>
              <w:ind w:right="40"/>
              <w:spacing w:after="0"/>
              <w:rPr>
                <w:sz w:val="20"/>
                <w:szCs w:val="20"/>
                <w:color w:val="auto"/>
              </w:rPr>
            </w:pPr>
            <w:r>
              <w:rPr>
                <w:rFonts w:ascii="Arial" w:cs="Arial" w:eastAsia="Arial" w:hAnsi="Arial"/>
                <w:sz w:val="17"/>
                <w:szCs w:val="17"/>
                <w:color w:val="auto"/>
              </w:rPr>
              <w:t>25.17</w:t>
            </w:r>
          </w:p>
        </w:tc>
        <w:tc>
          <w:tcPr>
            <w:tcW w:w="740" w:type="dxa"/>
            <w:vAlign w:val="bottom"/>
            <w:gridSpan w:val="4"/>
          </w:tcPr>
          <w:p>
            <w:pPr>
              <w:jc w:val="center"/>
              <w:spacing w:after="0"/>
              <w:rPr>
                <w:sz w:val="20"/>
                <w:szCs w:val="20"/>
                <w:color w:val="auto"/>
              </w:rPr>
            </w:pPr>
            <w:r>
              <w:rPr>
                <w:rFonts w:ascii="Arial" w:cs="Arial" w:eastAsia="Arial" w:hAnsi="Arial"/>
                <w:sz w:val="17"/>
                <w:szCs w:val="17"/>
                <w:color w:val="auto"/>
                <w:w w:val="92"/>
              </w:rPr>
              <w:t>$23.83</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gridSpan w:val="4"/>
          </w:tcPr>
          <w:p>
            <w:pPr>
              <w:jc w:val="right"/>
              <w:ind w:right="40"/>
              <w:spacing w:after="0"/>
              <w:rPr>
                <w:sz w:val="20"/>
                <w:szCs w:val="20"/>
                <w:color w:val="auto"/>
              </w:rPr>
            </w:pPr>
            <w:r>
              <w:rPr>
                <w:rFonts w:ascii="Arial" w:cs="Arial" w:eastAsia="Arial" w:hAnsi="Arial"/>
                <w:sz w:val="17"/>
                <w:szCs w:val="17"/>
                <w:color w:val="auto"/>
              </w:rPr>
              <w:t>467,613</w:t>
            </w:r>
          </w:p>
        </w:tc>
        <w:tc>
          <w:tcPr>
            <w:tcW w:w="840" w:type="dxa"/>
            <w:vAlign w:val="bottom"/>
            <w:gridSpan w:val="5"/>
          </w:tcPr>
          <w:p>
            <w:pPr>
              <w:jc w:val="right"/>
              <w:ind w:right="40"/>
              <w:spacing w:after="0"/>
              <w:rPr>
                <w:sz w:val="20"/>
                <w:szCs w:val="20"/>
                <w:color w:val="auto"/>
              </w:rPr>
            </w:pPr>
            <w:r>
              <w:rPr>
                <w:rFonts w:ascii="Arial" w:cs="Arial" w:eastAsia="Arial" w:hAnsi="Arial"/>
                <w:sz w:val="17"/>
                <w:szCs w:val="17"/>
                <w:color w:val="auto"/>
              </w:rPr>
              <w:t>6%</w:t>
            </w:r>
          </w:p>
        </w:tc>
        <w:tc>
          <w:tcPr>
            <w:tcW w:w="920" w:type="dxa"/>
            <w:vAlign w:val="bottom"/>
            <w:gridSpan w:val="4"/>
          </w:tcPr>
          <w:p>
            <w:pPr>
              <w:jc w:val="right"/>
              <w:ind w:right="160"/>
              <w:spacing w:after="0"/>
              <w:rPr>
                <w:sz w:val="20"/>
                <w:szCs w:val="20"/>
                <w:color w:val="auto"/>
              </w:rPr>
            </w:pPr>
            <w:r>
              <w:rPr>
                <w:rFonts w:ascii="Arial" w:cs="Arial" w:eastAsia="Arial" w:hAnsi="Arial"/>
                <w:sz w:val="17"/>
                <w:szCs w:val="17"/>
                <w:color w:val="auto"/>
              </w:rPr>
              <w:t>17%</w:t>
            </w:r>
          </w:p>
        </w:tc>
        <w:tc>
          <w:tcPr>
            <w:tcW w:w="480" w:type="dxa"/>
            <w:vAlign w:val="bottom"/>
          </w:tcPr>
          <w:p>
            <w:pPr>
              <w:jc w:val="right"/>
              <w:spacing w:after="0"/>
              <w:rPr>
                <w:sz w:val="20"/>
                <w:szCs w:val="20"/>
                <w:color w:val="auto"/>
              </w:rPr>
            </w:pPr>
            <w:r>
              <w:rPr>
                <w:rFonts w:ascii="Arial" w:cs="Arial" w:eastAsia="Arial" w:hAnsi="Arial"/>
                <w:sz w:val="17"/>
                <w:szCs w:val="17"/>
                <w:color w:val="auto"/>
              </w:rPr>
              <w:t>7.1</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6,199,555</w:t>
            </w: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17.74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2nd Quarter 2010</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100" w:type="dxa"/>
            <w:vAlign w:val="bottom"/>
            <w:gridSpan w:val="7"/>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307,567</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27.62</w:t>
            </w:r>
          </w:p>
        </w:tc>
        <w:tc>
          <w:tcPr>
            <w:tcW w:w="740" w:type="dxa"/>
            <w:vAlign w:val="bottom"/>
            <w:gridSpan w:val="4"/>
            <w:shd w:val="clear" w:color="auto" w:fill="CCEEFF"/>
          </w:tcPr>
          <w:p>
            <w:pPr>
              <w:jc w:val="center"/>
              <w:spacing w:after="0"/>
              <w:rPr>
                <w:sz w:val="20"/>
                <w:szCs w:val="20"/>
                <w:color w:val="auto"/>
              </w:rPr>
            </w:pPr>
            <w:r>
              <w:rPr>
                <w:rFonts w:ascii="Arial" w:cs="Arial" w:eastAsia="Arial" w:hAnsi="Arial"/>
                <w:sz w:val="17"/>
                <w:szCs w:val="17"/>
                <w:color w:val="auto"/>
                <w:w w:val="92"/>
              </w:rPr>
              <w:t>$26.64</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301,098</w:t>
            </w: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c>
          <w:tcPr>
            <w:tcW w:w="92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13%</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4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4,431,806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7"/>
                <w:szCs w:val="17"/>
                <w:color w:val="auto"/>
              </w:rPr>
              <w:t>1st Quarter 2010</w:t>
            </w: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69</w:t>
            </w:r>
          </w:p>
        </w:tc>
        <w:tc>
          <w:tcPr>
            <w:tcW w:w="220" w:type="dxa"/>
            <w:vAlign w:val="bottom"/>
            <w:gridSpan w:val="2"/>
          </w:tcPr>
          <w:p>
            <w:pPr>
              <w:spacing w:after="0"/>
              <w:rPr>
                <w:sz w:val="18"/>
                <w:szCs w:val="18"/>
                <w:color w:val="auto"/>
              </w:rPr>
            </w:pPr>
          </w:p>
        </w:tc>
        <w:tc>
          <w:tcPr>
            <w:tcW w:w="880" w:type="dxa"/>
            <w:vAlign w:val="bottom"/>
            <w:gridSpan w:val="5"/>
          </w:tcPr>
          <w:p>
            <w:pPr>
              <w:jc w:val="right"/>
              <w:ind w:right="40"/>
              <w:spacing w:after="0"/>
              <w:rPr>
                <w:sz w:val="20"/>
                <w:szCs w:val="20"/>
                <w:color w:val="auto"/>
              </w:rPr>
            </w:pPr>
            <w:r>
              <w:rPr>
                <w:rFonts w:ascii="Arial" w:cs="Arial" w:eastAsia="Arial" w:hAnsi="Arial"/>
                <w:sz w:val="17"/>
                <w:szCs w:val="17"/>
                <w:color w:val="auto"/>
              </w:rPr>
              <w:t>100%</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307,962</w:t>
            </w:r>
          </w:p>
        </w:tc>
        <w:tc>
          <w:tcPr>
            <w:tcW w:w="300" w:type="dxa"/>
            <w:vAlign w:val="bottom"/>
            <w:gridSpan w:val="3"/>
          </w:tcPr>
          <w:p>
            <w:pPr>
              <w:ind w:left="200"/>
              <w:spacing w:after="0"/>
              <w:rPr>
                <w:sz w:val="20"/>
                <w:szCs w:val="20"/>
                <w:color w:val="auto"/>
              </w:rPr>
            </w:pPr>
            <w:r>
              <w:rPr>
                <w:rFonts w:ascii="Arial" w:cs="Arial" w:eastAsia="Arial" w:hAnsi="Arial"/>
                <w:sz w:val="17"/>
                <w:szCs w:val="17"/>
                <w:color w:val="auto"/>
                <w:w w:val="84"/>
              </w:rPr>
              <w:t>$</w:t>
            </w:r>
          </w:p>
        </w:tc>
        <w:tc>
          <w:tcPr>
            <w:tcW w:w="640" w:type="dxa"/>
            <w:vAlign w:val="bottom"/>
            <w:gridSpan w:val="3"/>
          </w:tcPr>
          <w:p>
            <w:pPr>
              <w:jc w:val="right"/>
              <w:ind w:right="40"/>
              <w:spacing w:after="0"/>
              <w:rPr>
                <w:sz w:val="20"/>
                <w:szCs w:val="20"/>
                <w:color w:val="auto"/>
              </w:rPr>
            </w:pPr>
            <w:r>
              <w:rPr>
                <w:rFonts w:ascii="Arial" w:cs="Arial" w:eastAsia="Arial" w:hAnsi="Arial"/>
                <w:sz w:val="17"/>
                <w:szCs w:val="17"/>
                <w:color w:val="auto"/>
              </w:rPr>
              <w:t>29.19</w:t>
            </w:r>
          </w:p>
        </w:tc>
        <w:tc>
          <w:tcPr>
            <w:tcW w:w="740" w:type="dxa"/>
            <w:vAlign w:val="bottom"/>
            <w:gridSpan w:val="4"/>
          </w:tcPr>
          <w:p>
            <w:pPr>
              <w:jc w:val="center"/>
              <w:spacing w:after="0"/>
              <w:rPr>
                <w:sz w:val="20"/>
                <w:szCs w:val="20"/>
                <w:color w:val="auto"/>
              </w:rPr>
            </w:pPr>
            <w:r>
              <w:rPr>
                <w:rFonts w:ascii="Arial" w:cs="Arial" w:eastAsia="Arial" w:hAnsi="Arial"/>
                <w:sz w:val="17"/>
                <w:szCs w:val="17"/>
                <w:color w:val="auto"/>
                <w:w w:val="84"/>
              </w:rPr>
              <w:t>$ 25.11</w:t>
            </w:r>
          </w:p>
        </w:tc>
        <w:tc>
          <w:tcPr>
            <w:tcW w:w="920" w:type="dxa"/>
            <w:vAlign w:val="bottom"/>
            <w:gridSpan w:val="6"/>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1,255,084</w:t>
            </w:r>
          </w:p>
        </w:tc>
        <w:tc>
          <w:tcPr>
            <w:tcW w:w="840" w:type="dxa"/>
            <w:vAlign w:val="bottom"/>
            <w:gridSpan w:val="5"/>
          </w:tcPr>
          <w:p>
            <w:pPr>
              <w:jc w:val="right"/>
              <w:ind w:right="40"/>
              <w:spacing w:after="0"/>
              <w:rPr>
                <w:sz w:val="20"/>
                <w:szCs w:val="20"/>
                <w:color w:val="auto"/>
              </w:rPr>
            </w:pPr>
            <w:r>
              <w:rPr>
                <w:rFonts w:ascii="Arial" w:cs="Arial" w:eastAsia="Arial" w:hAnsi="Arial"/>
                <w:sz w:val="17"/>
                <w:szCs w:val="17"/>
                <w:color w:val="auto"/>
              </w:rPr>
              <w:t>16%</w:t>
            </w:r>
          </w:p>
        </w:tc>
        <w:tc>
          <w:tcPr>
            <w:tcW w:w="920" w:type="dxa"/>
            <w:vAlign w:val="bottom"/>
            <w:gridSpan w:val="4"/>
          </w:tcPr>
          <w:p>
            <w:pPr>
              <w:jc w:val="right"/>
              <w:ind w:right="160"/>
              <w:spacing w:after="0"/>
              <w:rPr>
                <w:sz w:val="20"/>
                <w:szCs w:val="20"/>
                <w:color w:val="auto"/>
              </w:rPr>
            </w:pPr>
            <w:r>
              <w:rPr>
                <w:rFonts w:ascii="Arial" w:cs="Arial" w:eastAsia="Arial" w:hAnsi="Arial"/>
                <w:sz w:val="17"/>
                <w:szCs w:val="17"/>
                <w:color w:val="auto"/>
              </w:rPr>
              <w:t>27%</w:t>
            </w:r>
          </w:p>
        </w:tc>
        <w:tc>
          <w:tcPr>
            <w:tcW w:w="480" w:type="dxa"/>
            <w:vAlign w:val="bottom"/>
          </w:tcPr>
          <w:p>
            <w:pPr>
              <w:jc w:val="right"/>
              <w:spacing w:after="0"/>
              <w:rPr>
                <w:sz w:val="20"/>
                <w:szCs w:val="20"/>
                <w:color w:val="auto"/>
              </w:rPr>
            </w:pPr>
            <w:r>
              <w:rPr>
                <w:rFonts w:ascii="Arial" w:cs="Arial" w:eastAsia="Arial" w:hAnsi="Arial"/>
                <w:sz w:val="17"/>
                <w:szCs w:val="17"/>
                <w:color w:val="auto"/>
              </w:rPr>
              <w:t>6.5</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6,919,627</w:t>
            </w: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22.47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Borders>
              <w:left w:val="single" w:sz="8" w:color="auto"/>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- 12 months</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220" w:type="dxa"/>
            <w:vAlign w:val="bottom"/>
            <w:gridSpan w:val="2"/>
            <w:shd w:val="clear" w:color="auto" w:fill="CCEEFF"/>
          </w:tcPr>
          <w:p>
            <w:pPr>
              <w:spacing w:after="0"/>
              <w:rPr>
                <w:sz w:val="18"/>
                <w:szCs w:val="18"/>
                <w:color w:val="auto"/>
              </w:rPr>
            </w:pP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1,455,251</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26.04</w:t>
            </w:r>
          </w:p>
        </w:tc>
        <w:tc>
          <w:tcPr>
            <w:tcW w:w="740" w:type="dxa"/>
            <w:vAlign w:val="bottom"/>
            <w:gridSpan w:val="4"/>
            <w:shd w:val="clear" w:color="auto" w:fill="CCEEFF"/>
          </w:tcPr>
          <w:p>
            <w:pPr>
              <w:jc w:val="center"/>
              <w:spacing w:after="0"/>
              <w:rPr>
                <w:sz w:val="20"/>
                <w:szCs w:val="20"/>
                <w:color w:val="auto"/>
              </w:rPr>
            </w:pPr>
            <w:r>
              <w:rPr>
                <w:rFonts w:ascii="Arial" w:cs="Arial" w:eastAsia="Arial" w:hAnsi="Arial"/>
                <w:sz w:val="17"/>
                <w:szCs w:val="17"/>
                <w:color w:val="auto"/>
                <w:w w:val="84"/>
              </w:rPr>
              <w:t>$ 24.11</w:t>
            </w:r>
          </w:p>
        </w:tc>
        <w:tc>
          <w:tcPr>
            <w:tcW w:w="920" w:type="dxa"/>
            <w:vAlign w:val="bottom"/>
            <w:gridSpan w:val="6"/>
            <w:shd w:val="clear" w:color="auto" w:fill="CCEEFF"/>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2,796,491</w:t>
            </w: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8%</w:t>
            </w:r>
          </w:p>
        </w:tc>
        <w:tc>
          <w:tcPr>
            <w:tcW w:w="92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18%</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280" w:type="dxa"/>
            <w:vAlign w:val="bottom"/>
            <w:tcBorders>
              <w:lef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$ 23,247,957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15.98</w:t>
            </w:r>
          </w:p>
        </w:tc>
        <w:tc>
          <w:tcPr>
            <w:tcW w:w="0" w:type="dxa"/>
            <w:vAlign w:val="bottom"/>
          </w:tcPr>
          <w:p>
            <w:pPr>
              <w:spacing w:after="0"/>
              <w:rPr>
                <w:sz w:val="1"/>
                <w:szCs w:val="1"/>
                <w:color w:val="auto"/>
              </w:rPr>
            </w:pPr>
          </w:p>
        </w:tc>
      </w:tr>
      <w:tr>
        <w:trPr>
          <w:trHeight w:val="20"/>
        </w:trPr>
        <w:tc>
          <w:tcPr>
            <w:tcW w:w="16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420" w:type="dxa"/>
            <w:vAlign w:val="bottom"/>
            <w:gridSpan w:val="13"/>
          </w:tcPr>
          <w:p>
            <w:pPr>
              <w:spacing w:after="0"/>
              <w:rPr>
                <w:sz w:val="20"/>
                <w:szCs w:val="20"/>
                <w:color w:val="auto"/>
              </w:rPr>
            </w:pPr>
            <w:r>
              <w:rPr>
                <w:rFonts w:ascii="Arial" w:cs="Arial" w:eastAsia="Arial" w:hAnsi="Arial"/>
                <w:sz w:val="17"/>
                <w:szCs w:val="17"/>
                <w:b w:val="1"/>
                <w:bCs w:val="1"/>
                <w:color w:val="auto"/>
              </w:rPr>
              <w:t>New Lease Summary - Comparable (2)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w w:val="89"/>
              </w:rPr>
              <w:t>Straight-</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tcPr>
          <w:p>
            <w:pPr>
              <w:spacing w:after="0" w:line="144" w:lineRule="exact"/>
              <w:rPr>
                <w:sz w:val="20"/>
                <w:szCs w:val="20"/>
                <w:color w:val="auto"/>
              </w:rPr>
            </w:pPr>
            <w:r>
              <w:rPr>
                <w:rFonts w:ascii="Arial" w:cs="Arial" w:eastAsia="Arial" w:hAnsi="Arial"/>
                <w:sz w:val="13"/>
                <w:szCs w:val="13"/>
                <w:b w:val="1"/>
                <w:bCs w:val="1"/>
                <w:color w:val="auto"/>
              </w:rPr>
              <w:t>Cash</w:t>
            </w:r>
          </w:p>
        </w:tc>
        <w:tc>
          <w:tcPr>
            <w:tcW w:w="120" w:type="dxa"/>
            <w:vAlign w:val="bottom"/>
          </w:tcPr>
          <w:p>
            <w:pPr>
              <w:spacing w:after="0"/>
              <w:rPr>
                <w:sz w:val="12"/>
                <w:szCs w:val="12"/>
                <w:color w:val="auto"/>
              </w:rPr>
            </w:pPr>
          </w:p>
        </w:tc>
        <w:tc>
          <w:tcPr>
            <w:tcW w:w="80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lined</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tcPr>
          <w:p>
            <w:pPr>
              <w:jc w:val="center"/>
              <w:ind w:right="240"/>
              <w:spacing w:after="0" w:line="144" w:lineRule="exact"/>
              <w:rPr>
                <w:sz w:val="20"/>
                <w:szCs w:val="20"/>
                <w:color w:val="auto"/>
              </w:rPr>
            </w:pPr>
            <w:r>
              <w:rPr>
                <w:rFonts w:ascii="Arial" w:cs="Arial" w:eastAsia="Arial" w:hAnsi="Arial"/>
                <w:sz w:val="13"/>
                <w:szCs w:val="13"/>
                <w:b w:val="1"/>
                <w:bCs w:val="1"/>
                <w:color w:val="auto"/>
                <w:w w:val="98"/>
              </w:rPr>
              <w:t>Prior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5"/>
          </w:tcPr>
          <w:p>
            <w:pPr>
              <w:jc w:val="right"/>
              <w:ind w:right="360"/>
              <w:spacing w:after="0" w:line="144" w:lineRule="exact"/>
              <w:rPr>
                <w:sz w:val="20"/>
                <w:szCs w:val="20"/>
                <w:color w:val="auto"/>
              </w:rPr>
            </w:pPr>
            <w:r>
              <w:rPr>
                <w:rFonts w:ascii="Arial" w:cs="Arial" w:eastAsia="Arial" w:hAnsi="Arial"/>
                <w:sz w:val="13"/>
                <w:szCs w:val="13"/>
                <w:b w:val="1"/>
                <w:bCs w:val="1"/>
                <w:color w:val="auto"/>
                <w:w w:val="92"/>
              </w:rPr>
              <w:t>Basis %</w:t>
            </w:r>
          </w:p>
        </w:tc>
        <w:tc>
          <w:tcPr>
            <w:tcW w:w="920" w:type="dxa"/>
            <w:vAlign w:val="bottom"/>
            <w:gridSpan w:val="4"/>
          </w:tcPr>
          <w:p>
            <w:pPr>
              <w:jc w:val="right"/>
              <w:ind w:right="440"/>
              <w:spacing w:after="0" w:line="144" w:lineRule="exact"/>
              <w:rPr>
                <w:sz w:val="20"/>
                <w:szCs w:val="20"/>
                <w:color w:val="auto"/>
              </w:rPr>
            </w:pPr>
            <w:r>
              <w:rPr>
                <w:rFonts w:ascii="Arial" w:cs="Arial" w:eastAsia="Arial" w:hAnsi="Arial"/>
                <w:sz w:val="13"/>
                <w:szCs w:val="13"/>
                <w:b w:val="1"/>
                <w:bCs w:val="1"/>
                <w:color w:val="auto"/>
                <w:w w:val="92"/>
              </w:rPr>
              <w:t>Basis %</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gridSpan w:val="3"/>
          </w:tcPr>
          <w:p>
            <w:pPr>
              <w:jc w:val="center"/>
              <w:ind w:right="200"/>
              <w:spacing w:after="0" w:line="144" w:lineRule="exact"/>
              <w:rPr>
                <w:sz w:val="20"/>
                <w:szCs w:val="20"/>
                <w:color w:val="auto"/>
              </w:rPr>
            </w:pPr>
            <w:r>
              <w:rPr>
                <w:rFonts w:ascii="Arial" w:cs="Arial" w:eastAsia="Arial" w:hAnsi="Arial"/>
                <w:sz w:val="13"/>
                <w:szCs w:val="13"/>
                <w:b w:val="1"/>
                <w:bCs w:val="1"/>
                <w:color w:val="auto"/>
                <w:w w:val="93"/>
              </w:rPr>
              <w:t>Number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5"/>
          </w:tcPr>
          <w:p>
            <w:pPr>
              <w:jc w:val="center"/>
              <w:ind w:right="520"/>
              <w:spacing w:after="0" w:line="144"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Rent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5"/>
          </w:tcPr>
          <w:p>
            <w:pPr>
              <w:jc w:val="right"/>
              <w:ind w:right="360"/>
              <w:spacing w:after="0" w:line="144" w:lineRule="exact"/>
              <w:rPr>
                <w:sz w:val="20"/>
                <w:szCs w:val="20"/>
                <w:color w:val="auto"/>
              </w:rPr>
            </w:pPr>
            <w:r>
              <w:rPr>
                <w:rFonts w:ascii="Arial" w:cs="Arial" w:eastAsia="Arial" w:hAnsi="Arial"/>
                <w:sz w:val="13"/>
                <w:szCs w:val="13"/>
                <w:b w:val="1"/>
                <w:bCs w:val="1"/>
                <w:color w:val="auto"/>
                <w:w w:val="87"/>
              </w:rPr>
              <w:t>Increase</w:t>
            </w:r>
          </w:p>
        </w:tc>
        <w:tc>
          <w:tcPr>
            <w:tcW w:w="920" w:type="dxa"/>
            <w:vAlign w:val="bottom"/>
            <w:gridSpan w:val="4"/>
          </w:tcPr>
          <w:p>
            <w:pPr>
              <w:jc w:val="right"/>
              <w:ind w:right="440"/>
              <w:spacing w:after="0" w:line="144" w:lineRule="exact"/>
              <w:rPr>
                <w:sz w:val="20"/>
                <w:szCs w:val="20"/>
                <w:color w:val="auto"/>
              </w:rPr>
            </w:pPr>
            <w:r>
              <w:rPr>
                <w:rFonts w:ascii="Arial" w:cs="Arial" w:eastAsia="Arial" w:hAnsi="Arial"/>
                <w:sz w:val="13"/>
                <w:szCs w:val="13"/>
                <w:b w:val="1"/>
                <w:bCs w:val="1"/>
                <w:color w:val="auto"/>
                <w:w w:val="87"/>
              </w:rPr>
              <w:t>Increase</w:t>
            </w:r>
          </w:p>
        </w:tc>
        <w:tc>
          <w:tcPr>
            <w:tcW w:w="480" w:type="dxa"/>
            <w:vAlign w:val="bottom"/>
          </w:tcPr>
          <w:p>
            <w:pPr>
              <w:jc w:val="right"/>
              <w:spacing w:after="0" w:line="144" w:lineRule="exact"/>
              <w:rPr>
                <w:sz w:val="20"/>
                <w:szCs w:val="20"/>
                <w:color w:val="auto"/>
              </w:rPr>
            </w:pPr>
            <w:r>
              <w:rPr>
                <w:rFonts w:ascii="Arial" w:cs="Arial" w:eastAsia="Arial" w:hAnsi="Arial"/>
                <w:sz w:val="13"/>
                <w:szCs w:val="13"/>
                <w:b w:val="1"/>
                <w:bCs w:val="1"/>
                <w:color w:val="auto"/>
                <w:w w:val="78"/>
              </w:rPr>
              <w:t>Weighted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89"/>
              </w:rPr>
              <w:t>Tenant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gridSpan w:val="3"/>
          </w:tcPr>
          <w:p>
            <w:pPr>
              <w:jc w:val="center"/>
              <w:ind w:right="220"/>
              <w:spacing w:after="0" w:line="144" w:lineRule="exact"/>
              <w:rPr>
                <w:sz w:val="20"/>
                <w:szCs w:val="20"/>
                <w:color w:val="auto"/>
              </w:rPr>
            </w:pPr>
            <w:r>
              <w:rPr>
                <w:rFonts w:ascii="Arial" w:cs="Arial" w:eastAsia="Arial" w:hAnsi="Arial"/>
                <w:sz w:val="13"/>
                <w:szCs w:val="13"/>
                <w:b w:val="1"/>
                <w:bCs w:val="1"/>
                <w:color w:val="auto"/>
                <w:w w:val="97"/>
              </w:rPr>
              <w:t>of</w:t>
            </w:r>
          </w:p>
        </w:tc>
        <w:tc>
          <w:tcPr>
            <w:tcW w:w="80" w:type="dxa"/>
            <w:vAlign w:val="bottom"/>
          </w:tcPr>
          <w:p>
            <w:pPr>
              <w:spacing w:after="0"/>
              <w:rPr>
                <w:sz w:val="12"/>
                <w:szCs w:val="12"/>
                <w:color w:val="auto"/>
              </w:rPr>
            </w:pPr>
          </w:p>
        </w:tc>
        <w:tc>
          <w:tcPr>
            <w:tcW w:w="1020" w:type="dxa"/>
            <w:vAlign w:val="bottom"/>
            <w:gridSpan w:val="6"/>
          </w:tcPr>
          <w:p>
            <w:pPr>
              <w:jc w:val="center"/>
              <w:ind w:right="360"/>
              <w:spacing w:after="0" w:line="144" w:lineRule="exact"/>
              <w:rPr>
                <w:sz w:val="20"/>
                <w:szCs w:val="20"/>
                <w:color w:val="auto"/>
              </w:rPr>
            </w:pPr>
            <w:r>
              <w:rPr>
                <w:rFonts w:ascii="Arial" w:cs="Arial" w:eastAsia="Arial" w:hAnsi="Arial"/>
                <w:sz w:val="13"/>
                <w:szCs w:val="13"/>
                <w:b w:val="1"/>
                <w:bCs w:val="1"/>
                <w:color w:val="auto"/>
                <w:w w:val="87"/>
              </w:rPr>
              <w:t>Comparable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6"/>
          </w:tcPr>
          <w:p>
            <w:pPr>
              <w:spacing w:after="0" w:line="144" w:lineRule="exact"/>
              <w:rPr>
                <w:sz w:val="20"/>
                <w:szCs w:val="20"/>
                <w:color w:val="auto"/>
              </w:rPr>
            </w:pPr>
            <w:r>
              <w:rPr>
                <w:rFonts w:ascii="Arial" w:cs="Arial" w:eastAsia="Arial" w:hAnsi="Arial"/>
                <w:sz w:val="13"/>
                <w:szCs w:val="13"/>
                <w:b w:val="1"/>
                <w:bCs w:val="1"/>
                <w:color w:val="auto"/>
              </w:rPr>
              <w:t>Contractual</w:t>
            </w:r>
          </w:p>
        </w:tc>
        <w:tc>
          <w:tcPr>
            <w:tcW w:w="4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rPr>
              <w:t>(4)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5"/>
          </w:tcPr>
          <w:p>
            <w:pPr>
              <w:spacing w:after="0" w:line="144" w:lineRule="exact"/>
              <w:rPr>
                <w:sz w:val="20"/>
                <w:szCs w:val="20"/>
                <w:color w:val="auto"/>
              </w:rPr>
            </w:pPr>
            <w:r>
              <w:rPr>
                <w:rFonts w:ascii="Arial" w:cs="Arial" w:eastAsia="Arial" w:hAnsi="Arial"/>
                <w:sz w:val="13"/>
                <w:szCs w:val="13"/>
                <w:b w:val="1"/>
                <w:bCs w:val="1"/>
                <w:color w:val="auto"/>
              </w:rPr>
              <w:t>Annual</w:t>
            </w:r>
          </w:p>
        </w:tc>
        <w:tc>
          <w:tcPr>
            <w:tcW w:w="100" w:type="dxa"/>
            <w:vAlign w:val="bottom"/>
          </w:tcPr>
          <w:p>
            <w:pPr>
              <w:spacing w:after="0"/>
              <w:rPr>
                <w:sz w:val="12"/>
                <w:szCs w:val="12"/>
                <w:color w:val="auto"/>
              </w:rPr>
            </w:pPr>
          </w:p>
        </w:tc>
        <w:tc>
          <w:tcPr>
            <w:tcW w:w="740" w:type="dxa"/>
            <w:vAlign w:val="bottom"/>
            <w:gridSpan w:val="4"/>
          </w:tcPr>
          <w:p>
            <w:pPr>
              <w:spacing w:after="0" w:line="144" w:lineRule="exact"/>
              <w:rPr>
                <w:sz w:val="20"/>
                <w:szCs w:val="20"/>
                <w:color w:val="auto"/>
              </w:rPr>
            </w:pPr>
            <w:r>
              <w:rPr>
                <w:rFonts w:ascii="Arial" w:cs="Arial" w:eastAsia="Arial" w:hAnsi="Arial"/>
                <w:sz w:val="13"/>
                <w:szCs w:val="13"/>
                <w:b w:val="1"/>
                <w:bCs w:val="1"/>
                <w:color w:val="auto"/>
              </w:rPr>
              <w:t>Over</w:t>
            </w:r>
          </w:p>
        </w:tc>
        <w:tc>
          <w:tcPr>
            <w:tcW w:w="120" w:type="dxa"/>
            <w:vAlign w:val="bottom"/>
          </w:tcPr>
          <w:p>
            <w:pPr>
              <w:spacing w:after="0"/>
              <w:rPr>
                <w:sz w:val="12"/>
                <w:szCs w:val="12"/>
                <w:color w:val="auto"/>
              </w:rPr>
            </w:pPr>
          </w:p>
        </w:tc>
        <w:tc>
          <w:tcPr>
            <w:tcW w:w="80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Over</w:t>
            </w:r>
          </w:p>
        </w:tc>
        <w:tc>
          <w:tcPr>
            <w:tcW w:w="480" w:type="dxa"/>
            <w:vAlign w:val="bottom"/>
          </w:tcPr>
          <w:p>
            <w:pPr>
              <w:jc w:val="right"/>
              <w:spacing w:after="0" w:line="144" w:lineRule="exact"/>
              <w:rPr>
                <w:sz w:val="20"/>
                <w:szCs w:val="20"/>
                <w:color w:val="auto"/>
              </w:rPr>
            </w:pPr>
            <w:r>
              <w:rPr>
                <w:rFonts w:ascii="Arial" w:cs="Arial" w:eastAsia="Arial" w:hAnsi="Arial"/>
                <w:sz w:val="13"/>
                <w:szCs w:val="13"/>
                <w:b w:val="1"/>
                <w:bCs w:val="1"/>
                <w:color w:val="auto"/>
                <w:w w:val="81"/>
              </w:rPr>
              <w:t>Average</w:t>
            </w:r>
          </w:p>
        </w:tc>
        <w:tc>
          <w:tcPr>
            <w:tcW w:w="320" w:type="dxa"/>
            <w:vAlign w:val="bottom"/>
          </w:tcPr>
          <w:p>
            <w:pPr>
              <w:spacing w:after="0"/>
              <w:rPr>
                <w:sz w:val="12"/>
                <w:szCs w:val="12"/>
                <w:color w:val="auto"/>
              </w:rPr>
            </w:pPr>
          </w:p>
        </w:tc>
        <w:tc>
          <w:tcPr>
            <w:tcW w:w="96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87"/>
              </w:rPr>
              <w:t>Improvements</w:t>
            </w:r>
          </w:p>
        </w:tc>
        <w:tc>
          <w:tcPr>
            <w:tcW w:w="100" w:type="dxa"/>
            <w:vAlign w:val="bottom"/>
          </w:tcPr>
          <w:p>
            <w:pPr>
              <w:spacing w:after="0"/>
              <w:rPr>
                <w:sz w:val="12"/>
                <w:szCs w:val="12"/>
                <w:color w:val="auto"/>
              </w:rPr>
            </w:pPr>
          </w:p>
        </w:tc>
        <w:tc>
          <w:tcPr>
            <w:tcW w:w="92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w w:val="98"/>
              </w:rPr>
              <w:t>Improvements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gridSpan w:val="3"/>
          </w:tcPr>
          <w:p>
            <w:pPr>
              <w:jc w:val="center"/>
              <w:ind w:right="220"/>
              <w:spacing w:after="0" w:line="144" w:lineRule="exact"/>
              <w:rPr>
                <w:sz w:val="20"/>
                <w:szCs w:val="20"/>
                <w:color w:val="auto"/>
              </w:rPr>
            </w:pPr>
            <w:r>
              <w:rPr>
                <w:rFonts w:ascii="Arial" w:cs="Arial" w:eastAsia="Arial" w:hAnsi="Arial"/>
                <w:sz w:val="13"/>
                <w:szCs w:val="13"/>
                <w:b w:val="1"/>
                <w:bCs w:val="1"/>
                <w:color w:val="auto"/>
                <w:w w:val="81"/>
              </w:rPr>
              <w:t>Leases</w:t>
            </w:r>
          </w:p>
        </w:tc>
        <w:tc>
          <w:tcPr>
            <w:tcW w:w="80" w:type="dxa"/>
            <w:vAlign w:val="bottom"/>
          </w:tcPr>
          <w:p>
            <w:pPr>
              <w:spacing w:after="0"/>
              <w:rPr>
                <w:sz w:val="12"/>
                <w:szCs w:val="12"/>
                <w:color w:val="auto"/>
              </w:rPr>
            </w:pPr>
          </w:p>
        </w:tc>
        <w:tc>
          <w:tcPr>
            <w:tcW w:w="1020" w:type="dxa"/>
            <w:vAlign w:val="bottom"/>
            <w:gridSpan w:val="6"/>
          </w:tcPr>
          <w:p>
            <w:pPr>
              <w:jc w:val="center"/>
              <w:ind w:right="380"/>
              <w:spacing w:after="0" w:line="144" w:lineRule="exact"/>
              <w:rPr>
                <w:sz w:val="20"/>
                <w:szCs w:val="20"/>
                <w:color w:val="auto"/>
              </w:rPr>
            </w:pPr>
            <w:r>
              <w:rPr>
                <w:rFonts w:ascii="Arial" w:cs="Arial" w:eastAsia="Arial" w:hAnsi="Arial"/>
                <w:sz w:val="13"/>
                <w:szCs w:val="13"/>
                <w:b w:val="1"/>
                <w:bCs w:val="1"/>
                <w:color w:val="auto"/>
                <w:w w:val="81"/>
              </w:rPr>
              <w:t>Leases</w:t>
            </w:r>
          </w:p>
        </w:tc>
        <w:tc>
          <w:tcPr>
            <w:tcW w:w="120" w:type="dxa"/>
            <w:vAlign w:val="bottom"/>
          </w:tcPr>
          <w:p>
            <w:pPr>
              <w:spacing w:after="0"/>
              <w:rPr>
                <w:sz w:val="12"/>
                <w:szCs w:val="12"/>
                <w:color w:val="auto"/>
              </w:rPr>
            </w:pPr>
          </w:p>
        </w:tc>
        <w:tc>
          <w:tcPr>
            <w:tcW w:w="740" w:type="dxa"/>
            <w:vAlign w:val="bottom"/>
            <w:gridSpan w:val="2"/>
          </w:tcPr>
          <w:p>
            <w:pPr>
              <w:jc w:val="center"/>
              <w:ind w:right="380"/>
              <w:spacing w:after="0" w:line="144" w:lineRule="exact"/>
              <w:rPr>
                <w:sz w:val="20"/>
                <w:szCs w:val="20"/>
                <w:color w:val="auto"/>
              </w:rPr>
            </w:pPr>
            <w:r>
              <w:rPr>
                <w:rFonts w:ascii="Arial" w:cs="Arial" w:eastAsia="Arial" w:hAnsi="Arial"/>
                <w:sz w:val="13"/>
                <w:szCs w:val="13"/>
                <w:b w:val="1"/>
                <w:bCs w:val="1"/>
                <w:color w:val="auto"/>
              </w:rPr>
              <w:t>GLA</w:t>
            </w:r>
          </w:p>
        </w:tc>
        <w:tc>
          <w:tcPr>
            <w:tcW w:w="20" w:type="dxa"/>
            <w:vAlign w:val="bottom"/>
          </w:tcPr>
          <w:p>
            <w:pPr>
              <w:spacing w:after="0"/>
              <w:rPr>
                <w:sz w:val="12"/>
                <w:szCs w:val="12"/>
                <w:color w:val="auto"/>
              </w:rPr>
            </w:pPr>
          </w:p>
        </w:tc>
        <w:tc>
          <w:tcPr>
            <w:tcW w:w="920" w:type="dxa"/>
            <w:vAlign w:val="bottom"/>
            <w:gridSpan w:val="5"/>
          </w:tcPr>
          <w:p>
            <w:pPr>
              <w:jc w:val="center"/>
              <w:ind w:right="280"/>
              <w:spacing w:after="0" w:line="144" w:lineRule="exact"/>
              <w:rPr>
                <w:sz w:val="20"/>
                <w:szCs w:val="20"/>
                <w:color w:val="auto"/>
              </w:rPr>
            </w:pPr>
            <w:r>
              <w:rPr>
                <w:rFonts w:ascii="Arial" w:cs="Arial" w:eastAsia="Arial" w:hAnsi="Arial"/>
                <w:sz w:val="13"/>
                <w:szCs w:val="13"/>
                <w:b w:val="1"/>
                <w:bCs w:val="1"/>
                <w:color w:val="auto"/>
                <w:w w:val="90"/>
              </w:rPr>
              <w:t>Rent (3)</w:t>
            </w:r>
          </w:p>
        </w:tc>
        <w:tc>
          <w:tcPr>
            <w:tcW w:w="740" w:type="dxa"/>
            <w:vAlign w:val="bottom"/>
            <w:gridSpan w:val="4"/>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Per Sq.</w:t>
            </w:r>
          </w:p>
        </w:tc>
        <w:tc>
          <w:tcPr>
            <w:tcW w:w="920" w:type="dxa"/>
            <w:vAlign w:val="bottom"/>
            <w:gridSpan w:val="6"/>
          </w:tcPr>
          <w:p>
            <w:pPr>
              <w:ind w:left="40"/>
              <w:spacing w:after="0" w:line="144" w:lineRule="exact"/>
              <w:rPr>
                <w:sz w:val="20"/>
                <w:szCs w:val="20"/>
                <w:color w:val="auto"/>
              </w:rPr>
            </w:pPr>
            <w:r>
              <w:rPr>
                <w:rFonts w:ascii="Arial" w:cs="Arial" w:eastAsia="Arial" w:hAnsi="Arial"/>
                <w:sz w:val="13"/>
                <w:szCs w:val="13"/>
                <w:b w:val="1"/>
                <w:bCs w:val="1"/>
                <w:color w:val="auto"/>
              </w:rPr>
              <w:t>Increase in</w:t>
            </w:r>
          </w:p>
        </w:tc>
        <w:tc>
          <w:tcPr>
            <w:tcW w:w="840" w:type="dxa"/>
            <w:vAlign w:val="bottom"/>
            <w:gridSpan w:val="5"/>
          </w:tcPr>
          <w:p>
            <w:pPr>
              <w:ind w:left="100"/>
              <w:spacing w:after="0" w:line="144" w:lineRule="exact"/>
              <w:rPr>
                <w:sz w:val="20"/>
                <w:szCs w:val="20"/>
                <w:color w:val="auto"/>
              </w:rPr>
            </w:pPr>
            <w:r>
              <w:rPr>
                <w:rFonts w:ascii="Arial" w:cs="Arial" w:eastAsia="Arial" w:hAnsi="Arial"/>
                <w:sz w:val="13"/>
                <w:szCs w:val="13"/>
                <w:b w:val="1"/>
                <w:bCs w:val="1"/>
                <w:color w:val="auto"/>
              </w:rPr>
              <w:t>Prior</w:t>
            </w:r>
          </w:p>
        </w:tc>
        <w:tc>
          <w:tcPr>
            <w:tcW w:w="120" w:type="dxa"/>
            <w:vAlign w:val="bottom"/>
          </w:tcPr>
          <w:p>
            <w:pPr>
              <w:spacing w:after="0"/>
              <w:rPr>
                <w:sz w:val="12"/>
                <w:szCs w:val="12"/>
                <w:color w:val="auto"/>
              </w:rPr>
            </w:pPr>
          </w:p>
        </w:tc>
        <w:tc>
          <w:tcPr>
            <w:tcW w:w="80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Prior</w:t>
            </w:r>
          </w:p>
        </w:tc>
        <w:tc>
          <w:tcPr>
            <w:tcW w:w="480" w:type="dxa"/>
            <w:vAlign w:val="bottom"/>
          </w:tcPr>
          <w:p>
            <w:pPr>
              <w:ind w:left="40"/>
              <w:spacing w:after="0" w:line="144" w:lineRule="exact"/>
              <w:rPr>
                <w:sz w:val="20"/>
                <w:szCs w:val="20"/>
                <w:color w:val="auto"/>
              </w:rPr>
            </w:pPr>
            <w:r>
              <w:rPr>
                <w:rFonts w:ascii="Arial" w:cs="Arial" w:eastAsia="Arial" w:hAnsi="Arial"/>
                <w:sz w:val="13"/>
                <w:szCs w:val="13"/>
                <w:b w:val="1"/>
                <w:bCs w:val="1"/>
                <w:color w:val="auto"/>
              </w:rPr>
              <w:t>Lease</w:t>
            </w:r>
          </w:p>
        </w:tc>
        <w:tc>
          <w:tcPr>
            <w:tcW w:w="320" w:type="dxa"/>
            <w:vAlign w:val="bottom"/>
          </w:tcPr>
          <w:p>
            <w:pPr>
              <w:spacing w:after="0"/>
              <w:rPr>
                <w:sz w:val="12"/>
                <w:szCs w:val="12"/>
                <w:color w:val="auto"/>
              </w:rPr>
            </w:pPr>
          </w:p>
        </w:tc>
        <w:tc>
          <w:tcPr>
            <w:tcW w:w="96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&amp; Incentives</w:t>
            </w:r>
          </w:p>
        </w:tc>
        <w:tc>
          <w:tcPr>
            <w:tcW w:w="100" w:type="dxa"/>
            <w:vAlign w:val="bottom"/>
          </w:tcPr>
          <w:p>
            <w:pPr>
              <w:spacing w:after="0"/>
              <w:rPr>
                <w:sz w:val="12"/>
                <w:szCs w:val="12"/>
                <w:color w:val="auto"/>
              </w:rPr>
            </w:pPr>
          </w:p>
        </w:tc>
        <w:tc>
          <w:tcPr>
            <w:tcW w:w="92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93"/>
              </w:rPr>
              <w:t>&amp; Incentives</w:t>
            </w:r>
          </w:p>
        </w:tc>
        <w:tc>
          <w:tcPr>
            <w:tcW w:w="0" w:type="dxa"/>
            <w:vAlign w:val="bottom"/>
          </w:tcPr>
          <w:p>
            <w:pPr>
              <w:spacing w:after="0"/>
              <w:rPr>
                <w:sz w:val="1"/>
                <w:szCs w:val="1"/>
                <w:color w:val="auto"/>
              </w:rPr>
            </w:pPr>
          </w:p>
        </w:tc>
      </w:tr>
      <w:tr>
        <w:trPr>
          <w:trHeight w:val="157"/>
        </w:trPr>
        <w:tc>
          <w:tcPr>
            <w:tcW w:w="1660" w:type="dxa"/>
            <w:vAlign w:val="bottom"/>
            <w:gridSpan w:val="3"/>
          </w:tcPr>
          <w:p>
            <w:pPr>
              <w:spacing w:after="0"/>
              <w:rPr>
                <w:sz w:val="20"/>
                <w:szCs w:val="20"/>
                <w:color w:val="auto"/>
              </w:rPr>
            </w:pPr>
            <w:r>
              <w:rPr>
                <w:rFonts w:ascii="Arial" w:cs="Arial" w:eastAsia="Arial" w:hAnsi="Arial"/>
                <w:sz w:val="13"/>
                <w:szCs w:val="13"/>
                <w:b w:val="1"/>
                <w:bCs w:val="1"/>
                <w:color w:val="auto"/>
              </w:rPr>
              <w:t>Quarter</w:t>
            </w:r>
          </w:p>
        </w:tc>
        <w:tc>
          <w:tcPr>
            <w:tcW w:w="6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2"/>
              </w:rPr>
              <w:t>Signed</w:t>
            </w:r>
          </w:p>
        </w:tc>
        <w:tc>
          <w:tcPr>
            <w:tcW w:w="80" w:type="dxa"/>
            <w:vAlign w:val="bottom"/>
          </w:tcPr>
          <w:p>
            <w:pPr>
              <w:spacing w:after="0"/>
              <w:rPr>
                <w:sz w:val="13"/>
                <w:szCs w:val="13"/>
                <w:color w:val="auto"/>
              </w:rPr>
            </w:pPr>
          </w:p>
        </w:tc>
        <w:tc>
          <w:tcPr>
            <w:tcW w:w="1020" w:type="dxa"/>
            <w:vAlign w:val="bottom"/>
            <w:gridSpan w:val="6"/>
          </w:tcPr>
          <w:p>
            <w:pPr>
              <w:jc w:val="center"/>
              <w:ind w:right="400"/>
              <w:spacing w:after="0"/>
              <w:rPr>
                <w:sz w:val="20"/>
                <w:szCs w:val="20"/>
                <w:color w:val="auto"/>
              </w:rPr>
            </w:pPr>
            <w:r>
              <w:rPr>
                <w:rFonts w:ascii="Arial" w:cs="Arial" w:eastAsia="Arial" w:hAnsi="Arial"/>
                <w:sz w:val="13"/>
                <w:szCs w:val="13"/>
                <w:b w:val="1"/>
                <w:bCs w:val="1"/>
                <w:color w:val="auto"/>
                <w:w w:val="87"/>
              </w:rPr>
              <w:t>Signed</w:t>
            </w:r>
          </w:p>
        </w:tc>
        <w:tc>
          <w:tcPr>
            <w:tcW w:w="8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7"/>
              </w:rPr>
              <w:t>Signed</w:t>
            </w:r>
          </w:p>
        </w:tc>
        <w:tc>
          <w:tcPr>
            <w:tcW w:w="20" w:type="dxa"/>
            <w:vAlign w:val="bottom"/>
          </w:tcPr>
          <w:p>
            <w:pPr>
              <w:spacing w:after="0"/>
              <w:rPr>
                <w:sz w:val="13"/>
                <w:szCs w:val="13"/>
                <w:color w:val="auto"/>
              </w:rPr>
            </w:pPr>
          </w:p>
        </w:tc>
        <w:tc>
          <w:tcPr>
            <w:tcW w:w="92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93"/>
              </w:rPr>
              <w:t>Per Sq. Ft.</w:t>
            </w:r>
          </w:p>
        </w:tc>
        <w:tc>
          <w:tcPr>
            <w:tcW w:w="160" w:type="dxa"/>
            <w:vAlign w:val="bottom"/>
          </w:tcPr>
          <w:p>
            <w:pPr>
              <w:spacing w:after="0"/>
              <w:rPr>
                <w:sz w:val="13"/>
                <w:szCs w:val="13"/>
                <w:color w:val="auto"/>
              </w:rPr>
            </w:pPr>
          </w:p>
        </w:tc>
        <w:tc>
          <w:tcPr>
            <w:tcW w:w="58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rPr>
              <w:t>Ft.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4"/>
          </w:tcPr>
          <w:p>
            <w:pPr>
              <w:spacing w:after="0"/>
              <w:rPr>
                <w:sz w:val="20"/>
                <w:szCs w:val="20"/>
                <w:color w:val="auto"/>
              </w:rPr>
            </w:pPr>
            <w:r>
              <w:rPr>
                <w:rFonts w:ascii="Arial" w:cs="Arial" w:eastAsia="Arial" w:hAnsi="Arial"/>
                <w:sz w:val="13"/>
                <w:szCs w:val="13"/>
                <w:b w:val="1"/>
                <w:bCs w:val="1"/>
                <w:color w:val="auto"/>
              </w:rPr>
              <w:t>Rent</w:t>
            </w:r>
          </w:p>
        </w:tc>
        <w:tc>
          <w:tcPr>
            <w:tcW w:w="100" w:type="dxa"/>
            <w:vAlign w:val="bottom"/>
          </w:tcPr>
          <w:p>
            <w:pPr>
              <w:spacing w:after="0"/>
              <w:rPr>
                <w:sz w:val="13"/>
                <w:szCs w:val="13"/>
                <w:color w:val="auto"/>
              </w:rPr>
            </w:pPr>
          </w:p>
        </w:tc>
        <w:tc>
          <w:tcPr>
            <w:tcW w:w="740" w:type="dxa"/>
            <w:vAlign w:val="bottom"/>
            <w:gridSpan w:val="4"/>
          </w:tcPr>
          <w:p>
            <w:pPr>
              <w:spacing w:after="0"/>
              <w:rPr>
                <w:sz w:val="20"/>
                <w:szCs w:val="20"/>
                <w:color w:val="auto"/>
              </w:rPr>
            </w:pPr>
            <w:r>
              <w:rPr>
                <w:rFonts w:ascii="Arial" w:cs="Arial" w:eastAsia="Arial" w:hAnsi="Arial"/>
                <w:sz w:val="13"/>
                <w:szCs w:val="13"/>
                <w:b w:val="1"/>
                <w:bCs w:val="1"/>
                <w:color w:val="auto"/>
              </w:rPr>
              <w:t>Rent</w:t>
            </w:r>
          </w:p>
        </w:tc>
        <w:tc>
          <w:tcPr>
            <w:tcW w:w="12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Rent</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85"/>
              </w:rPr>
              <w:t>Term (5)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80"/>
              <w:spacing w:after="0"/>
              <w:rPr>
                <w:sz w:val="20"/>
                <w:szCs w:val="20"/>
                <w:color w:val="auto"/>
              </w:rPr>
            </w:pPr>
            <w:r>
              <w:rPr>
                <w:rFonts w:ascii="Arial" w:cs="Arial" w:eastAsia="Arial" w:hAnsi="Arial"/>
                <w:sz w:val="13"/>
                <w:szCs w:val="13"/>
                <w:b w:val="1"/>
                <w:bCs w:val="1"/>
                <w:color w:val="auto"/>
                <w:w w:val="87"/>
              </w:rPr>
              <w:t>(6)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4th Quarter 2010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00" w:type="dxa"/>
            <w:vAlign w:val="bottom"/>
            <w:tcBorders>
              <w:left w:val="single" w:sz="8" w:color="CCEEFF"/>
            </w:tcBorders>
            <w:shd w:val="clear" w:color="auto" w:fill="CCEEFF"/>
          </w:tcPr>
          <w:p>
            <w:pPr>
              <w:spacing w:after="0"/>
              <w:rPr>
                <w:sz w:val="17"/>
                <w:szCs w:val="17"/>
                <w:color w:val="auto"/>
              </w:rPr>
            </w:pPr>
          </w:p>
        </w:tc>
        <w:tc>
          <w:tcPr>
            <w:tcW w:w="92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51%</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1"/>
              </w:rPr>
              <w:t>200,350</w:t>
            </w:r>
          </w:p>
        </w:tc>
        <w:tc>
          <w:tcPr>
            <w:tcW w:w="260" w:type="dxa"/>
            <w:vAlign w:val="bottom"/>
            <w:tcBorders>
              <w:left w:val="single" w:sz="8" w:color="CCEEFF"/>
            </w:tcBorders>
            <w:shd w:val="clear" w:color="auto" w:fill="CCEEFF"/>
          </w:tcPr>
          <w:p>
            <w:pPr>
              <w:spacing w:after="0"/>
              <w:rPr>
                <w:sz w:val="17"/>
                <w:szCs w:val="17"/>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25.05</w:t>
            </w:r>
          </w:p>
        </w:tc>
        <w:tc>
          <w:tcPr>
            <w:tcW w:w="20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8"/>
              </w:rPr>
              <w:t>$24.07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$195,237</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gridSpan w:val="4"/>
            <w:shd w:val="clear" w:color="auto" w:fill="CCEEFF"/>
          </w:tcPr>
          <w:p>
            <w:pPr>
              <w:ind w:left="400"/>
              <w:spacing w:after="0"/>
              <w:rPr>
                <w:sz w:val="20"/>
                <w:szCs w:val="20"/>
                <w:color w:val="auto"/>
              </w:rPr>
            </w:pPr>
            <w:r>
              <w:rPr>
                <w:rFonts w:ascii="Arial" w:cs="Arial" w:eastAsia="Arial" w:hAnsi="Arial"/>
                <w:sz w:val="13"/>
                <w:szCs w:val="13"/>
                <w:color w:val="auto"/>
                <w:w w:val="74"/>
              </w:rPr>
              <w:t>4%</w:t>
            </w:r>
          </w:p>
        </w:tc>
        <w:tc>
          <w:tcPr>
            <w:tcW w:w="260" w:type="dxa"/>
            <w:vAlign w:val="bottom"/>
            <w:tcBorders>
              <w:lef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12%</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420" w:type="dxa"/>
            <w:vAlign w:val="bottom"/>
            <w:tcBorders>
              <w:left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5,443,775</w:t>
            </w:r>
          </w:p>
        </w:tc>
        <w:tc>
          <w:tcPr>
            <w:tcW w:w="160" w:type="dxa"/>
            <w:vAlign w:val="bottom"/>
            <w:tcBorders>
              <w:left w:val="single" w:sz="8" w:color="CCEEFF"/>
            </w:tcBorders>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7"/>
                <w:szCs w:val="17"/>
                <w:color w:val="auto"/>
              </w:rPr>
              <w:t>3rd Quarter 2010</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29</w:t>
            </w:r>
          </w:p>
        </w:tc>
        <w:tc>
          <w:tcPr>
            <w:tcW w:w="200" w:type="dxa"/>
            <w:vAlign w:val="bottom"/>
          </w:tcPr>
          <w:p>
            <w:pPr>
              <w:spacing w:after="0"/>
              <w:rPr>
                <w:sz w:val="18"/>
                <w:szCs w:val="18"/>
                <w:color w:val="auto"/>
              </w:rPr>
            </w:pPr>
          </w:p>
        </w:tc>
        <w:tc>
          <w:tcPr>
            <w:tcW w:w="920" w:type="dxa"/>
            <w:vAlign w:val="bottom"/>
            <w:gridSpan w:val="5"/>
          </w:tcPr>
          <w:p>
            <w:pPr>
              <w:jc w:val="right"/>
              <w:ind w:right="20"/>
              <w:spacing w:after="0"/>
              <w:rPr>
                <w:sz w:val="20"/>
                <w:szCs w:val="20"/>
                <w:color w:val="auto"/>
              </w:rPr>
            </w:pPr>
            <w:r>
              <w:rPr>
                <w:rFonts w:ascii="Arial" w:cs="Arial" w:eastAsia="Arial" w:hAnsi="Arial"/>
                <w:sz w:val="17"/>
                <w:szCs w:val="17"/>
                <w:color w:val="auto"/>
              </w:rPr>
              <w:t>39%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ind w:left="60"/>
              <w:spacing w:after="0"/>
              <w:rPr>
                <w:sz w:val="20"/>
                <w:szCs w:val="20"/>
                <w:color w:val="auto"/>
              </w:rPr>
            </w:pPr>
            <w:r>
              <w:rPr>
                <w:rFonts w:ascii="Arial" w:cs="Arial" w:eastAsia="Arial" w:hAnsi="Arial"/>
                <w:sz w:val="17"/>
                <w:szCs w:val="17"/>
                <w:color w:val="auto"/>
                <w:w w:val="81"/>
              </w:rPr>
              <w:t>132,033</w:t>
            </w:r>
          </w:p>
        </w:tc>
        <w:tc>
          <w:tcPr>
            <w:tcW w:w="26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27.10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w w:val="88"/>
              </w:rPr>
              <w:t>$25.79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spacing w:after="0"/>
              <w:rPr>
                <w:sz w:val="20"/>
                <w:szCs w:val="20"/>
                <w:color w:val="auto"/>
              </w:rPr>
            </w:pPr>
            <w:r>
              <w:rPr>
                <w:rFonts w:ascii="Arial" w:cs="Arial" w:eastAsia="Arial" w:hAnsi="Arial"/>
                <w:sz w:val="17"/>
                <w:szCs w:val="17"/>
                <w:color w:val="auto"/>
              </w:rPr>
              <w:t>$172,909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4"/>
          </w:tcPr>
          <w:p>
            <w:pPr>
              <w:ind w:left="400"/>
              <w:spacing w:after="0"/>
              <w:rPr>
                <w:sz w:val="20"/>
                <w:szCs w:val="20"/>
                <w:color w:val="auto"/>
              </w:rPr>
            </w:pPr>
            <w:r>
              <w:rPr>
                <w:rFonts w:ascii="Arial" w:cs="Arial" w:eastAsia="Arial" w:hAnsi="Arial"/>
                <w:sz w:val="13"/>
                <w:szCs w:val="13"/>
                <w:color w:val="auto"/>
                <w:w w:val="74"/>
              </w:rPr>
              <w:t>5%</w:t>
            </w:r>
          </w:p>
        </w:tc>
        <w:tc>
          <w:tcPr>
            <w:tcW w:w="260" w:type="dxa"/>
            <w:vAlign w:val="bottom"/>
          </w:tcPr>
          <w:p>
            <w:pPr>
              <w:spacing w:after="0"/>
              <w:rPr>
                <w:sz w:val="18"/>
                <w:szCs w:val="18"/>
                <w:color w:val="auto"/>
              </w:rPr>
            </w:pPr>
          </w:p>
        </w:tc>
        <w:tc>
          <w:tcPr>
            <w:tcW w:w="920" w:type="dxa"/>
            <w:vAlign w:val="bottom"/>
            <w:gridSpan w:val="4"/>
          </w:tcPr>
          <w:p>
            <w:pPr>
              <w:jc w:val="right"/>
              <w:ind w:right="280"/>
              <w:spacing w:after="0"/>
              <w:rPr>
                <w:sz w:val="20"/>
                <w:szCs w:val="20"/>
                <w:color w:val="auto"/>
              </w:rPr>
            </w:pPr>
            <w:r>
              <w:rPr>
                <w:rFonts w:ascii="Arial" w:cs="Arial" w:eastAsia="Arial" w:hAnsi="Arial"/>
                <w:sz w:val="17"/>
                <w:szCs w:val="17"/>
                <w:color w:val="auto"/>
              </w:rPr>
              <w:t>16%</w:t>
            </w:r>
          </w:p>
        </w:tc>
        <w:tc>
          <w:tcPr>
            <w:tcW w:w="480" w:type="dxa"/>
            <w:vAlign w:val="bottom"/>
          </w:tcPr>
          <w:p>
            <w:pPr>
              <w:jc w:val="right"/>
              <w:spacing w:after="0"/>
              <w:rPr>
                <w:sz w:val="20"/>
                <w:szCs w:val="20"/>
                <w:color w:val="auto"/>
              </w:rPr>
            </w:pPr>
            <w:r>
              <w:rPr>
                <w:rFonts w:ascii="Arial" w:cs="Arial" w:eastAsia="Arial" w:hAnsi="Arial"/>
                <w:sz w:val="17"/>
                <w:szCs w:val="17"/>
                <w:color w:val="auto"/>
              </w:rPr>
              <w:t>8.2</w:t>
            </w:r>
          </w:p>
        </w:tc>
        <w:tc>
          <w:tcPr>
            <w:tcW w:w="4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6,089,555</w:t>
            </w: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46.12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2nd Quarter 2010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0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39%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1"/>
              </w:rPr>
              <w:t>149,562</w:t>
            </w:r>
          </w:p>
        </w:tc>
        <w:tc>
          <w:tcPr>
            <w:tcW w:w="26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25.01</w:t>
            </w:r>
          </w:p>
        </w:tc>
        <w:tc>
          <w:tcPr>
            <w:tcW w:w="2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8"/>
              </w:rPr>
              <w:t>$23.20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$270,375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ind w:left="400"/>
              <w:spacing w:after="0"/>
              <w:rPr>
                <w:sz w:val="20"/>
                <w:szCs w:val="20"/>
                <w:color w:val="auto"/>
              </w:rPr>
            </w:pPr>
            <w:r>
              <w:rPr>
                <w:rFonts w:ascii="Arial" w:cs="Arial" w:eastAsia="Arial" w:hAnsi="Arial"/>
                <w:sz w:val="13"/>
                <w:szCs w:val="13"/>
                <w:color w:val="auto"/>
                <w:w w:val="74"/>
              </w:rPr>
              <w:t>8%</w:t>
            </w:r>
          </w:p>
        </w:tc>
        <w:tc>
          <w:tcPr>
            <w:tcW w:w="260" w:type="dxa"/>
            <w:vAlign w:val="bottom"/>
            <w:tcBorders>
              <w:lef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16%</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420" w:type="dxa"/>
            <w:vAlign w:val="bottom"/>
            <w:tcBorders>
              <w:left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4,409,306</w:t>
            </w:r>
          </w:p>
        </w:tc>
        <w:tc>
          <w:tcPr>
            <w:tcW w:w="16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7"/>
                <w:szCs w:val="17"/>
                <w:color w:val="auto"/>
              </w:rPr>
              <w:t>1st Quarter 2010</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7"/>
                <w:szCs w:val="17"/>
                <w:color w:val="auto"/>
              </w:rPr>
              <w:t>42%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ind w:left="60"/>
              <w:spacing w:after="0"/>
              <w:rPr>
                <w:sz w:val="20"/>
                <w:szCs w:val="20"/>
                <w:color w:val="auto"/>
              </w:rPr>
            </w:pPr>
            <w:r>
              <w:rPr>
                <w:rFonts w:ascii="Arial" w:cs="Arial" w:eastAsia="Arial" w:hAnsi="Arial"/>
                <w:sz w:val="17"/>
                <w:szCs w:val="17"/>
                <w:color w:val="auto"/>
                <w:w w:val="81"/>
              </w:rPr>
              <w:t>157,619</w:t>
            </w:r>
          </w:p>
        </w:tc>
        <w:tc>
          <w:tcPr>
            <w:tcW w:w="26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23.00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20.98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318,458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7"/>
                <w:szCs w:val="17"/>
                <w:color w:val="auto"/>
              </w:rPr>
              <w:t>10%</w:t>
            </w:r>
          </w:p>
        </w:tc>
        <w:tc>
          <w:tcPr>
            <w:tcW w:w="260" w:type="dxa"/>
            <w:vAlign w:val="bottom"/>
          </w:tcPr>
          <w:p>
            <w:pPr>
              <w:spacing w:after="0"/>
              <w:rPr>
                <w:sz w:val="18"/>
                <w:szCs w:val="18"/>
                <w:color w:val="auto"/>
              </w:rPr>
            </w:pPr>
          </w:p>
        </w:tc>
        <w:tc>
          <w:tcPr>
            <w:tcW w:w="920" w:type="dxa"/>
            <w:vAlign w:val="bottom"/>
            <w:gridSpan w:val="4"/>
          </w:tcPr>
          <w:p>
            <w:pPr>
              <w:jc w:val="right"/>
              <w:ind w:right="280"/>
              <w:spacing w:after="0"/>
              <w:rPr>
                <w:sz w:val="20"/>
                <w:szCs w:val="20"/>
                <w:color w:val="auto"/>
              </w:rPr>
            </w:pPr>
            <w:r>
              <w:rPr>
                <w:rFonts w:ascii="Arial" w:cs="Arial" w:eastAsia="Arial" w:hAnsi="Arial"/>
                <w:sz w:val="17"/>
                <w:szCs w:val="17"/>
                <w:color w:val="auto"/>
              </w:rPr>
              <w:t>17%</w:t>
            </w:r>
          </w:p>
        </w:tc>
        <w:tc>
          <w:tcPr>
            <w:tcW w:w="480" w:type="dxa"/>
            <w:vAlign w:val="bottom"/>
          </w:tcPr>
          <w:p>
            <w:pPr>
              <w:jc w:val="right"/>
              <w:spacing w:after="0"/>
              <w:rPr>
                <w:sz w:val="20"/>
                <w:szCs w:val="20"/>
                <w:color w:val="auto"/>
              </w:rPr>
            </w:pPr>
            <w:r>
              <w:rPr>
                <w:rFonts w:ascii="Arial" w:cs="Arial" w:eastAsia="Arial" w:hAnsi="Arial"/>
                <w:sz w:val="17"/>
                <w:szCs w:val="17"/>
                <w:color w:val="auto"/>
              </w:rPr>
              <w:t>8.9</w:t>
            </w:r>
          </w:p>
        </w:tc>
        <w:tc>
          <w:tcPr>
            <w:tcW w:w="4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6,828,877</w:t>
            </w: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43.33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- 12 months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43%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1"/>
              </w:rPr>
              <w:t>639,564</w:t>
            </w:r>
          </w:p>
        </w:tc>
        <w:tc>
          <w:tcPr>
            <w:tcW w:w="26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24.96</w:t>
            </w:r>
          </w:p>
        </w:tc>
        <w:tc>
          <w:tcPr>
            <w:tcW w:w="2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23.46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956,979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ind w:left="400"/>
              <w:spacing w:after="0"/>
              <w:rPr>
                <w:sz w:val="20"/>
                <w:szCs w:val="20"/>
                <w:color w:val="auto"/>
              </w:rPr>
            </w:pPr>
            <w:r>
              <w:rPr>
                <w:rFonts w:ascii="Arial" w:cs="Arial" w:eastAsia="Arial" w:hAnsi="Arial"/>
                <w:sz w:val="13"/>
                <w:szCs w:val="13"/>
                <w:color w:val="auto"/>
                <w:w w:val="74"/>
              </w:rPr>
              <w:t>6%</w:t>
            </w:r>
          </w:p>
        </w:tc>
        <w:tc>
          <w:tcPr>
            <w:tcW w:w="260" w:type="dxa"/>
            <w:vAlign w:val="bottom"/>
            <w:tcBorders>
              <w:lef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15%</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12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22,771,513</w:t>
            </w:r>
          </w:p>
        </w:tc>
        <w:tc>
          <w:tcPr>
            <w:tcW w:w="16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35.60</w:t>
            </w:r>
          </w:p>
        </w:tc>
        <w:tc>
          <w:tcPr>
            <w:tcW w:w="0" w:type="dxa"/>
            <w:vAlign w:val="bottom"/>
          </w:tcPr>
          <w:p>
            <w:pPr>
              <w:spacing w:after="0"/>
              <w:rPr>
                <w:sz w:val="1"/>
                <w:szCs w:val="1"/>
                <w:color w:val="auto"/>
              </w:rPr>
            </w:pPr>
          </w:p>
        </w:tc>
      </w:tr>
      <w:tr>
        <w:trPr>
          <w:trHeight w:val="20"/>
        </w:trPr>
        <w:tc>
          <w:tcPr>
            <w:tcW w:w="1660" w:type="dxa"/>
            <w:vAlign w:val="bottom"/>
            <w:gridSpan w:val="3"/>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420" w:type="dxa"/>
            <w:vAlign w:val="bottom"/>
            <w:gridSpan w:val="13"/>
          </w:tcPr>
          <w:p>
            <w:pPr>
              <w:spacing w:after="0"/>
              <w:rPr>
                <w:sz w:val="20"/>
                <w:szCs w:val="20"/>
                <w:color w:val="auto"/>
              </w:rPr>
            </w:pPr>
            <w:r>
              <w:rPr>
                <w:rFonts w:ascii="Arial" w:cs="Arial" w:eastAsia="Arial" w:hAnsi="Arial"/>
                <w:sz w:val="17"/>
                <w:szCs w:val="17"/>
                <w:b w:val="1"/>
                <w:bCs w:val="1"/>
                <w:color w:val="auto"/>
                <w:w w:val="92"/>
              </w:rPr>
              <w:t>Renewal Lease Summary - Comparable (2) (7)</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5"/>
              </w:rPr>
              <w:t>Straight-</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Cash</w:t>
            </w:r>
          </w:p>
        </w:tc>
        <w:tc>
          <w:tcPr>
            <w:tcW w:w="120" w:type="dxa"/>
            <w:vAlign w:val="bottom"/>
          </w:tcPr>
          <w:p>
            <w:pPr>
              <w:spacing w:after="0"/>
              <w:rPr>
                <w:sz w:val="12"/>
                <w:szCs w:val="12"/>
                <w:color w:val="auto"/>
              </w:rPr>
            </w:pPr>
          </w:p>
        </w:tc>
        <w:tc>
          <w:tcPr>
            <w:tcW w:w="800" w:type="dxa"/>
            <w:vAlign w:val="bottom"/>
            <w:gridSpan w:val="3"/>
          </w:tcPr>
          <w:p>
            <w:pPr>
              <w:jc w:val="center"/>
              <w:ind w:right="400"/>
              <w:spacing w:after="0" w:line="144" w:lineRule="exact"/>
              <w:rPr>
                <w:sz w:val="20"/>
                <w:szCs w:val="20"/>
                <w:color w:val="auto"/>
              </w:rPr>
            </w:pPr>
            <w:r>
              <w:rPr>
                <w:rFonts w:ascii="Arial" w:cs="Arial" w:eastAsia="Arial" w:hAnsi="Arial"/>
                <w:sz w:val="13"/>
                <w:szCs w:val="13"/>
                <w:b w:val="1"/>
                <w:bCs w:val="1"/>
                <w:color w:val="auto"/>
                <w:w w:val="92"/>
              </w:rPr>
              <w:t>lined</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tcPr>
          <w:p>
            <w:pPr>
              <w:jc w:val="center"/>
              <w:ind w:right="240"/>
              <w:spacing w:after="0" w:line="144" w:lineRule="exact"/>
              <w:rPr>
                <w:sz w:val="20"/>
                <w:szCs w:val="20"/>
                <w:color w:val="auto"/>
              </w:rPr>
            </w:pPr>
            <w:r>
              <w:rPr>
                <w:rFonts w:ascii="Arial" w:cs="Arial" w:eastAsia="Arial" w:hAnsi="Arial"/>
                <w:sz w:val="13"/>
                <w:szCs w:val="13"/>
                <w:b w:val="1"/>
                <w:bCs w:val="1"/>
                <w:color w:val="auto"/>
                <w:w w:val="98"/>
              </w:rPr>
              <w:t>Prior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tcPr>
          <w:p>
            <w:pPr>
              <w:spacing w:after="0" w:line="144" w:lineRule="exact"/>
              <w:rPr>
                <w:sz w:val="20"/>
                <w:szCs w:val="20"/>
                <w:color w:val="auto"/>
              </w:rPr>
            </w:pPr>
            <w:r>
              <w:rPr>
                <w:rFonts w:ascii="Arial" w:cs="Arial" w:eastAsia="Arial" w:hAnsi="Arial"/>
                <w:sz w:val="13"/>
                <w:szCs w:val="13"/>
                <w:b w:val="1"/>
                <w:bCs w:val="1"/>
                <w:color w:val="auto"/>
              </w:rPr>
              <w:t>Basis %</w:t>
            </w:r>
          </w:p>
        </w:tc>
        <w:tc>
          <w:tcPr>
            <w:tcW w:w="120" w:type="dxa"/>
            <w:vAlign w:val="bottom"/>
          </w:tcPr>
          <w:p>
            <w:pPr>
              <w:spacing w:after="0"/>
              <w:rPr>
                <w:sz w:val="12"/>
                <w:szCs w:val="12"/>
                <w:color w:val="auto"/>
              </w:rPr>
            </w:pPr>
          </w:p>
        </w:tc>
        <w:tc>
          <w:tcPr>
            <w:tcW w:w="80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Basis %</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Number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5"/>
          </w:tcPr>
          <w:p>
            <w:pPr>
              <w:jc w:val="center"/>
              <w:ind w:right="480"/>
              <w:spacing w:after="0" w:line="144"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Rent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tcPr>
          <w:p>
            <w:pPr>
              <w:spacing w:after="0" w:line="144" w:lineRule="exact"/>
              <w:rPr>
                <w:sz w:val="20"/>
                <w:szCs w:val="20"/>
                <w:color w:val="auto"/>
              </w:rPr>
            </w:pPr>
            <w:r>
              <w:rPr>
                <w:rFonts w:ascii="Arial" w:cs="Arial" w:eastAsia="Arial" w:hAnsi="Arial"/>
                <w:sz w:val="13"/>
                <w:szCs w:val="13"/>
                <w:b w:val="1"/>
                <w:bCs w:val="1"/>
                <w:color w:val="auto"/>
              </w:rPr>
              <w:t>Increase</w:t>
            </w:r>
          </w:p>
        </w:tc>
        <w:tc>
          <w:tcPr>
            <w:tcW w:w="120" w:type="dxa"/>
            <w:vAlign w:val="bottom"/>
          </w:tcPr>
          <w:p>
            <w:pPr>
              <w:spacing w:after="0"/>
              <w:rPr>
                <w:sz w:val="12"/>
                <w:szCs w:val="12"/>
                <w:color w:val="auto"/>
              </w:rPr>
            </w:pPr>
          </w:p>
        </w:tc>
        <w:tc>
          <w:tcPr>
            <w:tcW w:w="800" w:type="dxa"/>
            <w:vAlign w:val="bottom"/>
            <w:gridSpan w:val="3"/>
          </w:tcPr>
          <w:p>
            <w:pPr>
              <w:jc w:val="center"/>
              <w:ind w:right="360"/>
              <w:spacing w:after="0" w:line="144" w:lineRule="exact"/>
              <w:rPr>
                <w:sz w:val="20"/>
                <w:szCs w:val="20"/>
                <w:color w:val="auto"/>
              </w:rPr>
            </w:pPr>
            <w:r>
              <w:rPr>
                <w:rFonts w:ascii="Arial" w:cs="Arial" w:eastAsia="Arial" w:hAnsi="Arial"/>
                <w:sz w:val="13"/>
                <w:szCs w:val="13"/>
                <w:b w:val="1"/>
                <w:bCs w:val="1"/>
                <w:color w:val="auto"/>
                <w:w w:val="83"/>
              </w:rPr>
              <w:t>Increase</w:t>
            </w:r>
          </w:p>
        </w:tc>
        <w:tc>
          <w:tcPr>
            <w:tcW w:w="480" w:type="dxa"/>
            <w:vAlign w:val="bottom"/>
          </w:tcPr>
          <w:p>
            <w:pPr>
              <w:jc w:val="right"/>
              <w:spacing w:after="0" w:line="144" w:lineRule="exact"/>
              <w:rPr>
                <w:sz w:val="20"/>
                <w:szCs w:val="20"/>
                <w:color w:val="auto"/>
              </w:rPr>
            </w:pPr>
            <w:r>
              <w:rPr>
                <w:rFonts w:ascii="Arial" w:cs="Arial" w:eastAsia="Arial" w:hAnsi="Arial"/>
                <w:sz w:val="13"/>
                <w:szCs w:val="13"/>
                <w:b w:val="1"/>
                <w:bCs w:val="1"/>
                <w:color w:val="auto"/>
                <w:w w:val="88"/>
              </w:rPr>
              <w:t>Weighted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3"/>
              </w:rPr>
              <w:t>Tenant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81"/>
              </w:rPr>
              <w:t>of</w:t>
            </w:r>
          </w:p>
        </w:tc>
        <w:tc>
          <w:tcPr>
            <w:tcW w:w="80" w:type="dxa"/>
            <w:vAlign w:val="bottom"/>
          </w:tcPr>
          <w:p>
            <w:pPr>
              <w:spacing w:after="0"/>
              <w:rPr>
                <w:sz w:val="12"/>
                <w:szCs w:val="12"/>
                <w:color w:val="auto"/>
              </w:rPr>
            </w:pPr>
          </w:p>
        </w:tc>
        <w:tc>
          <w:tcPr>
            <w:tcW w:w="1020" w:type="dxa"/>
            <w:vAlign w:val="bottom"/>
            <w:gridSpan w:val="6"/>
          </w:tcPr>
          <w:p>
            <w:pPr>
              <w:jc w:val="center"/>
              <w:ind w:right="320"/>
              <w:spacing w:after="0" w:line="144" w:lineRule="exact"/>
              <w:rPr>
                <w:sz w:val="20"/>
                <w:szCs w:val="20"/>
                <w:color w:val="auto"/>
              </w:rPr>
            </w:pPr>
            <w:r>
              <w:rPr>
                <w:rFonts w:ascii="Arial" w:cs="Arial" w:eastAsia="Arial" w:hAnsi="Arial"/>
                <w:sz w:val="13"/>
                <w:szCs w:val="13"/>
                <w:b w:val="1"/>
                <w:bCs w:val="1"/>
                <w:color w:val="auto"/>
                <w:w w:val="93"/>
              </w:rPr>
              <w:t>Comparable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5"/>
          </w:tcPr>
          <w:p>
            <w:pPr>
              <w:spacing w:after="0" w:line="144" w:lineRule="exact"/>
              <w:rPr>
                <w:sz w:val="20"/>
                <w:szCs w:val="20"/>
                <w:color w:val="auto"/>
              </w:rPr>
            </w:pPr>
            <w:r>
              <w:rPr>
                <w:rFonts w:ascii="Arial" w:cs="Arial" w:eastAsia="Arial" w:hAnsi="Arial"/>
                <w:sz w:val="13"/>
                <w:szCs w:val="13"/>
                <w:b w:val="1"/>
                <w:bCs w:val="1"/>
                <w:color w:val="auto"/>
              </w:rPr>
              <w:t>Contractual</w:t>
            </w:r>
          </w:p>
        </w:tc>
        <w:tc>
          <w:tcPr>
            <w:tcW w:w="4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rPr>
              <w:t>(4)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5"/>
          </w:tcPr>
          <w:p>
            <w:pPr>
              <w:ind w:left="60"/>
              <w:spacing w:after="0" w:line="144" w:lineRule="exact"/>
              <w:rPr>
                <w:sz w:val="20"/>
                <w:szCs w:val="20"/>
                <w:color w:val="auto"/>
              </w:rPr>
            </w:pPr>
            <w:r>
              <w:rPr>
                <w:rFonts w:ascii="Arial" w:cs="Arial" w:eastAsia="Arial" w:hAnsi="Arial"/>
                <w:sz w:val="13"/>
                <w:szCs w:val="13"/>
                <w:b w:val="1"/>
                <w:bCs w:val="1"/>
                <w:color w:val="auto"/>
              </w:rPr>
              <w:t>Annual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Over</w:t>
            </w:r>
          </w:p>
        </w:tc>
        <w:tc>
          <w:tcPr>
            <w:tcW w:w="120" w:type="dxa"/>
            <w:vAlign w:val="bottom"/>
          </w:tcPr>
          <w:p>
            <w:pPr>
              <w:spacing w:after="0"/>
              <w:rPr>
                <w:sz w:val="12"/>
                <w:szCs w:val="12"/>
                <w:color w:val="auto"/>
              </w:rPr>
            </w:pPr>
          </w:p>
        </w:tc>
        <w:tc>
          <w:tcPr>
            <w:tcW w:w="800" w:type="dxa"/>
            <w:vAlign w:val="bottom"/>
            <w:gridSpan w:val="3"/>
          </w:tcPr>
          <w:p>
            <w:pPr>
              <w:jc w:val="center"/>
              <w:ind w:right="400"/>
              <w:spacing w:after="0" w:line="144" w:lineRule="exact"/>
              <w:rPr>
                <w:sz w:val="20"/>
                <w:szCs w:val="20"/>
                <w:color w:val="auto"/>
              </w:rPr>
            </w:pPr>
            <w:r>
              <w:rPr>
                <w:rFonts w:ascii="Arial" w:cs="Arial" w:eastAsia="Arial" w:hAnsi="Arial"/>
                <w:sz w:val="13"/>
                <w:szCs w:val="13"/>
                <w:b w:val="1"/>
                <w:bCs w:val="1"/>
                <w:color w:val="auto"/>
                <w:w w:val="94"/>
              </w:rPr>
              <w:t>Over</w:t>
            </w:r>
          </w:p>
        </w:tc>
        <w:tc>
          <w:tcPr>
            <w:tcW w:w="480" w:type="dxa"/>
            <w:vAlign w:val="bottom"/>
          </w:tcPr>
          <w:p>
            <w:pPr>
              <w:ind w:left="40"/>
              <w:spacing w:after="0" w:line="144" w:lineRule="exact"/>
              <w:rPr>
                <w:sz w:val="20"/>
                <w:szCs w:val="20"/>
                <w:color w:val="auto"/>
              </w:rPr>
            </w:pPr>
            <w:r>
              <w:rPr>
                <w:rFonts w:ascii="Arial" w:cs="Arial" w:eastAsia="Arial" w:hAnsi="Arial"/>
                <w:sz w:val="13"/>
                <w:szCs w:val="13"/>
                <w:b w:val="1"/>
                <w:bCs w:val="1"/>
                <w:color w:val="auto"/>
                <w:w w:val="77"/>
              </w:rPr>
              <w:t>Average</w:t>
            </w:r>
          </w:p>
        </w:tc>
        <w:tc>
          <w:tcPr>
            <w:tcW w:w="320" w:type="dxa"/>
            <w:vAlign w:val="bottom"/>
          </w:tcPr>
          <w:p>
            <w:pPr>
              <w:spacing w:after="0"/>
              <w:rPr>
                <w:sz w:val="12"/>
                <w:szCs w:val="12"/>
                <w:color w:val="auto"/>
              </w:rPr>
            </w:pPr>
          </w:p>
        </w:tc>
        <w:tc>
          <w:tcPr>
            <w:tcW w:w="96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Improvements</w:t>
            </w:r>
          </w:p>
        </w:tc>
        <w:tc>
          <w:tcPr>
            <w:tcW w:w="100" w:type="dxa"/>
            <w:vAlign w:val="bottom"/>
          </w:tcPr>
          <w:p>
            <w:pPr>
              <w:spacing w:after="0"/>
              <w:rPr>
                <w:sz w:val="12"/>
                <w:szCs w:val="12"/>
                <w:color w:val="auto"/>
              </w:rPr>
            </w:pPr>
          </w:p>
        </w:tc>
        <w:tc>
          <w:tcPr>
            <w:tcW w:w="92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w w:val="98"/>
              </w:rPr>
              <w:t>Improvements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86"/>
              </w:rPr>
              <w:t>Leases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5"/>
          </w:tcPr>
          <w:p>
            <w:pPr>
              <w:jc w:val="center"/>
              <w:ind w:right="460"/>
              <w:spacing w:after="0" w:line="144" w:lineRule="exact"/>
              <w:rPr>
                <w:sz w:val="20"/>
                <w:szCs w:val="20"/>
                <w:color w:val="auto"/>
              </w:rPr>
            </w:pPr>
            <w:r>
              <w:rPr>
                <w:rFonts w:ascii="Arial" w:cs="Arial" w:eastAsia="Arial" w:hAnsi="Arial"/>
                <w:sz w:val="13"/>
                <w:szCs w:val="13"/>
                <w:b w:val="1"/>
                <w:bCs w:val="1"/>
                <w:color w:val="auto"/>
                <w:w w:val="86"/>
              </w:rPr>
              <w:t>Leases</w:t>
            </w:r>
          </w:p>
        </w:tc>
        <w:tc>
          <w:tcPr>
            <w:tcW w:w="120" w:type="dxa"/>
            <w:vAlign w:val="bottom"/>
          </w:tcPr>
          <w:p>
            <w:pPr>
              <w:spacing w:after="0"/>
              <w:rPr>
                <w:sz w:val="12"/>
                <w:szCs w:val="12"/>
                <w:color w:val="auto"/>
              </w:rPr>
            </w:pPr>
          </w:p>
        </w:tc>
        <w:tc>
          <w:tcPr>
            <w:tcW w:w="74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rPr>
              <w:t>GLA</w:t>
            </w:r>
          </w:p>
        </w:tc>
        <w:tc>
          <w:tcPr>
            <w:tcW w:w="20" w:type="dxa"/>
            <w:vAlign w:val="bottom"/>
          </w:tcPr>
          <w:p>
            <w:pPr>
              <w:spacing w:after="0"/>
              <w:rPr>
                <w:sz w:val="12"/>
                <w:szCs w:val="12"/>
                <w:color w:val="auto"/>
              </w:rPr>
            </w:pPr>
          </w:p>
        </w:tc>
        <w:tc>
          <w:tcPr>
            <w:tcW w:w="920" w:type="dxa"/>
            <w:vAlign w:val="bottom"/>
            <w:gridSpan w:val="5"/>
          </w:tcPr>
          <w:p>
            <w:pPr>
              <w:jc w:val="center"/>
              <w:ind w:right="260"/>
              <w:spacing w:after="0" w:line="144" w:lineRule="exact"/>
              <w:rPr>
                <w:sz w:val="20"/>
                <w:szCs w:val="20"/>
                <w:color w:val="auto"/>
              </w:rPr>
            </w:pPr>
            <w:r>
              <w:rPr>
                <w:rFonts w:ascii="Arial" w:cs="Arial" w:eastAsia="Arial" w:hAnsi="Arial"/>
                <w:sz w:val="13"/>
                <w:szCs w:val="13"/>
                <w:b w:val="1"/>
                <w:bCs w:val="1"/>
                <w:color w:val="auto"/>
                <w:w w:val="94"/>
              </w:rPr>
              <w:t>Rent (3)</w:t>
            </w:r>
          </w:p>
        </w:tc>
        <w:tc>
          <w:tcPr>
            <w:tcW w:w="740" w:type="dxa"/>
            <w:vAlign w:val="bottom"/>
            <w:gridSpan w:val="4"/>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Per Sq.</w:t>
            </w:r>
          </w:p>
        </w:tc>
        <w:tc>
          <w:tcPr>
            <w:tcW w:w="920" w:type="dxa"/>
            <w:vAlign w:val="bottom"/>
            <w:gridSpan w:val="6"/>
          </w:tcPr>
          <w:p>
            <w:pPr>
              <w:ind w:left="80"/>
              <w:spacing w:after="0" w:line="144" w:lineRule="exact"/>
              <w:rPr>
                <w:sz w:val="20"/>
                <w:szCs w:val="20"/>
                <w:color w:val="auto"/>
              </w:rPr>
            </w:pPr>
            <w:r>
              <w:rPr>
                <w:rFonts w:ascii="Arial" w:cs="Arial" w:eastAsia="Arial" w:hAnsi="Arial"/>
                <w:sz w:val="13"/>
                <w:szCs w:val="13"/>
                <w:b w:val="1"/>
                <w:bCs w:val="1"/>
                <w:color w:val="auto"/>
              </w:rPr>
              <w:t>Increase 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Prior</w:t>
            </w:r>
          </w:p>
        </w:tc>
        <w:tc>
          <w:tcPr>
            <w:tcW w:w="120" w:type="dxa"/>
            <w:vAlign w:val="bottom"/>
          </w:tcPr>
          <w:p>
            <w:pPr>
              <w:spacing w:after="0"/>
              <w:rPr>
                <w:sz w:val="12"/>
                <w:szCs w:val="12"/>
                <w:color w:val="auto"/>
              </w:rPr>
            </w:pPr>
          </w:p>
        </w:tc>
        <w:tc>
          <w:tcPr>
            <w:tcW w:w="800" w:type="dxa"/>
            <w:vAlign w:val="bottom"/>
            <w:gridSpan w:val="3"/>
          </w:tcPr>
          <w:p>
            <w:pPr>
              <w:jc w:val="center"/>
              <w:ind w:right="380"/>
              <w:spacing w:after="0" w:line="144" w:lineRule="exact"/>
              <w:rPr>
                <w:sz w:val="20"/>
                <w:szCs w:val="20"/>
                <w:color w:val="auto"/>
              </w:rPr>
            </w:pPr>
            <w:r>
              <w:rPr>
                <w:rFonts w:ascii="Arial" w:cs="Arial" w:eastAsia="Arial" w:hAnsi="Arial"/>
                <w:sz w:val="13"/>
                <w:szCs w:val="13"/>
                <w:b w:val="1"/>
                <w:bCs w:val="1"/>
                <w:color w:val="auto"/>
                <w:w w:val="98"/>
              </w:rPr>
              <w:t>Prior</w:t>
            </w:r>
          </w:p>
        </w:tc>
        <w:tc>
          <w:tcPr>
            <w:tcW w:w="48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Lease</w:t>
            </w:r>
          </w:p>
        </w:tc>
        <w:tc>
          <w:tcPr>
            <w:tcW w:w="320" w:type="dxa"/>
            <w:vAlign w:val="bottom"/>
          </w:tcPr>
          <w:p>
            <w:pPr>
              <w:spacing w:after="0"/>
              <w:rPr>
                <w:sz w:val="12"/>
                <w:szCs w:val="12"/>
                <w:color w:val="auto"/>
              </w:rPr>
            </w:pPr>
          </w:p>
        </w:tc>
        <w:tc>
          <w:tcPr>
            <w:tcW w:w="96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&amp; Incentives</w:t>
            </w:r>
          </w:p>
        </w:tc>
        <w:tc>
          <w:tcPr>
            <w:tcW w:w="100" w:type="dxa"/>
            <w:vAlign w:val="bottom"/>
          </w:tcPr>
          <w:p>
            <w:pPr>
              <w:spacing w:after="0"/>
              <w:rPr>
                <w:sz w:val="12"/>
                <w:szCs w:val="12"/>
                <w:color w:val="auto"/>
              </w:rPr>
            </w:pPr>
          </w:p>
        </w:tc>
        <w:tc>
          <w:tcPr>
            <w:tcW w:w="92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93"/>
              </w:rPr>
              <w:t>&amp; Incentives</w:t>
            </w:r>
          </w:p>
        </w:tc>
        <w:tc>
          <w:tcPr>
            <w:tcW w:w="0" w:type="dxa"/>
            <w:vAlign w:val="bottom"/>
          </w:tcPr>
          <w:p>
            <w:pPr>
              <w:spacing w:after="0"/>
              <w:rPr>
                <w:sz w:val="1"/>
                <w:szCs w:val="1"/>
                <w:color w:val="auto"/>
              </w:rPr>
            </w:pPr>
          </w:p>
        </w:tc>
      </w:tr>
      <w:tr>
        <w:trPr>
          <w:trHeight w:val="157"/>
        </w:trPr>
        <w:tc>
          <w:tcPr>
            <w:tcW w:w="1660" w:type="dxa"/>
            <w:vAlign w:val="bottom"/>
            <w:gridSpan w:val="3"/>
          </w:tcPr>
          <w:p>
            <w:pPr>
              <w:spacing w:after="0"/>
              <w:rPr>
                <w:sz w:val="20"/>
                <w:szCs w:val="20"/>
                <w:color w:val="auto"/>
              </w:rPr>
            </w:pPr>
            <w:r>
              <w:rPr>
                <w:rFonts w:ascii="Arial" w:cs="Arial" w:eastAsia="Arial" w:hAnsi="Arial"/>
                <w:sz w:val="13"/>
                <w:szCs w:val="13"/>
                <w:b w:val="1"/>
                <w:bCs w:val="1"/>
                <w:color w:val="auto"/>
              </w:rPr>
              <w:t>Quarter</w:t>
            </w:r>
          </w:p>
        </w:tc>
        <w:tc>
          <w:tcPr>
            <w:tcW w:w="6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7"/>
              </w:rPr>
              <w:t>Signed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5"/>
          </w:tcPr>
          <w:p>
            <w:pPr>
              <w:jc w:val="center"/>
              <w:ind w:right="460"/>
              <w:spacing w:after="0"/>
              <w:rPr>
                <w:sz w:val="20"/>
                <w:szCs w:val="20"/>
                <w:color w:val="auto"/>
              </w:rPr>
            </w:pPr>
            <w:r>
              <w:rPr>
                <w:rFonts w:ascii="Arial" w:cs="Arial" w:eastAsia="Arial" w:hAnsi="Arial"/>
                <w:sz w:val="13"/>
                <w:szCs w:val="13"/>
                <w:b w:val="1"/>
                <w:bCs w:val="1"/>
                <w:color w:val="auto"/>
                <w:w w:val="87"/>
              </w:rPr>
              <w:t>Signed</w:t>
            </w:r>
          </w:p>
        </w:tc>
        <w:tc>
          <w:tcPr>
            <w:tcW w:w="120" w:type="dxa"/>
            <w:vAlign w:val="bottom"/>
          </w:tcPr>
          <w:p>
            <w:pPr>
              <w:spacing w:after="0"/>
              <w:rPr>
                <w:sz w:val="13"/>
                <w:szCs w:val="13"/>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7"/>
              </w:rPr>
              <w:t>Signed</w:t>
            </w:r>
          </w:p>
        </w:tc>
        <w:tc>
          <w:tcPr>
            <w:tcW w:w="20" w:type="dxa"/>
            <w:vAlign w:val="bottom"/>
          </w:tcPr>
          <w:p>
            <w:pPr>
              <w:spacing w:after="0"/>
              <w:rPr>
                <w:sz w:val="13"/>
                <w:szCs w:val="13"/>
                <w:color w:val="auto"/>
              </w:rPr>
            </w:pPr>
          </w:p>
        </w:tc>
        <w:tc>
          <w:tcPr>
            <w:tcW w:w="92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3"/>
              </w:rPr>
              <w:t>Per Sq. Ft.</w:t>
            </w:r>
          </w:p>
        </w:tc>
        <w:tc>
          <w:tcPr>
            <w:tcW w:w="160" w:type="dxa"/>
            <w:vAlign w:val="bottom"/>
          </w:tcPr>
          <w:p>
            <w:pPr>
              <w:spacing w:after="0"/>
              <w:rPr>
                <w:sz w:val="13"/>
                <w:szCs w:val="13"/>
                <w:color w:val="auto"/>
              </w:rPr>
            </w:pPr>
          </w:p>
        </w:tc>
        <w:tc>
          <w:tcPr>
            <w:tcW w:w="58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rPr>
              <w:t>Ft.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4"/>
          </w:tcPr>
          <w:p>
            <w:pPr>
              <w:jc w:val="right"/>
              <w:ind w:right="400"/>
              <w:spacing w:after="0"/>
              <w:rPr>
                <w:sz w:val="20"/>
                <w:szCs w:val="20"/>
                <w:color w:val="auto"/>
              </w:rPr>
            </w:pPr>
            <w:r>
              <w:rPr>
                <w:rFonts w:ascii="Arial" w:cs="Arial" w:eastAsia="Arial" w:hAnsi="Arial"/>
                <w:sz w:val="13"/>
                <w:szCs w:val="13"/>
                <w:b w:val="1"/>
                <w:bCs w:val="1"/>
                <w:color w:val="auto"/>
              </w:rPr>
              <w:t>Rent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rPr>
              <w:t>Rent</w:t>
            </w:r>
          </w:p>
        </w:tc>
        <w:tc>
          <w:tcPr>
            <w:tcW w:w="120" w:type="dxa"/>
            <w:vAlign w:val="bottom"/>
          </w:tcPr>
          <w:p>
            <w:pPr>
              <w:spacing w:after="0"/>
              <w:rPr>
                <w:sz w:val="13"/>
                <w:szCs w:val="13"/>
                <w:color w:val="auto"/>
              </w:rPr>
            </w:pPr>
          </w:p>
        </w:tc>
        <w:tc>
          <w:tcPr>
            <w:tcW w:w="80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9"/>
              </w:rPr>
              <w:t>Rent</w:t>
            </w:r>
          </w:p>
        </w:tc>
        <w:tc>
          <w:tcPr>
            <w:tcW w:w="480" w:type="dxa"/>
            <w:vAlign w:val="bottom"/>
          </w:tcPr>
          <w:p>
            <w:pPr>
              <w:ind w:left="20"/>
              <w:spacing w:after="0"/>
              <w:rPr>
                <w:sz w:val="20"/>
                <w:szCs w:val="20"/>
                <w:color w:val="auto"/>
              </w:rPr>
            </w:pPr>
            <w:r>
              <w:rPr>
                <w:rFonts w:ascii="Arial" w:cs="Arial" w:eastAsia="Arial" w:hAnsi="Arial"/>
                <w:sz w:val="13"/>
                <w:szCs w:val="13"/>
                <w:b w:val="1"/>
                <w:bCs w:val="1"/>
                <w:color w:val="auto"/>
                <w:w w:val="81"/>
              </w:rPr>
              <w:t>Term (5)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20"/>
              <w:spacing w:after="0"/>
              <w:rPr>
                <w:sz w:val="20"/>
                <w:szCs w:val="20"/>
                <w:color w:val="auto"/>
              </w:rPr>
            </w:pPr>
            <w:r>
              <w:rPr>
                <w:rFonts w:ascii="Arial" w:cs="Arial" w:eastAsia="Arial" w:hAnsi="Arial"/>
                <w:sz w:val="13"/>
                <w:szCs w:val="13"/>
                <w:b w:val="1"/>
                <w:bCs w:val="1"/>
                <w:color w:val="auto"/>
              </w:rPr>
              <w:t>(6)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4th Quarter 2010</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43</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289,883</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22.74</w:t>
            </w:r>
          </w:p>
        </w:tc>
        <w:tc>
          <w:tcPr>
            <w:tcW w:w="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8"/>
              </w:rPr>
              <w:t>$20.75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1"/>
              </w:rPr>
              <w:t>577,459</w:t>
            </w:r>
          </w:p>
        </w:tc>
        <w:tc>
          <w:tcPr>
            <w:tcW w:w="40" w:type="dxa"/>
            <w:vAlign w:val="bottom"/>
            <w:shd w:val="clear" w:color="auto" w:fill="CCEEFF"/>
          </w:tcPr>
          <w:p>
            <w:pPr>
              <w:spacing w:after="0"/>
              <w:rPr>
                <w:sz w:val="17"/>
                <w:szCs w:val="17"/>
                <w:color w:val="auto"/>
              </w:rPr>
            </w:pPr>
          </w:p>
        </w:tc>
        <w:tc>
          <w:tcPr>
            <w:tcW w:w="840" w:type="dxa"/>
            <w:vAlign w:val="bottom"/>
            <w:gridSpan w:val="5"/>
            <w:shd w:val="clear" w:color="auto" w:fill="CCEEFF"/>
          </w:tcPr>
          <w:p>
            <w:pPr>
              <w:ind w:left="400"/>
              <w:spacing w:after="0"/>
              <w:rPr>
                <w:sz w:val="20"/>
                <w:szCs w:val="20"/>
                <w:color w:val="auto"/>
              </w:rPr>
            </w:pPr>
            <w:r>
              <w:rPr>
                <w:rFonts w:ascii="Arial" w:cs="Arial" w:eastAsia="Arial" w:hAnsi="Arial"/>
                <w:sz w:val="17"/>
                <w:szCs w:val="17"/>
                <w:color w:val="auto"/>
              </w:rPr>
              <w:t>10%</w:t>
            </w:r>
          </w:p>
        </w:tc>
        <w:tc>
          <w:tcPr>
            <w:tcW w:w="92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18%</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420" w:type="dxa"/>
            <w:vAlign w:val="bottom"/>
            <w:tcBorders>
              <w:left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253,194</w:t>
            </w:r>
          </w:p>
        </w:tc>
        <w:tc>
          <w:tcPr>
            <w:tcW w:w="160" w:type="dxa"/>
            <w:vAlign w:val="bottom"/>
            <w:tcBorders>
              <w:left w:val="single" w:sz="8" w:color="CCEEFF"/>
            </w:tcBorders>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7"/>
                <w:szCs w:val="17"/>
                <w:color w:val="auto"/>
              </w:rPr>
              <w:t>3rd Quarter 2010</w:t>
            </w:r>
          </w:p>
        </w:tc>
        <w:tc>
          <w:tcPr>
            <w:tcW w:w="660" w:type="dxa"/>
            <w:vAlign w:val="bottom"/>
            <w:gridSpan w:val="3"/>
          </w:tcPr>
          <w:p>
            <w:pPr>
              <w:jc w:val="right"/>
              <w:ind w:right="180"/>
              <w:spacing w:after="0"/>
              <w:rPr>
                <w:sz w:val="20"/>
                <w:szCs w:val="20"/>
                <w:color w:val="auto"/>
              </w:rPr>
            </w:pPr>
            <w:r>
              <w:rPr>
                <w:rFonts w:ascii="Arial" w:cs="Arial" w:eastAsia="Arial" w:hAnsi="Arial"/>
                <w:sz w:val="17"/>
                <w:szCs w:val="17"/>
                <w:color w:val="auto"/>
              </w:rPr>
              <w:t>46</w:t>
            </w:r>
          </w:p>
        </w:tc>
        <w:tc>
          <w:tcPr>
            <w:tcW w:w="920" w:type="dxa"/>
            <w:vAlign w:val="bottom"/>
            <w:gridSpan w:val="5"/>
          </w:tcPr>
          <w:p>
            <w:pPr>
              <w:jc w:val="right"/>
              <w:spacing w:after="0"/>
              <w:rPr>
                <w:sz w:val="20"/>
                <w:szCs w:val="20"/>
                <w:color w:val="auto"/>
              </w:rPr>
            </w:pPr>
            <w:r>
              <w:rPr>
                <w:rFonts w:ascii="Arial" w:cs="Arial" w:eastAsia="Arial" w:hAnsi="Arial"/>
                <w:sz w:val="17"/>
                <w:szCs w:val="17"/>
                <w:color w:val="auto"/>
              </w:rPr>
              <w:t>61%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ind w:left="60"/>
              <w:spacing w:after="0"/>
              <w:rPr>
                <w:sz w:val="20"/>
                <w:szCs w:val="20"/>
                <w:color w:val="auto"/>
              </w:rPr>
            </w:pPr>
            <w:r>
              <w:rPr>
                <w:rFonts w:ascii="Arial" w:cs="Arial" w:eastAsia="Arial" w:hAnsi="Arial"/>
                <w:sz w:val="17"/>
                <w:szCs w:val="17"/>
                <w:color w:val="auto"/>
              </w:rPr>
              <w:t>217,456</w:t>
            </w:r>
          </w:p>
        </w:tc>
        <w:tc>
          <w:tcPr>
            <w:tcW w:w="20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w w:val="89"/>
              </w:rPr>
              <w:t>23.99</w:t>
            </w:r>
          </w:p>
        </w:tc>
        <w:tc>
          <w:tcPr>
            <w:tcW w:w="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w w:val="88"/>
              </w:rPr>
              <w:t>$22.64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7"/>
                <w:szCs w:val="17"/>
                <w:color w:val="auto"/>
                <w:w w:val="91"/>
              </w:rPr>
              <w:t>294,704</w:t>
            </w:r>
          </w:p>
        </w:tc>
        <w:tc>
          <w:tcPr>
            <w:tcW w:w="40" w:type="dxa"/>
            <w:vAlign w:val="bottom"/>
          </w:tcPr>
          <w:p>
            <w:pPr>
              <w:spacing w:after="0"/>
              <w:rPr>
                <w:sz w:val="18"/>
                <w:szCs w:val="18"/>
                <w:color w:val="auto"/>
              </w:rPr>
            </w:pPr>
          </w:p>
        </w:tc>
        <w:tc>
          <w:tcPr>
            <w:tcW w:w="840" w:type="dxa"/>
            <w:vAlign w:val="bottom"/>
            <w:gridSpan w:val="5"/>
          </w:tcPr>
          <w:p>
            <w:pPr>
              <w:jc w:val="right"/>
              <w:ind w:right="120"/>
              <w:spacing w:after="0"/>
              <w:rPr>
                <w:sz w:val="20"/>
                <w:szCs w:val="20"/>
                <w:color w:val="auto"/>
              </w:rPr>
            </w:pPr>
            <w:r>
              <w:rPr>
                <w:rFonts w:ascii="Arial" w:cs="Arial" w:eastAsia="Arial" w:hAnsi="Arial"/>
                <w:sz w:val="17"/>
                <w:szCs w:val="17"/>
                <w:color w:val="auto"/>
              </w:rPr>
              <w:t>6%</w:t>
            </w:r>
          </w:p>
        </w:tc>
        <w:tc>
          <w:tcPr>
            <w:tcW w:w="920" w:type="dxa"/>
            <w:vAlign w:val="bottom"/>
            <w:gridSpan w:val="4"/>
          </w:tcPr>
          <w:p>
            <w:pPr>
              <w:jc w:val="right"/>
              <w:ind w:right="200"/>
              <w:spacing w:after="0"/>
              <w:rPr>
                <w:sz w:val="20"/>
                <w:szCs w:val="20"/>
                <w:color w:val="auto"/>
              </w:rPr>
            </w:pPr>
            <w:r>
              <w:rPr>
                <w:rFonts w:ascii="Arial" w:cs="Arial" w:eastAsia="Arial" w:hAnsi="Arial"/>
                <w:sz w:val="17"/>
                <w:szCs w:val="17"/>
                <w:color w:val="auto"/>
              </w:rPr>
              <w:t>18%</w:t>
            </w:r>
          </w:p>
        </w:tc>
        <w:tc>
          <w:tcPr>
            <w:tcW w:w="480" w:type="dxa"/>
            <w:vAlign w:val="bottom"/>
          </w:tcPr>
          <w:p>
            <w:pPr>
              <w:jc w:val="right"/>
              <w:spacing w:after="0"/>
              <w:rPr>
                <w:sz w:val="20"/>
                <w:szCs w:val="20"/>
                <w:color w:val="auto"/>
              </w:rPr>
            </w:pPr>
            <w:r>
              <w:rPr>
                <w:rFonts w:ascii="Arial" w:cs="Arial" w:eastAsia="Arial" w:hAnsi="Arial"/>
                <w:sz w:val="17"/>
                <w:szCs w:val="17"/>
                <w:color w:val="auto"/>
              </w:rPr>
              <w:t>6.3</w:t>
            </w:r>
          </w:p>
        </w:tc>
        <w:tc>
          <w:tcPr>
            <w:tcW w:w="420" w:type="dxa"/>
            <w:vAlign w:val="bottom"/>
            <w:gridSpan w:val="2"/>
          </w:tcPr>
          <w:p>
            <w:pPr>
              <w:ind w:left="320"/>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110,000</w:t>
            </w: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0.51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2nd Quarter 2010</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49</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158,005</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30.09</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8"/>
              </w:rPr>
              <w:t>$29.90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30,723</w:t>
            </w:r>
          </w:p>
        </w:tc>
        <w:tc>
          <w:tcPr>
            <w:tcW w:w="4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92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11%</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420" w:type="dxa"/>
            <w:vAlign w:val="bottom"/>
            <w:tcBorders>
              <w:left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22,500</w:t>
            </w:r>
          </w:p>
        </w:tc>
        <w:tc>
          <w:tcPr>
            <w:tcW w:w="16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7"/>
                <w:szCs w:val="17"/>
                <w:color w:val="auto"/>
              </w:rPr>
              <w:t>1st Quarter 2010</w:t>
            </w:r>
          </w:p>
        </w:tc>
        <w:tc>
          <w:tcPr>
            <w:tcW w:w="660" w:type="dxa"/>
            <w:vAlign w:val="bottom"/>
            <w:gridSpan w:val="3"/>
          </w:tcPr>
          <w:p>
            <w:pPr>
              <w:jc w:val="right"/>
              <w:ind w:right="180"/>
              <w:spacing w:after="0"/>
              <w:rPr>
                <w:sz w:val="20"/>
                <w:szCs w:val="20"/>
                <w:color w:val="auto"/>
              </w:rPr>
            </w:pPr>
            <w:r>
              <w:rPr>
                <w:rFonts w:ascii="Arial" w:cs="Arial" w:eastAsia="Arial" w:hAnsi="Arial"/>
                <w:sz w:val="17"/>
                <w:szCs w:val="17"/>
                <w:color w:val="auto"/>
              </w:rPr>
              <w:t>40</w:t>
            </w:r>
          </w:p>
        </w:tc>
        <w:tc>
          <w:tcPr>
            <w:tcW w:w="920" w:type="dxa"/>
            <w:vAlign w:val="bottom"/>
            <w:gridSpan w:val="5"/>
          </w:tcPr>
          <w:p>
            <w:pPr>
              <w:jc w:val="right"/>
              <w:spacing w:after="0"/>
              <w:rPr>
                <w:sz w:val="20"/>
                <w:szCs w:val="20"/>
                <w:color w:val="auto"/>
              </w:rPr>
            </w:pPr>
            <w:r>
              <w:rPr>
                <w:rFonts w:ascii="Arial" w:cs="Arial" w:eastAsia="Arial" w:hAnsi="Arial"/>
                <w:sz w:val="17"/>
                <w:szCs w:val="17"/>
                <w:color w:val="auto"/>
              </w:rPr>
              <w:t>58%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ind w:left="60"/>
              <w:spacing w:after="0"/>
              <w:rPr>
                <w:sz w:val="20"/>
                <w:szCs w:val="20"/>
                <w:color w:val="auto"/>
              </w:rPr>
            </w:pPr>
            <w:r>
              <w:rPr>
                <w:rFonts w:ascii="Arial" w:cs="Arial" w:eastAsia="Arial" w:hAnsi="Arial"/>
                <w:sz w:val="17"/>
                <w:szCs w:val="17"/>
                <w:color w:val="auto"/>
              </w:rPr>
              <w:t>150,343</w:t>
            </w:r>
          </w:p>
        </w:tc>
        <w:tc>
          <w:tcPr>
            <w:tcW w:w="20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w w:val="89"/>
              </w:rPr>
              <w:t>35.67</w:t>
            </w:r>
          </w:p>
        </w:tc>
        <w:tc>
          <w:tcPr>
            <w:tcW w:w="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29.44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7"/>
                <w:szCs w:val="17"/>
                <w:color w:val="auto"/>
                <w:w w:val="91"/>
              </w:rPr>
              <w:t>936,626</w:t>
            </w:r>
          </w:p>
        </w:tc>
        <w:tc>
          <w:tcPr>
            <w:tcW w:w="40" w:type="dxa"/>
            <w:vAlign w:val="bottom"/>
          </w:tcPr>
          <w:p>
            <w:pPr>
              <w:spacing w:after="0"/>
              <w:rPr>
                <w:sz w:val="18"/>
                <w:szCs w:val="18"/>
                <w:color w:val="auto"/>
              </w:rPr>
            </w:pPr>
          </w:p>
        </w:tc>
        <w:tc>
          <w:tcPr>
            <w:tcW w:w="840" w:type="dxa"/>
            <w:vAlign w:val="bottom"/>
            <w:gridSpan w:val="5"/>
          </w:tcPr>
          <w:p>
            <w:pPr>
              <w:ind w:left="400"/>
              <w:spacing w:after="0"/>
              <w:rPr>
                <w:sz w:val="20"/>
                <w:szCs w:val="20"/>
                <w:color w:val="auto"/>
              </w:rPr>
            </w:pPr>
            <w:r>
              <w:rPr>
                <w:rFonts w:ascii="Arial" w:cs="Arial" w:eastAsia="Arial" w:hAnsi="Arial"/>
                <w:sz w:val="17"/>
                <w:szCs w:val="17"/>
                <w:color w:val="auto"/>
              </w:rPr>
              <w:t>21%</w:t>
            </w:r>
          </w:p>
        </w:tc>
        <w:tc>
          <w:tcPr>
            <w:tcW w:w="920" w:type="dxa"/>
            <w:vAlign w:val="bottom"/>
            <w:gridSpan w:val="4"/>
          </w:tcPr>
          <w:p>
            <w:pPr>
              <w:jc w:val="right"/>
              <w:ind w:right="200"/>
              <w:spacing w:after="0"/>
              <w:rPr>
                <w:sz w:val="20"/>
                <w:szCs w:val="20"/>
                <w:color w:val="auto"/>
              </w:rPr>
            </w:pPr>
            <w:r>
              <w:rPr>
                <w:rFonts w:ascii="Arial" w:cs="Arial" w:eastAsia="Arial" w:hAnsi="Arial"/>
                <w:sz w:val="17"/>
                <w:szCs w:val="17"/>
                <w:color w:val="auto"/>
              </w:rPr>
              <w:t>35%</w:t>
            </w:r>
          </w:p>
        </w:tc>
        <w:tc>
          <w:tcPr>
            <w:tcW w:w="480" w:type="dxa"/>
            <w:vAlign w:val="bottom"/>
          </w:tcPr>
          <w:p>
            <w:pPr>
              <w:jc w:val="right"/>
              <w:spacing w:after="0"/>
              <w:rPr>
                <w:sz w:val="20"/>
                <w:szCs w:val="20"/>
                <w:color w:val="auto"/>
              </w:rPr>
            </w:pPr>
            <w:r>
              <w:rPr>
                <w:rFonts w:ascii="Arial" w:cs="Arial" w:eastAsia="Arial" w:hAnsi="Arial"/>
                <w:sz w:val="17"/>
                <w:szCs w:val="17"/>
                <w:color w:val="auto"/>
              </w:rPr>
              <w:t>4.9</w:t>
            </w:r>
          </w:p>
        </w:tc>
        <w:tc>
          <w:tcPr>
            <w:tcW w:w="420" w:type="dxa"/>
            <w:vAlign w:val="bottom"/>
            <w:gridSpan w:val="2"/>
          </w:tcPr>
          <w:p>
            <w:pPr>
              <w:ind w:left="320"/>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90,750</w:t>
            </w: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0.60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- 12 months</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178</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815,687</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26.</w:t>
            </w:r>
            <w:r>
              <w:rPr>
                <w:rFonts w:ascii="Arial" w:cs="Arial" w:eastAsia="Arial" w:hAnsi="Arial"/>
                <w:sz w:val="17"/>
                <w:szCs w:val="17"/>
                <w:u w:val="single" w:color="auto"/>
                <w:color w:val="auto"/>
                <w:w w:val="89"/>
              </w:rPr>
              <w:t>88</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24.63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1,839,512</w:t>
            </w:r>
          </w:p>
        </w:tc>
        <w:tc>
          <w:tcPr>
            <w:tcW w:w="4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9%</w:t>
            </w:r>
          </w:p>
        </w:tc>
        <w:tc>
          <w:tcPr>
            <w:tcW w:w="92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20%</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420" w:type="dxa"/>
            <w:vAlign w:val="bottom"/>
            <w:tcBorders>
              <w:left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476,444</w:t>
            </w:r>
          </w:p>
        </w:tc>
        <w:tc>
          <w:tcPr>
            <w:tcW w:w="16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Total Lease Summary - Comparable and Non-comparable (2)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3"/>
              </w:rPr>
              <w:t>Number</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88"/>
              </w:rPr>
              <w:t>Weighted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6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81"/>
              </w:rPr>
              <w:t>of</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w w:val="91"/>
              </w:rPr>
              <w:t>Contractual</w:t>
            </w:r>
          </w:p>
        </w:tc>
        <w:tc>
          <w:tcPr>
            <w:tcW w:w="380" w:type="dxa"/>
            <w:vAlign w:val="bottom"/>
          </w:tcPr>
          <w:p>
            <w:pPr>
              <w:spacing w:after="0"/>
              <w:rPr>
                <w:sz w:val="12"/>
                <w:szCs w:val="12"/>
                <w:color w:val="auto"/>
              </w:rPr>
            </w:pPr>
          </w:p>
        </w:tc>
        <w:tc>
          <w:tcPr>
            <w:tcW w:w="5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Average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78"/>
              <w:spacing w:after="0" w:line="144" w:lineRule="exact"/>
              <w:rPr>
                <w:sz w:val="20"/>
                <w:szCs w:val="20"/>
                <w:color w:val="auto"/>
              </w:rPr>
            </w:pPr>
            <w:r>
              <w:rPr>
                <w:rFonts w:ascii="Arial" w:cs="Arial" w:eastAsia="Arial" w:hAnsi="Arial"/>
                <w:sz w:val="13"/>
                <w:szCs w:val="13"/>
                <w:b w:val="1"/>
                <w:bCs w:val="1"/>
                <w:color w:val="auto"/>
              </w:rPr>
              <w:t>Tenant</w:t>
            </w:r>
          </w:p>
        </w:tc>
        <w:tc>
          <w:tcPr>
            <w:tcW w:w="400" w:type="dxa"/>
            <w:vAlign w:val="bottom"/>
          </w:tcPr>
          <w:p>
            <w:pPr>
              <w:spacing w:after="0"/>
              <w:rPr>
                <w:sz w:val="12"/>
                <w:szCs w:val="12"/>
                <w:color w:val="auto"/>
              </w:rPr>
            </w:pPr>
          </w:p>
        </w:tc>
        <w:tc>
          <w:tcPr>
            <w:tcW w:w="92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w w:val="98"/>
              </w:rPr>
              <w:t>Improvements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6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86"/>
              </w:rPr>
              <w:t>Leases</w:t>
            </w:r>
          </w:p>
        </w:tc>
        <w:tc>
          <w:tcPr>
            <w:tcW w:w="94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rPr>
              <w:t>GLA</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38"/>
              <w:spacing w:after="0" w:line="144" w:lineRule="exact"/>
              <w:rPr>
                <w:sz w:val="20"/>
                <w:szCs w:val="20"/>
                <w:color w:val="auto"/>
              </w:rPr>
            </w:pPr>
            <w:r>
              <w:rPr>
                <w:rFonts w:ascii="Arial" w:cs="Arial" w:eastAsia="Arial" w:hAnsi="Arial"/>
                <w:sz w:val="13"/>
                <w:szCs w:val="13"/>
                <w:b w:val="1"/>
                <w:bCs w:val="1"/>
                <w:color w:val="auto"/>
                <w:w w:val="94"/>
              </w:rPr>
              <w:t>Rent (3)</w:t>
            </w:r>
          </w:p>
        </w:tc>
        <w:tc>
          <w:tcPr>
            <w:tcW w:w="380" w:type="dxa"/>
            <w:vAlign w:val="bottom"/>
          </w:tcPr>
          <w:p>
            <w:pPr>
              <w:spacing w:after="0"/>
              <w:rPr>
                <w:sz w:val="12"/>
                <w:szCs w:val="12"/>
                <w:color w:val="auto"/>
              </w:rPr>
            </w:pPr>
          </w:p>
        </w:tc>
        <w:tc>
          <w:tcPr>
            <w:tcW w:w="5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Lease</w:t>
            </w:r>
          </w:p>
        </w:tc>
        <w:tc>
          <w:tcPr>
            <w:tcW w:w="400" w:type="dxa"/>
            <w:vAlign w:val="bottom"/>
          </w:tcPr>
          <w:p>
            <w:pPr>
              <w:spacing w:after="0"/>
              <w:rPr>
                <w:sz w:val="12"/>
                <w:szCs w:val="12"/>
                <w:color w:val="auto"/>
              </w:rPr>
            </w:pPr>
          </w:p>
        </w:tc>
        <w:tc>
          <w:tcPr>
            <w:tcW w:w="90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w w:val="94"/>
              </w:rPr>
              <w:t>Improvements</w:t>
            </w:r>
          </w:p>
        </w:tc>
        <w:tc>
          <w:tcPr>
            <w:tcW w:w="400" w:type="dxa"/>
            <w:vAlign w:val="bottom"/>
          </w:tcPr>
          <w:p>
            <w:pPr>
              <w:spacing w:after="0"/>
              <w:rPr>
                <w:sz w:val="12"/>
                <w:szCs w:val="12"/>
                <w:color w:val="auto"/>
              </w:rPr>
            </w:pPr>
          </w:p>
        </w:tc>
        <w:tc>
          <w:tcPr>
            <w:tcW w:w="92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93"/>
              </w:rPr>
              <w:t>&amp; Incentives</w:t>
            </w:r>
          </w:p>
        </w:tc>
        <w:tc>
          <w:tcPr>
            <w:tcW w:w="0" w:type="dxa"/>
            <w:vAlign w:val="bottom"/>
          </w:tcPr>
          <w:p>
            <w:pPr>
              <w:spacing w:after="0"/>
              <w:rPr>
                <w:sz w:val="1"/>
                <w:szCs w:val="1"/>
                <w:color w:val="auto"/>
              </w:rPr>
            </w:pPr>
          </w:p>
        </w:tc>
      </w:tr>
      <w:tr>
        <w:trPr>
          <w:trHeight w:val="157"/>
        </w:trPr>
        <w:tc>
          <w:tcPr>
            <w:tcW w:w="5200" w:type="dxa"/>
            <w:vAlign w:val="bottom"/>
            <w:gridSpan w:val="4"/>
          </w:tcPr>
          <w:p>
            <w:pPr>
              <w:spacing w:after="0"/>
              <w:rPr>
                <w:sz w:val="20"/>
                <w:szCs w:val="20"/>
                <w:color w:val="auto"/>
              </w:rPr>
            </w:pPr>
            <w:r>
              <w:rPr>
                <w:rFonts w:ascii="Arial" w:cs="Arial" w:eastAsia="Arial" w:hAnsi="Arial"/>
                <w:sz w:val="13"/>
                <w:szCs w:val="13"/>
                <w:b w:val="1"/>
                <w:bCs w:val="1"/>
                <w:color w:val="auto"/>
              </w:rPr>
              <w:t>Quarter</w:t>
            </w:r>
          </w:p>
        </w:tc>
        <w:tc>
          <w:tcPr>
            <w:tcW w:w="8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7"/>
              </w:rPr>
              <w:t>Signed</w:t>
            </w: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Signed</w:t>
            </w: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Per Sq. Ft.</w:t>
            </w:r>
          </w:p>
        </w:tc>
        <w:tc>
          <w:tcPr>
            <w:tcW w:w="38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7"/>
              </w:rPr>
              <w:t>Term (5)</w:t>
            </w:r>
          </w:p>
        </w:tc>
        <w:tc>
          <w:tcPr>
            <w:tcW w:w="40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w w:val="91"/>
              </w:rPr>
              <w:t>&amp; Incentives (6)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4th Quarter 2010</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89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493,039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5,696,969</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7"/>
                <w:szCs w:val="17"/>
                <w:color w:val="auto"/>
              </w:rPr>
              <w:t>3rd Quarter 2010</w:t>
            </w:r>
          </w:p>
        </w:tc>
        <w:tc>
          <w:tcPr>
            <w:tcW w:w="860" w:type="dxa"/>
            <w:vAlign w:val="bottom"/>
            <w:gridSpan w:val="2"/>
          </w:tcPr>
          <w:p>
            <w:pPr>
              <w:jc w:val="right"/>
              <w:ind w:right="400"/>
              <w:spacing w:after="0"/>
              <w:rPr>
                <w:sz w:val="20"/>
                <w:szCs w:val="20"/>
                <w:color w:val="auto"/>
              </w:rPr>
            </w:pPr>
            <w:r>
              <w:rPr>
                <w:rFonts w:ascii="Arial" w:cs="Arial" w:eastAsia="Arial" w:hAnsi="Arial"/>
                <w:sz w:val="17"/>
                <w:szCs w:val="17"/>
                <w:color w:val="auto"/>
              </w:rPr>
              <w:t>77</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395,649</w:t>
            </w:r>
          </w:p>
        </w:tc>
        <w:tc>
          <w:tcPr>
            <w:tcW w:w="280" w:type="dxa"/>
            <w:vAlign w:val="bottom"/>
            <w:gridSpan w:val="2"/>
          </w:tcPr>
          <w:p>
            <w:pPr>
              <w:ind w:left="18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24.44</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7.3</w:t>
            </w:r>
          </w:p>
        </w:tc>
        <w:tc>
          <w:tcPr>
            <w:tcW w:w="500" w:type="dxa"/>
            <w:vAlign w:val="bottom"/>
            <w:gridSpan w:val="2"/>
          </w:tcPr>
          <w:p>
            <w:pPr>
              <w:ind w:left="40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8,891,735</w:t>
            </w:r>
          </w:p>
        </w:tc>
        <w:tc>
          <w:tcPr>
            <w:tcW w:w="500" w:type="dxa"/>
            <w:vAlign w:val="bottom"/>
            <w:gridSpan w:val="2"/>
          </w:tcPr>
          <w:p>
            <w:pPr>
              <w:ind w:left="400"/>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22.47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2nd Quarter 2010</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82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318,931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5,978,306</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7"/>
                <w:szCs w:val="17"/>
                <w:color w:val="auto"/>
              </w:rPr>
              <w:t>1st Quarter 2010</w:t>
            </w:r>
          </w:p>
        </w:tc>
        <w:tc>
          <w:tcPr>
            <w:tcW w:w="860" w:type="dxa"/>
            <w:vAlign w:val="bottom"/>
            <w:gridSpan w:val="2"/>
          </w:tcPr>
          <w:p>
            <w:pPr>
              <w:jc w:val="right"/>
              <w:ind w:right="400"/>
              <w:spacing w:after="0"/>
              <w:rPr>
                <w:sz w:val="20"/>
                <w:szCs w:val="20"/>
                <w:color w:val="auto"/>
              </w:rPr>
            </w:pPr>
            <w:r>
              <w:rPr>
                <w:rFonts w:ascii="Arial" w:cs="Arial" w:eastAsia="Arial" w:hAnsi="Arial"/>
                <w:sz w:val="17"/>
                <w:szCs w:val="17"/>
                <w:color w:val="auto"/>
              </w:rPr>
              <w:t>72</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317,932</w:t>
            </w:r>
          </w:p>
        </w:tc>
        <w:tc>
          <w:tcPr>
            <w:tcW w:w="280" w:type="dxa"/>
            <w:vAlign w:val="bottom"/>
            <w:gridSpan w:val="2"/>
          </w:tcPr>
          <w:p>
            <w:pPr>
              <w:ind w:left="18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28.62</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6.5</w:t>
            </w:r>
          </w:p>
        </w:tc>
        <w:tc>
          <w:tcPr>
            <w:tcW w:w="500" w:type="dxa"/>
            <w:vAlign w:val="bottom"/>
            <w:gridSpan w:val="2"/>
          </w:tcPr>
          <w:p>
            <w:pPr>
              <w:ind w:left="40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6,996,698</w:t>
            </w:r>
          </w:p>
        </w:tc>
        <w:tc>
          <w:tcPr>
            <w:tcW w:w="500" w:type="dxa"/>
            <w:vAlign w:val="bottom"/>
            <w:gridSpan w:val="2"/>
          </w:tcPr>
          <w:p>
            <w:pPr>
              <w:ind w:left="400"/>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22.01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- 12 months</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320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5"/>
              </w:rPr>
              <w:t>1,525,551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27,563,708</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Leases on this report represent retail activity only; office and residential leases are not included.</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Comparable leases represent those leases signed on spaces for which there was a former tenant.</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Contractual rent represents contractual minimum rent under the new lease for the first 12 months of the term.</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Prior rent represents minimum rent and percentage rent, if any, paid by the prior tenant in the final 12 months of the term.</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Weighted average is determined on the basis of square footage.</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Renewal leases represent expiring leases rolling over with the same tenant in the same location. All other leases are categorized as new.</w:t>
      </w:r>
    </w:p>
    <w:p>
      <w:pPr>
        <w:sectPr>
          <w:pgSz w:w="11900" w:h="16838" w:orient="portrait"/>
          <w:cols w:equalWidth="0" w:num="1">
            <w:col w:w="11420"/>
          </w:cols>
          <w:pgMar w:left="240" w:top="271" w:right="239"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271"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Expirations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Assumes no exercise of lease options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Anchor Tenants (1)</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Small Shop Tenants</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jc w:val="center"/>
              <w:ind w:right="380"/>
              <w:spacing w:after="0" w:line="124" w:lineRule="exact"/>
              <w:rPr>
                <w:sz w:val="20"/>
                <w:szCs w:val="20"/>
                <w:color w:val="auto"/>
              </w:rPr>
            </w:pPr>
            <w:r>
              <w:rPr>
                <w:rFonts w:ascii="Arial" w:cs="Arial" w:eastAsia="Arial" w:hAnsi="Arial"/>
                <w:sz w:val="13"/>
                <w:szCs w:val="13"/>
                <w:b w:val="1"/>
                <w:bCs w:val="1"/>
                <w:color w:val="auto"/>
                <w:w w:val="94"/>
              </w:rPr>
              <w:t>% of</w:t>
            </w:r>
          </w:p>
        </w:tc>
        <w:tc>
          <w:tcPr>
            <w:tcW w:w="40" w:type="dxa"/>
            <w:vAlign w:val="bottom"/>
          </w:tcPr>
          <w:p>
            <w:pPr>
              <w:spacing w:after="0"/>
              <w:rPr>
                <w:sz w:val="10"/>
                <w:szCs w:val="10"/>
                <w:color w:val="auto"/>
              </w:rPr>
            </w:pPr>
          </w:p>
        </w:tc>
        <w:tc>
          <w:tcPr>
            <w:tcW w:w="88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w w:val="95"/>
              </w:rPr>
              <w:t>Minimum Rent</w:t>
            </w: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gridSpan w:val="2"/>
          </w:tcPr>
          <w:p>
            <w:pPr>
              <w:jc w:val="center"/>
              <w:ind w:right="400"/>
              <w:spacing w:after="0" w:line="124" w:lineRule="exact"/>
              <w:rPr>
                <w:sz w:val="20"/>
                <w:szCs w:val="20"/>
                <w:color w:val="auto"/>
              </w:rPr>
            </w:pPr>
            <w:r>
              <w:rPr>
                <w:rFonts w:ascii="Arial" w:cs="Arial" w:eastAsia="Arial" w:hAnsi="Arial"/>
                <w:sz w:val="13"/>
                <w:szCs w:val="13"/>
                <w:b w:val="1"/>
                <w:bCs w:val="1"/>
                <w:color w:val="auto"/>
                <w:w w:val="97"/>
              </w:rPr>
              <w:t>% of Small</w:t>
            </w:r>
          </w:p>
        </w:tc>
        <w:tc>
          <w:tcPr>
            <w:tcW w:w="40" w:type="dxa"/>
            <w:vAlign w:val="bottom"/>
          </w:tcPr>
          <w:p>
            <w:pPr>
              <w:spacing w:after="0"/>
              <w:rPr>
                <w:sz w:val="10"/>
                <w:szCs w:val="10"/>
                <w:color w:val="auto"/>
              </w:rPr>
            </w:pPr>
          </w:p>
        </w:tc>
        <w:tc>
          <w:tcPr>
            <w:tcW w:w="86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w w:val="93"/>
              </w:rPr>
              <w:t>Minimum Rent</w:t>
            </w: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gridSpan w:val="2"/>
          </w:tcPr>
          <w:p>
            <w:pPr>
              <w:jc w:val="center"/>
              <w:ind w:right="460"/>
              <w:spacing w:after="0" w:line="124" w:lineRule="exact"/>
              <w:rPr>
                <w:sz w:val="20"/>
                <w:szCs w:val="20"/>
                <w:color w:val="auto"/>
              </w:rPr>
            </w:pPr>
            <w:r>
              <w:rPr>
                <w:rFonts w:ascii="Arial" w:cs="Arial" w:eastAsia="Arial" w:hAnsi="Arial"/>
                <w:sz w:val="13"/>
                <w:szCs w:val="13"/>
                <w:b w:val="1"/>
                <w:bCs w:val="1"/>
                <w:color w:val="auto"/>
                <w:w w:val="96"/>
              </w:rPr>
              <w:t>% of Total</w:t>
            </w:r>
          </w:p>
        </w:tc>
        <w:tc>
          <w:tcPr>
            <w:tcW w:w="720" w:type="dxa"/>
            <w:vAlign w:val="bottom"/>
            <w:gridSpan w:val="2"/>
          </w:tcPr>
          <w:p>
            <w:pPr>
              <w:ind w:left="80"/>
              <w:spacing w:after="0" w:line="124" w:lineRule="exact"/>
              <w:rPr>
                <w:sz w:val="20"/>
                <w:szCs w:val="20"/>
                <w:color w:val="auto"/>
              </w:rPr>
            </w:pPr>
            <w:r>
              <w:rPr>
                <w:rFonts w:ascii="Arial" w:cs="Arial" w:eastAsia="Arial" w:hAnsi="Arial"/>
                <w:sz w:val="13"/>
                <w:szCs w:val="13"/>
                <w:b w:val="1"/>
                <w:bCs w:val="1"/>
                <w:color w:val="auto"/>
              </w:rPr>
              <w:t>Minimum</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640" w:type="dxa"/>
            <w:vAlign w:val="bottom"/>
            <w:gridSpan w:val="4"/>
          </w:tcPr>
          <w:p>
            <w:pPr>
              <w:spacing w:after="0"/>
              <w:rPr>
                <w:sz w:val="20"/>
                <w:szCs w:val="20"/>
                <w:color w:val="auto"/>
              </w:rPr>
            </w:pPr>
            <w:r>
              <w:rPr>
                <w:rFonts w:ascii="Arial" w:cs="Arial" w:eastAsia="Arial" w:hAnsi="Arial"/>
                <w:sz w:val="13"/>
                <w:szCs w:val="13"/>
                <w:b w:val="1"/>
                <w:bCs w:val="1"/>
                <w:color w:val="auto"/>
              </w:rPr>
              <w:t>Year</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6"/>
              </w:rPr>
              <w:t>Expiring SF</w:t>
            </w:r>
          </w:p>
        </w:tc>
        <w:tc>
          <w:tcPr>
            <w:tcW w:w="340" w:type="dxa"/>
            <w:vAlign w:val="bottom"/>
          </w:tcPr>
          <w:p>
            <w:pPr>
              <w:spacing w:after="0"/>
              <w:rPr>
                <w:sz w:val="13"/>
                <w:szCs w:val="13"/>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1"/>
              </w:rPr>
              <w:t>Anchor SF</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PSF (2)</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w w:val="94"/>
              </w:rPr>
              <w:t>Expiring SF</w:t>
            </w:r>
          </w:p>
        </w:tc>
        <w:tc>
          <w:tcPr>
            <w:tcW w:w="340" w:type="dxa"/>
            <w:vAlign w:val="bottom"/>
          </w:tcPr>
          <w:p>
            <w:pPr>
              <w:spacing w:after="0"/>
              <w:rPr>
                <w:sz w:val="13"/>
                <w:szCs w:val="13"/>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Shop SF</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136"/>
              <w:spacing w:after="0"/>
              <w:rPr>
                <w:sz w:val="20"/>
                <w:szCs w:val="20"/>
                <w:color w:val="auto"/>
              </w:rPr>
            </w:pPr>
            <w:r>
              <w:rPr>
                <w:rFonts w:ascii="Arial" w:cs="Arial" w:eastAsia="Arial" w:hAnsi="Arial"/>
                <w:sz w:val="13"/>
                <w:szCs w:val="13"/>
                <w:b w:val="1"/>
                <w:bCs w:val="1"/>
                <w:color w:val="auto"/>
              </w:rPr>
              <w:t>PSF (2)</w:t>
            </w:r>
          </w:p>
        </w:tc>
        <w:tc>
          <w:tcPr>
            <w:tcW w:w="3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w w:val="91"/>
              </w:rPr>
              <w:t>Expiring SF (4)</w:t>
            </w:r>
          </w:p>
        </w:tc>
        <w:tc>
          <w:tcPr>
            <w:tcW w:w="360" w:type="dxa"/>
            <w:vAlign w:val="bottom"/>
          </w:tcPr>
          <w:p>
            <w:pPr>
              <w:spacing w:after="0"/>
              <w:rPr>
                <w:sz w:val="13"/>
                <w:szCs w:val="13"/>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6"/>
              </w:rPr>
              <w:t>SF</w:t>
            </w: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Rent 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2011</w:t>
            </w: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445,000</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15.32</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967,000</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13%</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1,412,000</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8%</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2012</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1,051,000</w:t>
            </w:r>
          </w:p>
        </w:tc>
        <w:tc>
          <w:tcPr>
            <w:tcW w:w="1340" w:type="dxa"/>
            <w:vAlign w:val="bottom"/>
            <w:gridSpan w:val="3"/>
          </w:tcPr>
          <w:p>
            <w:pPr>
              <w:jc w:val="right"/>
              <w:ind w:right="240"/>
              <w:spacing w:after="0"/>
              <w:rPr>
                <w:sz w:val="20"/>
                <w:szCs w:val="20"/>
                <w:color w:val="auto"/>
              </w:rPr>
            </w:pPr>
            <w:r>
              <w:rPr>
                <w:rFonts w:ascii="Arial" w:cs="Arial" w:eastAsia="Arial" w:hAnsi="Arial"/>
                <w:sz w:val="17"/>
                <w:szCs w:val="17"/>
                <w:color w:val="auto"/>
              </w:rPr>
              <w:t>11%</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13.34</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1,191,000</w:t>
            </w:r>
          </w:p>
        </w:tc>
        <w:tc>
          <w:tcPr>
            <w:tcW w:w="1380" w:type="dxa"/>
            <w:vAlign w:val="bottom"/>
            <w:gridSpan w:val="3"/>
          </w:tcPr>
          <w:p>
            <w:pPr>
              <w:jc w:val="right"/>
              <w:ind w:right="260"/>
              <w:spacing w:after="0"/>
              <w:rPr>
                <w:sz w:val="20"/>
                <w:szCs w:val="20"/>
                <w:color w:val="auto"/>
              </w:rPr>
            </w:pPr>
            <w:r>
              <w:rPr>
                <w:rFonts w:ascii="Arial" w:cs="Arial" w:eastAsia="Arial" w:hAnsi="Arial"/>
                <w:sz w:val="17"/>
                <w:szCs w:val="17"/>
                <w:color w:val="auto"/>
              </w:rPr>
              <w:t>16%</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30.28</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2,242,000</w:t>
            </w:r>
          </w:p>
        </w:tc>
        <w:tc>
          <w:tcPr>
            <w:tcW w:w="1420" w:type="dxa"/>
            <w:vAlign w:val="bottom"/>
            <w:gridSpan w:val="3"/>
          </w:tcPr>
          <w:p>
            <w:pPr>
              <w:jc w:val="right"/>
              <w:ind w:right="320"/>
              <w:spacing w:after="0"/>
              <w:rPr>
                <w:sz w:val="20"/>
                <w:szCs w:val="20"/>
                <w:color w:val="auto"/>
              </w:rPr>
            </w:pPr>
            <w:r>
              <w:rPr>
                <w:rFonts w:ascii="Arial" w:cs="Arial" w:eastAsia="Arial" w:hAnsi="Arial"/>
                <w:sz w:val="17"/>
                <w:szCs w:val="17"/>
                <w:color w:val="auto"/>
              </w:rPr>
              <w:t>13%</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2013</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1,042,000</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11%</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15.45</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1,028,000</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14%</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2,070,000</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12%</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2014</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1,378,000</w:t>
            </w:r>
          </w:p>
        </w:tc>
        <w:tc>
          <w:tcPr>
            <w:tcW w:w="1340" w:type="dxa"/>
            <w:vAlign w:val="bottom"/>
            <w:gridSpan w:val="3"/>
          </w:tcPr>
          <w:p>
            <w:pPr>
              <w:jc w:val="right"/>
              <w:ind w:right="240"/>
              <w:spacing w:after="0"/>
              <w:rPr>
                <w:sz w:val="20"/>
                <w:szCs w:val="20"/>
                <w:color w:val="auto"/>
              </w:rPr>
            </w:pPr>
            <w:r>
              <w:rPr>
                <w:rFonts w:ascii="Arial" w:cs="Arial" w:eastAsia="Arial" w:hAnsi="Arial"/>
                <w:sz w:val="17"/>
                <w:szCs w:val="17"/>
                <w:color w:val="auto"/>
              </w:rPr>
              <w:t>14%</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16.07</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866,000</w:t>
            </w:r>
          </w:p>
        </w:tc>
        <w:tc>
          <w:tcPr>
            <w:tcW w:w="1380" w:type="dxa"/>
            <w:vAlign w:val="bottom"/>
            <w:gridSpan w:val="3"/>
          </w:tcPr>
          <w:p>
            <w:pPr>
              <w:jc w:val="right"/>
              <w:ind w:right="260"/>
              <w:spacing w:after="0"/>
              <w:rPr>
                <w:sz w:val="20"/>
                <w:szCs w:val="20"/>
                <w:color w:val="auto"/>
              </w:rPr>
            </w:pPr>
            <w:r>
              <w:rPr>
                <w:rFonts w:ascii="Arial" w:cs="Arial" w:eastAsia="Arial" w:hAnsi="Arial"/>
                <w:sz w:val="17"/>
                <w:szCs w:val="17"/>
                <w:color w:val="auto"/>
              </w:rPr>
              <w:t>12%</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33.57</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2,244,000</w:t>
            </w:r>
          </w:p>
        </w:tc>
        <w:tc>
          <w:tcPr>
            <w:tcW w:w="1420" w:type="dxa"/>
            <w:vAlign w:val="bottom"/>
            <w:gridSpan w:val="3"/>
          </w:tcPr>
          <w:p>
            <w:pPr>
              <w:jc w:val="right"/>
              <w:ind w:right="320"/>
              <w:spacing w:after="0"/>
              <w:rPr>
                <w:sz w:val="20"/>
                <w:szCs w:val="20"/>
                <w:color w:val="auto"/>
              </w:rPr>
            </w:pPr>
            <w:r>
              <w:rPr>
                <w:rFonts w:ascii="Arial" w:cs="Arial" w:eastAsia="Arial" w:hAnsi="Arial"/>
                <w:sz w:val="17"/>
                <w:szCs w:val="17"/>
                <w:color w:val="auto"/>
              </w:rPr>
              <w:t>13%</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22.82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2015</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826,000</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9%</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13.99</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963,000</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13%</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1,789,000</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11%</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2016</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635,000</w:t>
            </w:r>
          </w:p>
        </w:tc>
        <w:tc>
          <w:tcPr>
            <w:tcW w:w="1340" w:type="dxa"/>
            <w:vAlign w:val="bottom"/>
            <w:gridSpan w:val="3"/>
          </w:tcPr>
          <w:p>
            <w:pPr>
              <w:jc w:val="right"/>
              <w:ind w:right="240"/>
              <w:spacing w:after="0"/>
              <w:rPr>
                <w:sz w:val="20"/>
                <w:szCs w:val="20"/>
                <w:color w:val="auto"/>
              </w:rPr>
            </w:pPr>
            <w:r>
              <w:rPr>
                <w:rFonts w:ascii="Arial" w:cs="Arial" w:eastAsia="Arial" w:hAnsi="Arial"/>
                <w:sz w:val="17"/>
                <w:szCs w:val="17"/>
                <w:color w:val="auto"/>
              </w:rPr>
              <w:t>7%</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18.27</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762,000</w:t>
            </w:r>
          </w:p>
        </w:tc>
        <w:tc>
          <w:tcPr>
            <w:tcW w:w="1380" w:type="dxa"/>
            <w:vAlign w:val="bottom"/>
            <w:gridSpan w:val="3"/>
          </w:tcPr>
          <w:p>
            <w:pPr>
              <w:jc w:val="right"/>
              <w:ind w:right="260"/>
              <w:spacing w:after="0"/>
              <w:rPr>
                <w:sz w:val="20"/>
                <w:szCs w:val="20"/>
                <w:color w:val="auto"/>
              </w:rPr>
            </w:pPr>
            <w:r>
              <w:rPr>
                <w:rFonts w:ascii="Arial" w:cs="Arial" w:eastAsia="Arial" w:hAnsi="Arial"/>
                <w:sz w:val="17"/>
                <w:szCs w:val="17"/>
                <w:color w:val="auto"/>
              </w:rPr>
              <w:t>10%</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30.33</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1,397,000</w:t>
            </w:r>
          </w:p>
        </w:tc>
        <w:tc>
          <w:tcPr>
            <w:tcW w:w="1420" w:type="dxa"/>
            <w:vAlign w:val="bottom"/>
            <w:gridSpan w:val="3"/>
          </w:tcPr>
          <w:p>
            <w:pPr>
              <w:jc w:val="right"/>
              <w:ind w:right="320"/>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24.84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2017</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677,000</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16.74</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448,000</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6%</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1,125,000</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2018</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657,000</w:t>
            </w:r>
          </w:p>
        </w:tc>
        <w:tc>
          <w:tcPr>
            <w:tcW w:w="1340" w:type="dxa"/>
            <w:vAlign w:val="bottom"/>
            <w:gridSpan w:val="3"/>
          </w:tcPr>
          <w:p>
            <w:pPr>
              <w:jc w:val="right"/>
              <w:ind w:right="240"/>
              <w:spacing w:after="0"/>
              <w:rPr>
                <w:sz w:val="20"/>
                <w:szCs w:val="20"/>
                <w:color w:val="auto"/>
              </w:rPr>
            </w:pPr>
            <w:r>
              <w:rPr>
                <w:rFonts w:ascii="Arial" w:cs="Arial" w:eastAsia="Arial" w:hAnsi="Arial"/>
                <w:sz w:val="17"/>
                <w:szCs w:val="17"/>
                <w:color w:val="auto"/>
              </w:rPr>
              <w:t>7%</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7"/>
                <w:szCs w:val="17"/>
                <w:color w:val="auto"/>
              </w:rPr>
              <w:t>11.66</w:t>
            </w:r>
          </w:p>
        </w:tc>
        <w:tc>
          <w:tcPr>
            <w:tcW w:w="720" w:type="dxa"/>
            <w:vAlign w:val="bottom"/>
          </w:tcPr>
          <w:p>
            <w:pPr>
              <w:jc w:val="right"/>
              <w:spacing w:after="0"/>
              <w:rPr>
                <w:sz w:val="20"/>
                <w:szCs w:val="20"/>
                <w:color w:val="auto"/>
              </w:rPr>
            </w:pPr>
            <w:r>
              <w:rPr>
                <w:rFonts w:ascii="Arial" w:cs="Arial" w:eastAsia="Arial" w:hAnsi="Arial"/>
                <w:sz w:val="17"/>
                <w:szCs w:val="17"/>
                <w:color w:val="auto"/>
              </w:rPr>
              <w:t>308,000</w:t>
            </w:r>
          </w:p>
        </w:tc>
        <w:tc>
          <w:tcPr>
            <w:tcW w:w="1380" w:type="dxa"/>
            <w:vAlign w:val="bottom"/>
            <w:gridSpan w:val="3"/>
          </w:tcPr>
          <w:p>
            <w:pPr>
              <w:jc w:val="right"/>
              <w:ind w:right="260"/>
              <w:spacing w:after="0"/>
              <w:rPr>
                <w:sz w:val="20"/>
                <w:szCs w:val="20"/>
                <w:color w:val="auto"/>
              </w:rPr>
            </w:pPr>
            <w:r>
              <w:rPr>
                <w:rFonts w:ascii="Arial" w:cs="Arial" w:eastAsia="Arial" w:hAnsi="Arial"/>
                <w:sz w:val="17"/>
                <w:szCs w:val="17"/>
                <w:color w:val="auto"/>
              </w:rPr>
              <w:t>4%</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36.86</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965,000</w:t>
            </w:r>
          </w:p>
        </w:tc>
        <w:tc>
          <w:tcPr>
            <w:tcW w:w="1420" w:type="dxa"/>
            <w:vAlign w:val="bottom"/>
            <w:gridSpan w:val="3"/>
          </w:tcPr>
          <w:p>
            <w:pPr>
              <w:jc w:val="right"/>
              <w:ind w:right="320"/>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19.70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2019</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487,000</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17.51</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231,000</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718,000</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2020</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358,000</w:t>
            </w:r>
          </w:p>
        </w:tc>
        <w:tc>
          <w:tcPr>
            <w:tcW w:w="1340" w:type="dxa"/>
            <w:vAlign w:val="bottom"/>
            <w:gridSpan w:val="3"/>
          </w:tcPr>
          <w:p>
            <w:pPr>
              <w:jc w:val="right"/>
              <w:ind w:right="240"/>
              <w:spacing w:after="0"/>
              <w:rPr>
                <w:sz w:val="20"/>
                <w:szCs w:val="20"/>
                <w:color w:val="auto"/>
              </w:rPr>
            </w:pPr>
            <w:r>
              <w:rPr>
                <w:rFonts w:ascii="Arial" w:cs="Arial" w:eastAsia="Arial" w:hAnsi="Arial"/>
                <w:sz w:val="17"/>
                <w:szCs w:val="17"/>
                <w:color w:val="auto"/>
              </w:rPr>
              <w:t>4%</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21.22</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347,000</w:t>
            </w:r>
          </w:p>
        </w:tc>
        <w:tc>
          <w:tcPr>
            <w:tcW w:w="1380" w:type="dxa"/>
            <w:vAlign w:val="bottom"/>
            <w:gridSpan w:val="3"/>
          </w:tcPr>
          <w:p>
            <w:pPr>
              <w:jc w:val="right"/>
              <w:ind w:right="260"/>
              <w:spacing w:after="0"/>
              <w:rPr>
                <w:sz w:val="20"/>
                <w:szCs w:val="20"/>
                <w:color w:val="auto"/>
              </w:rPr>
            </w:pPr>
            <w:r>
              <w:rPr>
                <w:rFonts w:ascii="Arial" w:cs="Arial" w:eastAsia="Arial" w:hAnsi="Arial"/>
                <w:sz w:val="17"/>
                <w:szCs w:val="17"/>
                <w:color w:val="auto"/>
              </w:rPr>
              <w:t>5%</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33.40</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705,000</w:t>
            </w:r>
          </w:p>
        </w:tc>
        <w:tc>
          <w:tcPr>
            <w:tcW w:w="1420" w:type="dxa"/>
            <w:vAlign w:val="bottom"/>
            <w:gridSpan w:val="3"/>
          </w:tcPr>
          <w:p>
            <w:pPr>
              <w:jc w:val="right"/>
              <w:ind w:right="32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27.21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Thereafter</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2,036,000</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20%</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15.69</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322,000</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4%</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2,358,000</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14%</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19.27</w:t>
            </w:r>
          </w:p>
        </w:tc>
        <w:tc>
          <w:tcPr>
            <w:tcW w:w="0" w:type="dxa"/>
            <w:vAlign w:val="bottom"/>
          </w:tcPr>
          <w:p>
            <w:pPr>
              <w:spacing w:after="0"/>
              <w:rPr>
                <w:sz w:val="1"/>
                <w:szCs w:val="1"/>
                <w:color w:val="auto"/>
              </w:rPr>
            </w:pPr>
          </w:p>
        </w:tc>
      </w:tr>
      <w:tr>
        <w:trPr>
          <w:trHeight w:val="20"/>
        </w:trPr>
        <w:tc>
          <w:tcPr>
            <w:tcW w:w="164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Total (3)</w:t>
            </w: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40" w:type="dxa"/>
            <w:vAlign w:val="bottom"/>
            <w:gridSpan w:val="4"/>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9,592,000</w:t>
            </w:r>
          </w:p>
        </w:tc>
        <w:tc>
          <w:tcPr>
            <w:tcW w:w="3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100%</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15.57</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7,433,000</w:t>
            </w:r>
          </w:p>
        </w:tc>
        <w:tc>
          <w:tcPr>
            <w:tcW w:w="1380" w:type="dxa"/>
            <w:vAlign w:val="bottom"/>
            <w:gridSpan w:val="3"/>
          </w:tcPr>
          <w:p>
            <w:pPr>
              <w:jc w:val="right"/>
              <w:ind w:right="260"/>
              <w:spacing w:after="0"/>
              <w:rPr>
                <w:sz w:val="20"/>
                <w:szCs w:val="20"/>
                <w:color w:val="auto"/>
              </w:rPr>
            </w:pPr>
            <w:r>
              <w:rPr>
                <w:rFonts w:ascii="Arial" w:cs="Arial" w:eastAsia="Arial" w:hAnsi="Arial"/>
                <w:sz w:val="17"/>
                <w:szCs w:val="17"/>
                <w:color w:val="auto"/>
              </w:rPr>
              <w:t>100%</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32.07</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17,025,000</w:t>
            </w:r>
          </w:p>
        </w:tc>
        <w:tc>
          <w:tcPr>
            <w:tcW w:w="1420" w:type="dxa"/>
            <w:vAlign w:val="bottom"/>
            <w:gridSpan w:val="3"/>
          </w:tcPr>
          <w:p>
            <w:pPr>
              <w:jc w:val="right"/>
              <w:ind w:right="320"/>
              <w:spacing w:after="0"/>
              <w:rPr>
                <w:sz w:val="20"/>
                <w:szCs w:val="20"/>
                <w:color w:val="auto"/>
              </w:rPr>
            </w:pPr>
            <w:r>
              <w:rPr>
                <w:rFonts w:ascii="Arial" w:cs="Arial" w:eastAsia="Arial" w:hAnsi="Arial"/>
                <w:sz w:val="17"/>
                <w:szCs w:val="17"/>
                <w:color w:val="auto"/>
              </w:rPr>
              <w:t>100%</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22.77</w:t>
            </w:r>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720" w:type="dxa"/>
            <w:vAlign w:val="bottom"/>
            <w:gridSpan w:val="8"/>
          </w:tcPr>
          <w:p>
            <w:pPr>
              <w:spacing w:after="0"/>
              <w:rPr>
                <w:sz w:val="20"/>
                <w:szCs w:val="20"/>
                <w:color w:val="auto"/>
              </w:rPr>
            </w:pPr>
            <w:r>
              <w:rPr>
                <w:rFonts w:ascii="Arial" w:cs="Arial" w:eastAsia="Arial" w:hAnsi="Arial"/>
                <w:sz w:val="17"/>
                <w:szCs w:val="17"/>
                <w:b w:val="1"/>
                <w:bCs w:val="1"/>
                <w:color w:val="auto"/>
              </w:rPr>
              <w:t>Assumes all lease options are exercised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Anchor Tenants (1)</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Small Shop Tenants</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jc w:val="center"/>
              <w:ind w:right="380"/>
              <w:spacing w:after="0" w:line="124" w:lineRule="exact"/>
              <w:rPr>
                <w:sz w:val="20"/>
                <w:szCs w:val="20"/>
                <w:color w:val="auto"/>
              </w:rPr>
            </w:pPr>
            <w:r>
              <w:rPr>
                <w:rFonts w:ascii="Arial" w:cs="Arial" w:eastAsia="Arial" w:hAnsi="Arial"/>
                <w:sz w:val="13"/>
                <w:szCs w:val="13"/>
                <w:b w:val="1"/>
                <w:bCs w:val="1"/>
                <w:color w:val="auto"/>
                <w:w w:val="94"/>
              </w:rPr>
              <w:t>% of</w:t>
            </w:r>
          </w:p>
        </w:tc>
        <w:tc>
          <w:tcPr>
            <w:tcW w:w="40" w:type="dxa"/>
            <w:vAlign w:val="bottom"/>
          </w:tcPr>
          <w:p>
            <w:pPr>
              <w:spacing w:after="0"/>
              <w:rPr>
                <w:sz w:val="10"/>
                <w:szCs w:val="10"/>
                <w:color w:val="auto"/>
              </w:rPr>
            </w:pPr>
          </w:p>
        </w:tc>
        <w:tc>
          <w:tcPr>
            <w:tcW w:w="88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w w:val="95"/>
              </w:rPr>
              <w:t>Minimum Rent</w:t>
            </w: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gridSpan w:val="2"/>
          </w:tcPr>
          <w:p>
            <w:pPr>
              <w:jc w:val="center"/>
              <w:ind w:right="400"/>
              <w:spacing w:after="0" w:line="124" w:lineRule="exact"/>
              <w:rPr>
                <w:sz w:val="20"/>
                <w:szCs w:val="20"/>
                <w:color w:val="auto"/>
              </w:rPr>
            </w:pPr>
            <w:r>
              <w:rPr>
                <w:rFonts w:ascii="Arial" w:cs="Arial" w:eastAsia="Arial" w:hAnsi="Arial"/>
                <w:sz w:val="13"/>
                <w:szCs w:val="13"/>
                <w:b w:val="1"/>
                <w:bCs w:val="1"/>
                <w:color w:val="auto"/>
                <w:w w:val="97"/>
              </w:rPr>
              <w:t>% of Small</w:t>
            </w:r>
          </w:p>
        </w:tc>
        <w:tc>
          <w:tcPr>
            <w:tcW w:w="40" w:type="dxa"/>
            <w:vAlign w:val="bottom"/>
          </w:tcPr>
          <w:p>
            <w:pPr>
              <w:spacing w:after="0"/>
              <w:rPr>
                <w:sz w:val="10"/>
                <w:szCs w:val="10"/>
                <w:color w:val="auto"/>
              </w:rPr>
            </w:pPr>
          </w:p>
        </w:tc>
        <w:tc>
          <w:tcPr>
            <w:tcW w:w="86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w w:val="93"/>
              </w:rPr>
              <w:t>Minimum Rent</w:t>
            </w: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gridSpan w:val="2"/>
          </w:tcPr>
          <w:p>
            <w:pPr>
              <w:jc w:val="center"/>
              <w:ind w:right="460"/>
              <w:spacing w:after="0" w:line="124" w:lineRule="exact"/>
              <w:rPr>
                <w:sz w:val="20"/>
                <w:szCs w:val="20"/>
                <w:color w:val="auto"/>
              </w:rPr>
            </w:pPr>
            <w:r>
              <w:rPr>
                <w:rFonts w:ascii="Arial" w:cs="Arial" w:eastAsia="Arial" w:hAnsi="Arial"/>
                <w:sz w:val="13"/>
                <w:szCs w:val="13"/>
                <w:b w:val="1"/>
                <w:bCs w:val="1"/>
                <w:color w:val="auto"/>
                <w:w w:val="96"/>
              </w:rPr>
              <w:t>% of Total</w:t>
            </w:r>
          </w:p>
        </w:tc>
        <w:tc>
          <w:tcPr>
            <w:tcW w:w="720" w:type="dxa"/>
            <w:vAlign w:val="bottom"/>
            <w:gridSpan w:val="2"/>
          </w:tcPr>
          <w:p>
            <w:pPr>
              <w:ind w:left="80"/>
              <w:spacing w:after="0" w:line="124" w:lineRule="exact"/>
              <w:rPr>
                <w:sz w:val="20"/>
                <w:szCs w:val="20"/>
                <w:color w:val="auto"/>
              </w:rPr>
            </w:pPr>
            <w:r>
              <w:rPr>
                <w:rFonts w:ascii="Arial" w:cs="Arial" w:eastAsia="Arial" w:hAnsi="Arial"/>
                <w:sz w:val="13"/>
                <w:szCs w:val="13"/>
                <w:b w:val="1"/>
                <w:bCs w:val="1"/>
                <w:color w:val="auto"/>
              </w:rPr>
              <w:t>Minimum</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640" w:type="dxa"/>
            <w:vAlign w:val="bottom"/>
            <w:gridSpan w:val="4"/>
          </w:tcPr>
          <w:p>
            <w:pPr>
              <w:spacing w:after="0"/>
              <w:rPr>
                <w:sz w:val="20"/>
                <w:szCs w:val="20"/>
                <w:color w:val="auto"/>
              </w:rPr>
            </w:pPr>
            <w:r>
              <w:rPr>
                <w:rFonts w:ascii="Arial" w:cs="Arial" w:eastAsia="Arial" w:hAnsi="Arial"/>
                <w:sz w:val="13"/>
                <w:szCs w:val="13"/>
                <w:b w:val="1"/>
                <w:bCs w:val="1"/>
                <w:color w:val="auto"/>
              </w:rPr>
              <w:t>Year</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6"/>
              </w:rPr>
              <w:t>Expiring SF</w:t>
            </w:r>
          </w:p>
        </w:tc>
        <w:tc>
          <w:tcPr>
            <w:tcW w:w="340" w:type="dxa"/>
            <w:vAlign w:val="bottom"/>
          </w:tcPr>
          <w:p>
            <w:pPr>
              <w:spacing w:after="0"/>
              <w:rPr>
                <w:sz w:val="13"/>
                <w:szCs w:val="13"/>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1"/>
              </w:rPr>
              <w:t>Anchor SF</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PSF (2)</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w w:val="94"/>
              </w:rPr>
              <w:t>Expiring SF</w:t>
            </w:r>
          </w:p>
        </w:tc>
        <w:tc>
          <w:tcPr>
            <w:tcW w:w="340" w:type="dxa"/>
            <w:vAlign w:val="bottom"/>
          </w:tcPr>
          <w:p>
            <w:pPr>
              <w:spacing w:after="0"/>
              <w:rPr>
                <w:sz w:val="13"/>
                <w:szCs w:val="13"/>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Shop SF</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136"/>
              <w:spacing w:after="0"/>
              <w:rPr>
                <w:sz w:val="20"/>
                <w:szCs w:val="20"/>
                <w:color w:val="auto"/>
              </w:rPr>
            </w:pPr>
            <w:r>
              <w:rPr>
                <w:rFonts w:ascii="Arial" w:cs="Arial" w:eastAsia="Arial" w:hAnsi="Arial"/>
                <w:sz w:val="13"/>
                <w:szCs w:val="13"/>
                <w:b w:val="1"/>
                <w:bCs w:val="1"/>
                <w:color w:val="auto"/>
              </w:rPr>
              <w:t>PSF (2)</w:t>
            </w:r>
          </w:p>
        </w:tc>
        <w:tc>
          <w:tcPr>
            <w:tcW w:w="3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w w:val="91"/>
              </w:rPr>
              <w:t>Expiring SF (4)</w:t>
            </w:r>
          </w:p>
        </w:tc>
        <w:tc>
          <w:tcPr>
            <w:tcW w:w="360" w:type="dxa"/>
            <w:vAlign w:val="bottom"/>
          </w:tcPr>
          <w:p>
            <w:pPr>
              <w:spacing w:after="0"/>
              <w:rPr>
                <w:sz w:val="13"/>
                <w:szCs w:val="13"/>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6"/>
              </w:rPr>
              <w:t>SF</w:t>
            </w: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Rent 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2011</w:t>
            </w: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82,000</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12.88</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642,000</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9%</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724,000</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2012</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202,000</w:t>
            </w:r>
          </w:p>
        </w:tc>
        <w:tc>
          <w:tcPr>
            <w:tcW w:w="1340" w:type="dxa"/>
            <w:vAlign w:val="bottom"/>
            <w:gridSpan w:val="3"/>
          </w:tcPr>
          <w:p>
            <w:pPr>
              <w:jc w:val="right"/>
              <w:ind w:right="240"/>
              <w:spacing w:after="0"/>
              <w:rPr>
                <w:sz w:val="20"/>
                <w:szCs w:val="20"/>
                <w:color w:val="auto"/>
              </w:rPr>
            </w:pPr>
            <w:r>
              <w:rPr>
                <w:rFonts w:ascii="Arial" w:cs="Arial" w:eastAsia="Arial" w:hAnsi="Arial"/>
                <w:sz w:val="17"/>
                <w:szCs w:val="17"/>
                <w:color w:val="auto"/>
              </w:rPr>
              <w:t>2%</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17.04</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677,000</w:t>
            </w:r>
          </w:p>
        </w:tc>
        <w:tc>
          <w:tcPr>
            <w:tcW w:w="1380" w:type="dxa"/>
            <w:vAlign w:val="bottom"/>
            <w:gridSpan w:val="3"/>
          </w:tcPr>
          <w:p>
            <w:pPr>
              <w:jc w:val="right"/>
              <w:ind w:right="260"/>
              <w:spacing w:after="0"/>
              <w:rPr>
                <w:sz w:val="20"/>
                <w:szCs w:val="20"/>
                <w:color w:val="auto"/>
              </w:rPr>
            </w:pPr>
            <w:r>
              <w:rPr>
                <w:rFonts w:ascii="Arial" w:cs="Arial" w:eastAsia="Arial" w:hAnsi="Arial"/>
                <w:sz w:val="17"/>
                <w:szCs w:val="17"/>
                <w:color w:val="auto"/>
              </w:rPr>
              <w:t>9%</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30.17</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878,000</w:t>
            </w:r>
          </w:p>
        </w:tc>
        <w:tc>
          <w:tcPr>
            <w:tcW w:w="1420" w:type="dxa"/>
            <w:vAlign w:val="bottom"/>
            <w:gridSpan w:val="3"/>
          </w:tcPr>
          <w:p>
            <w:pPr>
              <w:jc w:val="right"/>
              <w:ind w:right="320"/>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27.19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2013</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156,000</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2%</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15.34</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513,000</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669,000</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2014</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205,000</w:t>
            </w:r>
          </w:p>
        </w:tc>
        <w:tc>
          <w:tcPr>
            <w:tcW w:w="1340" w:type="dxa"/>
            <w:vAlign w:val="bottom"/>
            <w:gridSpan w:val="3"/>
          </w:tcPr>
          <w:p>
            <w:pPr>
              <w:jc w:val="right"/>
              <w:ind w:right="240"/>
              <w:spacing w:after="0"/>
              <w:rPr>
                <w:sz w:val="20"/>
                <w:szCs w:val="20"/>
                <w:color w:val="auto"/>
              </w:rPr>
            </w:pPr>
            <w:r>
              <w:rPr>
                <w:rFonts w:ascii="Arial" w:cs="Arial" w:eastAsia="Arial" w:hAnsi="Arial"/>
                <w:sz w:val="17"/>
                <w:szCs w:val="17"/>
                <w:color w:val="auto"/>
              </w:rPr>
              <w:t>2%</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9.64</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521,000</w:t>
            </w:r>
          </w:p>
        </w:tc>
        <w:tc>
          <w:tcPr>
            <w:tcW w:w="1380" w:type="dxa"/>
            <w:vAlign w:val="bottom"/>
            <w:gridSpan w:val="3"/>
          </w:tcPr>
          <w:p>
            <w:pPr>
              <w:jc w:val="right"/>
              <w:ind w:right="260"/>
              <w:spacing w:after="0"/>
              <w:rPr>
                <w:sz w:val="20"/>
                <w:szCs w:val="20"/>
                <w:color w:val="auto"/>
              </w:rPr>
            </w:pPr>
            <w:r>
              <w:rPr>
                <w:rFonts w:ascii="Arial" w:cs="Arial" w:eastAsia="Arial" w:hAnsi="Arial"/>
                <w:sz w:val="17"/>
                <w:szCs w:val="17"/>
                <w:color w:val="auto"/>
              </w:rPr>
              <w:t>7%</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36.00</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725,000</w:t>
            </w:r>
          </w:p>
        </w:tc>
        <w:tc>
          <w:tcPr>
            <w:tcW w:w="1420" w:type="dxa"/>
            <w:vAlign w:val="bottom"/>
            <w:gridSpan w:val="3"/>
          </w:tcPr>
          <w:p>
            <w:pPr>
              <w:jc w:val="right"/>
              <w:ind w:right="32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28.60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2015</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109,000</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20.24</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521,000</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630,000</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2016</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182,000</w:t>
            </w:r>
          </w:p>
        </w:tc>
        <w:tc>
          <w:tcPr>
            <w:tcW w:w="1340" w:type="dxa"/>
            <w:vAlign w:val="bottom"/>
            <w:gridSpan w:val="3"/>
          </w:tcPr>
          <w:p>
            <w:pPr>
              <w:jc w:val="right"/>
              <w:ind w:right="240"/>
              <w:spacing w:after="0"/>
              <w:rPr>
                <w:sz w:val="20"/>
                <w:szCs w:val="20"/>
                <w:color w:val="auto"/>
              </w:rPr>
            </w:pPr>
            <w:r>
              <w:rPr>
                <w:rFonts w:ascii="Arial" w:cs="Arial" w:eastAsia="Arial" w:hAnsi="Arial"/>
                <w:sz w:val="17"/>
                <w:szCs w:val="17"/>
                <w:color w:val="auto"/>
              </w:rPr>
              <w:t>2%</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19.92</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500,000</w:t>
            </w:r>
          </w:p>
        </w:tc>
        <w:tc>
          <w:tcPr>
            <w:tcW w:w="1380" w:type="dxa"/>
            <w:vAlign w:val="bottom"/>
            <w:gridSpan w:val="3"/>
          </w:tcPr>
          <w:p>
            <w:pPr>
              <w:jc w:val="right"/>
              <w:ind w:right="260"/>
              <w:spacing w:after="0"/>
              <w:rPr>
                <w:sz w:val="20"/>
                <w:szCs w:val="20"/>
                <w:color w:val="auto"/>
              </w:rPr>
            </w:pPr>
            <w:r>
              <w:rPr>
                <w:rFonts w:ascii="Arial" w:cs="Arial" w:eastAsia="Arial" w:hAnsi="Arial"/>
                <w:sz w:val="17"/>
                <w:szCs w:val="17"/>
                <w:color w:val="auto"/>
              </w:rPr>
              <w:t>7%</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30.56</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681,000</w:t>
            </w:r>
          </w:p>
        </w:tc>
        <w:tc>
          <w:tcPr>
            <w:tcW w:w="1420" w:type="dxa"/>
            <w:vAlign w:val="bottom"/>
            <w:gridSpan w:val="3"/>
          </w:tcPr>
          <w:p>
            <w:pPr>
              <w:jc w:val="right"/>
              <w:ind w:right="32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27.76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2017</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152,000</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2%</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25.03</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533,000</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686,000</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2018</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290,000</w:t>
            </w:r>
          </w:p>
        </w:tc>
        <w:tc>
          <w:tcPr>
            <w:tcW w:w="1340" w:type="dxa"/>
            <w:vAlign w:val="bottom"/>
            <w:gridSpan w:val="3"/>
          </w:tcPr>
          <w:p>
            <w:pPr>
              <w:jc w:val="right"/>
              <w:ind w:right="240"/>
              <w:spacing w:after="0"/>
              <w:rPr>
                <w:sz w:val="20"/>
                <w:szCs w:val="20"/>
                <w:color w:val="auto"/>
              </w:rPr>
            </w:pPr>
            <w:r>
              <w:rPr>
                <w:rFonts w:ascii="Arial" w:cs="Arial" w:eastAsia="Arial" w:hAnsi="Arial"/>
                <w:sz w:val="17"/>
                <w:szCs w:val="17"/>
                <w:color w:val="auto"/>
              </w:rPr>
              <w:t>2%</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14.79</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456,000</w:t>
            </w:r>
          </w:p>
        </w:tc>
        <w:tc>
          <w:tcPr>
            <w:tcW w:w="1380" w:type="dxa"/>
            <w:vAlign w:val="bottom"/>
            <w:gridSpan w:val="3"/>
          </w:tcPr>
          <w:p>
            <w:pPr>
              <w:jc w:val="right"/>
              <w:ind w:right="260"/>
              <w:spacing w:after="0"/>
              <w:rPr>
                <w:sz w:val="20"/>
                <w:szCs w:val="20"/>
                <w:color w:val="auto"/>
              </w:rPr>
            </w:pPr>
            <w:r>
              <w:rPr>
                <w:rFonts w:ascii="Arial" w:cs="Arial" w:eastAsia="Arial" w:hAnsi="Arial"/>
                <w:sz w:val="17"/>
                <w:szCs w:val="17"/>
                <w:color w:val="auto"/>
              </w:rPr>
              <w:t>6%</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36.58</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746,000</w:t>
            </w:r>
          </w:p>
        </w:tc>
        <w:tc>
          <w:tcPr>
            <w:tcW w:w="1420" w:type="dxa"/>
            <w:vAlign w:val="bottom"/>
            <w:gridSpan w:val="3"/>
          </w:tcPr>
          <w:p>
            <w:pPr>
              <w:jc w:val="right"/>
              <w:ind w:right="32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28.11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2019</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353,000</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4%</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19.19</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319,000</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4%</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672,000</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2020</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159,000</w:t>
            </w:r>
          </w:p>
        </w:tc>
        <w:tc>
          <w:tcPr>
            <w:tcW w:w="1340" w:type="dxa"/>
            <w:vAlign w:val="bottom"/>
            <w:gridSpan w:val="3"/>
          </w:tcPr>
          <w:p>
            <w:pPr>
              <w:jc w:val="right"/>
              <w:ind w:right="240"/>
              <w:spacing w:after="0"/>
              <w:rPr>
                <w:sz w:val="20"/>
                <w:szCs w:val="20"/>
                <w:color w:val="auto"/>
              </w:rPr>
            </w:pPr>
            <w:r>
              <w:rPr>
                <w:rFonts w:ascii="Arial" w:cs="Arial" w:eastAsia="Arial" w:hAnsi="Arial"/>
                <w:sz w:val="17"/>
                <w:szCs w:val="17"/>
                <w:color w:val="auto"/>
              </w:rPr>
              <w:t>2%</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27.80</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372,000</w:t>
            </w:r>
          </w:p>
        </w:tc>
        <w:tc>
          <w:tcPr>
            <w:tcW w:w="1380" w:type="dxa"/>
            <w:vAlign w:val="bottom"/>
            <w:gridSpan w:val="3"/>
          </w:tcPr>
          <w:p>
            <w:pPr>
              <w:jc w:val="right"/>
              <w:ind w:right="260"/>
              <w:spacing w:after="0"/>
              <w:rPr>
                <w:sz w:val="20"/>
                <w:szCs w:val="20"/>
                <w:color w:val="auto"/>
              </w:rPr>
            </w:pPr>
            <w:r>
              <w:rPr>
                <w:rFonts w:ascii="Arial" w:cs="Arial" w:eastAsia="Arial" w:hAnsi="Arial"/>
                <w:sz w:val="17"/>
                <w:szCs w:val="17"/>
                <w:color w:val="auto"/>
              </w:rPr>
              <w:t>5%</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31.41</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531,000</w:t>
            </w:r>
          </w:p>
        </w:tc>
        <w:tc>
          <w:tcPr>
            <w:tcW w:w="1420" w:type="dxa"/>
            <w:vAlign w:val="bottom"/>
            <w:gridSpan w:val="3"/>
          </w:tcPr>
          <w:p>
            <w:pPr>
              <w:jc w:val="right"/>
              <w:ind w:right="320"/>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30.33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Thereafter</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7,702,000</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80%</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14.97</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2,379,000</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32%</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10,083,000</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60%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19.08</w:t>
            </w:r>
          </w:p>
        </w:tc>
        <w:tc>
          <w:tcPr>
            <w:tcW w:w="0" w:type="dxa"/>
            <w:vAlign w:val="bottom"/>
          </w:tcPr>
          <w:p>
            <w:pPr>
              <w:spacing w:after="0"/>
              <w:rPr>
                <w:sz w:val="1"/>
                <w:szCs w:val="1"/>
                <w:color w:val="auto"/>
              </w:rPr>
            </w:pPr>
          </w:p>
        </w:tc>
      </w:tr>
      <w:tr>
        <w:trPr>
          <w:trHeight w:val="20"/>
        </w:trPr>
        <w:tc>
          <w:tcPr>
            <w:tcW w:w="164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Total (3)</w:t>
            </w: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40" w:type="dxa"/>
            <w:vAlign w:val="bottom"/>
            <w:gridSpan w:val="4"/>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9,592,000</w:t>
            </w:r>
          </w:p>
        </w:tc>
        <w:tc>
          <w:tcPr>
            <w:tcW w:w="3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100%</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15.57</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7,433,000</w:t>
            </w:r>
          </w:p>
        </w:tc>
        <w:tc>
          <w:tcPr>
            <w:tcW w:w="1380" w:type="dxa"/>
            <w:vAlign w:val="bottom"/>
            <w:gridSpan w:val="3"/>
          </w:tcPr>
          <w:p>
            <w:pPr>
              <w:jc w:val="right"/>
              <w:ind w:right="260"/>
              <w:spacing w:after="0"/>
              <w:rPr>
                <w:sz w:val="20"/>
                <w:szCs w:val="20"/>
                <w:color w:val="auto"/>
              </w:rPr>
            </w:pPr>
            <w:r>
              <w:rPr>
                <w:rFonts w:ascii="Arial" w:cs="Arial" w:eastAsia="Arial" w:hAnsi="Arial"/>
                <w:sz w:val="17"/>
                <w:szCs w:val="17"/>
                <w:color w:val="auto"/>
              </w:rPr>
              <w:t>100%</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32.07</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17,025,000</w:t>
            </w:r>
          </w:p>
        </w:tc>
        <w:tc>
          <w:tcPr>
            <w:tcW w:w="1420" w:type="dxa"/>
            <w:vAlign w:val="bottom"/>
            <w:gridSpan w:val="3"/>
          </w:tcPr>
          <w:p>
            <w:pPr>
              <w:jc w:val="right"/>
              <w:ind w:right="320"/>
              <w:spacing w:after="0"/>
              <w:rPr>
                <w:sz w:val="20"/>
                <w:szCs w:val="20"/>
                <w:color w:val="auto"/>
              </w:rPr>
            </w:pPr>
            <w:r>
              <w:rPr>
                <w:rFonts w:ascii="Arial" w:cs="Arial" w:eastAsia="Arial" w:hAnsi="Arial"/>
                <w:sz w:val="17"/>
                <w:szCs w:val="17"/>
                <w:color w:val="auto"/>
              </w:rPr>
              <w:t>100%</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Anchor is defined as a tenant leasing 15,000 square feet or more.</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Minimum Rent reflects in-place contractual (cash-basis) rent as of December 31, 2010.</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occupied square footage as of December 31, 2010.</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Individual items may not add up to total due to rounding.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271"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Leased Statistics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Overall Portfolio Statistics (1)</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24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Type</w:t>
            </w:r>
          </w:p>
        </w:tc>
        <w:tc>
          <w:tcPr>
            <w:tcW w:w="2240" w:type="dxa"/>
            <w:vAlign w:val="bottom"/>
            <w:tcBorders>
              <w:bottom w:val="single" w:sz="8" w:color="auto"/>
            </w:tcBorders>
            <w:gridSpan w:val="4"/>
          </w:tcPr>
          <w:p>
            <w:pPr>
              <w:ind w:left="800"/>
              <w:spacing w:after="0"/>
              <w:rPr>
                <w:sz w:val="20"/>
                <w:szCs w:val="20"/>
                <w:color w:val="auto"/>
              </w:rPr>
            </w:pPr>
            <w:r>
              <w:rPr>
                <w:rFonts w:ascii="Arial" w:cs="Arial" w:eastAsia="Arial" w:hAnsi="Arial"/>
                <w:sz w:val="13"/>
                <w:szCs w:val="13"/>
                <w:b w:val="1"/>
                <w:bCs w:val="1"/>
                <w:color w:val="auto"/>
              </w:rPr>
              <w:t>At December 31, 2010</w:t>
            </w:r>
          </w:p>
        </w:tc>
        <w:tc>
          <w:tcPr>
            <w:tcW w:w="5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220" w:type="dxa"/>
            <w:vAlign w:val="bottom"/>
            <w:tcBorders>
              <w:bottom w:val="single" w:sz="8" w:color="auto"/>
            </w:tcBorders>
            <w:gridSpan w:val="4"/>
          </w:tcPr>
          <w:p>
            <w:pPr>
              <w:ind w:left="780"/>
              <w:spacing w:after="0"/>
              <w:rPr>
                <w:sz w:val="20"/>
                <w:szCs w:val="20"/>
                <w:color w:val="auto"/>
              </w:rPr>
            </w:pPr>
            <w:r>
              <w:rPr>
                <w:rFonts w:ascii="Arial" w:cs="Arial" w:eastAsia="Arial" w:hAnsi="Arial"/>
                <w:sz w:val="13"/>
                <w:szCs w:val="13"/>
                <w:b w:val="1"/>
                <w:bCs w:val="1"/>
                <w:color w:val="auto"/>
              </w:rPr>
              <w:t>At December 31, 2009</w:t>
            </w:r>
          </w:p>
        </w:tc>
        <w:tc>
          <w:tcPr>
            <w:tcW w:w="5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240" w:type="dxa"/>
            <w:vAlign w:val="bottom"/>
            <w:gridSpan w:val="4"/>
            <w:vMerge w:val="continue"/>
          </w:tcPr>
          <w:p>
            <w:pPr>
              <w:spacing w:after="0"/>
              <w:rPr>
                <w:sz w:val="11"/>
                <w:szCs w:val="11"/>
                <w:color w:val="auto"/>
              </w:rPr>
            </w:pPr>
          </w:p>
        </w:tc>
        <w:tc>
          <w:tcPr>
            <w:tcW w:w="1120" w:type="dxa"/>
            <w:vAlign w:val="bottom"/>
            <w:gridSpan w:val="2"/>
          </w:tcPr>
          <w:p>
            <w:pPr>
              <w:ind w:left="300"/>
              <w:spacing w:after="0" w:line="138" w:lineRule="exact"/>
              <w:rPr>
                <w:sz w:val="20"/>
                <w:szCs w:val="20"/>
                <w:color w:val="auto"/>
              </w:rPr>
            </w:pPr>
            <w:r>
              <w:rPr>
                <w:rFonts w:ascii="Arial" w:cs="Arial" w:eastAsia="Arial" w:hAnsi="Arial"/>
                <w:sz w:val="13"/>
                <w:szCs w:val="13"/>
                <w:b w:val="1"/>
                <w:bCs w:val="1"/>
                <w:color w:val="auto"/>
              </w:rPr>
              <w:t>Size</w:t>
            </w:r>
          </w:p>
        </w:tc>
        <w:tc>
          <w:tcPr>
            <w:tcW w:w="1120" w:type="dxa"/>
            <w:vAlign w:val="bottom"/>
            <w:gridSpan w:val="2"/>
          </w:tcPr>
          <w:p>
            <w:pPr>
              <w:ind w:left="220"/>
              <w:spacing w:after="0" w:line="138" w:lineRule="exact"/>
              <w:rPr>
                <w:sz w:val="20"/>
                <w:szCs w:val="20"/>
                <w:color w:val="auto"/>
              </w:rPr>
            </w:pPr>
            <w:r>
              <w:rPr>
                <w:rFonts w:ascii="Arial" w:cs="Arial" w:eastAsia="Arial" w:hAnsi="Arial"/>
                <w:sz w:val="13"/>
                <w:szCs w:val="13"/>
                <w:b w:val="1"/>
                <w:bCs w:val="1"/>
                <w:color w:val="auto"/>
              </w:rPr>
              <w:t>Leased</w:t>
            </w:r>
          </w:p>
        </w:tc>
        <w:tc>
          <w:tcPr>
            <w:tcW w:w="560" w:type="dxa"/>
            <w:vAlign w:val="bottom"/>
          </w:tcPr>
          <w:p>
            <w:pPr>
              <w:spacing w:after="0" w:line="138" w:lineRule="exact"/>
              <w:rPr>
                <w:sz w:val="20"/>
                <w:szCs w:val="20"/>
                <w:color w:val="auto"/>
              </w:rPr>
            </w:pPr>
            <w:r>
              <w:rPr>
                <w:rFonts w:ascii="Arial" w:cs="Arial" w:eastAsia="Arial" w:hAnsi="Arial"/>
                <w:sz w:val="13"/>
                <w:szCs w:val="13"/>
                <w:b w:val="1"/>
                <w:bCs w:val="1"/>
                <w:color w:val="auto"/>
                <w:w w:val="89"/>
              </w:rPr>
              <w:t>Leased %</w:t>
            </w:r>
          </w:p>
        </w:tc>
        <w:tc>
          <w:tcPr>
            <w:tcW w:w="400" w:type="dxa"/>
            <w:vAlign w:val="bottom"/>
          </w:tcPr>
          <w:p>
            <w:pPr>
              <w:spacing w:after="0"/>
              <w:rPr>
                <w:sz w:val="11"/>
                <w:szCs w:val="11"/>
                <w:color w:val="auto"/>
              </w:rPr>
            </w:pPr>
          </w:p>
        </w:tc>
        <w:tc>
          <w:tcPr>
            <w:tcW w:w="820" w:type="dxa"/>
            <w:vAlign w:val="bottom"/>
          </w:tcPr>
          <w:p>
            <w:pPr>
              <w:jc w:val="right"/>
              <w:ind w:right="225"/>
              <w:spacing w:after="0" w:line="138" w:lineRule="exact"/>
              <w:rPr>
                <w:sz w:val="20"/>
                <w:szCs w:val="20"/>
                <w:color w:val="auto"/>
              </w:rPr>
            </w:pPr>
            <w:r>
              <w:rPr>
                <w:rFonts w:ascii="Arial" w:cs="Arial" w:eastAsia="Arial" w:hAnsi="Arial"/>
                <w:sz w:val="13"/>
                <w:szCs w:val="13"/>
                <w:b w:val="1"/>
                <w:bCs w:val="1"/>
                <w:color w:val="auto"/>
              </w:rPr>
              <w:t>Size</w:t>
            </w:r>
          </w:p>
        </w:tc>
        <w:tc>
          <w:tcPr>
            <w:tcW w:w="280" w:type="dxa"/>
            <w:vAlign w:val="bottom"/>
          </w:tcPr>
          <w:p>
            <w:pPr>
              <w:spacing w:after="0"/>
              <w:rPr>
                <w:sz w:val="11"/>
                <w:szCs w:val="11"/>
                <w:color w:val="auto"/>
              </w:rPr>
            </w:pPr>
          </w:p>
        </w:tc>
        <w:tc>
          <w:tcPr>
            <w:tcW w:w="1120" w:type="dxa"/>
            <w:vAlign w:val="bottom"/>
            <w:gridSpan w:val="2"/>
          </w:tcPr>
          <w:p>
            <w:pPr>
              <w:ind w:left="220"/>
              <w:spacing w:after="0" w:line="138" w:lineRule="exact"/>
              <w:rPr>
                <w:sz w:val="20"/>
                <w:szCs w:val="20"/>
                <w:color w:val="auto"/>
              </w:rPr>
            </w:pPr>
            <w:r>
              <w:rPr>
                <w:rFonts w:ascii="Arial" w:cs="Arial" w:eastAsia="Arial" w:hAnsi="Arial"/>
                <w:sz w:val="13"/>
                <w:szCs w:val="13"/>
                <w:b w:val="1"/>
                <w:bCs w:val="1"/>
                <w:color w:val="auto"/>
              </w:rPr>
              <w:t>Leased</w:t>
            </w:r>
          </w:p>
        </w:tc>
        <w:tc>
          <w:tcPr>
            <w:tcW w:w="560" w:type="dxa"/>
            <w:vAlign w:val="bottom"/>
          </w:tcPr>
          <w:p>
            <w:pPr>
              <w:spacing w:after="0" w:line="138" w:lineRule="exact"/>
              <w:rPr>
                <w:sz w:val="20"/>
                <w:szCs w:val="20"/>
                <w:color w:val="auto"/>
              </w:rPr>
            </w:pPr>
            <w:r>
              <w:rPr>
                <w:rFonts w:ascii="Arial" w:cs="Arial" w:eastAsia="Arial" w:hAnsi="Arial"/>
                <w:sz w:val="13"/>
                <w:szCs w:val="13"/>
                <w:b w:val="1"/>
                <w:bCs w:val="1"/>
                <w:color w:val="auto"/>
                <w:w w:val="89"/>
              </w:rPr>
              <w:t>Leased %</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Retail Properties (2) (sf)</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6"/>
              </w:rPr>
              <w:t>18,286,000</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17,166,000</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93.9%</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18,169,000</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17,167,000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7"/>
                <w:szCs w:val="17"/>
                <w:color w:val="auto"/>
              </w:rPr>
              <w:t>Residential Properties (3) (units)</w:t>
            </w: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auto"/>
              </w:rPr>
              <w:t>903</w:t>
            </w:r>
          </w:p>
        </w:tc>
        <w:tc>
          <w:tcPr>
            <w:tcW w:w="820" w:type="dxa"/>
            <w:vAlign w:val="bottom"/>
          </w:tcPr>
          <w:p>
            <w:pPr>
              <w:jc w:val="right"/>
              <w:spacing w:after="0"/>
              <w:rPr>
                <w:sz w:val="20"/>
                <w:szCs w:val="20"/>
                <w:color w:val="auto"/>
              </w:rPr>
            </w:pPr>
            <w:r>
              <w:rPr>
                <w:rFonts w:ascii="Arial" w:cs="Arial" w:eastAsia="Arial" w:hAnsi="Arial"/>
                <w:sz w:val="17"/>
                <w:szCs w:val="17"/>
                <w:color w:val="auto"/>
              </w:rPr>
              <w:t>861</w:t>
            </w:r>
          </w:p>
        </w:tc>
        <w:tc>
          <w:tcPr>
            <w:tcW w:w="3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95.3%</w:t>
            </w:r>
          </w:p>
        </w:tc>
        <w:tc>
          <w:tcPr>
            <w:tcW w:w="820" w:type="dxa"/>
            <w:vAlign w:val="bottom"/>
          </w:tcPr>
          <w:p>
            <w:pPr>
              <w:jc w:val="right"/>
              <w:spacing w:after="0"/>
              <w:rPr>
                <w:sz w:val="20"/>
                <w:szCs w:val="20"/>
                <w:color w:val="auto"/>
              </w:rPr>
            </w:pPr>
            <w:r>
              <w:rPr>
                <w:rFonts w:ascii="Arial" w:cs="Arial" w:eastAsia="Arial" w:hAnsi="Arial"/>
                <w:sz w:val="17"/>
                <w:szCs w:val="17"/>
                <w:color w:val="auto"/>
              </w:rPr>
              <w:t>903</w:t>
            </w:r>
          </w:p>
        </w:tc>
        <w:tc>
          <w:tcPr>
            <w:tcW w:w="1400" w:type="dxa"/>
            <w:vAlign w:val="bottom"/>
            <w:gridSpan w:val="3"/>
          </w:tcPr>
          <w:p>
            <w:pPr>
              <w:jc w:val="right"/>
              <w:ind w:right="280"/>
              <w:spacing w:after="0"/>
              <w:rPr>
                <w:sz w:val="20"/>
                <w:szCs w:val="20"/>
                <w:color w:val="auto"/>
              </w:rPr>
            </w:pPr>
            <w:r>
              <w:rPr>
                <w:rFonts w:ascii="Arial" w:cs="Arial" w:eastAsia="Arial" w:hAnsi="Arial"/>
                <w:sz w:val="17"/>
                <w:szCs w:val="17"/>
                <w:color w:val="auto"/>
              </w:rPr>
              <w:t>867</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96.0%</w:t>
            </w:r>
          </w:p>
        </w:tc>
        <w:tc>
          <w:tcPr>
            <w:tcW w:w="0" w:type="dxa"/>
            <w:vAlign w:val="bottom"/>
          </w:tcPr>
          <w:p>
            <w:pPr>
              <w:spacing w:after="0"/>
              <w:rPr>
                <w:sz w:val="1"/>
                <w:szCs w:val="1"/>
                <w:color w:val="auto"/>
              </w:rPr>
            </w:pPr>
          </w:p>
        </w:tc>
      </w:tr>
      <w:tr>
        <w:trPr>
          <w:trHeight w:val="374"/>
        </w:trPr>
        <w:tc>
          <w:tcPr>
            <w:tcW w:w="5240" w:type="dxa"/>
            <w:vAlign w:val="bottom"/>
            <w:gridSpan w:val="4"/>
          </w:tcPr>
          <w:p>
            <w:pPr>
              <w:spacing w:after="0"/>
              <w:rPr>
                <w:sz w:val="20"/>
                <w:szCs w:val="20"/>
                <w:color w:val="auto"/>
              </w:rPr>
            </w:pPr>
            <w:r>
              <w:rPr>
                <w:rFonts w:ascii="Arial" w:cs="Arial" w:eastAsia="Arial" w:hAnsi="Arial"/>
                <w:sz w:val="17"/>
                <w:szCs w:val="17"/>
                <w:b w:val="1"/>
                <w:bCs w:val="1"/>
                <w:color w:val="auto"/>
              </w:rPr>
              <w:t>Same Center Statistics (1)</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40" w:type="dxa"/>
            <w:vAlign w:val="bottom"/>
            <w:gridSpan w:val="4"/>
            <w:vMerge w:val="restart"/>
          </w:tcPr>
          <w:p>
            <w:pPr>
              <w:ind w:left="780"/>
              <w:spacing w:after="0"/>
              <w:rPr>
                <w:sz w:val="20"/>
                <w:szCs w:val="20"/>
                <w:color w:val="auto"/>
              </w:rPr>
            </w:pPr>
            <w:r>
              <w:rPr>
                <w:rFonts w:ascii="Arial" w:cs="Arial" w:eastAsia="Arial" w:hAnsi="Arial"/>
                <w:sz w:val="13"/>
                <w:szCs w:val="13"/>
                <w:b w:val="1"/>
                <w:bCs w:val="1"/>
                <w:color w:val="auto"/>
              </w:rPr>
              <w:t>At December 31, 2010</w:t>
            </w: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gridSpan w:val="4"/>
            <w:vMerge w:val="restart"/>
          </w:tcPr>
          <w:p>
            <w:pPr>
              <w:ind w:left="780"/>
              <w:spacing w:after="0"/>
              <w:rPr>
                <w:sz w:val="20"/>
                <w:szCs w:val="20"/>
                <w:color w:val="auto"/>
              </w:rPr>
            </w:pPr>
            <w:r>
              <w:rPr>
                <w:rFonts w:ascii="Arial" w:cs="Arial" w:eastAsia="Arial" w:hAnsi="Arial"/>
                <w:sz w:val="13"/>
                <w:szCs w:val="13"/>
                <w:b w:val="1"/>
                <w:bCs w:val="1"/>
                <w:color w:val="auto"/>
              </w:rPr>
              <w:t>At December 31, 2009</w:t>
            </w: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24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Type</w:t>
            </w:r>
          </w:p>
        </w:tc>
        <w:tc>
          <w:tcPr>
            <w:tcW w:w="2240" w:type="dxa"/>
            <w:vAlign w:val="bottom"/>
            <w:tcBorders>
              <w:bottom w:val="single" w:sz="8" w:color="auto"/>
            </w:tcBorders>
            <w:gridSpan w:val="4"/>
            <w:vMerge w:val="continue"/>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220" w:type="dxa"/>
            <w:vAlign w:val="bottom"/>
            <w:tcBorders>
              <w:bottom w:val="single" w:sz="8" w:color="auto"/>
            </w:tcBorders>
            <w:gridSpan w:val="4"/>
            <w:vMerge w:val="continue"/>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5240" w:type="dxa"/>
            <w:vAlign w:val="bottom"/>
            <w:gridSpan w:val="4"/>
            <w:vMerge w:val="continue"/>
          </w:tcPr>
          <w:p>
            <w:pPr>
              <w:spacing w:after="0"/>
              <w:rPr>
                <w:sz w:val="11"/>
                <w:szCs w:val="11"/>
                <w:color w:val="auto"/>
              </w:rPr>
            </w:pPr>
          </w:p>
        </w:tc>
        <w:tc>
          <w:tcPr>
            <w:tcW w:w="1120" w:type="dxa"/>
            <w:vAlign w:val="bottom"/>
            <w:gridSpan w:val="2"/>
          </w:tcPr>
          <w:p>
            <w:pPr>
              <w:ind w:left="300"/>
              <w:spacing w:after="0" w:line="138" w:lineRule="exact"/>
              <w:rPr>
                <w:sz w:val="20"/>
                <w:szCs w:val="20"/>
                <w:color w:val="auto"/>
              </w:rPr>
            </w:pPr>
            <w:r>
              <w:rPr>
                <w:rFonts w:ascii="Arial" w:cs="Arial" w:eastAsia="Arial" w:hAnsi="Arial"/>
                <w:sz w:val="13"/>
                <w:szCs w:val="13"/>
                <w:b w:val="1"/>
                <w:bCs w:val="1"/>
                <w:color w:val="auto"/>
              </w:rPr>
              <w:t>Size</w:t>
            </w:r>
          </w:p>
        </w:tc>
        <w:tc>
          <w:tcPr>
            <w:tcW w:w="1120" w:type="dxa"/>
            <w:vAlign w:val="bottom"/>
            <w:gridSpan w:val="2"/>
          </w:tcPr>
          <w:p>
            <w:pPr>
              <w:ind w:left="220"/>
              <w:spacing w:after="0" w:line="138" w:lineRule="exact"/>
              <w:rPr>
                <w:sz w:val="20"/>
                <w:szCs w:val="20"/>
                <w:color w:val="auto"/>
              </w:rPr>
            </w:pPr>
            <w:r>
              <w:rPr>
                <w:rFonts w:ascii="Arial" w:cs="Arial" w:eastAsia="Arial" w:hAnsi="Arial"/>
                <w:sz w:val="13"/>
                <w:szCs w:val="13"/>
                <w:b w:val="1"/>
                <w:bCs w:val="1"/>
                <w:color w:val="auto"/>
              </w:rPr>
              <w:t>Leased</w:t>
            </w:r>
          </w:p>
        </w:tc>
        <w:tc>
          <w:tcPr>
            <w:tcW w:w="560" w:type="dxa"/>
            <w:vAlign w:val="bottom"/>
          </w:tcPr>
          <w:p>
            <w:pPr>
              <w:spacing w:after="0" w:line="138" w:lineRule="exact"/>
              <w:rPr>
                <w:sz w:val="20"/>
                <w:szCs w:val="20"/>
                <w:color w:val="auto"/>
              </w:rPr>
            </w:pPr>
            <w:r>
              <w:rPr>
                <w:rFonts w:ascii="Arial" w:cs="Arial" w:eastAsia="Arial" w:hAnsi="Arial"/>
                <w:sz w:val="13"/>
                <w:szCs w:val="13"/>
                <w:b w:val="1"/>
                <w:bCs w:val="1"/>
                <w:color w:val="auto"/>
                <w:w w:val="89"/>
              </w:rPr>
              <w:t>Leased %</w:t>
            </w:r>
          </w:p>
        </w:tc>
        <w:tc>
          <w:tcPr>
            <w:tcW w:w="400" w:type="dxa"/>
            <w:vAlign w:val="bottom"/>
          </w:tcPr>
          <w:p>
            <w:pPr>
              <w:spacing w:after="0"/>
              <w:rPr>
                <w:sz w:val="11"/>
                <w:szCs w:val="11"/>
                <w:color w:val="auto"/>
              </w:rPr>
            </w:pPr>
          </w:p>
        </w:tc>
        <w:tc>
          <w:tcPr>
            <w:tcW w:w="820" w:type="dxa"/>
            <w:vAlign w:val="bottom"/>
          </w:tcPr>
          <w:p>
            <w:pPr>
              <w:jc w:val="right"/>
              <w:ind w:right="225"/>
              <w:spacing w:after="0" w:line="138" w:lineRule="exact"/>
              <w:rPr>
                <w:sz w:val="20"/>
                <w:szCs w:val="20"/>
                <w:color w:val="auto"/>
              </w:rPr>
            </w:pPr>
            <w:r>
              <w:rPr>
                <w:rFonts w:ascii="Arial" w:cs="Arial" w:eastAsia="Arial" w:hAnsi="Arial"/>
                <w:sz w:val="13"/>
                <w:szCs w:val="13"/>
                <w:b w:val="1"/>
                <w:bCs w:val="1"/>
                <w:color w:val="auto"/>
              </w:rPr>
              <w:t>Size</w:t>
            </w:r>
          </w:p>
        </w:tc>
        <w:tc>
          <w:tcPr>
            <w:tcW w:w="280" w:type="dxa"/>
            <w:vAlign w:val="bottom"/>
          </w:tcPr>
          <w:p>
            <w:pPr>
              <w:spacing w:after="0"/>
              <w:rPr>
                <w:sz w:val="11"/>
                <w:szCs w:val="11"/>
                <w:color w:val="auto"/>
              </w:rPr>
            </w:pPr>
          </w:p>
        </w:tc>
        <w:tc>
          <w:tcPr>
            <w:tcW w:w="1120" w:type="dxa"/>
            <w:vAlign w:val="bottom"/>
            <w:gridSpan w:val="2"/>
          </w:tcPr>
          <w:p>
            <w:pPr>
              <w:ind w:left="220"/>
              <w:spacing w:after="0" w:line="138" w:lineRule="exact"/>
              <w:rPr>
                <w:sz w:val="20"/>
                <w:szCs w:val="20"/>
                <w:color w:val="auto"/>
              </w:rPr>
            </w:pPr>
            <w:r>
              <w:rPr>
                <w:rFonts w:ascii="Arial" w:cs="Arial" w:eastAsia="Arial" w:hAnsi="Arial"/>
                <w:sz w:val="13"/>
                <w:szCs w:val="13"/>
                <w:b w:val="1"/>
                <w:bCs w:val="1"/>
                <w:color w:val="auto"/>
              </w:rPr>
              <w:t>Leased</w:t>
            </w:r>
          </w:p>
        </w:tc>
        <w:tc>
          <w:tcPr>
            <w:tcW w:w="560" w:type="dxa"/>
            <w:vAlign w:val="bottom"/>
          </w:tcPr>
          <w:p>
            <w:pPr>
              <w:spacing w:after="0" w:line="138" w:lineRule="exact"/>
              <w:rPr>
                <w:sz w:val="20"/>
                <w:szCs w:val="20"/>
                <w:color w:val="auto"/>
              </w:rPr>
            </w:pPr>
            <w:r>
              <w:rPr>
                <w:rFonts w:ascii="Arial" w:cs="Arial" w:eastAsia="Arial" w:hAnsi="Arial"/>
                <w:sz w:val="13"/>
                <w:szCs w:val="13"/>
                <w:b w:val="1"/>
                <w:bCs w:val="1"/>
                <w:color w:val="auto"/>
                <w:w w:val="89"/>
              </w:rPr>
              <w:t>Leased %</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Retail Properties (2) (4) (sf)</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6"/>
              </w:rPr>
              <w:t>17,526,000</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16,533,000</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94.3%</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17,502,000</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16,562,000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7"/>
                <w:szCs w:val="17"/>
                <w:color w:val="auto"/>
              </w:rPr>
              <w:t>Residential Properties (3) (units)</w:t>
            </w: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auto"/>
              </w:rPr>
              <w:t>903</w:t>
            </w:r>
          </w:p>
        </w:tc>
        <w:tc>
          <w:tcPr>
            <w:tcW w:w="820" w:type="dxa"/>
            <w:vAlign w:val="bottom"/>
          </w:tcPr>
          <w:p>
            <w:pPr>
              <w:jc w:val="right"/>
              <w:spacing w:after="0"/>
              <w:rPr>
                <w:sz w:val="20"/>
                <w:szCs w:val="20"/>
                <w:color w:val="auto"/>
              </w:rPr>
            </w:pPr>
            <w:r>
              <w:rPr>
                <w:rFonts w:ascii="Arial" w:cs="Arial" w:eastAsia="Arial" w:hAnsi="Arial"/>
                <w:sz w:val="17"/>
                <w:szCs w:val="17"/>
                <w:color w:val="auto"/>
              </w:rPr>
              <w:t>861</w:t>
            </w:r>
          </w:p>
        </w:tc>
        <w:tc>
          <w:tcPr>
            <w:tcW w:w="3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95.3%</w:t>
            </w:r>
          </w:p>
        </w:tc>
        <w:tc>
          <w:tcPr>
            <w:tcW w:w="820" w:type="dxa"/>
            <w:vAlign w:val="bottom"/>
          </w:tcPr>
          <w:p>
            <w:pPr>
              <w:jc w:val="right"/>
              <w:spacing w:after="0"/>
              <w:rPr>
                <w:sz w:val="20"/>
                <w:szCs w:val="20"/>
                <w:color w:val="auto"/>
              </w:rPr>
            </w:pPr>
            <w:r>
              <w:rPr>
                <w:rFonts w:ascii="Arial" w:cs="Arial" w:eastAsia="Arial" w:hAnsi="Arial"/>
                <w:sz w:val="17"/>
                <w:szCs w:val="17"/>
                <w:color w:val="auto"/>
              </w:rPr>
              <w:t>903</w:t>
            </w:r>
          </w:p>
        </w:tc>
        <w:tc>
          <w:tcPr>
            <w:tcW w:w="1400" w:type="dxa"/>
            <w:vAlign w:val="bottom"/>
            <w:gridSpan w:val="3"/>
          </w:tcPr>
          <w:p>
            <w:pPr>
              <w:jc w:val="right"/>
              <w:ind w:right="280"/>
              <w:spacing w:after="0"/>
              <w:rPr>
                <w:sz w:val="20"/>
                <w:szCs w:val="20"/>
                <w:color w:val="auto"/>
              </w:rPr>
            </w:pPr>
            <w:r>
              <w:rPr>
                <w:rFonts w:ascii="Arial" w:cs="Arial" w:eastAsia="Arial" w:hAnsi="Arial"/>
                <w:sz w:val="17"/>
                <w:szCs w:val="17"/>
                <w:color w:val="auto"/>
              </w:rPr>
              <w:t>867</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96.0%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7245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60" w:hanging="45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Leasable square feet; excludes redevelopment square footage not yet placed in service.</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Includes Rollingwood, The Crest at Congressional and the residential rental units at Santana Row and Bethesda Row.</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Excludes properties purchased, sold or under redevelopment.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271"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Top 25 Tenants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88"/>
              </w:rPr>
              <w:t>Percentage of</w:t>
            </w: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Number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340" w:type="dxa"/>
            <w:vAlign w:val="bottom"/>
            <w:gridSpan w:val="3"/>
            <w:vMerge w:val="restart"/>
          </w:tcPr>
          <w:p>
            <w:pPr>
              <w:ind w:left="320"/>
              <w:spacing w:after="0"/>
              <w:rPr>
                <w:sz w:val="20"/>
                <w:szCs w:val="20"/>
                <w:color w:val="auto"/>
              </w:rPr>
            </w:pPr>
            <w:r>
              <w:rPr>
                <w:rFonts w:ascii="Arial" w:cs="Arial" w:eastAsia="Arial" w:hAnsi="Arial"/>
                <w:sz w:val="13"/>
                <w:szCs w:val="13"/>
                <w:b w:val="1"/>
                <w:bCs w:val="1"/>
                <w:color w:val="auto"/>
              </w:rPr>
              <w:t>Tenant Name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720"/>
              <w:spacing w:after="0" w:line="144" w:lineRule="exact"/>
              <w:rPr>
                <w:sz w:val="20"/>
                <w:szCs w:val="20"/>
                <w:color w:val="auto"/>
              </w:rPr>
            </w:pPr>
            <w:r>
              <w:rPr>
                <w:rFonts w:ascii="Arial" w:cs="Arial" w:eastAsia="Arial" w:hAnsi="Arial"/>
                <w:sz w:val="13"/>
                <w:szCs w:val="13"/>
                <w:b w:val="1"/>
                <w:bCs w:val="1"/>
                <w:color w:val="auto"/>
              </w:rPr>
              <w:t>Annualized</w:t>
            </w:r>
          </w:p>
        </w:tc>
        <w:tc>
          <w:tcPr>
            <w:tcW w:w="1480" w:type="dxa"/>
            <w:vAlign w:val="bottom"/>
            <w:gridSpan w:val="2"/>
          </w:tcPr>
          <w:p>
            <w:pPr>
              <w:jc w:val="center"/>
              <w:ind w:right="520"/>
              <w:spacing w:after="0" w:line="144" w:lineRule="exact"/>
              <w:rPr>
                <w:sz w:val="20"/>
                <w:szCs w:val="20"/>
                <w:color w:val="auto"/>
              </w:rPr>
            </w:pPr>
            <w:r>
              <w:rPr>
                <w:rFonts w:ascii="Arial" w:cs="Arial" w:eastAsia="Arial" w:hAnsi="Arial"/>
                <w:sz w:val="13"/>
                <w:szCs w:val="13"/>
                <w:b w:val="1"/>
                <w:bCs w:val="1"/>
                <w:color w:val="auto"/>
                <w:w w:val="92"/>
              </w:rPr>
              <w:t>Total Annualized</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gridSpan w:val="2"/>
          </w:tcPr>
          <w:p>
            <w:pPr>
              <w:jc w:val="right"/>
              <w:ind w:right="540"/>
              <w:spacing w:after="0" w:line="144" w:lineRule="exact"/>
              <w:rPr>
                <w:sz w:val="20"/>
                <w:szCs w:val="20"/>
                <w:color w:val="auto"/>
              </w:rPr>
            </w:pPr>
            <w:r>
              <w:rPr>
                <w:rFonts w:ascii="Arial" w:cs="Arial" w:eastAsia="Arial" w:hAnsi="Arial"/>
                <w:sz w:val="13"/>
                <w:szCs w:val="13"/>
                <w:b w:val="1"/>
                <w:bCs w:val="1"/>
                <w:color w:val="auto"/>
                <w:w w:val="88"/>
              </w:rPr>
              <w:t>Percentage of</w:t>
            </w:r>
          </w:p>
        </w:tc>
        <w:tc>
          <w:tcPr>
            <w:tcW w:w="7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8"/>
              </w:rPr>
              <w:t>Stores</w:t>
            </w:r>
          </w:p>
        </w:tc>
        <w:tc>
          <w:tcPr>
            <w:tcW w:w="0" w:type="dxa"/>
            <w:vAlign w:val="bottom"/>
          </w:tcPr>
          <w:p>
            <w:pPr>
              <w:spacing w:after="0"/>
              <w:rPr>
                <w:sz w:val="1"/>
                <w:szCs w:val="1"/>
                <w:color w:val="auto"/>
              </w:rPr>
            </w:pPr>
          </w:p>
        </w:tc>
      </w:tr>
      <w:tr>
        <w:trPr>
          <w:trHeight w:val="157"/>
        </w:trPr>
        <w:tc>
          <w:tcPr>
            <w:tcW w:w="320" w:type="dxa"/>
            <w:vAlign w:val="bottom"/>
            <w:gridSpan w:val="2"/>
          </w:tcPr>
          <w:p>
            <w:pPr>
              <w:spacing w:after="0"/>
              <w:rPr>
                <w:sz w:val="20"/>
                <w:szCs w:val="20"/>
                <w:color w:val="auto"/>
              </w:rPr>
            </w:pPr>
            <w:r>
              <w:rPr>
                <w:rFonts w:ascii="Arial" w:cs="Arial" w:eastAsia="Arial" w:hAnsi="Arial"/>
                <w:sz w:val="13"/>
                <w:szCs w:val="13"/>
                <w:b w:val="1"/>
                <w:bCs w:val="1"/>
                <w:color w:val="auto"/>
                <w:w w:val="94"/>
              </w:rPr>
              <w:t>Rank</w:t>
            </w:r>
          </w:p>
        </w:tc>
        <w:tc>
          <w:tcPr>
            <w:tcW w:w="434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rPr>
              <w:t>Base Rent</w:t>
            </w:r>
          </w:p>
        </w:tc>
        <w:tc>
          <w:tcPr>
            <w:tcW w:w="148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1"/>
              </w:rPr>
              <w:t>Base Rent (4)</w:t>
            </w:r>
          </w:p>
        </w:tc>
        <w:tc>
          <w:tcPr>
            <w:tcW w:w="1400" w:type="dxa"/>
            <w:vAlign w:val="bottom"/>
            <w:gridSpan w:val="2"/>
          </w:tcPr>
          <w:p>
            <w:pPr>
              <w:ind w:left="60"/>
              <w:spacing w:after="0"/>
              <w:rPr>
                <w:sz w:val="20"/>
                <w:szCs w:val="20"/>
                <w:color w:val="auto"/>
              </w:rPr>
            </w:pPr>
            <w:r>
              <w:rPr>
                <w:rFonts w:ascii="Arial" w:cs="Arial" w:eastAsia="Arial" w:hAnsi="Arial"/>
                <w:sz w:val="13"/>
                <w:szCs w:val="13"/>
                <w:b w:val="1"/>
                <w:bCs w:val="1"/>
                <w:color w:val="auto"/>
              </w:rPr>
              <w:t>Tenant GLA</w:t>
            </w:r>
          </w:p>
        </w:tc>
        <w:tc>
          <w:tcPr>
            <w:tcW w:w="13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w w:val="93"/>
              </w:rPr>
              <w:t>Total GLA (4)</w:t>
            </w: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Leased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Bed, Bath &amp; Beyond, Inc.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10,121,000</w:t>
            </w:r>
          </w:p>
        </w:tc>
        <w:tc>
          <w:tcPr>
            <w:tcW w:w="5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2.61%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658,000</w:t>
            </w:r>
          </w:p>
        </w:tc>
        <w:tc>
          <w:tcPr>
            <w:tcW w:w="5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3.60%</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2</w:t>
            </w:r>
          </w:p>
        </w:tc>
        <w:tc>
          <w:tcPr>
            <w:tcW w:w="4340" w:type="dxa"/>
            <w:vAlign w:val="bottom"/>
            <w:gridSpan w:val="3"/>
          </w:tcPr>
          <w:p>
            <w:pPr>
              <w:ind w:left="320"/>
              <w:spacing w:after="0"/>
              <w:rPr>
                <w:sz w:val="20"/>
                <w:szCs w:val="20"/>
                <w:color w:val="auto"/>
              </w:rPr>
            </w:pPr>
            <w:r>
              <w:rPr>
                <w:rFonts w:ascii="Arial" w:cs="Arial" w:eastAsia="Arial" w:hAnsi="Arial"/>
                <w:sz w:val="17"/>
                <w:szCs w:val="17"/>
                <w:color w:val="auto"/>
              </w:rPr>
              <w:t>Ahold USA, Inc.</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9,642,000</w:t>
            </w:r>
          </w:p>
        </w:tc>
        <w:tc>
          <w:tcPr>
            <w:tcW w:w="58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2.49%</w:t>
            </w:r>
          </w:p>
        </w:tc>
        <w:tc>
          <w:tcPr>
            <w:tcW w:w="820" w:type="dxa"/>
            <w:vAlign w:val="bottom"/>
          </w:tcPr>
          <w:p>
            <w:pPr>
              <w:jc w:val="right"/>
              <w:spacing w:after="0"/>
              <w:rPr>
                <w:sz w:val="20"/>
                <w:szCs w:val="20"/>
                <w:color w:val="auto"/>
              </w:rPr>
            </w:pPr>
            <w:r>
              <w:rPr>
                <w:rFonts w:ascii="Arial" w:cs="Arial" w:eastAsia="Arial" w:hAnsi="Arial"/>
                <w:sz w:val="17"/>
                <w:szCs w:val="17"/>
                <w:color w:val="auto"/>
              </w:rPr>
              <w:t>645,000</w:t>
            </w:r>
          </w:p>
        </w:tc>
        <w:tc>
          <w:tcPr>
            <w:tcW w:w="5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7"/>
                <w:szCs w:val="17"/>
                <w:color w:val="auto"/>
              </w:rPr>
              <w:t>3.53%</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3</w:t>
            </w:r>
          </w:p>
        </w:tc>
        <w:tc>
          <w:tcPr>
            <w:tcW w:w="43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TJX Companies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8,026,000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2.07%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570,000</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3.12%</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4</w:t>
            </w:r>
          </w:p>
        </w:tc>
        <w:tc>
          <w:tcPr>
            <w:tcW w:w="4340" w:type="dxa"/>
            <w:vAlign w:val="bottom"/>
            <w:gridSpan w:val="3"/>
          </w:tcPr>
          <w:p>
            <w:pPr>
              <w:ind w:left="320"/>
              <w:spacing w:after="0"/>
              <w:rPr>
                <w:sz w:val="20"/>
                <w:szCs w:val="20"/>
                <w:color w:val="auto"/>
              </w:rPr>
            </w:pPr>
            <w:r>
              <w:rPr>
                <w:rFonts w:ascii="Arial" w:cs="Arial" w:eastAsia="Arial" w:hAnsi="Arial"/>
                <w:sz w:val="17"/>
                <w:szCs w:val="17"/>
                <w:color w:val="auto"/>
              </w:rPr>
              <w:t>Gap, Inc.</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6,737,000</w:t>
            </w:r>
          </w:p>
        </w:tc>
        <w:tc>
          <w:tcPr>
            <w:tcW w:w="58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1.74%</w:t>
            </w:r>
          </w:p>
        </w:tc>
        <w:tc>
          <w:tcPr>
            <w:tcW w:w="820" w:type="dxa"/>
            <w:vAlign w:val="bottom"/>
          </w:tcPr>
          <w:p>
            <w:pPr>
              <w:jc w:val="right"/>
              <w:spacing w:after="0"/>
              <w:rPr>
                <w:sz w:val="20"/>
                <w:szCs w:val="20"/>
                <w:color w:val="auto"/>
              </w:rPr>
            </w:pPr>
            <w:r>
              <w:rPr>
                <w:rFonts w:ascii="Arial" w:cs="Arial" w:eastAsia="Arial" w:hAnsi="Arial"/>
                <w:sz w:val="17"/>
                <w:szCs w:val="17"/>
                <w:color w:val="auto"/>
              </w:rPr>
              <w:t>220,000</w:t>
            </w:r>
          </w:p>
        </w:tc>
        <w:tc>
          <w:tcPr>
            <w:tcW w:w="5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7"/>
                <w:szCs w:val="17"/>
                <w:color w:val="auto"/>
              </w:rPr>
              <w:t>1.20%</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5</w:t>
            </w:r>
          </w:p>
        </w:tc>
        <w:tc>
          <w:tcPr>
            <w:tcW w:w="43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CVS Corporation</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6,357,000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1.64%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205,000</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1.12%</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6</w:t>
            </w:r>
          </w:p>
        </w:tc>
        <w:tc>
          <w:tcPr>
            <w:tcW w:w="4340" w:type="dxa"/>
            <w:vAlign w:val="bottom"/>
            <w:gridSpan w:val="3"/>
          </w:tcPr>
          <w:p>
            <w:pPr>
              <w:ind w:left="320"/>
              <w:spacing w:after="0"/>
              <w:rPr>
                <w:sz w:val="20"/>
                <w:szCs w:val="20"/>
                <w:color w:val="auto"/>
              </w:rPr>
            </w:pPr>
            <w:r>
              <w:rPr>
                <w:rFonts w:ascii="Arial" w:cs="Arial" w:eastAsia="Arial" w:hAnsi="Arial"/>
                <w:sz w:val="17"/>
                <w:szCs w:val="17"/>
                <w:color w:val="auto"/>
              </w:rPr>
              <w:t>Safeway, Inc.</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6,207,000</w:t>
            </w:r>
          </w:p>
        </w:tc>
        <w:tc>
          <w:tcPr>
            <w:tcW w:w="58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1.60%</w:t>
            </w:r>
          </w:p>
        </w:tc>
        <w:tc>
          <w:tcPr>
            <w:tcW w:w="820" w:type="dxa"/>
            <w:vAlign w:val="bottom"/>
          </w:tcPr>
          <w:p>
            <w:pPr>
              <w:jc w:val="right"/>
              <w:spacing w:after="0"/>
              <w:rPr>
                <w:sz w:val="20"/>
                <w:szCs w:val="20"/>
                <w:color w:val="auto"/>
              </w:rPr>
            </w:pPr>
            <w:r>
              <w:rPr>
                <w:rFonts w:ascii="Arial" w:cs="Arial" w:eastAsia="Arial" w:hAnsi="Arial"/>
                <w:sz w:val="17"/>
                <w:szCs w:val="17"/>
                <w:color w:val="auto"/>
              </w:rPr>
              <w:t>428,000</w:t>
            </w:r>
          </w:p>
        </w:tc>
        <w:tc>
          <w:tcPr>
            <w:tcW w:w="5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7"/>
                <w:szCs w:val="17"/>
                <w:color w:val="auto"/>
              </w:rPr>
              <w:t>2.34%</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7</w:t>
            </w:r>
          </w:p>
        </w:tc>
        <w:tc>
          <w:tcPr>
            <w:tcW w:w="43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Barnes &amp; Noble, Inc.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5,370,000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1.39%</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230,000</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1.26%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8</w:t>
            </w:r>
          </w:p>
        </w:tc>
        <w:tc>
          <w:tcPr>
            <w:tcW w:w="4340" w:type="dxa"/>
            <w:vAlign w:val="bottom"/>
            <w:gridSpan w:val="3"/>
          </w:tcPr>
          <w:p>
            <w:pPr>
              <w:ind w:left="320"/>
              <w:spacing w:after="0"/>
              <w:rPr>
                <w:sz w:val="20"/>
                <w:szCs w:val="20"/>
                <w:color w:val="auto"/>
              </w:rPr>
            </w:pPr>
            <w:r>
              <w:rPr>
                <w:rFonts w:ascii="Arial" w:cs="Arial" w:eastAsia="Arial" w:hAnsi="Arial"/>
                <w:sz w:val="17"/>
                <w:szCs w:val="17"/>
                <w:color w:val="auto"/>
              </w:rPr>
              <w:t>L.A. Fitness International LLC</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4,283,000</w:t>
            </w:r>
          </w:p>
        </w:tc>
        <w:tc>
          <w:tcPr>
            <w:tcW w:w="58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1.10%</w:t>
            </w:r>
          </w:p>
        </w:tc>
        <w:tc>
          <w:tcPr>
            <w:tcW w:w="820" w:type="dxa"/>
            <w:vAlign w:val="bottom"/>
          </w:tcPr>
          <w:p>
            <w:pPr>
              <w:jc w:val="right"/>
              <w:spacing w:after="0"/>
              <w:rPr>
                <w:sz w:val="20"/>
                <w:szCs w:val="20"/>
                <w:color w:val="auto"/>
              </w:rPr>
            </w:pPr>
            <w:r>
              <w:rPr>
                <w:rFonts w:ascii="Arial" w:cs="Arial" w:eastAsia="Arial" w:hAnsi="Arial"/>
                <w:sz w:val="17"/>
                <w:szCs w:val="17"/>
                <w:color w:val="auto"/>
              </w:rPr>
              <w:t>222,000</w:t>
            </w:r>
          </w:p>
        </w:tc>
        <w:tc>
          <w:tcPr>
            <w:tcW w:w="5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7"/>
                <w:szCs w:val="17"/>
                <w:color w:val="auto"/>
              </w:rPr>
              <w:t>1.21%</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9</w:t>
            </w:r>
          </w:p>
        </w:tc>
        <w:tc>
          <w:tcPr>
            <w:tcW w:w="43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OPNET Technologies, Inc.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3,866,000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1.00%</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83,000</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0.45%</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10</w:t>
            </w:r>
          </w:p>
        </w:tc>
        <w:tc>
          <w:tcPr>
            <w:tcW w:w="4340" w:type="dxa"/>
            <w:vAlign w:val="bottom"/>
            <w:gridSpan w:val="3"/>
          </w:tcPr>
          <w:p>
            <w:pPr>
              <w:ind w:left="320"/>
              <w:spacing w:after="0"/>
              <w:rPr>
                <w:sz w:val="20"/>
                <w:szCs w:val="20"/>
                <w:color w:val="auto"/>
              </w:rPr>
            </w:pPr>
            <w:r>
              <w:rPr>
                <w:rFonts w:ascii="Arial" w:cs="Arial" w:eastAsia="Arial" w:hAnsi="Arial"/>
                <w:sz w:val="17"/>
                <w:szCs w:val="17"/>
                <w:color w:val="auto"/>
              </w:rPr>
              <w:t>Best Buy Stores, L.P.</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3,502,000</w:t>
            </w:r>
          </w:p>
        </w:tc>
        <w:tc>
          <w:tcPr>
            <w:tcW w:w="58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0.90%</w:t>
            </w:r>
          </w:p>
        </w:tc>
        <w:tc>
          <w:tcPr>
            <w:tcW w:w="820" w:type="dxa"/>
            <w:vAlign w:val="bottom"/>
          </w:tcPr>
          <w:p>
            <w:pPr>
              <w:jc w:val="right"/>
              <w:spacing w:after="0"/>
              <w:rPr>
                <w:sz w:val="20"/>
                <w:szCs w:val="20"/>
                <w:color w:val="auto"/>
              </w:rPr>
            </w:pPr>
            <w:r>
              <w:rPr>
                <w:rFonts w:ascii="Arial" w:cs="Arial" w:eastAsia="Arial" w:hAnsi="Arial"/>
                <w:sz w:val="17"/>
                <w:szCs w:val="17"/>
                <w:color w:val="auto"/>
              </w:rPr>
              <w:t>99,000</w:t>
            </w:r>
          </w:p>
        </w:tc>
        <w:tc>
          <w:tcPr>
            <w:tcW w:w="5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7"/>
                <w:szCs w:val="17"/>
                <w:color w:val="auto"/>
              </w:rPr>
              <w:t>0.54%</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11</w:t>
            </w:r>
          </w:p>
        </w:tc>
        <w:tc>
          <w:tcPr>
            <w:tcW w:w="43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Staples, Inc.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3,429,000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0.88%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187,000</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1.02%</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12</w:t>
            </w:r>
          </w:p>
        </w:tc>
        <w:tc>
          <w:tcPr>
            <w:tcW w:w="4340" w:type="dxa"/>
            <w:vAlign w:val="bottom"/>
            <w:gridSpan w:val="3"/>
          </w:tcPr>
          <w:p>
            <w:pPr>
              <w:ind w:left="320"/>
              <w:spacing w:after="0"/>
              <w:rPr>
                <w:sz w:val="20"/>
                <w:szCs w:val="20"/>
                <w:color w:val="auto"/>
              </w:rPr>
            </w:pPr>
            <w:r>
              <w:rPr>
                <w:rFonts w:ascii="Arial" w:cs="Arial" w:eastAsia="Arial" w:hAnsi="Arial"/>
                <w:sz w:val="17"/>
                <w:szCs w:val="17"/>
                <w:color w:val="auto"/>
              </w:rPr>
              <w:t>DSW, Inc</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3,294,000</w:t>
            </w:r>
          </w:p>
        </w:tc>
        <w:tc>
          <w:tcPr>
            <w:tcW w:w="58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0.85%</w:t>
            </w:r>
          </w:p>
        </w:tc>
        <w:tc>
          <w:tcPr>
            <w:tcW w:w="820" w:type="dxa"/>
            <w:vAlign w:val="bottom"/>
          </w:tcPr>
          <w:p>
            <w:pPr>
              <w:jc w:val="right"/>
              <w:spacing w:after="0"/>
              <w:rPr>
                <w:sz w:val="20"/>
                <w:szCs w:val="20"/>
                <w:color w:val="auto"/>
              </w:rPr>
            </w:pPr>
            <w:r>
              <w:rPr>
                <w:rFonts w:ascii="Arial" w:cs="Arial" w:eastAsia="Arial" w:hAnsi="Arial"/>
                <w:sz w:val="17"/>
                <w:szCs w:val="17"/>
                <w:color w:val="auto"/>
              </w:rPr>
              <w:t>125,000</w:t>
            </w:r>
          </w:p>
        </w:tc>
        <w:tc>
          <w:tcPr>
            <w:tcW w:w="5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7"/>
                <w:szCs w:val="17"/>
                <w:color w:val="auto"/>
              </w:rPr>
              <w:t>0.68%</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13</w:t>
            </w:r>
          </w:p>
        </w:tc>
        <w:tc>
          <w:tcPr>
            <w:tcW w:w="43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Supervalu Inc. (Acme/Sav-A-Lot/Star Mkt/Shoppers</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Food)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3,290,000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0.85%</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338,000</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1.85%</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14</w:t>
            </w:r>
          </w:p>
        </w:tc>
        <w:tc>
          <w:tcPr>
            <w:tcW w:w="4340" w:type="dxa"/>
            <w:vAlign w:val="bottom"/>
            <w:gridSpan w:val="3"/>
          </w:tcPr>
          <w:p>
            <w:pPr>
              <w:ind w:left="320"/>
              <w:spacing w:after="0"/>
              <w:rPr>
                <w:sz w:val="20"/>
                <w:szCs w:val="20"/>
                <w:color w:val="auto"/>
              </w:rPr>
            </w:pPr>
            <w:r>
              <w:rPr>
                <w:rFonts w:ascii="Arial" w:cs="Arial" w:eastAsia="Arial" w:hAnsi="Arial"/>
                <w:sz w:val="17"/>
                <w:szCs w:val="17"/>
                <w:color w:val="auto"/>
                <w:w w:val="93"/>
              </w:rPr>
              <w:t>Wells Fargo Bank, N.A. (includes Wachovia Corporation)</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3,267,000</w:t>
            </w:r>
          </w:p>
        </w:tc>
        <w:tc>
          <w:tcPr>
            <w:tcW w:w="58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0.84%</w:t>
            </w:r>
          </w:p>
        </w:tc>
        <w:tc>
          <w:tcPr>
            <w:tcW w:w="820" w:type="dxa"/>
            <w:vAlign w:val="bottom"/>
          </w:tcPr>
          <w:p>
            <w:pPr>
              <w:jc w:val="right"/>
              <w:spacing w:after="0"/>
              <w:rPr>
                <w:sz w:val="20"/>
                <w:szCs w:val="20"/>
                <w:color w:val="auto"/>
              </w:rPr>
            </w:pPr>
            <w:r>
              <w:rPr>
                <w:rFonts w:ascii="Arial" w:cs="Arial" w:eastAsia="Arial" w:hAnsi="Arial"/>
                <w:sz w:val="17"/>
                <w:szCs w:val="17"/>
                <w:color w:val="auto"/>
              </w:rPr>
              <w:t>68,000</w:t>
            </w:r>
          </w:p>
        </w:tc>
        <w:tc>
          <w:tcPr>
            <w:tcW w:w="5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7"/>
                <w:szCs w:val="17"/>
                <w:color w:val="auto"/>
              </w:rPr>
              <w:t>0.37%</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15</w:t>
            </w:r>
          </w:p>
        </w:tc>
        <w:tc>
          <w:tcPr>
            <w:tcW w:w="43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Bank of America, N.A.</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3,102,000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0.80%</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68,000</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0.37%</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16</w:t>
            </w:r>
          </w:p>
        </w:tc>
        <w:tc>
          <w:tcPr>
            <w:tcW w:w="4340" w:type="dxa"/>
            <w:vAlign w:val="bottom"/>
            <w:gridSpan w:val="3"/>
          </w:tcPr>
          <w:p>
            <w:pPr>
              <w:ind w:left="320"/>
              <w:spacing w:after="0"/>
              <w:rPr>
                <w:sz w:val="20"/>
                <w:szCs w:val="20"/>
                <w:color w:val="auto"/>
              </w:rPr>
            </w:pPr>
            <w:r>
              <w:rPr>
                <w:rFonts w:ascii="Arial" w:cs="Arial" w:eastAsia="Arial" w:hAnsi="Arial"/>
                <w:sz w:val="17"/>
                <w:szCs w:val="17"/>
                <w:color w:val="auto"/>
              </w:rPr>
              <w:t>Ross Stores, Inc.</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2,842,000</w:t>
            </w:r>
          </w:p>
        </w:tc>
        <w:tc>
          <w:tcPr>
            <w:tcW w:w="58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0.73%</w:t>
            </w:r>
          </w:p>
        </w:tc>
        <w:tc>
          <w:tcPr>
            <w:tcW w:w="820" w:type="dxa"/>
            <w:vAlign w:val="bottom"/>
          </w:tcPr>
          <w:p>
            <w:pPr>
              <w:jc w:val="right"/>
              <w:spacing w:after="0"/>
              <w:rPr>
                <w:sz w:val="20"/>
                <w:szCs w:val="20"/>
                <w:color w:val="auto"/>
              </w:rPr>
            </w:pPr>
            <w:r>
              <w:rPr>
                <w:rFonts w:ascii="Arial" w:cs="Arial" w:eastAsia="Arial" w:hAnsi="Arial"/>
                <w:sz w:val="17"/>
                <w:szCs w:val="17"/>
                <w:color w:val="auto"/>
              </w:rPr>
              <w:t>148,000</w:t>
            </w:r>
          </w:p>
        </w:tc>
        <w:tc>
          <w:tcPr>
            <w:tcW w:w="5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7"/>
                <w:szCs w:val="17"/>
                <w:color w:val="auto"/>
              </w:rPr>
              <w:t>0.81%</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17</w:t>
            </w:r>
          </w:p>
        </w:tc>
        <w:tc>
          <w:tcPr>
            <w:tcW w:w="43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Home Depot, Inc.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2,832,000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0.73%</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335,000</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1.83%</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18</w:t>
            </w:r>
          </w:p>
        </w:tc>
        <w:tc>
          <w:tcPr>
            <w:tcW w:w="4340" w:type="dxa"/>
            <w:vAlign w:val="bottom"/>
            <w:gridSpan w:val="3"/>
          </w:tcPr>
          <w:p>
            <w:pPr>
              <w:ind w:left="320"/>
              <w:spacing w:after="0"/>
              <w:rPr>
                <w:sz w:val="20"/>
                <w:szCs w:val="20"/>
                <w:color w:val="auto"/>
              </w:rPr>
            </w:pPr>
            <w:r>
              <w:rPr>
                <w:rFonts w:ascii="Arial" w:cs="Arial" w:eastAsia="Arial" w:hAnsi="Arial"/>
                <w:sz w:val="17"/>
                <w:szCs w:val="17"/>
                <w:color w:val="auto"/>
              </w:rPr>
              <w:t>Kohl’s Corporation</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2,793,000</w:t>
            </w:r>
          </w:p>
        </w:tc>
        <w:tc>
          <w:tcPr>
            <w:tcW w:w="58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0.72%</w:t>
            </w:r>
          </w:p>
        </w:tc>
        <w:tc>
          <w:tcPr>
            <w:tcW w:w="820" w:type="dxa"/>
            <w:vAlign w:val="bottom"/>
          </w:tcPr>
          <w:p>
            <w:pPr>
              <w:jc w:val="right"/>
              <w:spacing w:after="0"/>
              <w:rPr>
                <w:sz w:val="20"/>
                <w:szCs w:val="20"/>
                <w:color w:val="auto"/>
              </w:rPr>
            </w:pPr>
            <w:r>
              <w:rPr>
                <w:rFonts w:ascii="Arial" w:cs="Arial" w:eastAsia="Arial" w:hAnsi="Arial"/>
                <w:sz w:val="17"/>
                <w:szCs w:val="17"/>
                <w:color w:val="auto"/>
              </w:rPr>
              <w:t>322,000</w:t>
            </w:r>
          </w:p>
        </w:tc>
        <w:tc>
          <w:tcPr>
            <w:tcW w:w="5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7"/>
                <w:szCs w:val="17"/>
                <w:color w:val="auto"/>
              </w:rPr>
              <w:t>1.76%</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19</w:t>
            </w:r>
          </w:p>
        </w:tc>
        <w:tc>
          <w:tcPr>
            <w:tcW w:w="43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Wakefern Food Corporation</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2,783,000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0.72%</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136,000</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0.74%</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20</w:t>
            </w:r>
          </w:p>
        </w:tc>
        <w:tc>
          <w:tcPr>
            <w:tcW w:w="4340" w:type="dxa"/>
            <w:vAlign w:val="bottom"/>
            <w:gridSpan w:val="3"/>
          </w:tcPr>
          <w:p>
            <w:pPr>
              <w:ind w:left="320"/>
              <w:spacing w:after="0"/>
              <w:rPr>
                <w:sz w:val="20"/>
                <w:szCs w:val="20"/>
                <w:color w:val="auto"/>
              </w:rPr>
            </w:pPr>
            <w:r>
              <w:rPr>
                <w:rFonts w:ascii="Arial" w:cs="Arial" w:eastAsia="Arial" w:hAnsi="Arial"/>
                <w:sz w:val="17"/>
                <w:szCs w:val="17"/>
                <w:color w:val="auto"/>
              </w:rPr>
              <w:t>Bally Total Fitness Corporation</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2,618,000</w:t>
            </w:r>
          </w:p>
        </w:tc>
        <w:tc>
          <w:tcPr>
            <w:tcW w:w="58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0.68%</w:t>
            </w:r>
          </w:p>
        </w:tc>
        <w:tc>
          <w:tcPr>
            <w:tcW w:w="820" w:type="dxa"/>
            <w:vAlign w:val="bottom"/>
          </w:tcPr>
          <w:p>
            <w:pPr>
              <w:jc w:val="right"/>
              <w:spacing w:after="0"/>
              <w:rPr>
                <w:sz w:val="20"/>
                <w:szCs w:val="20"/>
                <w:color w:val="auto"/>
              </w:rPr>
            </w:pPr>
            <w:r>
              <w:rPr>
                <w:rFonts w:ascii="Arial" w:cs="Arial" w:eastAsia="Arial" w:hAnsi="Arial"/>
                <w:sz w:val="17"/>
                <w:szCs w:val="17"/>
                <w:color w:val="auto"/>
              </w:rPr>
              <w:t>156,000</w:t>
            </w:r>
          </w:p>
        </w:tc>
        <w:tc>
          <w:tcPr>
            <w:tcW w:w="5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7"/>
                <w:szCs w:val="17"/>
                <w:color w:val="auto"/>
              </w:rPr>
              <w:t>0.85%</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21</w:t>
            </w:r>
          </w:p>
        </w:tc>
        <w:tc>
          <w:tcPr>
            <w:tcW w:w="43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Container Store, Inc.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2,544,000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0.66%</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52,000</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0.28%</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22</w:t>
            </w:r>
          </w:p>
        </w:tc>
        <w:tc>
          <w:tcPr>
            <w:tcW w:w="4340" w:type="dxa"/>
            <w:vAlign w:val="bottom"/>
            <w:gridSpan w:val="3"/>
          </w:tcPr>
          <w:p>
            <w:pPr>
              <w:ind w:left="320"/>
              <w:spacing w:after="0"/>
              <w:rPr>
                <w:sz w:val="20"/>
                <w:szCs w:val="20"/>
                <w:color w:val="auto"/>
              </w:rPr>
            </w:pPr>
            <w:r>
              <w:rPr>
                <w:rFonts w:ascii="Arial" w:cs="Arial" w:eastAsia="Arial" w:hAnsi="Arial"/>
                <w:sz w:val="17"/>
                <w:szCs w:val="17"/>
                <w:color w:val="auto"/>
              </w:rPr>
              <w:t>A.C. Moore, Inc.</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2,483,000</w:t>
            </w:r>
          </w:p>
        </w:tc>
        <w:tc>
          <w:tcPr>
            <w:tcW w:w="58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0.64%</w:t>
            </w:r>
          </w:p>
        </w:tc>
        <w:tc>
          <w:tcPr>
            <w:tcW w:w="820" w:type="dxa"/>
            <w:vAlign w:val="bottom"/>
          </w:tcPr>
          <w:p>
            <w:pPr>
              <w:jc w:val="right"/>
              <w:spacing w:after="0"/>
              <w:rPr>
                <w:sz w:val="20"/>
                <w:szCs w:val="20"/>
                <w:color w:val="auto"/>
              </w:rPr>
            </w:pPr>
            <w:r>
              <w:rPr>
                <w:rFonts w:ascii="Arial" w:cs="Arial" w:eastAsia="Arial" w:hAnsi="Arial"/>
                <w:sz w:val="17"/>
                <w:szCs w:val="17"/>
                <w:color w:val="auto"/>
              </w:rPr>
              <w:t>141,000</w:t>
            </w:r>
          </w:p>
        </w:tc>
        <w:tc>
          <w:tcPr>
            <w:tcW w:w="5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7"/>
                <w:szCs w:val="17"/>
                <w:color w:val="auto"/>
              </w:rPr>
              <w:t>0.77%</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23</w:t>
            </w:r>
          </w:p>
        </w:tc>
        <w:tc>
          <w:tcPr>
            <w:tcW w:w="43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Dollar Tree Stores, Inc.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0.61%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158,000</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0.86%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24</w:t>
            </w:r>
          </w:p>
        </w:tc>
        <w:tc>
          <w:tcPr>
            <w:tcW w:w="4340" w:type="dxa"/>
            <w:vAlign w:val="bottom"/>
            <w:gridSpan w:val="3"/>
          </w:tcPr>
          <w:p>
            <w:pPr>
              <w:ind w:left="320"/>
              <w:spacing w:after="0"/>
              <w:rPr>
                <w:sz w:val="20"/>
                <w:szCs w:val="20"/>
                <w:color w:val="auto"/>
              </w:rPr>
            </w:pPr>
            <w:r>
              <w:rPr>
                <w:rFonts w:ascii="Arial" w:cs="Arial" w:eastAsia="Arial" w:hAnsi="Arial"/>
                <w:sz w:val="17"/>
                <w:szCs w:val="17"/>
                <w:color w:val="auto"/>
              </w:rPr>
              <w:t>PETsMART, Inc.</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2,380,000</w:t>
            </w:r>
          </w:p>
        </w:tc>
        <w:tc>
          <w:tcPr>
            <w:tcW w:w="58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0.61%</w:t>
            </w:r>
          </w:p>
        </w:tc>
        <w:tc>
          <w:tcPr>
            <w:tcW w:w="820" w:type="dxa"/>
            <w:vAlign w:val="bottom"/>
          </w:tcPr>
          <w:p>
            <w:pPr>
              <w:jc w:val="right"/>
              <w:spacing w:after="0"/>
              <w:rPr>
                <w:sz w:val="20"/>
                <w:szCs w:val="20"/>
                <w:color w:val="auto"/>
              </w:rPr>
            </w:pPr>
            <w:r>
              <w:rPr>
                <w:rFonts w:ascii="Arial" w:cs="Arial" w:eastAsia="Arial" w:hAnsi="Arial"/>
                <w:sz w:val="17"/>
                <w:szCs w:val="17"/>
                <w:color w:val="auto"/>
              </w:rPr>
              <w:t>130,000</w:t>
            </w:r>
          </w:p>
        </w:tc>
        <w:tc>
          <w:tcPr>
            <w:tcW w:w="5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7"/>
                <w:szCs w:val="17"/>
                <w:color w:val="auto"/>
              </w:rPr>
              <w:t>0.71%</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25</w:t>
            </w:r>
          </w:p>
        </w:tc>
        <w:tc>
          <w:tcPr>
            <w:tcW w:w="43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Dress Barn, Inc.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2,379,000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0.61%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103,000</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0.56%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40" w:type="dxa"/>
            <w:vAlign w:val="bottom"/>
            <w:gridSpan w:val="3"/>
            <w:vMerge w:val="restart"/>
          </w:tcPr>
          <w:p>
            <w:pPr>
              <w:ind w:left="320"/>
              <w:spacing w:after="0"/>
              <w:rPr>
                <w:sz w:val="20"/>
                <w:szCs w:val="20"/>
                <w:color w:val="auto"/>
              </w:rPr>
            </w:pPr>
            <w:r>
              <w:rPr>
                <w:rFonts w:ascii="Arial" w:cs="Arial" w:eastAsia="Arial" w:hAnsi="Arial"/>
                <w:sz w:val="17"/>
                <w:szCs w:val="17"/>
                <w:color w:val="auto"/>
              </w:rPr>
              <w:t>Totals - Top 25 Tenants</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40" w:type="dxa"/>
            <w:vAlign w:val="bottom"/>
            <w:gridSpan w:val="3"/>
            <w:vMerge w:val="continue"/>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106,527,000</w:t>
            </w:r>
          </w:p>
        </w:tc>
        <w:tc>
          <w:tcPr>
            <w:tcW w:w="58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27.47%</w:t>
            </w:r>
          </w:p>
        </w:tc>
        <w:tc>
          <w:tcPr>
            <w:tcW w:w="820" w:type="dxa"/>
            <w:vAlign w:val="bottom"/>
          </w:tcPr>
          <w:p>
            <w:pPr>
              <w:jc w:val="right"/>
              <w:spacing w:after="0"/>
              <w:rPr>
                <w:sz w:val="20"/>
                <w:szCs w:val="20"/>
                <w:color w:val="auto"/>
              </w:rPr>
            </w:pPr>
            <w:r>
              <w:rPr>
                <w:rFonts w:ascii="Arial" w:cs="Arial" w:eastAsia="Arial" w:hAnsi="Arial"/>
                <w:sz w:val="17"/>
                <w:szCs w:val="17"/>
                <w:color w:val="auto"/>
              </w:rPr>
              <w:t>5,827,000</w:t>
            </w:r>
          </w:p>
        </w:tc>
        <w:tc>
          <w:tcPr>
            <w:tcW w:w="5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7"/>
                <w:szCs w:val="17"/>
                <w:color w:val="auto"/>
              </w:rPr>
              <w:t>31.83%</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3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Total: (1)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0"/>
              </w:rPr>
              <w:t>387,673,000(2)</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18,286,000(3)</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2,417</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58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60" w:hanging="455"/>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Does not include amounts related to leases these tenants have with our partnership with a discretionary fund created and advised by ING Clarion Partners.</w:t>
      </w:r>
    </w:p>
    <w:p>
      <w:pPr>
        <w:spacing w:after="0" w:line="25" w:lineRule="exact"/>
        <w:rPr>
          <w:rFonts w:ascii="Arial" w:cs="Arial" w:eastAsia="Arial" w:hAnsi="Arial"/>
          <w:sz w:val="16"/>
          <w:szCs w:val="16"/>
          <w:color w:val="auto"/>
        </w:rPr>
      </w:pPr>
    </w:p>
    <w:p>
      <w:pPr>
        <w:ind w:left="460" w:hanging="455"/>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Reflects annual in-place contractual (cash-basis) rent as of December 31, 2010.</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Excludes redevelopment square footage not yet placed in service.</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Individual items may not add up to total due to rounding.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271"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Net Income to FFO Guidance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Funds from Operations available for common shareholders (FFO)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133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Net income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Net 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133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Gain on sale of real estate</w:t>
      </w:r>
    </w:p>
    <w:p>
      <w:pPr>
        <w:spacing w:after="0" w:line="14" w:lineRule="exact"/>
        <w:rPr>
          <w:sz w:val="20"/>
          <w:szCs w:val="20"/>
          <w:color w:val="auto"/>
        </w:rPr>
      </w:pPr>
    </w:p>
    <w:p>
      <w:pPr>
        <w:ind w:right="3800"/>
        <w:spacing w:after="0" w:line="269" w:lineRule="auto"/>
        <w:rPr>
          <w:sz w:val="20"/>
          <w:szCs w:val="20"/>
          <w:color w:val="auto"/>
        </w:rPr>
      </w:pPr>
      <w:r>
        <w:rPr>
          <w:rFonts w:ascii="Arial" w:cs="Arial" w:eastAsia="Arial" w:hAnsi="Arial"/>
          <w:sz w:val="17"/>
          <w:szCs w:val="17"/>
          <w:color w:val="auto"/>
        </w:rPr>
        <w:t>Depreciation and amortization of real estate &amp; joint venture real estate assets Amortization of initial direct costs of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-276225</wp:posOffset>
            </wp:positionV>
            <wp:extent cx="7250430" cy="133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Funds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50430" cy="133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Dividends on preferred shares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Income attributable to operating partnership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133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Income attributable to unvested shares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50430" cy="133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Weighted average number of common shares, diluted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FFO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50430" cy="133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133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wp:posOffset>
            </wp:positionV>
            <wp:extent cx="7245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60" w:hanging="455"/>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Individual items may not add up to total due to rounding.</w:t>
      </w:r>
    </w:p>
    <w:p>
      <w:pPr>
        <w:spacing w:after="0" w:line="152" w:lineRule="exact"/>
        <w:rPr>
          <w:sz w:val="20"/>
          <w:szCs w:val="20"/>
          <w:color w:val="auto"/>
        </w:rPr>
      </w:pPr>
    </w:p>
    <w:p>
      <w:pPr>
        <w:jc w:val="right"/>
        <w:ind w:right="3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2011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9906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9060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auto"/>
        </w:rPr>
        <w:t>(Dollars in millions except</w:t>
      </w:r>
    </w:p>
    <w:p>
      <w:pPr>
        <w:ind w:left="180"/>
        <w:spacing w:after="0"/>
        <w:rPr>
          <w:sz w:val="20"/>
          <w:szCs w:val="20"/>
          <w:color w:val="auto"/>
        </w:rPr>
      </w:pPr>
      <w:r>
        <w:rPr>
          <w:rFonts w:ascii="Arial" w:cs="Arial" w:eastAsia="Arial" w:hAnsi="Arial"/>
          <w:sz w:val="13"/>
          <w:szCs w:val="13"/>
          <w:color w:val="auto"/>
        </w:rPr>
        <w:t>per share amounts) (1)</w:t>
      </w:r>
    </w:p>
    <w:p>
      <w:pPr>
        <w:spacing w:after="0" w:line="195" w:lineRule="exact"/>
        <w:rPr>
          <w:sz w:val="20"/>
          <w:szCs w:val="20"/>
          <w:color w:val="auto"/>
        </w:rPr>
      </w:pPr>
    </w:p>
    <w:p>
      <w:pPr>
        <w:spacing w:after="0"/>
        <w:tabs>
          <w:tab w:leader="none" w:pos="280" w:val="left"/>
          <w:tab w:leader="none" w:pos="900" w:val="left"/>
          <w:tab w:leader="none" w:pos="1280" w:val="left"/>
        </w:tabs>
        <w:rPr>
          <w:sz w:val="20"/>
          <w:szCs w:val="20"/>
          <w:color w:val="auto"/>
        </w:rPr>
      </w:pPr>
      <w:r>
        <w:rPr>
          <w:rFonts w:ascii="Arial" w:cs="Arial" w:eastAsia="Arial" w:hAnsi="Arial"/>
          <w:sz w:val="17"/>
          <w:szCs w:val="17"/>
          <w:color w:val="auto"/>
        </w:rPr>
        <w:t>$</w:t>
        <w:tab/>
        <w:t>129</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134</w:t>
      </w:r>
    </w:p>
    <w:p>
      <w:pPr>
        <w:spacing w:after="0" w:line="20" w:lineRule="exact"/>
        <w:rPr>
          <w:sz w:val="20"/>
          <w:szCs w:val="20"/>
          <w:color w:val="auto"/>
        </w:rPr>
      </w:pPr>
    </w:p>
    <w:p>
      <w:pPr>
        <w:ind w:left="1420" w:hanging="1000"/>
        <w:spacing w:after="0"/>
        <w:tabs>
          <w:tab w:leader="none" w:pos="1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(5)</w:t>
      </w:r>
    </w:p>
    <w:p>
      <w:pPr>
        <w:spacing w:after="0" w:line="26" w:lineRule="exact"/>
        <w:rPr>
          <w:sz w:val="20"/>
          <w:szCs w:val="20"/>
          <w:color w:val="auto"/>
        </w:rPr>
      </w:pPr>
    </w:p>
    <w:p>
      <w:pPr>
        <w:ind w:left="1420" w:hanging="1000"/>
        <w:spacing w:after="0"/>
        <w:tabs>
          <w:tab w:leader="none" w:pos="1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(0)</w:t>
      </w:r>
    </w:p>
    <w:p>
      <w:pPr>
        <w:spacing w:after="0" w:line="2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620" w:type="dxa"/>
            <w:vAlign w:val="bottom"/>
          </w:tcPr>
          <w:p>
            <w:pPr>
              <w:jc w:val="right"/>
              <w:ind w:right="295"/>
              <w:spacing w:after="0"/>
              <w:rPr>
                <w:sz w:val="20"/>
                <w:szCs w:val="20"/>
                <w:color w:val="auto"/>
              </w:rPr>
            </w:pPr>
            <w:r>
              <w:rPr>
                <w:rFonts w:ascii="Arial" w:cs="Arial" w:eastAsia="Arial" w:hAnsi="Arial"/>
                <w:sz w:val="17"/>
                <w:szCs w:val="17"/>
                <w:color w:val="auto"/>
                <w:w w:val="77"/>
              </w:rPr>
              <w:t>112</w:t>
            </w:r>
          </w:p>
        </w:tc>
        <w:tc>
          <w:tcPr>
            <w:tcW w:w="62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216"/>
        </w:trPr>
        <w:tc>
          <w:tcPr>
            <w:tcW w:w="620" w:type="dxa"/>
            <w:vAlign w:val="bottom"/>
          </w:tcPr>
          <w:p>
            <w:pPr>
              <w:jc w:val="right"/>
              <w:ind w:right="295"/>
              <w:spacing w:after="0"/>
              <w:rPr>
                <w:sz w:val="20"/>
                <w:szCs w:val="20"/>
                <w:color w:val="auto"/>
              </w:rPr>
            </w:pPr>
            <w:r>
              <w:rPr>
                <w:rFonts w:ascii="Arial" w:cs="Arial" w:eastAsia="Arial" w:hAnsi="Arial"/>
                <w:sz w:val="17"/>
                <w:szCs w:val="17"/>
                <w:color w:val="auto"/>
              </w:rPr>
              <w:t>9</w:t>
            </w:r>
          </w:p>
        </w:tc>
        <w:tc>
          <w:tcPr>
            <w:tcW w:w="620" w:type="dxa"/>
            <w:vAlign w:val="bottom"/>
          </w:tcPr>
          <w:p>
            <w:pPr>
              <w:jc w:val="right"/>
              <w:spacing w:after="0"/>
              <w:rPr>
                <w:sz w:val="20"/>
                <w:szCs w:val="20"/>
                <w:color w:val="auto"/>
              </w:rPr>
            </w:pPr>
            <w:r>
              <w:rPr>
                <w:rFonts w:ascii="Arial" w:cs="Arial" w:eastAsia="Arial" w:hAnsi="Arial"/>
                <w:sz w:val="17"/>
                <w:szCs w:val="17"/>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9906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90600" cy="8255"/>
                    </a:xfrm>
                    <a:prstGeom prst="rect">
                      <a:avLst/>
                    </a:prstGeom>
                    <a:noFill/>
                  </pic:spPr>
                </pic:pic>
              </a:graphicData>
            </a:graphic>
          </wp:anchor>
        </w:drawing>
      </w:r>
    </w:p>
    <w:p>
      <w:pPr>
        <w:ind w:left="1300" w:hanging="994"/>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250</w:t>
      </w:r>
    </w:p>
    <w:p>
      <w:pPr>
        <w:spacing w:after="0" w:line="20" w:lineRule="exact"/>
        <w:rPr>
          <w:rFonts w:ascii="Arial" w:cs="Arial" w:eastAsia="Arial" w:hAnsi="Arial"/>
          <w:sz w:val="17"/>
          <w:szCs w:val="17"/>
          <w:color w:val="auto"/>
        </w:rPr>
      </w:pPr>
    </w:p>
    <w:p>
      <w:pPr>
        <w:ind w:left="1420" w:hanging="1000"/>
        <w:spacing w:after="0"/>
        <w:tabs>
          <w:tab w:leader="none" w:pos="14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(1)</w:t>
      </w:r>
    </w:p>
    <w:p>
      <w:pPr>
        <w:spacing w:after="0" w:line="26" w:lineRule="exact"/>
        <w:rPr>
          <w:sz w:val="20"/>
          <w:szCs w:val="20"/>
          <w:color w:val="auto"/>
        </w:rPr>
      </w:pPr>
    </w:p>
    <w:p>
      <w:pPr>
        <w:ind w:left="480"/>
        <w:spacing w:after="0"/>
        <w:tabs>
          <w:tab w:leader="none" w:pos="146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1</w:t>
      </w:r>
    </w:p>
    <w:p>
      <w:pPr>
        <w:spacing w:after="0" w:line="14" w:lineRule="exact"/>
        <w:rPr>
          <w:sz w:val="20"/>
          <w:szCs w:val="20"/>
          <w:color w:val="auto"/>
        </w:rPr>
      </w:pPr>
    </w:p>
    <w:p>
      <w:pPr>
        <w:ind w:left="1420" w:hanging="1000"/>
        <w:spacing w:after="0"/>
        <w:tabs>
          <w:tab w:leader="none" w:pos="14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9906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90600" cy="8255"/>
                    </a:xfrm>
                    <a:prstGeom prst="rect">
                      <a:avLst/>
                    </a:prstGeom>
                    <a:noFill/>
                  </pic:spPr>
                </pic:pic>
              </a:graphicData>
            </a:graphic>
          </wp:anchor>
        </w:drawing>
      </w:r>
    </w:p>
    <w:p>
      <w:pPr>
        <w:spacing w:after="0" w:line="26" w:lineRule="exact"/>
        <w:rPr>
          <w:sz w:val="20"/>
          <w:szCs w:val="20"/>
          <w:color w:val="auto"/>
        </w:rPr>
      </w:pPr>
    </w:p>
    <w:p>
      <w:pPr>
        <w:spacing w:after="0"/>
        <w:tabs>
          <w:tab w:leader="none" w:pos="280" w:val="left"/>
          <w:tab w:leader="none" w:pos="900" w:val="left"/>
          <w:tab w:leader="none" w:pos="1280" w:val="left"/>
        </w:tabs>
        <w:rPr>
          <w:sz w:val="20"/>
          <w:szCs w:val="20"/>
          <w:color w:val="auto"/>
        </w:rPr>
      </w:pPr>
      <w:r>
        <w:rPr>
          <w:rFonts w:ascii="Arial" w:cs="Arial" w:eastAsia="Arial" w:hAnsi="Arial"/>
          <w:sz w:val="17"/>
          <w:szCs w:val="17"/>
          <w:u w:val="single" w:color="auto"/>
          <w:color w:val="auto"/>
        </w:rPr>
        <w:t>$</w:t>
      </w:r>
      <w:r>
        <w:rPr>
          <w:sz w:val="20"/>
          <w:szCs w:val="20"/>
          <w:color w:val="auto"/>
        </w:rPr>
        <w:tab/>
      </w:r>
      <w:r>
        <w:rPr>
          <w:rFonts w:ascii="Arial" w:cs="Arial" w:eastAsia="Arial" w:hAnsi="Arial"/>
          <w:sz w:val="17"/>
          <w:szCs w:val="17"/>
          <w:u w:val="single" w:color="auto"/>
          <w:color w:val="auto"/>
        </w:rPr>
        <w:t>245</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990600" cy="24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90600" cy="24765"/>
                    </a:xfrm>
                    <a:prstGeom prst="rect">
                      <a:avLst/>
                    </a:prstGeom>
                    <a:noFill/>
                  </pic:spPr>
                </pic:pic>
              </a:graphicData>
            </a:graphic>
          </wp:anchor>
        </w:drawing>
      </w:r>
    </w:p>
    <w:p>
      <w:pPr>
        <w:spacing w:after="0" w:line="152" w:lineRule="exact"/>
        <w:rPr>
          <w:sz w:val="20"/>
          <w:szCs w:val="20"/>
          <w:color w:val="auto"/>
        </w:rPr>
      </w:pPr>
    </w:p>
    <w:p>
      <w:pPr>
        <w:ind w:left="260"/>
        <w:spacing w:after="0"/>
        <w:tabs>
          <w:tab w:leader="none" w:pos="1240" w:val="left"/>
        </w:tabs>
        <w:rPr>
          <w:sz w:val="20"/>
          <w:szCs w:val="20"/>
          <w:color w:val="auto"/>
        </w:rPr>
      </w:pPr>
      <w:r>
        <w:rPr>
          <w:rFonts w:ascii="Arial" w:cs="Arial" w:eastAsia="Arial" w:hAnsi="Arial"/>
          <w:sz w:val="17"/>
          <w:szCs w:val="17"/>
          <w:color w:val="auto"/>
        </w:rPr>
        <w:t>61.9</w:t>
      </w:r>
      <w:r>
        <w:rPr>
          <w:sz w:val="20"/>
          <w:szCs w:val="20"/>
          <w:color w:val="auto"/>
        </w:rPr>
        <w:tab/>
      </w:r>
      <w:r>
        <w:rPr>
          <w:rFonts w:ascii="Arial" w:cs="Arial" w:eastAsia="Arial" w:hAnsi="Arial"/>
          <w:sz w:val="15"/>
          <w:szCs w:val="15"/>
          <w:color w:val="auto"/>
        </w:rPr>
        <w:t>61.9</w:t>
      </w:r>
    </w:p>
    <w:p>
      <w:pPr>
        <w:spacing w:after="0" w:line="119" w:lineRule="exact"/>
        <w:rPr>
          <w:sz w:val="20"/>
          <w:szCs w:val="20"/>
          <w:color w:val="auto"/>
        </w:rPr>
      </w:pPr>
    </w:p>
    <w:p>
      <w:pPr>
        <w:spacing w:after="0"/>
        <w:tabs>
          <w:tab w:leader="none" w:pos="240" w:val="left"/>
          <w:tab w:leader="none" w:pos="900" w:val="left"/>
          <w:tab w:leader="none" w:pos="1240" w:val="left"/>
        </w:tabs>
        <w:rPr>
          <w:sz w:val="20"/>
          <w:szCs w:val="20"/>
          <w:color w:val="auto"/>
        </w:rPr>
      </w:pPr>
      <w:r>
        <w:rPr>
          <w:rFonts w:ascii="Arial" w:cs="Arial" w:eastAsia="Arial" w:hAnsi="Arial"/>
          <w:sz w:val="17"/>
          <w:szCs w:val="17"/>
          <w:u w:val="single" w:color="auto"/>
          <w:color w:val="auto"/>
        </w:rPr>
        <w:t>$</w:t>
        <w:tab/>
        <w:t>3.95</w:t>
      </w:r>
      <w:r>
        <w:rPr>
          <w:sz w:val="20"/>
          <w:szCs w:val="20"/>
          <w:color w:val="auto"/>
        </w:rPr>
        <w:tab/>
      </w:r>
      <w:r>
        <w:rPr>
          <w:rFonts w:ascii="Arial" w:cs="Arial" w:eastAsia="Arial" w:hAnsi="Arial"/>
          <w:sz w:val="17"/>
          <w:szCs w:val="17"/>
          <w:u w:val="single" w:color="auto"/>
          <w:color w:val="auto"/>
        </w:rPr>
        <w:t>$</w:t>
      </w:r>
      <w:r>
        <w:rPr>
          <w:sz w:val="20"/>
          <w:szCs w:val="20"/>
          <w:color w:val="auto"/>
        </w:rPr>
        <w:tab/>
      </w:r>
      <w:r>
        <w:rPr>
          <w:rFonts w:ascii="Arial" w:cs="Arial" w:eastAsia="Arial" w:hAnsi="Arial"/>
          <w:sz w:val="15"/>
          <w:szCs w:val="15"/>
          <w:u w:val="single" w:color="auto"/>
          <w:color w:val="auto"/>
        </w:rPr>
        <w:t>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9906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90600" cy="8255"/>
                    </a:xfrm>
                    <a:prstGeom prst="rect">
                      <a:avLst/>
                    </a:prstGeom>
                    <a:noFill/>
                  </pic:spPr>
                </pic:pic>
              </a:graphicData>
            </a:graphic>
          </wp:anchor>
        </w:drawing>
      </w:r>
    </w:p>
    <w:p>
      <w:pPr>
        <w:sectPr>
          <w:pgSz w:w="11900" w:h="16838" w:orient="portrait"/>
          <w:cols w:equalWidth="0" w:num="2">
            <w:col w:w="9040" w:space="720"/>
            <w:col w:w="1620"/>
          </w:cols>
          <w:pgMar w:left="240" w:top="271" w:right="27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Income Statements and Balance Sheets - 30% Owned Joint Venture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CONSOLIDATED INCOME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w w:val="89"/>
              </w:rPr>
              <w:t>Three months ended December 31,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w w:val="89"/>
              </w:rPr>
              <w:t>Year ended December 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99"/>
              <w:spacing w:after="0" w:line="138" w:lineRule="exact"/>
              <w:rPr>
                <w:sz w:val="20"/>
                <w:szCs w:val="20"/>
                <w:color w:val="auto"/>
              </w:rPr>
            </w:pPr>
            <w:r>
              <w:rPr>
                <w:rFonts w:ascii="Arial" w:cs="Arial" w:eastAsia="Arial" w:hAnsi="Arial"/>
                <w:sz w:val="13"/>
                <w:szCs w:val="13"/>
                <w:b w:val="1"/>
                <w:bCs w:val="1"/>
                <w:color w:val="auto"/>
              </w:rPr>
              <w:t>2010</w:t>
            </w:r>
          </w:p>
        </w:tc>
        <w:tc>
          <w:tcPr>
            <w:tcW w:w="46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37"/>
              <w:spacing w:after="0" w:line="138" w:lineRule="exact"/>
              <w:rPr>
                <w:sz w:val="20"/>
                <w:szCs w:val="20"/>
                <w:color w:val="auto"/>
              </w:rPr>
            </w:pPr>
            <w:r>
              <w:rPr>
                <w:rFonts w:ascii="Arial" w:cs="Arial" w:eastAsia="Arial" w:hAnsi="Arial"/>
                <w:sz w:val="13"/>
                <w:szCs w:val="13"/>
                <w:b w:val="1"/>
                <w:bCs w:val="1"/>
                <w:color w:val="auto"/>
              </w:rPr>
              <w:t>2009</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99"/>
              <w:spacing w:after="0" w:line="138" w:lineRule="exact"/>
              <w:rPr>
                <w:sz w:val="20"/>
                <w:szCs w:val="20"/>
                <w:color w:val="auto"/>
              </w:rPr>
            </w:pPr>
            <w:r>
              <w:rPr>
                <w:rFonts w:ascii="Arial" w:cs="Arial" w:eastAsia="Arial" w:hAnsi="Arial"/>
                <w:sz w:val="13"/>
                <w:szCs w:val="13"/>
                <w:b w:val="1"/>
                <w:bCs w:val="1"/>
                <w:color w:val="auto"/>
              </w:rPr>
              <w:t>2010</w:t>
            </w: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6"/>
              <w:spacing w:after="0" w:line="138" w:lineRule="exact"/>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rPr>
              <w:t>(in thousands)</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(in</w:t>
            </w:r>
          </w:p>
        </w:tc>
        <w:tc>
          <w:tcPr>
            <w:tcW w:w="1060" w:type="dxa"/>
            <w:vAlign w:val="bottom"/>
            <w:gridSpan w:val="4"/>
          </w:tcPr>
          <w:p>
            <w:pPr>
              <w:jc w:val="right"/>
              <w:ind w:right="356"/>
              <w:spacing w:after="0" w:line="138" w:lineRule="exact"/>
              <w:rPr>
                <w:sz w:val="20"/>
                <w:szCs w:val="20"/>
                <w:color w:val="auto"/>
              </w:rPr>
            </w:pPr>
            <w:r>
              <w:rPr>
                <w:rFonts w:ascii="Arial" w:cs="Arial" w:eastAsia="Arial" w:hAnsi="Arial"/>
                <w:sz w:val="13"/>
                <w:szCs w:val="13"/>
                <w:b w:val="1"/>
                <w:bCs w:val="1"/>
                <w:color w:val="auto"/>
                <w:w w:val="85"/>
              </w:rPr>
              <w:t>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tcPr>
          <w:p>
            <w:pPr>
              <w:ind w:left="400"/>
              <w:spacing w:after="0"/>
              <w:rPr>
                <w:sz w:val="20"/>
                <w:szCs w:val="20"/>
                <w:color w:val="auto"/>
              </w:rPr>
            </w:pPr>
            <w:r>
              <w:rPr>
                <w:rFonts w:ascii="Arial" w:cs="Arial" w:eastAsia="Arial" w:hAnsi="Arial"/>
                <w:sz w:val="17"/>
                <w:szCs w:val="17"/>
                <w:color w:val="auto"/>
              </w:rPr>
              <w:t>Rental income</w:t>
            </w:r>
          </w:p>
        </w:tc>
        <w:tc>
          <w:tcPr>
            <w:tcW w:w="24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7"/>
                <w:szCs w:val="17"/>
                <w:color w:val="auto"/>
              </w:rPr>
              <w:t>4,938</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4,577</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14"/>
              <w:spacing w:after="0"/>
              <w:rPr>
                <w:sz w:val="20"/>
                <w:szCs w:val="20"/>
                <w:color w:val="auto"/>
              </w:rPr>
            </w:pPr>
            <w:r>
              <w:rPr>
                <w:rFonts w:ascii="Arial" w:cs="Arial" w:eastAsia="Arial" w:hAnsi="Arial"/>
                <w:sz w:val="17"/>
                <w:szCs w:val="17"/>
                <w:color w:val="auto"/>
                <w:w w:val="92"/>
              </w:rPr>
              <w:t>18,575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18,409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Other property income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4,951</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4,586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4"/>
              <w:spacing w:after="0"/>
              <w:rPr>
                <w:sz w:val="20"/>
                <w:szCs w:val="20"/>
                <w:color w:val="auto"/>
              </w:rPr>
            </w:pPr>
            <w:r>
              <w:rPr>
                <w:rFonts w:ascii="Arial" w:cs="Arial" w:eastAsia="Arial" w:hAnsi="Arial"/>
                <w:sz w:val="17"/>
                <w:szCs w:val="17"/>
                <w:color w:val="auto"/>
                <w:w w:val="92"/>
              </w:rPr>
              <w:t>18,639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Expenses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tcPr>
          <w:p>
            <w:pPr>
              <w:ind w:left="400"/>
              <w:spacing w:after="0"/>
              <w:rPr>
                <w:sz w:val="20"/>
                <w:szCs w:val="20"/>
                <w:color w:val="auto"/>
              </w:rPr>
            </w:pPr>
            <w:r>
              <w:rPr>
                <w:rFonts w:ascii="Arial" w:cs="Arial" w:eastAsia="Arial" w:hAnsi="Arial"/>
                <w:sz w:val="17"/>
                <w:szCs w:val="17"/>
                <w:color w:val="auto"/>
              </w:rPr>
              <w:t>Rental</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7"/>
                <w:szCs w:val="17"/>
                <w:color w:val="auto"/>
              </w:rPr>
              <w:t>912</w:t>
            </w:r>
          </w:p>
        </w:tc>
        <w:tc>
          <w:tcPr>
            <w:tcW w:w="2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1,114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4"/>
              <w:spacing w:after="0"/>
              <w:rPr>
                <w:sz w:val="20"/>
                <w:szCs w:val="20"/>
                <w:color w:val="auto"/>
              </w:rPr>
            </w:pPr>
            <w:r>
              <w:rPr>
                <w:rFonts w:ascii="Arial" w:cs="Arial" w:eastAsia="Arial" w:hAnsi="Arial"/>
                <w:sz w:val="17"/>
                <w:szCs w:val="17"/>
                <w:color w:val="auto"/>
              </w:rPr>
              <w:t>3,806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Real estate taxes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573</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598</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2,343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tcPr>
          <w:p>
            <w:pPr>
              <w:ind w:left="400"/>
              <w:spacing w:after="0"/>
              <w:rPr>
                <w:sz w:val="20"/>
                <w:szCs w:val="20"/>
                <w:color w:val="auto"/>
              </w:rPr>
            </w:pPr>
            <w:r>
              <w:rPr>
                <w:rFonts w:ascii="Arial" w:cs="Arial" w:eastAsia="Arial" w:hAnsi="Arial"/>
                <w:sz w:val="17"/>
                <w:szCs w:val="17"/>
                <w:color w:val="auto"/>
              </w:rPr>
              <w:t>Depreciation and amortization</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1,275</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1,234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4"/>
              <w:spacing w:after="0"/>
              <w:rPr>
                <w:sz w:val="20"/>
                <w:szCs w:val="20"/>
                <w:color w:val="auto"/>
              </w:rPr>
            </w:pPr>
            <w:r>
              <w:rPr>
                <w:rFonts w:ascii="Arial" w:cs="Arial" w:eastAsia="Arial" w:hAnsi="Arial"/>
                <w:sz w:val="17"/>
                <w:szCs w:val="17"/>
                <w:color w:val="auto"/>
              </w:rPr>
              <w:t>5,046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2,946</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w w:val="92"/>
              </w:rPr>
              <w:t>11,195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gridSpan w:val="2"/>
            <w:vMerge w:val="restart"/>
          </w:tcPr>
          <w:p>
            <w:pPr>
              <w:ind w:left="400"/>
              <w:spacing w:after="0"/>
              <w:rPr>
                <w:sz w:val="20"/>
                <w:szCs w:val="20"/>
                <w:color w:val="auto"/>
              </w:rPr>
            </w:pPr>
            <w:r>
              <w:rPr>
                <w:rFonts w:ascii="Arial" w:cs="Arial" w:eastAsia="Arial" w:hAnsi="Arial"/>
                <w:sz w:val="17"/>
                <w:szCs w:val="17"/>
                <w:color w:val="auto"/>
              </w:rPr>
              <w:t>Operating income</w:t>
            </w:r>
          </w:p>
        </w:tc>
        <w:tc>
          <w:tcPr>
            <w:tcW w:w="2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660" w:type="dxa"/>
            <w:vAlign w:val="bottom"/>
            <w:gridSpan w:val="2"/>
            <w:vMerge w:val="continue"/>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2,191</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1,640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4"/>
              <w:spacing w:after="0"/>
              <w:rPr>
                <w:sz w:val="20"/>
                <w:szCs w:val="20"/>
                <w:color w:val="auto"/>
              </w:rPr>
            </w:pPr>
            <w:r>
              <w:rPr>
                <w:rFonts w:ascii="Arial" w:cs="Arial" w:eastAsia="Arial" w:hAnsi="Arial"/>
                <w:sz w:val="17"/>
                <w:szCs w:val="17"/>
                <w:color w:val="auto"/>
              </w:rPr>
              <w:t>7,444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(849)</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(1,034)</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(4,430)</w:t>
            </w: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7"/>
                <w:szCs w:val="17"/>
                <w:color w:val="auto"/>
              </w:rPr>
              <w:t>Net income</w:t>
            </w:r>
          </w:p>
        </w:tc>
        <w:tc>
          <w:tcPr>
            <w:tcW w:w="2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680" w:type="dxa"/>
            <w:vAlign w:val="bottom"/>
            <w:gridSpan w:val="3"/>
            <w:vMerge w:val="continue"/>
          </w:tcPr>
          <w:p>
            <w:pPr>
              <w:spacing w:after="0"/>
              <w:rPr>
                <w:sz w:val="18"/>
                <w:szCs w:val="18"/>
                <w:color w:val="auto"/>
              </w:rPr>
            </w:pPr>
          </w:p>
        </w:tc>
        <w:tc>
          <w:tcPr>
            <w:tcW w:w="24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7"/>
                <w:szCs w:val="17"/>
                <w:color w:val="auto"/>
              </w:rPr>
              <w:t>1,342</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606</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14"/>
              <w:spacing w:after="0"/>
              <w:rPr>
                <w:sz w:val="20"/>
                <w:szCs w:val="20"/>
                <w:color w:val="auto"/>
              </w:rPr>
            </w:pPr>
            <w:r>
              <w:rPr>
                <w:rFonts w:ascii="Arial" w:cs="Arial" w:eastAsia="Arial" w:hAnsi="Arial"/>
                <w:sz w:val="17"/>
                <w:szCs w:val="17"/>
                <w:color w:val="auto"/>
              </w:rPr>
              <w:t>4,044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7"/>
                <w:szCs w:val="17"/>
                <w:color w:val="auto"/>
              </w:rPr>
              <w:t>CONSOLIDATED BALANCE SHEETS</w:t>
            </w: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4680" w:type="dxa"/>
            <w:vAlign w:val="bottom"/>
            <w:gridSpan w:val="3"/>
            <w:vMerge w:val="continue"/>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39"/>
              <w:spacing w:after="0" w:line="138" w:lineRule="exact"/>
              <w:rPr>
                <w:sz w:val="20"/>
                <w:szCs w:val="20"/>
                <w:color w:val="auto"/>
              </w:rPr>
            </w:pPr>
            <w:r>
              <w:rPr>
                <w:rFonts w:ascii="Arial" w:cs="Arial" w:eastAsia="Arial" w:hAnsi="Arial"/>
                <w:sz w:val="13"/>
                <w:szCs w:val="13"/>
                <w:b w:val="1"/>
                <w:bCs w:val="1"/>
                <w:color w:val="auto"/>
              </w:rPr>
              <w:t>2010</w:t>
            </w:r>
          </w:p>
        </w:tc>
        <w:tc>
          <w:tcPr>
            <w:tcW w:w="8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6"/>
              <w:spacing w:after="0" w:line="138" w:lineRule="exact"/>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(in</w:t>
            </w:r>
          </w:p>
        </w:tc>
        <w:tc>
          <w:tcPr>
            <w:tcW w:w="980" w:type="dxa"/>
            <w:vAlign w:val="bottom"/>
            <w:gridSpan w:val="3"/>
          </w:tcPr>
          <w:p>
            <w:pPr>
              <w:jc w:val="right"/>
              <w:ind w:right="336"/>
              <w:spacing w:after="0" w:line="138" w:lineRule="exact"/>
              <w:rPr>
                <w:sz w:val="20"/>
                <w:szCs w:val="20"/>
                <w:color w:val="auto"/>
              </w:rPr>
            </w:pPr>
            <w:r>
              <w:rPr>
                <w:rFonts w:ascii="Arial" w:cs="Arial" w:eastAsia="Arial" w:hAnsi="Arial"/>
                <w:sz w:val="13"/>
                <w:szCs w:val="13"/>
                <w:b w:val="1"/>
                <w:bCs w:val="1"/>
                <w:color w:val="auto"/>
                <w:w w:val="77"/>
              </w:rPr>
              <w:t>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ASSETS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7"/>
                <w:szCs w:val="17"/>
                <w:color w:val="auto"/>
              </w:rPr>
              <w:t>Real estate, at cost</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w w:val="91"/>
              </w:rPr>
              <w:t>205,849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203,122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Less accumulated depreciation and amortization</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94"/>
              <w:spacing w:after="0"/>
              <w:rPr>
                <w:sz w:val="20"/>
                <w:szCs w:val="20"/>
                <w:color w:val="auto"/>
              </w:rPr>
            </w:pPr>
            <w:r>
              <w:rPr>
                <w:rFonts w:ascii="Arial" w:cs="Arial" w:eastAsia="Arial" w:hAnsi="Arial"/>
                <w:sz w:val="17"/>
                <w:szCs w:val="17"/>
                <w:color w:val="auto"/>
                <w:w w:val="97"/>
              </w:rPr>
              <w:t>(24,284)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4"/>
              </w:rPr>
              <w:t>(19,365)</w:t>
            </w:r>
          </w:p>
        </w:tc>
        <w:tc>
          <w:tcPr>
            <w:tcW w:w="0" w:type="dxa"/>
            <w:vAlign w:val="bottom"/>
          </w:tcPr>
          <w:p>
            <w:pPr>
              <w:spacing w:after="0"/>
              <w:rPr>
                <w:sz w:val="1"/>
                <w:szCs w:val="1"/>
                <w:color w:val="auto"/>
              </w:rPr>
            </w:pPr>
          </w:p>
        </w:tc>
      </w:tr>
      <w:tr>
        <w:trPr>
          <w:trHeight w:val="214"/>
        </w:trPr>
        <w:tc>
          <w:tcPr>
            <w:tcW w:w="4680" w:type="dxa"/>
            <w:vAlign w:val="bottom"/>
            <w:gridSpan w:val="3"/>
          </w:tcPr>
          <w:p>
            <w:pPr>
              <w:spacing w:after="0"/>
              <w:rPr>
                <w:sz w:val="20"/>
                <w:szCs w:val="20"/>
                <w:color w:val="auto"/>
              </w:rPr>
            </w:pPr>
            <w:r>
              <w:rPr>
                <w:rFonts w:ascii="Arial" w:cs="Arial" w:eastAsia="Arial" w:hAnsi="Arial"/>
                <w:sz w:val="17"/>
                <w:szCs w:val="17"/>
                <w:color w:val="auto"/>
              </w:rPr>
              <w:t>Net real estate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91"/>
              </w:rPr>
              <w:t>181,565</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183,757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7,336</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191,955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193,569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7"/>
                <w:szCs w:val="17"/>
                <w:color w:val="auto"/>
              </w:rPr>
              <w:t>LIABILITIES AND PARTNERS’ CAPITAL</w:t>
            </w: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80" w:type="dxa"/>
            <w:vAlign w:val="bottom"/>
            <w:gridSpan w:val="3"/>
            <w:vMerge w:val="continue"/>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tcPr>
          <w:p>
            <w:pPr>
              <w:ind w:left="400"/>
              <w:spacing w:after="0"/>
              <w:rPr>
                <w:sz w:val="20"/>
                <w:szCs w:val="20"/>
                <w:color w:val="auto"/>
              </w:rPr>
            </w:pPr>
            <w:r>
              <w:rPr>
                <w:rFonts w:ascii="Arial" w:cs="Arial" w:eastAsia="Arial" w:hAnsi="Arial"/>
                <w:sz w:val="17"/>
                <w:szCs w:val="17"/>
                <w:color w:val="auto"/>
              </w:rPr>
              <w:t>Mortgages payable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57,584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57,780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Other liabilities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5,439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3"/>
          </w:tcPr>
          <w:p>
            <w:pPr>
              <w:spacing w:after="0"/>
              <w:rPr>
                <w:sz w:val="20"/>
                <w:szCs w:val="20"/>
                <w:color w:val="auto"/>
              </w:rPr>
            </w:pPr>
            <w:r>
              <w:rPr>
                <w:rFonts w:ascii="Arial" w:cs="Arial" w:eastAsia="Arial" w:hAnsi="Arial"/>
                <w:sz w:val="17"/>
                <w:szCs w:val="17"/>
                <w:color w:val="auto"/>
              </w:rPr>
              <w:t>Total liabilities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63,023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63,881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Partners’ capital</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1"/>
              </w:rPr>
              <w:t>128,932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129,688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3"/>
          </w:tcPr>
          <w:p>
            <w:pPr>
              <w:spacing w:after="0"/>
              <w:rPr>
                <w:sz w:val="20"/>
                <w:szCs w:val="20"/>
                <w:color w:val="auto"/>
              </w:rPr>
            </w:pPr>
            <w:r>
              <w:rPr>
                <w:rFonts w:ascii="Arial" w:cs="Arial" w:eastAsia="Arial" w:hAnsi="Arial"/>
                <w:sz w:val="17"/>
                <w:szCs w:val="17"/>
                <w:color w:val="auto"/>
              </w:rPr>
              <w:t>TOTAL LIABILITIES AND PARTNERS’ CAPITAL</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w w:val="91"/>
              </w:rPr>
              <w:t>191,955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193,569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80" w:type="dxa"/>
            <w:vAlign w:val="bottom"/>
            <w:vMerge w:val="restart"/>
          </w:tcPr>
          <w:p>
            <w:pPr>
              <w:jc w:val="right"/>
              <w:ind w:right="1175"/>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1"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 and Debt Maturities - 30% Owned Joint Venture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OUTSTANDING DEBT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3"/>
          </w:tcPr>
          <w:p>
            <w:pPr>
              <w:ind w:left="340"/>
              <w:spacing w:after="0"/>
              <w:rPr>
                <w:sz w:val="20"/>
                <w:szCs w:val="20"/>
                <w:color w:val="auto"/>
              </w:rPr>
            </w:pPr>
            <w:r>
              <w:rPr>
                <w:rFonts w:ascii="Arial" w:cs="Arial" w:eastAsia="Arial" w:hAnsi="Arial"/>
                <w:sz w:val="13"/>
                <w:szCs w:val="13"/>
                <w:b w:val="1"/>
                <w:bCs w:val="1"/>
                <w:color w:val="auto"/>
              </w:rPr>
              <w:t>Stated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Interest Rate as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3"/>
          </w:tcPr>
          <w:p>
            <w:pPr>
              <w:ind w:left="160"/>
              <w:spacing w:after="0"/>
              <w:rPr>
                <w:sz w:val="20"/>
                <w:szCs w:val="20"/>
                <w:color w:val="auto"/>
              </w:rPr>
            </w:pPr>
            <w:r>
              <w:rPr>
                <w:rFonts w:ascii="Arial" w:cs="Arial" w:eastAsia="Arial" w:hAnsi="Arial"/>
                <w:sz w:val="13"/>
                <w:szCs w:val="13"/>
                <w:b w:val="1"/>
                <w:bCs w:val="1"/>
                <w:color w:val="auto"/>
              </w:rPr>
              <w:t>Maturity</w:t>
            </w:r>
          </w:p>
        </w:tc>
        <w:tc>
          <w:tcPr>
            <w:tcW w:w="160" w:type="dxa"/>
            <w:vAlign w:val="bottom"/>
          </w:tcPr>
          <w:p>
            <w:pPr>
              <w:spacing w:after="0"/>
              <w:rPr>
                <w:sz w:val="13"/>
                <w:szCs w:val="13"/>
                <w:color w:val="auto"/>
              </w:rPr>
            </w:pPr>
          </w:p>
        </w:tc>
        <w:tc>
          <w:tcPr>
            <w:tcW w:w="2020" w:type="dxa"/>
            <w:vAlign w:val="bottom"/>
            <w:gridSpan w:val="3"/>
          </w:tcPr>
          <w:p>
            <w:pPr>
              <w:spacing w:after="0"/>
              <w:rPr>
                <w:sz w:val="20"/>
                <w:szCs w:val="20"/>
                <w:color w:val="auto"/>
              </w:rPr>
            </w:pPr>
            <w:r>
              <w:rPr>
                <w:rFonts w:ascii="Arial" w:cs="Arial" w:eastAsia="Arial" w:hAnsi="Arial"/>
                <w:sz w:val="13"/>
                <w:szCs w:val="13"/>
                <w:b w:val="1"/>
                <w:bCs w:val="1"/>
                <w:color w:val="auto"/>
              </w:rPr>
              <w:t>December 31, 2010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w w:val="96"/>
              </w:rPr>
              <w:t>Balance</w:t>
            </w:r>
          </w:p>
        </w:tc>
        <w:tc>
          <w:tcPr>
            <w:tcW w:w="0" w:type="dxa"/>
            <w:vAlign w:val="bottom"/>
          </w:tcPr>
          <w:p>
            <w:pPr>
              <w:spacing w:after="0"/>
              <w:rPr>
                <w:sz w:val="1"/>
                <w:szCs w:val="1"/>
                <w:color w:val="auto"/>
              </w:rPr>
            </w:pPr>
          </w:p>
        </w:tc>
      </w:tr>
      <w:tr>
        <w:trPr>
          <w:trHeight w:val="137"/>
        </w:trPr>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top w:val="single" w:sz="8" w:color="auto"/>
            </w:tcBorders>
            <w:gridSpan w:val="3"/>
          </w:tcPr>
          <w:p>
            <w:pPr>
              <w:jc w:val="right"/>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620" w:type="dxa"/>
            <w:vAlign w:val="bottom"/>
            <w:gridSpan w:val="4"/>
            <w:shd w:val="clear" w:color="auto" w:fill="CCEEFF"/>
          </w:tcPr>
          <w:p>
            <w:pPr>
              <w:spacing w:after="0" w:line="171" w:lineRule="exact"/>
              <w:rPr>
                <w:sz w:val="20"/>
                <w:szCs w:val="20"/>
                <w:color w:val="auto"/>
              </w:rPr>
            </w:pPr>
            <w:r>
              <w:rPr>
                <w:rFonts w:ascii="Arial" w:cs="Arial" w:eastAsia="Arial" w:hAnsi="Arial"/>
                <w:sz w:val="17"/>
                <w:szCs w:val="17"/>
                <w:color w:val="auto"/>
              </w:rPr>
              <w:t>Mortgage Loans</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2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240" w:type="dxa"/>
            <w:vAlign w:val="bottom"/>
            <w:tcBorders>
              <w:right w:val="single" w:sz="8" w:color="auto"/>
            </w:tcBorders>
            <w:shd w:val="clear" w:color="auto" w:fill="000000"/>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gridSpan w:val="4"/>
          </w:tcPr>
          <w:p>
            <w:pPr>
              <w:ind w:left="420"/>
              <w:spacing w:after="0"/>
              <w:rPr>
                <w:sz w:val="20"/>
                <w:szCs w:val="20"/>
                <w:color w:val="auto"/>
              </w:rPr>
            </w:pPr>
            <w:r>
              <w:rPr>
                <w:rFonts w:ascii="Arial" w:cs="Arial" w:eastAsia="Arial" w:hAnsi="Arial"/>
                <w:sz w:val="17"/>
                <w:szCs w:val="17"/>
                <w:i w:val="1"/>
                <w:iCs w:val="1"/>
                <w:color w:val="auto"/>
              </w:rPr>
              <w:t>Secured Fixed Rate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Plaza del Mercado</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w w:val="90"/>
              </w:rPr>
              <w:t>07/05/14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5.77% (a)</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12,699</w:t>
            </w:r>
          </w:p>
        </w:tc>
        <w:tc>
          <w:tcPr>
            <w:tcW w:w="0" w:type="dxa"/>
            <w:vAlign w:val="bottom"/>
          </w:tcPr>
          <w:p>
            <w:pPr>
              <w:spacing w:after="0"/>
              <w:rPr>
                <w:sz w:val="1"/>
                <w:szCs w:val="1"/>
                <w:color w:val="auto"/>
              </w:rPr>
            </w:pPr>
          </w:p>
        </w:tc>
      </w:tr>
      <w:tr>
        <w:trPr>
          <w:trHeight w:val="210"/>
        </w:trPr>
        <w:tc>
          <w:tcPr>
            <w:tcW w:w="2620" w:type="dxa"/>
            <w:vAlign w:val="bottom"/>
            <w:gridSpan w:val="4"/>
          </w:tcPr>
          <w:p>
            <w:pPr>
              <w:ind w:left="420"/>
              <w:spacing w:after="0"/>
              <w:rPr>
                <w:sz w:val="20"/>
                <w:szCs w:val="20"/>
                <w:color w:val="auto"/>
              </w:rPr>
            </w:pPr>
            <w:r>
              <w:rPr>
                <w:rFonts w:ascii="Arial" w:cs="Arial" w:eastAsia="Arial" w:hAnsi="Arial"/>
                <w:sz w:val="17"/>
                <w:szCs w:val="17"/>
                <w:color w:val="auto"/>
              </w:rPr>
              <w:t>Atlantic Plaza</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7"/>
                <w:szCs w:val="17"/>
                <w:color w:val="auto"/>
                <w:w w:val="90"/>
              </w:rPr>
              <w:t>12/01/14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7"/>
                <w:szCs w:val="17"/>
                <w:color w:val="auto"/>
              </w:rPr>
              <w:t>5.12% (b)</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10,500</w:t>
            </w:r>
          </w:p>
        </w:tc>
        <w:tc>
          <w:tcPr>
            <w:tcW w:w="0" w:type="dxa"/>
            <w:vAlign w:val="bottom"/>
          </w:tcPr>
          <w:p>
            <w:pPr>
              <w:spacing w:after="0"/>
              <w:rPr>
                <w:sz w:val="1"/>
                <w:szCs w:val="1"/>
                <w:color w:val="auto"/>
              </w:rPr>
            </w:pPr>
          </w:p>
        </w:tc>
      </w:tr>
      <w:tr>
        <w:trPr>
          <w:trHeight w:val="210"/>
        </w:trPr>
        <w:tc>
          <w:tcPr>
            <w:tcW w:w="262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Barcroft Plaza</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w w:val="90"/>
              </w:rPr>
              <w:t>07/01/16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5.99% (b)(c)</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20,785</w:t>
            </w:r>
          </w:p>
        </w:tc>
        <w:tc>
          <w:tcPr>
            <w:tcW w:w="0" w:type="dxa"/>
            <w:vAlign w:val="bottom"/>
          </w:tcPr>
          <w:p>
            <w:pPr>
              <w:spacing w:after="0"/>
              <w:rPr>
                <w:sz w:val="1"/>
                <w:szCs w:val="1"/>
                <w:color w:val="auto"/>
              </w:rPr>
            </w:pPr>
          </w:p>
        </w:tc>
      </w:tr>
      <w:tr>
        <w:trPr>
          <w:trHeight w:val="216"/>
        </w:trPr>
        <w:tc>
          <w:tcPr>
            <w:tcW w:w="2620" w:type="dxa"/>
            <w:vAlign w:val="bottom"/>
            <w:gridSpan w:val="4"/>
          </w:tcPr>
          <w:p>
            <w:pPr>
              <w:ind w:left="420"/>
              <w:spacing w:after="0"/>
              <w:rPr>
                <w:sz w:val="20"/>
                <w:szCs w:val="20"/>
                <w:color w:val="auto"/>
              </w:rPr>
            </w:pPr>
            <w:r>
              <w:rPr>
                <w:rFonts w:ascii="Arial" w:cs="Arial" w:eastAsia="Arial" w:hAnsi="Arial"/>
                <w:sz w:val="17"/>
                <w:szCs w:val="17"/>
                <w:color w:val="auto"/>
              </w:rPr>
              <w:t>Greenlawn Plaza</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7"/>
                <w:szCs w:val="17"/>
                <w:color w:val="auto"/>
                <w:w w:val="90"/>
              </w:rPr>
              <w:t>07/01/16</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7"/>
                <w:szCs w:val="17"/>
                <w:color w:val="auto"/>
              </w:rPr>
              <w:t>5.90% (b)</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13,600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40" w:type="dxa"/>
            <w:vAlign w:val="bottom"/>
            <w:gridSpan w:val="5"/>
            <w:shd w:val="clear" w:color="auto" w:fill="CCEEFF"/>
          </w:tcPr>
          <w:p>
            <w:pPr>
              <w:jc w:val="center"/>
              <w:ind w:right="440"/>
              <w:spacing w:after="0"/>
              <w:rPr>
                <w:sz w:val="20"/>
                <w:szCs w:val="20"/>
                <w:color w:val="auto"/>
              </w:rPr>
            </w:pPr>
            <w:r>
              <w:rPr>
                <w:rFonts w:ascii="Arial" w:cs="Arial" w:eastAsia="Arial" w:hAnsi="Arial"/>
                <w:sz w:val="17"/>
                <w:szCs w:val="17"/>
                <w:color w:val="auto"/>
                <w:w w:val="91"/>
              </w:rPr>
              <w:t>Total Fixed Rate Debt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57,584</w:t>
            </w:r>
          </w:p>
        </w:tc>
        <w:tc>
          <w:tcPr>
            <w:tcW w:w="0" w:type="dxa"/>
            <w:vAlign w:val="bottom"/>
          </w:tcPr>
          <w:p>
            <w:pPr>
              <w:spacing w:after="0"/>
              <w:rPr>
                <w:sz w:val="1"/>
                <w:szCs w:val="1"/>
                <w:color w:val="auto"/>
              </w:rPr>
            </w:pPr>
          </w:p>
        </w:tc>
      </w:tr>
      <w:tr>
        <w:trPr>
          <w:trHeight w:val="20"/>
        </w:trPr>
        <w:tc>
          <w:tcPr>
            <w:tcW w:w="1140" w:type="dxa"/>
            <w:vAlign w:val="bottom"/>
            <w:gridSpan w:val="3"/>
            <w:vMerge w:val="restart"/>
          </w:tcPr>
          <w:p>
            <w:pPr>
              <w:spacing w:after="0"/>
              <w:rPr>
                <w:sz w:val="20"/>
                <w:szCs w:val="20"/>
                <w:color w:val="auto"/>
              </w:rPr>
            </w:pPr>
            <w:r>
              <w:rPr>
                <w:rFonts w:ascii="Arial" w:cs="Arial" w:eastAsia="Arial" w:hAnsi="Arial"/>
                <w:sz w:val="17"/>
                <w:szCs w:val="17"/>
                <w:color w:val="auto"/>
                <w:w w:val="96"/>
              </w:rPr>
              <w:t>Debt Maturities</w:t>
            </w:r>
          </w:p>
        </w:tc>
        <w:tc>
          <w:tcPr>
            <w:tcW w:w="14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1140" w:type="dxa"/>
            <w:vAlign w:val="bottom"/>
            <w:tcBorders>
              <w:bottom w:val="single" w:sz="8" w:color="auto"/>
            </w:tcBorders>
            <w:gridSpan w:val="3"/>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620" w:type="dxa"/>
            <w:vAlign w:val="bottom"/>
            <w:gridSpan w:val="4"/>
          </w:tcPr>
          <w:p>
            <w:pPr>
              <w:spacing w:after="0"/>
              <w:rPr>
                <w:sz w:val="20"/>
                <w:szCs w:val="20"/>
                <w:color w:val="auto"/>
              </w:rPr>
            </w:pPr>
            <w:r>
              <w:rPr>
                <w:rFonts w:ascii="Arial" w:cs="Arial" w:eastAsia="Arial" w:hAnsi="Arial"/>
                <w:sz w:val="17"/>
                <w:szCs w:val="17"/>
                <w:color w:val="auto"/>
              </w:rPr>
              <w:t>(in thousands)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gridSpan w:val="5"/>
          </w:tcPr>
          <w:p>
            <w:pPr>
              <w:jc w:val="right"/>
              <w:ind w:right="300"/>
              <w:spacing w:after="0"/>
              <w:rPr>
                <w:sz w:val="20"/>
                <w:szCs w:val="20"/>
                <w:color w:val="auto"/>
              </w:rPr>
            </w:pPr>
            <w:r>
              <w:rPr>
                <w:rFonts w:ascii="Arial" w:cs="Arial" w:eastAsia="Arial" w:hAnsi="Arial"/>
                <w:sz w:val="13"/>
                <w:szCs w:val="13"/>
                <w:b w:val="1"/>
                <w:bCs w:val="1"/>
                <w:color w:val="auto"/>
              </w:rPr>
              <w:t>Cumulative</w:t>
            </w: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line="144" w:lineRule="exact"/>
              <w:rPr>
                <w:sz w:val="20"/>
                <w:szCs w:val="20"/>
                <w:color w:val="auto"/>
              </w:rPr>
            </w:pPr>
            <w:r>
              <w:rPr>
                <w:rFonts w:ascii="Arial" w:cs="Arial" w:eastAsia="Arial" w:hAnsi="Arial"/>
                <w:sz w:val="13"/>
                <w:szCs w:val="13"/>
                <w:b w:val="1"/>
                <w:bCs w:val="1"/>
                <w:color w:val="auto"/>
                <w:w w:val="97"/>
              </w:rPr>
              <w:t>Scheduled</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180" w:type="dxa"/>
            <w:vAlign w:val="bottom"/>
            <w:gridSpan w:val="4"/>
          </w:tcPr>
          <w:p>
            <w:pPr>
              <w:spacing w:after="0" w:line="144" w:lineRule="exact"/>
              <w:rPr>
                <w:sz w:val="20"/>
                <w:szCs w:val="20"/>
                <w:color w:val="auto"/>
              </w:rPr>
            </w:pPr>
            <w:r>
              <w:rPr>
                <w:rFonts w:ascii="Arial" w:cs="Arial" w:eastAsia="Arial" w:hAnsi="Arial"/>
                <w:sz w:val="13"/>
                <w:szCs w:val="13"/>
                <w:b w:val="1"/>
                <w:bCs w:val="1"/>
                <w:color w:val="auto"/>
              </w:rPr>
              <w:t>Percent of Debt</w:t>
            </w:r>
          </w:p>
        </w:tc>
        <w:tc>
          <w:tcPr>
            <w:tcW w:w="1080" w:type="dxa"/>
            <w:vAlign w:val="bottom"/>
            <w:gridSpan w:val="5"/>
          </w:tcPr>
          <w:p>
            <w:pPr>
              <w:jc w:val="right"/>
              <w:ind w:right="200"/>
              <w:spacing w:after="0" w:line="144" w:lineRule="exact"/>
              <w:rPr>
                <w:sz w:val="20"/>
                <w:szCs w:val="20"/>
                <w:color w:val="auto"/>
              </w:rPr>
            </w:pPr>
            <w:r>
              <w:rPr>
                <w:rFonts w:ascii="Arial" w:cs="Arial" w:eastAsia="Arial" w:hAnsi="Arial"/>
                <w:sz w:val="13"/>
                <w:szCs w:val="13"/>
                <w:b w:val="1"/>
                <w:bCs w:val="1"/>
                <w:color w:val="auto"/>
                <w:w w:val="89"/>
              </w:rPr>
              <w:t>Percent of Debt</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280" w:type="dxa"/>
            <w:vAlign w:val="bottom"/>
          </w:tcPr>
          <w:p>
            <w:pPr>
              <w:jc w:val="center"/>
              <w:spacing w:after="0"/>
              <w:rPr>
                <w:sz w:val="20"/>
                <w:szCs w:val="20"/>
                <w:color w:val="auto"/>
              </w:rPr>
            </w:pPr>
            <w:r>
              <w:rPr>
                <w:rFonts w:ascii="Arial" w:cs="Arial" w:eastAsia="Arial" w:hAnsi="Arial"/>
                <w:sz w:val="13"/>
                <w:szCs w:val="13"/>
                <w:b w:val="1"/>
                <w:bCs w:val="1"/>
                <w:color w:val="auto"/>
                <w:w w:val="92"/>
              </w:rPr>
              <w:t>Year</w:t>
            </w:r>
          </w:p>
        </w:tc>
        <w:tc>
          <w:tcPr>
            <w:tcW w:w="1720" w:type="dxa"/>
            <w:vAlign w:val="bottom"/>
            <w:gridSpan w:val="2"/>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w w:val="90"/>
              </w:rPr>
              <w:t>Amortization</w:t>
            </w:r>
          </w:p>
        </w:tc>
        <w:tc>
          <w:tcPr>
            <w:tcW w:w="1220" w:type="dxa"/>
            <w:vAlign w:val="bottom"/>
          </w:tcPr>
          <w:p>
            <w:pPr>
              <w:spacing w:after="0"/>
              <w:rPr>
                <w:sz w:val="13"/>
                <w:szCs w:val="13"/>
                <w:color w:val="auto"/>
              </w:rPr>
            </w:pPr>
          </w:p>
        </w:tc>
        <w:tc>
          <w:tcPr>
            <w:tcW w:w="1520" w:type="dxa"/>
            <w:vAlign w:val="bottom"/>
            <w:gridSpan w:val="3"/>
          </w:tcPr>
          <w:p>
            <w:pPr>
              <w:jc w:val="right"/>
              <w:ind w:right="940"/>
              <w:spacing w:after="0"/>
              <w:rPr>
                <w:sz w:val="20"/>
                <w:szCs w:val="20"/>
                <w:color w:val="auto"/>
              </w:rPr>
            </w:pPr>
            <w:r>
              <w:rPr>
                <w:rFonts w:ascii="Arial" w:cs="Arial" w:eastAsia="Arial" w:hAnsi="Arial"/>
                <w:sz w:val="13"/>
                <w:szCs w:val="13"/>
                <w:b w:val="1"/>
                <w:bCs w:val="1"/>
                <w:color w:val="auto"/>
                <w:w w:val="91"/>
              </w:rPr>
              <w:t>Maturities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3"/>
          </w:tcPr>
          <w:p>
            <w:pPr>
              <w:ind w:left="4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c>
          <w:tcPr>
            <w:tcW w:w="2020" w:type="dxa"/>
            <w:vAlign w:val="bottom"/>
            <w:gridSpan w:val="3"/>
          </w:tcPr>
          <w:p>
            <w:pPr>
              <w:spacing w:after="0"/>
              <w:rPr>
                <w:sz w:val="20"/>
                <w:szCs w:val="20"/>
                <w:color w:val="auto"/>
              </w:rPr>
            </w:pPr>
            <w:r>
              <w:rPr>
                <w:rFonts w:ascii="Arial" w:cs="Arial" w:eastAsia="Arial" w:hAnsi="Arial"/>
                <w:sz w:val="13"/>
                <w:szCs w:val="13"/>
                <w:b w:val="1"/>
                <w:bCs w:val="1"/>
                <w:color w:val="auto"/>
              </w:rPr>
              <w:t>Maturing</w:t>
            </w:r>
          </w:p>
        </w:tc>
        <w:tc>
          <w:tcPr>
            <w:tcW w:w="1080" w:type="dxa"/>
            <w:vAlign w:val="bottom"/>
            <w:gridSpan w:val="5"/>
          </w:tcPr>
          <w:p>
            <w:pPr>
              <w:ind w:left="180"/>
              <w:spacing w:after="0"/>
              <w:rPr>
                <w:sz w:val="20"/>
                <w:szCs w:val="20"/>
                <w:color w:val="auto"/>
              </w:rPr>
            </w:pPr>
            <w:r>
              <w:rPr>
                <w:rFonts w:ascii="Arial" w:cs="Arial" w:eastAsia="Arial" w:hAnsi="Arial"/>
                <w:sz w:val="13"/>
                <w:szCs w:val="13"/>
                <w:b w:val="1"/>
                <w:bCs w:val="1"/>
                <w:color w:val="auto"/>
              </w:rPr>
              <w:t>Maturing</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Borders>
              <w:right w:val="single" w:sz="8" w:color="CCEEFF"/>
            </w:tcBorders>
            <w:gridSpan w:val="3"/>
            <w:shd w:val="clear" w:color="auto" w:fill="CCEEFF"/>
          </w:tcPr>
          <w:p>
            <w:pPr>
              <w:jc w:val="center"/>
              <w:ind w:left="315"/>
              <w:spacing w:after="0"/>
              <w:rPr>
                <w:sz w:val="20"/>
                <w:szCs w:val="20"/>
                <w:color w:val="auto"/>
              </w:rPr>
            </w:pPr>
            <w:r>
              <w:rPr>
                <w:rFonts w:ascii="Arial" w:cs="Arial" w:eastAsia="Arial" w:hAnsi="Arial"/>
                <w:sz w:val="17"/>
                <w:szCs w:val="17"/>
                <w:color w:val="auto"/>
                <w:w w:val="89"/>
              </w:rPr>
              <w:t>2011</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7"/>
                <w:szCs w:val="17"/>
                <w:color w:val="auto"/>
                <w:w w:val="77"/>
              </w:rPr>
              <w:t>208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102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15"/>
              <w:spacing w:after="0"/>
              <w:rPr>
                <w:sz w:val="20"/>
                <w:szCs w:val="20"/>
                <w:color w:val="auto"/>
              </w:rPr>
            </w:pPr>
            <w:r>
              <w:rPr>
                <w:rFonts w:ascii="Arial" w:cs="Arial" w:eastAsia="Arial" w:hAnsi="Arial"/>
                <w:sz w:val="17"/>
                <w:szCs w:val="17"/>
                <w:color w:val="auto"/>
              </w:rPr>
              <w:t>0.4%</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10"/>
        </w:trPr>
        <w:tc>
          <w:tcPr>
            <w:tcW w:w="1140" w:type="dxa"/>
            <w:vAlign w:val="bottom"/>
            <w:gridSpan w:val="3"/>
          </w:tcPr>
          <w:p>
            <w:pPr>
              <w:jc w:val="center"/>
              <w:ind w:left="315"/>
              <w:spacing w:after="0"/>
              <w:rPr>
                <w:sz w:val="20"/>
                <w:szCs w:val="20"/>
                <w:color w:val="auto"/>
              </w:rPr>
            </w:pPr>
            <w:r>
              <w:rPr>
                <w:rFonts w:ascii="Arial" w:cs="Arial" w:eastAsia="Arial" w:hAnsi="Arial"/>
                <w:sz w:val="17"/>
                <w:szCs w:val="17"/>
                <w:color w:val="auto"/>
                <w:w w:val="89"/>
              </w:rPr>
              <w:t>2012</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Arial" w:cs="Arial" w:eastAsia="Arial" w:hAnsi="Arial"/>
                <w:sz w:val="17"/>
                <w:szCs w:val="17"/>
                <w:color w:val="auto"/>
                <w:w w:val="77"/>
              </w:rPr>
              <w:t>220</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0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220</w:t>
            </w: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3"/>
          </w:tcPr>
          <w:p>
            <w:pPr>
              <w:jc w:val="right"/>
              <w:ind w:right="115"/>
              <w:spacing w:after="0"/>
              <w:rPr>
                <w:sz w:val="20"/>
                <w:szCs w:val="20"/>
                <w:color w:val="auto"/>
              </w:rPr>
            </w:pPr>
            <w:r>
              <w:rPr>
                <w:rFonts w:ascii="Arial" w:cs="Arial" w:eastAsia="Arial" w:hAnsi="Arial"/>
                <w:sz w:val="17"/>
                <w:szCs w:val="17"/>
                <w:color w:val="auto"/>
              </w:rPr>
              <w:t>0.4%</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10"/>
        </w:trPr>
        <w:tc>
          <w:tcPr>
            <w:tcW w:w="1140" w:type="dxa"/>
            <w:vAlign w:val="bottom"/>
            <w:tcBorders>
              <w:right w:val="single" w:sz="8" w:color="CCEEFF"/>
            </w:tcBorders>
            <w:gridSpan w:val="3"/>
            <w:shd w:val="clear" w:color="auto" w:fill="CCEEFF"/>
          </w:tcPr>
          <w:p>
            <w:pPr>
              <w:jc w:val="center"/>
              <w:ind w:left="315"/>
              <w:spacing w:after="0"/>
              <w:rPr>
                <w:sz w:val="20"/>
                <w:szCs w:val="20"/>
                <w:color w:val="auto"/>
              </w:rPr>
            </w:pPr>
            <w:r>
              <w:rPr>
                <w:rFonts w:ascii="Arial" w:cs="Arial" w:eastAsia="Arial" w:hAnsi="Arial"/>
                <w:sz w:val="17"/>
                <w:szCs w:val="17"/>
                <w:color w:val="auto"/>
                <w:w w:val="89"/>
              </w:rPr>
              <w:t>2013</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7"/>
                <w:szCs w:val="17"/>
                <w:color w:val="auto"/>
                <w:w w:val="77"/>
              </w:rPr>
              <w:t>233</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15"/>
              <w:spacing w:after="0"/>
              <w:rPr>
                <w:sz w:val="20"/>
                <w:szCs w:val="20"/>
                <w:color w:val="auto"/>
              </w:rPr>
            </w:pPr>
            <w:r>
              <w:rPr>
                <w:rFonts w:ascii="Arial" w:cs="Arial" w:eastAsia="Arial" w:hAnsi="Arial"/>
                <w:sz w:val="17"/>
                <w:szCs w:val="17"/>
                <w:color w:val="auto"/>
              </w:rPr>
              <w:t>0.4%</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0"/>
        </w:trPr>
        <w:tc>
          <w:tcPr>
            <w:tcW w:w="1140" w:type="dxa"/>
            <w:vAlign w:val="bottom"/>
            <w:gridSpan w:val="3"/>
          </w:tcPr>
          <w:p>
            <w:pPr>
              <w:jc w:val="center"/>
              <w:ind w:left="315"/>
              <w:spacing w:after="0"/>
              <w:rPr>
                <w:sz w:val="20"/>
                <w:szCs w:val="20"/>
                <w:color w:val="auto"/>
              </w:rPr>
            </w:pPr>
            <w:r>
              <w:rPr>
                <w:rFonts w:ascii="Arial" w:cs="Arial" w:eastAsia="Arial" w:hAnsi="Arial"/>
                <w:sz w:val="17"/>
                <w:szCs w:val="17"/>
                <w:color w:val="auto"/>
                <w:w w:val="89"/>
              </w:rPr>
              <w:t>2014</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Arial" w:cs="Arial" w:eastAsia="Arial" w:hAnsi="Arial"/>
                <w:sz w:val="17"/>
                <w:szCs w:val="17"/>
                <w:color w:val="auto"/>
                <w:w w:val="77"/>
              </w:rPr>
              <w:t>142</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22,396</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22,538</w:t>
            </w: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3"/>
          </w:tcPr>
          <w:p>
            <w:pPr>
              <w:jc w:val="right"/>
              <w:ind w:right="115"/>
              <w:spacing w:after="0"/>
              <w:rPr>
                <w:sz w:val="20"/>
                <w:szCs w:val="20"/>
                <w:color w:val="auto"/>
              </w:rPr>
            </w:pPr>
            <w:r>
              <w:rPr>
                <w:rFonts w:ascii="Arial" w:cs="Arial" w:eastAsia="Arial" w:hAnsi="Arial"/>
                <w:sz w:val="17"/>
                <w:szCs w:val="17"/>
                <w:color w:val="auto"/>
              </w:rPr>
              <w:t>39.1%</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40.3%</w:t>
            </w:r>
          </w:p>
        </w:tc>
        <w:tc>
          <w:tcPr>
            <w:tcW w:w="0" w:type="dxa"/>
            <w:vAlign w:val="bottom"/>
          </w:tcPr>
          <w:p>
            <w:pPr>
              <w:spacing w:after="0"/>
              <w:rPr>
                <w:sz w:val="1"/>
                <w:szCs w:val="1"/>
                <w:color w:val="auto"/>
              </w:rPr>
            </w:pPr>
          </w:p>
        </w:tc>
      </w:tr>
      <w:tr>
        <w:trPr>
          <w:trHeight w:val="210"/>
        </w:trPr>
        <w:tc>
          <w:tcPr>
            <w:tcW w:w="1140" w:type="dxa"/>
            <w:vAlign w:val="bottom"/>
            <w:tcBorders>
              <w:right w:val="single" w:sz="8" w:color="CCEEFF"/>
            </w:tcBorders>
            <w:gridSpan w:val="3"/>
            <w:shd w:val="clear" w:color="auto" w:fill="CCEEFF"/>
          </w:tcPr>
          <w:p>
            <w:pPr>
              <w:jc w:val="center"/>
              <w:ind w:left="315"/>
              <w:spacing w:after="0"/>
              <w:rPr>
                <w:sz w:val="20"/>
                <w:szCs w:val="20"/>
                <w:color w:val="auto"/>
              </w:rPr>
            </w:pPr>
            <w:r>
              <w:rPr>
                <w:rFonts w:ascii="Arial" w:cs="Arial" w:eastAsia="Arial" w:hAnsi="Arial"/>
                <w:sz w:val="17"/>
                <w:szCs w:val="17"/>
                <w:color w:val="auto"/>
                <w:w w:val="89"/>
              </w:rPr>
              <w:t>2015</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EEFF"/>
          </w:tcPr>
          <w:p>
            <w:pPr>
              <w:jc w:val="right"/>
              <w:ind w:right="115"/>
              <w:spacing w:after="0"/>
              <w:rPr>
                <w:sz w:val="20"/>
                <w:szCs w:val="20"/>
                <w:color w:val="auto"/>
              </w:rPr>
            </w:pPr>
            <w:r>
              <w:rPr>
                <w:rFonts w:ascii="Arial" w:cs="Arial" w:eastAsia="Arial" w:hAnsi="Arial"/>
                <w:sz w:val="17"/>
                <w:szCs w:val="17"/>
                <w:color w:val="auto"/>
              </w:rPr>
              <w:t>0.0%</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40.3%</w:t>
            </w:r>
          </w:p>
        </w:tc>
        <w:tc>
          <w:tcPr>
            <w:tcW w:w="0" w:type="dxa"/>
            <w:vAlign w:val="bottom"/>
          </w:tcPr>
          <w:p>
            <w:pPr>
              <w:spacing w:after="0"/>
              <w:rPr>
                <w:sz w:val="1"/>
                <w:szCs w:val="1"/>
                <w:color w:val="auto"/>
              </w:rPr>
            </w:pPr>
          </w:p>
        </w:tc>
      </w:tr>
      <w:tr>
        <w:trPr>
          <w:trHeight w:val="210"/>
        </w:trPr>
        <w:tc>
          <w:tcPr>
            <w:tcW w:w="1140" w:type="dxa"/>
            <w:vAlign w:val="bottom"/>
            <w:gridSpan w:val="3"/>
          </w:tcPr>
          <w:p>
            <w:pPr>
              <w:jc w:val="center"/>
              <w:ind w:left="315"/>
              <w:spacing w:after="0"/>
              <w:rPr>
                <w:sz w:val="20"/>
                <w:szCs w:val="20"/>
                <w:color w:val="auto"/>
              </w:rPr>
            </w:pPr>
            <w:r>
              <w:rPr>
                <w:rFonts w:ascii="Arial" w:cs="Arial" w:eastAsia="Arial" w:hAnsi="Arial"/>
                <w:sz w:val="17"/>
                <w:szCs w:val="17"/>
                <w:color w:val="auto"/>
                <w:w w:val="89"/>
              </w:rPr>
              <w:t>2016</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Arial" w:cs="Arial" w:eastAsia="Arial" w:hAnsi="Arial"/>
                <w:sz w:val="17"/>
                <w:szCs w:val="17"/>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34,385</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34,385</w:t>
            </w: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3"/>
          </w:tcPr>
          <w:p>
            <w:pPr>
              <w:jc w:val="right"/>
              <w:ind w:right="115"/>
              <w:spacing w:after="0"/>
              <w:rPr>
                <w:sz w:val="20"/>
                <w:szCs w:val="20"/>
                <w:color w:val="auto"/>
              </w:rPr>
            </w:pPr>
            <w:r>
              <w:rPr>
                <w:rFonts w:ascii="Arial" w:cs="Arial" w:eastAsia="Arial" w:hAnsi="Arial"/>
                <w:sz w:val="17"/>
                <w:szCs w:val="17"/>
                <w:color w:val="auto"/>
              </w:rPr>
              <w:t>59.7%</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gridSpan w:val="4"/>
            <w:shd w:val="clear" w:color="auto" w:fill="CCEEFF"/>
          </w:tcPr>
          <w:p>
            <w:pPr>
              <w:jc w:val="center"/>
              <w:ind w:right="1080"/>
              <w:spacing w:after="0"/>
              <w:rPr>
                <w:sz w:val="20"/>
                <w:szCs w:val="20"/>
                <w:color w:val="auto"/>
              </w:rPr>
            </w:pPr>
            <w:r>
              <w:rPr>
                <w:rFonts w:ascii="Arial" w:cs="Arial" w:eastAsia="Arial" w:hAnsi="Arial"/>
                <w:sz w:val="17"/>
                <w:szCs w:val="17"/>
                <w:color w:val="auto"/>
                <w:w w:val="89"/>
              </w:rPr>
              <w:t>Total</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7"/>
                <w:szCs w:val="17"/>
                <w:color w:val="auto"/>
                <w:w w:val="77"/>
              </w:rPr>
              <w:t>803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56,781</w:t>
            </w:r>
          </w:p>
        </w:tc>
        <w:tc>
          <w:tcPr>
            <w:tcW w:w="9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57,584</w:t>
            </w: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15"/>
              <w:spacing w:after="0"/>
              <w:rPr>
                <w:sz w:val="20"/>
                <w:szCs w:val="20"/>
                <w:color w:val="auto"/>
              </w:rPr>
            </w:pPr>
            <w:r>
              <w:rPr>
                <w:rFonts w:ascii="Arial" w:cs="Arial" w:eastAsia="Arial" w:hAnsi="Arial"/>
                <w:sz w:val="17"/>
                <w:szCs w:val="17"/>
                <w:color w:val="auto"/>
              </w:rPr>
              <w:t>100.0%</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6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60" w:hanging="455"/>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Effective July 5, 2007, principal and interest payments are due based on a 30-year amortization schedule.</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Interest only until maturity.</w:t>
      </w:r>
    </w:p>
    <w:p>
      <w:pPr>
        <w:spacing w:after="0" w:line="14" w:lineRule="exact"/>
        <w:rPr>
          <w:rFonts w:ascii="Arial" w:cs="Arial" w:eastAsia="Arial" w:hAnsi="Arial"/>
          <w:sz w:val="17"/>
          <w:szCs w:val="17"/>
          <w:color w:val="auto"/>
        </w:rPr>
      </w:pPr>
    </w:p>
    <w:p>
      <w:pPr>
        <w:ind w:left="460" w:hanging="455"/>
        <w:spacing w:after="0" w:line="275"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stated interest rate represents the weighted average interest rate for two mortgage loans secured by this property. The loan balance represents a note of $16.6 million at a stated rate of 6.06% and a note of $4.2 million at a stated rate of 5.71%.</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271"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 - 30% Owned Joint Venture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Mortgage or</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2"/>
              </w:rPr>
              <w:t>Grocery</w:t>
            </w:r>
          </w:p>
        </w:tc>
        <w:tc>
          <w:tcPr>
            <w:tcW w:w="6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Grocery</w:t>
            </w:r>
          </w:p>
        </w:tc>
        <w:tc>
          <w:tcPr>
            <w:tcW w:w="60" w:type="dxa"/>
            <w:vAlign w:val="bottom"/>
          </w:tcPr>
          <w:p>
            <w:pPr>
              <w:spacing w:after="0"/>
              <w:rPr>
                <w:sz w:val="13"/>
                <w:szCs w:val="13"/>
                <w:color w:val="auto"/>
              </w:rPr>
            </w:pPr>
          </w:p>
        </w:tc>
        <w:tc>
          <w:tcPr>
            <w:tcW w:w="1340" w:type="dxa"/>
            <w:vAlign w:val="bottom"/>
            <w:vMerge w:val="restart"/>
          </w:tcPr>
          <w:p>
            <w:pPr>
              <w:ind w:left="240"/>
              <w:spacing w:after="0"/>
              <w:rPr>
                <w:sz w:val="20"/>
                <w:szCs w:val="20"/>
                <w:color w:val="auto"/>
              </w:rPr>
            </w:pPr>
            <w:r>
              <w:rPr>
                <w:rFonts w:ascii="Arial" w:cs="Arial" w:eastAsia="Arial" w:hAnsi="Arial"/>
                <w:sz w:val="13"/>
                <w:szCs w:val="13"/>
                <w:b w:val="1"/>
                <w:bCs w:val="1"/>
                <w:color w:val="auto"/>
              </w:rPr>
              <w:t>Other Principal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92"/>
              </w:rPr>
              <w:t>Year</w:t>
            </w:r>
          </w:p>
        </w:tc>
        <w:tc>
          <w:tcPr>
            <w:tcW w:w="800" w:type="dxa"/>
            <w:vAlign w:val="bottom"/>
            <w:gridSpan w:val="2"/>
          </w:tcPr>
          <w:p>
            <w:pPr>
              <w:ind w:left="20"/>
              <w:spacing w:after="0" w:line="131" w:lineRule="exact"/>
              <w:rPr>
                <w:sz w:val="20"/>
                <w:szCs w:val="20"/>
                <w:color w:val="auto"/>
              </w:rPr>
            </w:pPr>
            <w:r>
              <w:rPr>
                <w:rFonts w:ascii="Arial" w:cs="Arial" w:eastAsia="Arial" w:hAnsi="Arial"/>
                <w:sz w:val="13"/>
                <w:szCs w:val="13"/>
                <w:b w:val="1"/>
                <w:bCs w:val="1"/>
                <w:color w:val="auto"/>
                <w:w w:val="89"/>
              </w:rPr>
              <w:t>Real Estate at</w:t>
            </w:r>
          </w:p>
        </w:tc>
        <w:tc>
          <w:tcPr>
            <w:tcW w:w="140" w:type="dxa"/>
            <w:vAlign w:val="bottom"/>
          </w:tcPr>
          <w:p>
            <w:pPr>
              <w:spacing w:after="0"/>
              <w:rPr>
                <w:sz w:val="11"/>
                <w:szCs w:val="11"/>
                <w:color w:val="auto"/>
              </w:rPr>
            </w:pPr>
          </w:p>
        </w:tc>
        <w:tc>
          <w:tcPr>
            <w:tcW w:w="800" w:type="dxa"/>
            <w:vAlign w:val="bottom"/>
            <w:gridSpan w:val="2"/>
          </w:tcPr>
          <w:p>
            <w:pPr>
              <w:ind w:left="20"/>
              <w:spacing w:after="0" w:line="131" w:lineRule="exact"/>
              <w:rPr>
                <w:sz w:val="20"/>
                <w:szCs w:val="20"/>
                <w:color w:val="auto"/>
              </w:rPr>
            </w:pPr>
            <w:r>
              <w:rPr>
                <w:rFonts w:ascii="Arial" w:cs="Arial" w:eastAsia="Arial" w:hAnsi="Arial"/>
                <w:sz w:val="13"/>
                <w:szCs w:val="13"/>
                <w:b w:val="1"/>
                <w:bCs w:val="1"/>
                <w:color w:val="auto"/>
                <w:w w:val="90"/>
              </w:rPr>
              <w:t>Capital Lease</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gridSpan w:val="2"/>
          </w:tcPr>
          <w:p>
            <w:pPr>
              <w:jc w:val="right"/>
              <w:ind w:right="54"/>
              <w:spacing w:after="0" w:line="131"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tcPr>
          <w:p>
            <w:pPr>
              <w:ind w:left="40"/>
              <w:spacing w:after="0" w:line="131" w:lineRule="exact"/>
              <w:rPr>
                <w:sz w:val="20"/>
                <w:szCs w:val="20"/>
                <w:color w:val="auto"/>
              </w:rPr>
            </w:pPr>
            <w:r>
              <w:rPr>
                <w:rFonts w:ascii="Arial" w:cs="Arial" w:eastAsia="Arial" w:hAnsi="Arial"/>
                <w:sz w:val="13"/>
                <w:szCs w:val="13"/>
                <w:b w:val="1"/>
                <w:bCs w:val="1"/>
                <w:color w:val="auto"/>
              </w:rPr>
              <w:t>Average</w:t>
            </w:r>
          </w:p>
        </w:tc>
        <w:tc>
          <w:tcPr>
            <w:tcW w:w="540" w:type="dxa"/>
            <w:vAlign w:val="bottom"/>
            <w:gridSpan w:val="2"/>
          </w:tcPr>
          <w:p>
            <w:pPr>
              <w:ind w:left="20"/>
              <w:spacing w:after="0" w:line="131" w:lineRule="exact"/>
              <w:rPr>
                <w:sz w:val="20"/>
                <w:szCs w:val="20"/>
                <w:color w:val="auto"/>
              </w:rPr>
            </w:pPr>
            <w:r>
              <w:rPr>
                <w:rFonts w:ascii="Arial" w:cs="Arial" w:eastAsia="Arial" w:hAnsi="Arial"/>
                <w:sz w:val="13"/>
                <w:szCs w:val="13"/>
                <w:b w:val="1"/>
                <w:bCs w:val="1"/>
                <w:color w:val="auto"/>
              </w:rPr>
              <w:t>Anchor</w:t>
            </w:r>
          </w:p>
        </w:tc>
        <w:tc>
          <w:tcPr>
            <w:tcW w:w="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140" w:type="dxa"/>
            <w:vAlign w:val="bottom"/>
            <w:gridSpan w:val="4"/>
          </w:tcPr>
          <w:p>
            <w:pPr>
              <w:spacing w:after="0"/>
              <w:rPr>
                <w:sz w:val="20"/>
                <w:szCs w:val="20"/>
                <w:color w:val="auto"/>
              </w:rPr>
            </w:pPr>
            <w:r>
              <w:rPr>
                <w:rFonts w:ascii="Arial" w:cs="Arial" w:eastAsia="Arial" w:hAnsi="Arial"/>
                <w:sz w:val="13"/>
                <w:szCs w:val="13"/>
                <w:b w:val="1"/>
                <w:bCs w:val="1"/>
                <w:color w:val="auto"/>
              </w:rPr>
              <w:t>Property Name</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2"/>
          </w:tcPr>
          <w:p>
            <w:pPr>
              <w:ind w:left="220"/>
              <w:spacing w:after="0"/>
              <w:rPr>
                <w:sz w:val="20"/>
                <w:szCs w:val="20"/>
                <w:color w:val="auto"/>
              </w:rPr>
            </w:pPr>
            <w:r>
              <w:rPr>
                <w:rFonts w:ascii="Arial" w:cs="Arial" w:eastAsia="Arial" w:hAnsi="Arial"/>
                <w:sz w:val="13"/>
                <w:szCs w:val="13"/>
                <w:b w:val="1"/>
                <w:bCs w:val="1"/>
                <w:color w:val="auto"/>
              </w:rPr>
              <w:t>MSA Description</w:t>
            </w:r>
          </w:p>
        </w:tc>
        <w:tc>
          <w:tcPr>
            <w:tcW w:w="6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Acquired</w:t>
            </w:r>
          </w:p>
        </w:tc>
        <w:tc>
          <w:tcPr>
            <w:tcW w:w="18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b w:val="1"/>
                <w:bCs w:val="1"/>
                <w:color w:val="auto"/>
                <w:w w:val="93"/>
              </w:rPr>
              <w:t>Obligation</w:t>
            </w:r>
          </w:p>
        </w:tc>
        <w:tc>
          <w:tcPr>
            <w:tcW w:w="140" w:type="dxa"/>
            <w:vAlign w:val="bottom"/>
          </w:tcPr>
          <w:p>
            <w:pPr>
              <w:spacing w:after="0"/>
              <w:rPr>
                <w:sz w:val="14"/>
                <w:szCs w:val="14"/>
                <w:color w:val="auto"/>
              </w:rPr>
            </w:pPr>
          </w:p>
        </w:tc>
        <w:tc>
          <w:tcPr>
            <w:tcW w:w="460" w:type="dxa"/>
            <w:vAlign w:val="bottom"/>
          </w:tcPr>
          <w:p>
            <w:pPr>
              <w:jc w:val="right"/>
              <w:ind w:right="34"/>
              <w:spacing w:after="0"/>
              <w:rPr>
                <w:sz w:val="20"/>
                <w:szCs w:val="20"/>
                <w:color w:val="auto"/>
              </w:rPr>
            </w:pPr>
            <w:r>
              <w:rPr>
                <w:rFonts w:ascii="Arial" w:cs="Arial" w:eastAsia="Arial" w:hAnsi="Arial"/>
                <w:sz w:val="13"/>
                <w:szCs w:val="13"/>
                <w:b w:val="1"/>
                <w:bCs w:val="1"/>
                <w:color w:val="auto"/>
              </w:rPr>
              <w:t>GLA</w:t>
            </w:r>
          </w:p>
        </w:tc>
        <w:tc>
          <w:tcPr>
            <w:tcW w:w="14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Leased</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1"/>
              </w:rPr>
              <w:t>% Occupied</w:t>
            </w:r>
          </w:p>
        </w:tc>
        <w:tc>
          <w:tcPr>
            <w:tcW w:w="60" w:type="dxa"/>
            <w:vAlign w:val="bottom"/>
          </w:tcPr>
          <w:p>
            <w:pPr>
              <w:spacing w:after="0"/>
              <w:rPr>
                <w:sz w:val="14"/>
                <w:szCs w:val="14"/>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89"/>
              </w:rPr>
              <w:t>Rent PSF</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3"/>
              </w:rPr>
              <w:t>GLA (1)</w:t>
            </w:r>
          </w:p>
        </w:tc>
        <w:tc>
          <w:tcPr>
            <w:tcW w:w="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5"/>
              </w:rPr>
              <w:t>Anchor (1)</w:t>
            </w:r>
          </w:p>
        </w:tc>
        <w:tc>
          <w:tcPr>
            <w:tcW w:w="60" w:type="dxa"/>
            <w:vAlign w:val="bottom"/>
          </w:tcPr>
          <w:p>
            <w:pPr>
              <w:spacing w:after="0"/>
              <w:rPr>
                <w:sz w:val="14"/>
                <w:szCs w:val="14"/>
                <w:color w:val="auto"/>
              </w:rPr>
            </w:pPr>
          </w:p>
        </w:tc>
        <w:tc>
          <w:tcPr>
            <w:tcW w:w="1340" w:type="dxa"/>
            <w:vAlign w:val="bottom"/>
          </w:tcPr>
          <w:p>
            <w:pPr>
              <w:ind w:left="460"/>
              <w:spacing w:after="0"/>
              <w:rPr>
                <w:sz w:val="20"/>
                <w:szCs w:val="20"/>
                <w:color w:val="auto"/>
              </w:rPr>
            </w:pPr>
            <w:r>
              <w:rPr>
                <w:rFonts w:ascii="Arial" w:cs="Arial" w:eastAsia="Arial" w:hAnsi="Arial"/>
                <w:sz w:val="13"/>
                <w:szCs w:val="13"/>
                <w:b w:val="1"/>
                <w:bCs w:val="1"/>
                <w:color w:val="auto"/>
              </w:rPr>
              <w:t>Tenants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140" w:type="dxa"/>
            <w:vAlign w:val="bottom"/>
          </w:tcPr>
          <w:p>
            <w:pPr>
              <w:spacing w:after="0"/>
              <w:rPr>
                <w:sz w:val="11"/>
                <w:szCs w:val="11"/>
                <w:color w:val="auto"/>
              </w:rPr>
            </w:pPr>
          </w:p>
        </w:tc>
        <w:tc>
          <w:tcPr>
            <w:tcW w:w="80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40" w:type="dxa"/>
            <w:vAlign w:val="bottom"/>
            <w:gridSpan w:val="7"/>
            <w:shd w:val="clear" w:color="auto" w:fill="CCEEFF"/>
          </w:tcPr>
          <w:p>
            <w:pPr>
              <w:ind w:left="200"/>
              <w:spacing w:after="0" w:line="131" w:lineRule="exact"/>
              <w:rPr>
                <w:sz w:val="20"/>
                <w:szCs w:val="20"/>
                <w:color w:val="auto"/>
              </w:rPr>
            </w:pPr>
            <w:r>
              <w:rPr>
                <w:rFonts w:ascii="Arial" w:cs="Arial" w:eastAsia="Arial" w:hAnsi="Arial"/>
                <w:sz w:val="13"/>
                <w:szCs w:val="13"/>
                <w:b w:val="1"/>
                <w:bCs w:val="1"/>
                <w:color w:val="auto"/>
              </w:rPr>
              <w:t>Washington Metropolitan Area</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continue"/>
          </w:tcPr>
          <w:p>
            <w:pPr>
              <w:spacing w:after="0"/>
              <w:rPr>
                <w:sz w:val="11"/>
                <w:szCs w:val="11"/>
                <w:color w:val="auto"/>
              </w:rPr>
            </w:pPr>
          </w:p>
        </w:tc>
        <w:tc>
          <w:tcPr>
            <w:tcW w:w="1120" w:type="dxa"/>
            <w:vAlign w:val="bottom"/>
            <w:gridSpan w:val="3"/>
          </w:tcPr>
          <w:p>
            <w:pPr>
              <w:spacing w:after="0" w:line="138" w:lineRule="exact"/>
              <w:rPr>
                <w:sz w:val="20"/>
                <w:szCs w:val="20"/>
                <w:color w:val="auto"/>
              </w:rPr>
            </w:pPr>
            <w:r>
              <w:rPr>
                <w:rFonts w:ascii="Arial" w:cs="Arial" w:eastAsia="Arial" w:hAnsi="Arial"/>
                <w:sz w:val="13"/>
                <w:szCs w:val="13"/>
                <w:color w:val="auto"/>
              </w:rPr>
              <w:t>Barcroft Plaza</w:t>
            </w:r>
          </w:p>
        </w:tc>
        <w:tc>
          <w:tcPr>
            <w:tcW w:w="2120" w:type="dxa"/>
            <w:vAlign w:val="bottom"/>
            <w:gridSpan w:val="4"/>
          </w:tcPr>
          <w:p>
            <w:pPr>
              <w:ind w:left="40"/>
              <w:spacing w:after="0" w:line="138" w:lineRule="exact"/>
              <w:rPr>
                <w:sz w:val="20"/>
                <w:szCs w:val="20"/>
                <w:color w:val="auto"/>
              </w:rPr>
            </w:pPr>
            <w:r>
              <w:rPr>
                <w:rFonts w:ascii="Arial" w:cs="Arial" w:eastAsia="Arial" w:hAnsi="Arial"/>
                <w:sz w:val="13"/>
                <w:szCs w:val="13"/>
                <w:color w:val="auto"/>
              </w:rPr>
              <w:t>Washington, DC-MD-VA</w:t>
            </w:r>
          </w:p>
        </w:tc>
        <w:tc>
          <w:tcPr>
            <w:tcW w:w="800" w:type="dxa"/>
            <w:vAlign w:val="bottom"/>
            <w:gridSpan w:val="3"/>
          </w:tcPr>
          <w:p>
            <w:pPr>
              <w:jc w:val="right"/>
              <w:ind w:right="120"/>
              <w:spacing w:after="0" w:line="138" w:lineRule="exact"/>
              <w:rPr>
                <w:sz w:val="20"/>
                <w:szCs w:val="20"/>
                <w:color w:val="auto"/>
              </w:rPr>
            </w:pPr>
            <w:r>
              <w:rPr>
                <w:rFonts w:ascii="Arial" w:cs="Arial" w:eastAsia="Arial" w:hAnsi="Arial"/>
                <w:sz w:val="13"/>
                <w:szCs w:val="13"/>
                <w:color w:val="auto"/>
              </w:rPr>
              <w:t>2006-2007</w:t>
            </w:r>
          </w:p>
        </w:tc>
        <w:tc>
          <w:tcPr>
            <w:tcW w:w="1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34,282</w:t>
            </w:r>
          </w:p>
        </w:tc>
        <w:tc>
          <w:tcPr>
            <w:tcW w:w="220" w:type="dxa"/>
            <w:vAlign w:val="bottom"/>
            <w:gridSpan w:val="2"/>
          </w:tcPr>
          <w:p>
            <w:pPr>
              <w:ind w:left="140"/>
              <w:spacing w:after="0" w:line="138"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20,785</w:t>
            </w:r>
          </w:p>
        </w:tc>
        <w:tc>
          <w:tcPr>
            <w:tcW w:w="60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101,000</w:t>
            </w:r>
          </w:p>
        </w:tc>
        <w:tc>
          <w:tcPr>
            <w:tcW w:w="740" w:type="dxa"/>
            <w:vAlign w:val="bottom"/>
            <w:gridSpan w:val="3"/>
          </w:tcPr>
          <w:p>
            <w:pPr>
              <w:jc w:val="right"/>
              <w:ind w:right="100"/>
              <w:spacing w:after="0" w:line="138" w:lineRule="exact"/>
              <w:rPr>
                <w:sz w:val="20"/>
                <w:szCs w:val="20"/>
                <w:color w:val="auto"/>
              </w:rPr>
            </w:pPr>
            <w:r>
              <w:rPr>
                <w:rFonts w:ascii="Arial" w:cs="Arial" w:eastAsia="Arial" w:hAnsi="Arial"/>
                <w:sz w:val="13"/>
                <w:szCs w:val="13"/>
                <w:color w:val="auto"/>
              </w:rPr>
              <w:t>88%</w:t>
            </w:r>
          </w:p>
        </w:tc>
        <w:tc>
          <w:tcPr>
            <w:tcW w:w="860" w:type="dxa"/>
            <w:vAlign w:val="bottom"/>
            <w:gridSpan w:val="2"/>
          </w:tcPr>
          <w:p>
            <w:pPr>
              <w:jc w:val="right"/>
              <w:ind w:right="40"/>
              <w:spacing w:after="0" w:line="138" w:lineRule="exact"/>
              <w:rPr>
                <w:sz w:val="20"/>
                <w:szCs w:val="20"/>
                <w:color w:val="auto"/>
              </w:rPr>
            </w:pPr>
            <w:r>
              <w:rPr>
                <w:rFonts w:ascii="Arial" w:cs="Arial" w:eastAsia="Arial" w:hAnsi="Arial"/>
                <w:sz w:val="13"/>
                <w:szCs w:val="13"/>
                <w:color w:val="auto"/>
              </w:rPr>
              <w:t>88%</w:t>
            </w:r>
          </w:p>
        </w:tc>
        <w:tc>
          <w:tcPr>
            <w:tcW w:w="200" w:type="dxa"/>
            <w:vAlign w:val="bottom"/>
            <w:gridSpan w:val="2"/>
          </w:tcPr>
          <w:p>
            <w:pPr>
              <w:jc w:val="right"/>
              <w:ind w:right="14"/>
              <w:spacing w:after="0" w:line="138"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22.48</w:t>
            </w:r>
          </w:p>
        </w:tc>
        <w:tc>
          <w:tcPr>
            <w:tcW w:w="5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46,000</w:t>
            </w:r>
          </w:p>
        </w:tc>
        <w:tc>
          <w:tcPr>
            <w:tcW w:w="760" w:type="dxa"/>
            <w:vAlign w:val="bottom"/>
            <w:gridSpan w:val="2"/>
          </w:tcPr>
          <w:p>
            <w:pPr>
              <w:ind w:left="60"/>
              <w:spacing w:after="0" w:line="138" w:lineRule="exact"/>
              <w:rPr>
                <w:sz w:val="20"/>
                <w:szCs w:val="20"/>
                <w:color w:val="auto"/>
              </w:rPr>
            </w:pPr>
            <w:r>
              <w:rPr>
                <w:rFonts w:ascii="Arial" w:cs="Arial" w:eastAsia="Arial" w:hAnsi="Arial"/>
                <w:sz w:val="13"/>
                <w:szCs w:val="13"/>
                <w:color w:val="auto"/>
                <w:w w:val="89"/>
              </w:rPr>
              <w:t>Harris Teeter</w:t>
            </w:r>
          </w:p>
        </w:tc>
        <w:tc>
          <w:tcPr>
            <w:tcW w:w="60" w:type="dxa"/>
            <w:vAlign w:val="bottom"/>
          </w:tcPr>
          <w:p>
            <w:pPr>
              <w:spacing w:after="0"/>
              <w:rPr>
                <w:sz w:val="11"/>
                <w:szCs w:val="11"/>
                <w:color w:val="auto"/>
              </w:rPr>
            </w:pPr>
          </w:p>
        </w:tc>
        <w:tc>
          <w:tcPr>
            <w:tcW w:w="1340" w:type="dxa"/>
            <w:vAlign w:val="bottom"/>
          </w:tcPr>
          <w:p>
            <w:pPr>
              <w:spacing w:after="0" w:line="138" w:lineRule="exact"/>
              <w:rPr>
                <w:sz w:val="20"/>
                <w:szCs w:val="20"/>
                <w:color w:val="auto"/>
              </w:rPr>
            </w:pPr>
            <w:r>
              <w:rPr>
                <w:rFonts w:ascii="Arial" w:cs="Arial" w:eastAsia="Arial" w:hAnsi="Arial"/>
                <w:sz w:val="13"/>
                <w:szCs w:val="13"/>
                <w:color w:val="auto"/>
              </w:rPr>
              <w:t>Bank of America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w w:val="92"/>
              </w:rPr>
              <w:t>Free State Shopping</w:t>
            </w:r>
          </w:p>
        </w:tc>
        <w:tc>
          <w:tcPr>
            <w:tcW w:w="2120" w:type="dxa"/>
            <w:vAlign w:val="bottom"/>
            <w:gridSpan w:val="4"/>
            <w:shd w:val="clear" w:color="auto" w:fill="CCEEFF"/>
          </w:tcPr>
          <w:p>
            <w:pPr>
              <w:ind w:left="40"/>
              <w:spacing w:after="0" w:line="136" w:lineRule="exact"/>
              <w:rPr>
                <w:sz w:val="20"/>
                <w:szCs w:val="20"/>
                <w:color w:val="auto"/>
              </w:rPr>
            </w:pPr>
            <w:r>
              <w:rPr>
                <w:rFonts w:ascii="Arial" w:cs="Arial" w:eastAsia="Arial" w:hAnsi="Arial"/>
                <w:sz w:val="13"/>
                <w:szCs w:val="13"/>
                <w:color w:val="auto"/>
              </w:rPr>
              <w:t>Washington, DC-MD-VA</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2007</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66,039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279,000</w:t>
            </w:r>
          </w:p>
        </w:tc>
        <w:tc>
          <w:tcPr>
            <w:tcW w:w="74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88%</w:t>
            </w:r>
          </w:p>
        </w:tc>
        <w:tc>
          <w:tcPr>
            <w:tcW w:w="8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86%</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15.21</w:t>
            </w:r>
          </w:p>
        </w:tc>
        <w:tc>
          <w:tcPr>
            <w:tcW w:w="54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73,000</w:t>
            </w:r>
          </w:p>
        </w:tc>
        <w:tc>
          <w:tcPr>
            <w:tcW w:w="76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Giant Food</w:t>
            </w:r>
          </w:p>
        </w:tc>
        <w:tc>
          <w:tcPr>
            <w:tcW w:w="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8"/>
              </w:rPr>
              <w:t>TJ Maxx / Ross / Office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Center</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Depot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gridSpan w:val="3"/>
          </w:tcPr>
          <w:p>
            <w:pPr>
              <w:spacing w:after="0" w:line="144" w:lineRule="exact"/>
              <w:rPr>
                <w:sz w:val="20"/>
                <w:szCs w:val="20"/>
                <w:color w:val="auto"/>
              </w:rPr>
            </w:pPr>
            <w:r>
              <w:rPr>
                <w:rFonts w:ascii="Arial" w:cs="Arial" w:eastAsia="Arial" w:hAnsi="Arial"/>
                <w:sz w:val="13"/>
                <w:szCs w:val="13"/>
                <w:color w:val="auto"/>
              </w:rPr>
              <w:t>Plaza del Mercado</w:t>
            </w:r>
          </w:p>
        </w:tc>
        <w:tc>
          <w:tcPr>
            <w:tcW w:w="2120" w:type="dxa"/>
            <w:vAlign w:val="bottom"/>
            <w:gridSpan w:val="4"/>
          </w:tcPr>
          <w:p>
            <w:pPr>
              <w:ind w:left="40"/>
              <w:spacing w:after="0" w:line="144" w:lineRule="exact"/>
              <w:rPr>
                <w:sz w:val="20"/>
                <w:szCs w:val="20"/>
                <w:color w:val="auto"/>
              </w:rPr>
            </w:pPr>
            <w:r>
              <w:rPr>
                <w:rFonts w:ascii="Arial" w:cs="Arial" w:eastAsia="Arial" w:hAnsi="Arial"/>
                <w:sz w:val="13"/>
                <w:szCs w:val="13"/>
                <w:color w:val="auto"/>
              </w:rPr>
              <w:t>Washington, DC-MD-VA</w:t>
            </w:r>
          </w:p>
        </w:tc>
        <w:tc>
          <w:tcPr>
            <w:tcW w:w="6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2004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21,499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12,699</w:t>
            </w:r>
          </w:p>
        </w:tc>
        <w:tc>
          <w:tcPr>
            <w:tcW w:w="14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96,000</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93%</w:t>
            </w:r>
          </w:p>
        </w:tc>
        <w:tc>
          <w:tcPr>
            <w:tcW w:w="86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93%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19.64</w:t>
            </w:r>
          </w:p>
        </w:tc>
        <w:tc>
          <w:tcPr>
            <w:tcW w:w="54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25,000</w:t>
            </w:r>
          </w:p>
        </w:tc>
        <w:tc>
          <w:tcPr>
            <w:tcW w:w="760" w:type="dxa"/>
            <w:vAlign w:val="bottom"/>
            <w:gridSpan w:val="2"/>
          </w:tcPr>
          <w:p>
            <w:pPr>
              <w:ind w:left="60"/>
              <w:spacing w:after="0" w:line="144" w:lineRule="exact"/>
              <w:rPr>
                <w:sz w:val="20"/>
                <w:szCs w:val="20"/>
                <w:color w:val="auto"/>
              </w:rPr>
            </w:pPr>
            <w:r>
              <w:rPr>
                <w:rFonts w:ascii="Arial" w:cs="Arial" w:eastAsia="Arial" w:hAnsi="Arial"/>
                <w:sz w:val="13"/>
                <w:szCs w:val="13"/>
                <w:color w:val="auto"/>
              </w:rPr>
              <w:t>Giant Food</w:t>
            </w:r>
          </w:p>
        </w:tc>
        <w:tc>
          <w:tcPr>
            <w:tcW w:w="60" w:type="dxa"/>
            <w:vAlign w:val="bottom"/>
          </w:tcPr>
          <w:p>
            <w:pPr>
              <w:spacing w:after="0"/>
              <w:rPr>
                <w:sz w:val="12"/>
                <w:szCs w:val="12"/>
                <w:color w:val="auto"/>
              </w:rPr>
            </w:pPr>
          </w:p>
        </w:tc>
        <w:tc>
          <w:tcPr>
            <w:tcW w:w="1340" w:type="dxa"/>
            <w:vAlign w:val="bottom"/>
          </w:tcPr>
          <w:p>
            <w:pPr>
              <w:spacing w:after="0" w:line="144"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20" w:type="dxa"/>
            <w:vAlign w:val="bottom"/>
            <w:gridSpan w:val="4"/>
            <w:shd w:val="clear" w:color="auto" w:fill="CCEEFF"/>
          </w:tcPr>
          <w:p>
            <w:pPr>
              <w:ind w:left="40"/>
              <w:spacing w:after="0" w:line="144" w:lineRule="exact"/>
              <w:rPr>
                <w:sz w:val="20"/>
                <w:szCs w:val="20"/>
                <w:color w:val="auto"/>
              </w:rPr>
            </w:pPr>
            <w:r>
              <w:rPr>
                <w:rFonts w:ascii="Arial" w:cs="Arial" w:eastAsia="Arial" w:hAnsi="Arial"/>
                <w:sz w:val="13"/>
                <w:szCs w:val="13"/>
                <w:b w:val="1"/>
                <w:bCs w:val="1"/>
                <w:color w:val="auto"/>
                <w:w w:val="92"/>
              </w:rPr>
              <w:t>Total Washington Metropolitan Area</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121,820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3"/>
              </w:rPr>
              <w:t>476,000</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89%</w:t>
            </w:r>
          </w:p>
        </w:tc>
        <w:tc>
          <w:tcPr>
            <w:tcW w:w="86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88%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17.71</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40" w:type="dxa"/>
            <w:vAlign w:val="bottom"/>
            <w:gridSpan w:val="7"/>
          </w:tcPr>
          <w:p>
            <w:pPr>
              <w:ind w:left="200"/>
              <w:spacing w:after="0" w:line="131" w:lineRule="exact"/>
              <w:rPr>
                <w:sz w:val="20"/>
                <w:szCs w:val="20"/>
                <w:color w:val="auto"/>
              </w:rPr>
            </w:pPr>
            <w:r>
              <w:rPr>
                <w:rFonts w:ascii="Arial" w:cs="Arial" w:eastAsia="Arial" w:hAnsi="Arial"/>
                <w:sz w:val="13"/>
                <w:szCs w:val="13"/>
                <w:b w:val="1"/>
                <w:bCs w:val="1"/>
                <w:color w:val="auto"/>
              </w:rPr>
              <w:t>New York / New Jersey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continue"/>
          </w:tcPr>
          <w:p>
            <w:pPr>
              <w:spacing w:after="0"/>
              <w:rPr>
                <w:sz w:val="11"/>
                <w:szCs w:val="11"/>
                <w:color w:val="auto"/>
              </w:rPr>
            </w:pPr>
          </w:p>
        </w:tc>
        <w:tc>
          <w:tcPr>
            <w:tcW w:w="112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Greenlawn Plaza</w:t>
            </w:r>
          </w:p>
        </w:tc>
        <w:tc>
          <w:tcPr>
            <w:tcW w:w="2120" w:type="dxa"/>
            <w:vAlign w:val="bottom"/>
            <w:gridSpan w:val="4"/>
            <w:shd w:val="clear" w:color="auto" w:fill="CCEEFF"/>
          </w:tcPr>
          <w:p>
            <w:pPr>
              <w:ind w:left="40"/>
              <w:spacing w:after="0" w:line="138" w:lineRule="exact"/>
              <w:rPr>
                <w:sz w:val="20"/>
                <w:szCs w:val="20"/>
                <w:color w:val="auto"/>
              </w:rPr>
            </w:pPr>
            <w:r>
              <w:rPr>
                <w:rFonts w:ascii="Arial" w:cs="Arial" w:eastAsia="Arial" w:hAnsi="Arial"/>
                <w:sz w:val="13"/>
                <w:szCs w:val="13"/>
                <w:color w:val="auto"/>
              </w:rPr>
              <w:t>Nassau-Suffolk, NY</w:t>
            </w:r>
          </w:p>
        </w:tc>
        <w:tc>
          <w:tcPr>
            <w:tcW w:w="6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2006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20,268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13,600</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3"/>
              </w:rPr>
              <w:t>106,000</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99%</w:t>
            </w:r>
          </w:p>
        </w:tc>
        <w:tc>
          <w:tcPr>
            <w:tcW w:w="8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99%</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16.00</w:t>
            </w:r>
          </w:p>
        </w:tc>
        <w:tc>
          <w:tcPr>
            <w:tcW w:w="5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46,000</w:t>
            </w:r>
          </w:p>
        </w:tc>
        <w:tc>
          <w:tcPr>
            <w:tcW w:w="7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w w:val="95"/>
              </w:rPr>
              <w:t>Waldbaum’s</w:t>
            </w:r>
          </w:p>
        </w:tc>
        <w:tc>
          <w:tcPr>
            <w:tcW w:w="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Tuesday Morning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Total New York / New Jersey</w:t>
            </w: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20,268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106,000</w:t>
            </w:r>
          </w:p>
        </w:tc>
        <w:tc>
          <w:tcPr>
            <w:tcW w:w="14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99%</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99%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16.00</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20" w:type="dxa"/>
            <w:vAlign w:val="bottom"/>
            <w:gridSpan w:val="3"/>
            <w:shd w:val="clear" w:color="auto" w:fill="CCEEFF"/>
          </w:tcPr>
          <w:p>
            <w:pPr>
              <w:ind w:left="200"/>
              <w:spacing w:after="0" w:line="131" w:lineRule="exact"/>
              <w:rPr>
                <w:sz w:val="20"/>
                <w:szCs w:val="20"/>
                <w:color w:val="auto"/>
              </w:rPr>
            </w:pPr>
            <w:r>
              <w:rPr>
                <w:rFonts w:ascii="Arial" w:cs="Arial" w:eastAsia="Arial" w:hAnsi="Arial"/>
                <w:sz w:val="13"/>
                <w:szCs w:val="13"/>
                <w:b w:val="1"/>
                <w:bCs w:val="1"/>
                <w:color w:val="auto"/>
              </w:rPr>
              <w:t>New England</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1120" w:type="dxa"/>
            <w:vAlign w:val="bottom"/>
            <w:gridSpan w:val="3"/>
          </w:tcPr>
          <w:p>
            <w:pPr>
              <w:spacing w:after="0" w:line="129" w:lineRule="exact"/>
              <w:rPr>
                <w:sz w:val="20"/>
                <w:szCs w:val="20"/>
                <w:color w:val="auto"/>
              </w:rPr>
            </w:pPr>
            <w:r>
              <w:rPr>
                <w:rFonts w:ascii="Arial" w:cs="Arial" w:eastAsia="Arial" w:hAnsi="Arial"/>
                <w:sz w:val="13"/>
                <w:szCs w:val="13"/>
                <w:color w:val="auto"/>
              </w:rPr>
              <w:t>Atlantic Plaza</w:t>
            </w:r>
          </w:p>
        </w:tc>
        <w:tc>
          <w:tcPr>
            <w:tcW w:w="2120" w:type="dxa"/>
            <w:vAlign w:val="bottom"/>
            <w:gridSpan w:val="4"/>
          </w:tcPr>
          <w:p>
            <w:pPr>
              <w:ind w:left="40"/>
              <w:spacing w:after="0" w:line="129" w:lineRule="exact"/>
              <w:rPr>
                <w:sz w:val="20"/>
                <w:szCs w:val="20"/>
                <w:color w:val="auto"/>
              </w:rPr>
            </w:pPr>
            <w:r>
              <w:rPr>
                <w:rFonts w:ascii="Arial" w:cs="Arial" w:eastAsia="Arial" w:hAnsi="Arial"/>
                <w:sz w:val="13"/>
                <w:szCs w:val="13"/>
                <w:color w:val="auto"/>
                <w:w w:val="97"/>
              </w:rPr>
              <w:t>Boston-Worcester-Lawrence-Lowell-</w:t>
            </w: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2004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18,482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10,500</w:t>
            </w:r>
          </w:p>
        </w:tc>
        <w:tc>
          <w:tcPr>
            <w:tcW w:w="6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123,000</w:t>
            </w:r>
          </w:p>
        </w:tc>
        <w:tc>
          <w:tcPr>
            <w:tcW w:w="740" w:type="dxa"/>
            <w:vAlign w:val="bottom"/>
            <w:gridSpan w:val="3"/>
          </w:tcPr>
          <w:p>
            <w:pPr>
              <w:jc w:val="right"/>
              <w:ind w:right="100"/>
              <w:spacing w:after="0" w:line="129" w:lineRule="exact"/>
              <w:rPr>
                <w:sz w:val="20"/>
                <w:szCs w:val="20"/>
                <w:color w:val="auto"/>
              </w:rPr>
            </w:pPr>
            <w:r>
              <w:rPr>
                <w:rFonts w:ascii="Arial" w:cs="Arial" w:eastAsia="Arial" w:hAnsi="Arial"/>
                <w:sz w:val="13"/>
                <w:szCs w:val="13"/>
                <w:color w:val="auto"/>
              </w:rPr>
              <w:t>87%</w:t>
            </w:r>
          </w:p>
        </w:tc>
        <w:tc>
          <w:tcPr>
            <w:tcW w:w="86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87%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17.05</w:t>
            </w:r>
          </w:p>
        </w:tc>
        <w:tc>
          <w:tcPr>
            <w:tcW w:w="54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64,000</w:t>
            </w:r>
          </w:p>
        </w:tc>
        <w:tc>
          <w:tcPr>
            <w:tcW w:w="760" w:type="dxa"/>
            <w:vAlign w:val="bottom"/>
            <w:gridSpan w:val="2"/>
          </w:tcPr>
          <w:p>
            <w:pPr>
              <w:ind w:left="60"/>
              <w:spacing w:after="0" w:line="129" w:lineRule="exact"/>
              <w:rPr>
                <w:sz w:val="20"/>
                <w:szCs w:val="20"/>
                <w:color w:val="auto"/>
              </w:rPr>
            </w:pPr>
            <w:r>
              <w:rPr>
                <w:rFonts w:ascii="Arial" w:cs="Arial" w:eastAsia="Arial" w:hAnsi="Arial"/>
                <w:sz w:val="13"/>
                <w:szCs w:val="13"/>
                <w:color w:val="auto"/>
                <w:w w:val="93"/>
              </w:rPr>
              <w:t>Stop &amp; Shop</w:t>
            </w:r>
          </w:p>
        </w:tc>
        <w:tc>
          <w:tcPr>
            <w:tcW w:w="60" w:type="dxa"/>
            <w:vAlign w:val="bottom"/>
          </w:tcPr>
          <w:p>
            <w:pPr>
              <w:spacing w:after="0"/>
              <w:rPr>
                <w:sz w:val="11"/>
                <w:szCs w:val="11"/>
                <w:color w:val="auto"/>
              </w:rPr>
            </w:pPr>
          </w:p>
        </w:tc>
        <w:tc>
          <w:tcPr>
            <w:tcW w:w="1340" w:type="dxa"/>
            <w:vAlign w:val="bottom"/>
          </w:tcPr>
          <w:p>
            <w:pPr>
              <w:spacing w:after="0" w:line="129" w:lineRule="exact"/>
              <w:rPr>
                <w:sz w:val="20"/>
                <w:szCs w:val="20"/>
                <w:color w:val="auto"/>
              </w:rPr>
            </w:pPr>
            <w:r>
              <w:rPr>
                <w:rFonts w:ascii="Arial" w:cs="Arial" w:eastAsia="Arial" w:hAnsi="Arial"/>
                <w:sz w:val="13"/>
                <w:szCs w:val="13"/>
                <w:color w:val="auto"/>
              </w:rPr>
              <w:t>Sears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gridSpan w:val="4"/>
          </w:tcPr>
          <w:p>
            <w:pPr>
              <w:ind w:left="40"/>
              <w:spacing w:after="0"/>
              <w:rPr>
                <w:sz w:val="20"/>
                <w:szCs w:val="20"/>
                <w:color w:val="auto"/>
              </w:rPr>
            </w:pPr>
            <w:r>
              <w:rPr>
                <w:rFonts w:ascii="Arial" w:cs="Arial" w:eastAsia="Arial" w:hAnsi="Arial"/>
                <w:sz w:val="13"/>
                <w:szCs w:val="13"/>
                <w:color w:val="auto"/>
              </w:rPr>
              <w:t>Brockton, MA</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Campus Plaza</w:t>
            </w:r>
          </w:p>
        </w:tc>
        <w:tc>
          <w:tcPr>
            <w:tcW w:w="2120" w:type="dxa"/>
            <w:vAlign w:val="bottom"/>
            <w:gridSpan w:val="4"/>
            <w:shd w:val="clear" w:color="auto" w:fill="CCEEFF"/>
          </w:tcPr>
          <w:p>
            <w:pPr>
              <w:ind w:left="40"/>
              <w:spacing w:after="0" w:line="136" w:lineRule="exact"/>
              <w:rPr>
                <w:sz w:val="20"/>
                <w:szCs w:val="20"/>
                <w:color w:val="auto"/>
              </w:rPr>
            </w:pPr>
            <w:r>
              <w:rPr>
                <w:rFonts w:ascii="Arial" w:cs="Arial" w:eastAsia="Arial" w:hAnsi="Arial"/>
                <w:sz w:val="13"/>
                <w:szCs w:val="13"/>
                <w:color w:val="auto"/>
                <w:w w:val="97"/>
              </w:rPr>
              <w:t>Boston-Worcester-Lawrence-Lowell-</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2004</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22,212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117,000</w:t>
            </w:r>
          </w:p>
        </w:tc>
        <w:tc>
          <w:tcPr>
            <w:tcW w:w="74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94%</w:t>
            </w:r>
          </w:p>
        </w:tc>
        <w:tc>
          <w:tcPr>
            <w:tcW w:w="8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94%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12.74</w:t>
            </w:r>
          </w:p>
        </w:tc>
        <w:tc>
          <w:tcPr>
            <w:tcW w:w="54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46,000</w:t>
            </w:r>
          </w:p>
        </w:tc>
        <w:tc>
          <w:tcPr>
            <w:tcW w:w="76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Roche</w:t>
            </w:r>
          </w:p>
        </w:tc>
        <w:tc>
          <w:tcPr>
            <w:tcW w:w="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6"/>
              </w:rPr>
              <w:t>Burlington Coat Factory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20" w:type="dxa"/>
            <w:vAlign w:val="bottom"/>
            <w:gridSpan w:val="4"/>
            <w:shd w:val="clear" w:color="auto" w:fill="CCEEFF"/>
          </w:tcPr>
          <w:p>
            <w:pPr>
              <w:ind w:left="40"/>
              <w:spacing w:after="0" w:line="144" w:lineRule="exact"/>
              <w:rPr>
                <w:sz w:val="20"/>
                <w:szCs w:val="20"/>
                <w:color w:val="auto"/>
              </w:rPr>
            </w:pPr>
            <w:r>
              <w:rPr>
                <w:rFonts w:ascii="Arial" w:cs="Arial" w:eastAsia="Arial" w:hAnsi="Arial"/>
                <w:sz w:val="13"/>
                <w:szCs w:val="13"/>
                <w:color w:val="auto"/>
              </w:rPr>
              <w:t>Brockton, MA</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60"/>
              <w:spacing w:after="0" w:line="144" w:lineRule="exact"/>
              <w:rPr>
                <w:sz w:val="20"/>
                <w:szCs w:val="20"/>
                <w:color w:val="auto"/>
              </w:rPr>
            </w:pPr>
            <w:r>
              <w:rPr>
                <w:rFonts w:ascii="Arial" w:cs="Arial" w:eastAsia="Arial" w:hAnsi="Arial"/>
                <w:sz w:val="13"/>
                <w:szCs w:val="13"/>
                <w:color w:val="auto"/>
              </w:rPr>
              <w:t>Brothers</w:t>
            </w:r>
          </w:p>
        </w:tc>
        <w:tc>
          <w:tcPr>
            <w:tcW w:w="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60"/>
              <w:spacing w:after="0" w:line="144" w:lineRule="exact"/>
              <w:rPr>
                <w:sz w:val="20"/>
                <w:szCs w:val="20"/>
                <w:color w:val="auto"/>
              </w:rPr>
            </w:pPr>
            <w:r>
              <w:rPr>
                <w:rFonts w:ascii="Arial" w:cs="Arial" w:eastAsia="Arial" w:hAnsi="Arial"/>
                <w:sz w:val="13"/>
                <w:szCs w:val="13"/>
                <w:color w:val="auto"/>
              </w:rPr>
              <w:t>Super</w:t>
            </w:r>
          </w:p>
        </w:tc>
        <w:tc>
          <w:tcPr>
            <w:tcW w:w="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markets</w:t>
            </w:r>
          </w:p>
        </w:tc>
        <w:tc>
          <w:tcPr>
            <w:tcW w:w="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gridSpan w:val="3"/>
          </w:tcPr>
          <w:p>
            <w:pPr>
              <w:spacing w:after="0" w:line="136" w:lineRule="exact"/>
              <w:rPr>
                <w:sz w:val="20"/>
                <w:szCs w:val="20"/>
                <w:color w:val="auto"/>
              </w:rPr>
            </w:pPr>
            <w:r>
              <w:rPr>
                <w:rFonts w:ascii="Arial" w:cs="Arial" w:eastAsia="Arial" w:hAnsi="Arial"/>
                <w:sz w:val="13"/>
                <w:szCs w:val="13"/>
                <w:color w:val="auto"/>
              </w:rPr>
              <w:t>Pleasant Shops</w:t>
            </w:r>
          </w:p>
        </w:tc>
        <w:tc>
          <w:tcPr>
            <w:tcW w:w="2120" w:type="dxa"/>
            <w:vAlign w:val="bottom"/>
            <w:gridSpan w:val="4"/>
          </w:tcPr>
          <w:p>
            <w:pPr>
              <w:ind w:left="40"/>
              <w:spacing w:after="0" w:line="136" w:lineRule="exact"/>
              <w:rPr>
                <w:sz w:val="20"/>
                <w:szCs w:val="20"/>
                <w:color w:val="auto"/>
              </w:rPr>
            </w:pPr>
            <w:r>
              <w:rPr>
                <w:rFonts w:ascii="Arial" w:cs="Arial" w:eastAsia="Arial" w:hAnsi="Arial"/>
                <w:sz w:val="13"/>
                <w:szCs w:val="13"/>
                <w:color w:val="auto"/>
                <w:w w:val="97"/>
              </w:rPr>
              <w:t>Boston-Worcester-Lawrence-Lowell-</w:t>
            </w:r>
          </w:p>
        </w:tc>
        <w:tc>
          <w:tcPr>
            <w:tcW w:w="68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2004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23,067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129,000</w:t>
            </w:r>
          </w:p>
        </w:tc>
        <w:tc>
          <w:tcPr>
            <w:tcW w:w="740" w:type="dxa"/>
            <w:vAlign w:val="bottom"/>
            <w:gridSpan w:val="3"/>
          </w:tcPr>
          <w:p>
            <w:pPr>
              <w:jc w:val="right"/>
              <w:ind w:right="100"/>
              <w:spacing w:after="0" w:line="136" w:lineRule="exact"/>
              <w:rPr>
                <w:sz w:val="20"/>
                <w:szCs w:val="20"/>
                <w:color w:val="auto"/>
              </w:rPr>
            </w:pPr>
            <w:r>
              <w:rPr>
                <w:rFonts w:ascii="Arial" w:cs="Arial" w:eastAsia="Arial" w:hAnsi="Arial"/>
                <w:sz w:val="13"/>
                <w:szCs w:val="13"/>
                <w:color w:val="auto"/>
              </w:rPr>
              <w:t>94%</w:t>
            </w:r>
          </w:p>
        </w:tc>
        <w:tc>
          <w:tcPr>
            <w:tcW w:w="8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93%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13.60</w:t>
            </w:r>
          </w:p>
        </w:tc>
        <w:tc>
          <w:tcPr>
            <w:tcW w:w="54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38,000</w:t>
            </w:r>
          </w:p>
        </w:tc>
        <w:tc>
          <w:tcPr>
            <w:tcW w:w="760" w:type="dxa"/>
            <w:vAlign w:val="bottom"/>
            <w:gridSpan w:val="2"/>
          </w:tcPr>
          <w:p>
            <w:pPr>
              <w:ind w:left="60"/>
              <w:spacing w:after="0" w:line="136" w:lineRule="exact"/>
              <w:rPr>
                <w:sz w:val="20"/>
                <w:szCs w:val="20"/>
                <w:color w:val="auto"/>
              </w:rPr>
            </w:pPr>
            <w:r>
              <w:rPr>
                <w:rFonts w:ascii="Arial" w:cs="Arial" w:eastAsia="Arial" w:hAnsi="Arial"/>
                <w:sz w:val="13"/>
                <w:szCs w:val="13"/>
                <w:color w:val="auto"/>
                <w:w w:val="97"/>
              </w:rPr>
              <w:t>Foodmaster</w:t>
            </w:r>
          </w:p>
        </w:tc>
        <w:tc>
          <w:tcPr>
            <w:tcW w:w="60" w:type="dxa"/>
            <w:vAlign w:val="bottom"/>
          </w:tcPr>
          <w:p>
            <w:pPr>
              <w:spacing w:after="0"/>
              <w:rPr>
                <w:sz w:val="11"/>
                <w:szCs w:val="11"/>
                <w:color w:val="auto"/>
              </w:rPr>
            </w:pPr>
          </w:p>
        </w:tc>
        <w:tc>
          <w:tcPr>
            <w:tcW w:w="1340" w:type="dxa"/>
            <w:vAlign w:val="bottom"/>
          </w:tcPr>
          <w:p>
            <w:pPr>
              <w:spacing w:after="0" w:line="136" w:lineRule="exact"/>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gridSpan w:val="4"/>
          </w:tcPr>
          <w:p>
            <w:pPr>
              <w:ind w:left="40"/>
              <w:spacing w:after="0"/>
              <w:rPr>
                <w:sz w:val="20"/>
                <w:szCs w:val="20"/>
                <w:color w:val="auto"/>
              </w:rPr>
            </w:pPr>
            <w:r>
              <w:rPr>
                <w:rFonts w:ascii="Arial" w:cs="Arial" w:eastAsia="Arial" w:hAnsi="Arial"/>
                <w:sz w:val="13"/>
                <w:szCs w:val="13"/>
                <w:color w:val="auto"/>
              </w:rPr>
              <w:t>Brockton, MA</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20" w:type="dxa"/>
            <w:vAlign w:val="bottom"/>
            <w:gridSpan w:val="4"/>
            <w:shd w:val="clear" w:color="auto" w:fill="CCEEFF"/>
          </w:tcPr>
          <w:p>
            <w:pPr>
              <w:ind w:left="40"/>
              <w:spacing w:after="0" w:line="144" w:lineRule="exact"/>
              <w:rPr>
                <w:sz w:val="20"/>
                <w:szCs w:val="20"/>
                <w:color w:val="auto"/>
              </w:rPr>
            </w:pPr>
            <w:r>
              <w:rPr>
                <w:rFonts w:ascii="Arial" w:cs="Arial" w:eastAsia="Arial" w:hAnsi="Arial"/>
                <w:sz w:val="13"/>
                <w:szCs w:val="13"/>
                <w:b w:val="1"/>
                <w:bCs w:val="1"/>
                <w:color w:val="auto"/>
              </w:rPr>
              <w:t>Total New England</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63,761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3"/>
              </w:rPr>
              <w:t>369,000</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92%</w:t>
            </w:r>
          </w:p>
        </w:tc>
        <w:tc>
          <w:tcPr>
            <w:tcW w:w="86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91%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14.43</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spacing w:after="0"/>
              <w:rPr>
                <w:sz w:val="20"/>
                <w:szCs w:val="20"/>
                <w:color w:val="auto"/>
              </w:rPr>
            </w:pPr>
            <w:r>
              <w:rPr>
                <w:rFonts w:ascii="Arial" w:cs="Arial" w:eastAsia="Arial" w:hAnsi="Arial"/>
                <w:sz w:val="13"/>
                <w:szCs w:val="13"/>
                <w:color w:val="auto"/>
              </w:rPr>
              <w:t>Grand Totals</w:t>
            </w: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4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205,849</w:t>
            </w:r>
          </w:p>
        </w:tc>
        <w:tc>
          <w:tcPr>
            <w:tcW w:w="220" w:type="dxa"/>
            <w:vAlign w:val="bottom"/>
            <w:gridSpan w:val="2"/>
          </w:tcPr>
          <w:p>
            <w:pPr>
              <w:ind w:left="14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57,584</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951,000</w:t>
            </w: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91%</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90%</w:t>
            </w:r>
          </w:p>
        </w:tc>
        <w:tc>
          <w:tcPr>
            <w:tcW w:w="20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16.19</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20" w:lineRule="exact"/>
        <w:rPr>
          <w:sz w:val="20"/>
          <w:szCs w:val="20"/>
          <w:color w:val="auto"/>
        </w:rPr>
      </w:pPr>
    </w:p>
    <w:p>
      <w:pPr>
        <w:ind w:left="5620" w:right="5420" w:hanging="5615"/>
        <w:spacing w:after="0" w:line="544" w:lineRule="auto"/>
        <w:tabs>
          <w:tab w:leader="none" w:pos="442" w:val="left"/>
        </w:tabs>
        <w:numPr>
          <w:ilvl w:val="0"/>
          <w:numId w:val="27"/>
        </w:numPr>
        <w:rPr>
          <w:rFonts w:ascii="Arial" w:cs="Arial" w:eastAsia="Arial" w:hAnsi="Arial"/>
          <w:sz w:val="15"/>
          <w:szCs w:val="15"/>
          <w:color w:val="auto"/>
        </w:rPr>
      </w:pPr>
      <w:r>
        <w:rPr>
          <w:rFonts w:ascii="Arial" w:cs="Arial" w:eastAsia="Arial" w:hAnsi="Arial"/>
          <w:sz w:val="15"/>
          <w:szCs w:val="15"/>
          <w:color w:val="auto"/>
        </w:rPr>
        <w:t>Grocery anchor is defined as a grocery tenant leasing 15,000 square feet or more. 25</w:t>
      </w:r>
    </w:p>
    <w:p>
      <w:pPr>
        <w:sectPr>
          <w:pgSz w:w="11900" w:h="16838" w:orient="portrait"/>
          <w:cols w:equalWidth="0" w:num="1">
            <w:col w:w="11420"/>
          </w:cols>
          <w:pgMar w:left="240" w:top="271"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Glossary of Terms</w:t>
      </w:r>
    </w:p>
    <w:p>
      <w:pPr>
        <w:spacing w:after="0" w:line="172" w:lineRule="exact"/>
        <w:rPr>
          <w:sz w:val="20"/>
          <w:szCs w:val="20"/>
          <w:color w:val="auto"/>
        </w:rPr>
      </w:pPr>
    </w:p>
    <w:p>
      <w:pPr>
        <w:ind w:right="20"/>
        <w:spacing w:after="0" w:line="313" w:lineRule="auto"/>
        <w:rPr>
          <w:sz w:val="20"/>
          <w:szCs w:val="20"/>
          <w:color w:val="auto"/>
        </w:rPr>
      </w:pPr>
      <w:r>
        <w:rPr>
          <w:rFonts w:ascii="Arial" w:cs="Arial" w:eastAsia="Arial" w:hAnsi="Arial"/>
          <w:sz w:val="15"/>
          <w:szCs w:val="15"/>
          <w:b w:val="1"/>
          <w:bCs w:val="1"/>
          <w:color w:val="auto"/>
        </w:rPr>
        <w:t xml:space="preserve">Adjusted EBITDA: </w:t>
      </w:r>
      <w:r>
        <w:rPr>
          <w:rFonts w:ascii="Arial" w:cs="Arial" w:eastAsia="Arial" w:hAnsi="Arial"/>
          <w:sz w:val="15"/>
          <w:szCs w:val="15"/>
          <w:color w:val="auto"/>
        </w:rPr>
        <w:t>Adjusted EBITDA is a non-GAAP measure that means net income or loss plus depreciation and amortization, net interest expense, income taxes,</w:t>
      </w:r>
      <w:r>
        <w:rPr>
          <w:rFonts w:ascii="Arial" w:cs="Arial" w:eastAsia="Arial" w:hAnsi="Arial"/>
          <w:sz w:val="15"/>
          <w:szCs w:val="15"/>
          <w:b w:val="1"/>
          <w:bCs w:val="1"/>
          <w:color w:val="auto"/>
        </w:rPr>
        <w:t xml:space="preserve"> </w:t>
      </w:r>
      <w:r>
        <w:rPr>
          <w:rFonts w:ascii="Arial" w:cs="Arial" w:eastAsia="Arial" w:hAnsi="Arial"/>
          <w:sz w:val="15"/>
          <w:szCs w:val="15"/>
          <w:color w:val="auto"/>
        </w:rPr>
        <w:t>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months and year ended December 31, 2010 and 2009 is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gridSpan w:val="5"/>
          </w:tcPr>
          <w:p>
            <w:pPr>
              <w:jc w:val="right"/>
              <w:ind w:right="680"/>
              <w:spacing w:after="0"/>
              <w:rPr>
                <w:sz w:val="20"/>
                <w:szCs w:val="20"/>
                <w:color w:val="auto"/>
              </w:rPr>
            </w:pPr>
            <w:r>
              <w:rPr>
                <w:rFonts w:ascii="Arial" w:cs="Arial" w:eastAsia="Arial" w:hAnsi="Arial"/>
                <w:sz w:val="13"/>
                <w:szCs w:val="13"/>
                <w:b w:val="1"/>
                <w:bCs w:val="1"/>
                <w:color w:val="auto"/>
              </w:rPr>
              <w:t>Three Months Ended</w:t>
            </w:r>
          </w:p>
        </w:tc>
        <w:tc>
          <w:tcPr>
            <w:tcW w:w="190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4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gridSpan w:val="5"/>
          </w:tcPr>
          <w:p>
            <w:pPr>
              <w:jc w:val="right"/>
              <w:ind w:right="900"/>
              <w:spacing w:after="0"/>
              <w:rPr>
                <w:sz w:val="20"/>
                <w:szCs w:val="20"/>
                <w:color w:val="auto"/>
              </w:rPr>
            </w:pPr>
            <w:r>
              <w:rPr>
                <w:rFonts w:ascii="Arial" w:cs="Arial" w:eastAsia="Arial" w:hAnsi="Arial"/>
                <w:sz w:val="13"/>
                <w:szCs w:val="13"/>
                <w:b w:val="1"/>
                <w:bCs w:val="1"/>
                <w:color w:val="auto"/>
              </w:rPr>
              <w:t>December 31,</w:t>
            </w:r>
          </w:p>
        </w:tc>
        <w:tc>
          <w:tcPr>
            <w:tcW w:w="190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4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ind w:right="85"/>
              <w:spacing w:after="0" w:line="138" w:lineRule="exact"/>
              <w:rPr>
                <w:sz w:val="20"/>
                <w:szCs w:val="20"/>
                <w:color w:val="auto"/>
              </w:rPr>
            </w:pPr>
            <w:r>
              <w:rPr>
                <w:rFonts w:ascii="Arial" w:cs="Arial" w:eastAsia="Arial" w:hAnsi="Arial"/>
                <w:sz w:val="13"/>
                <w:szCs w:val="13"/>
                <w:b w:val="1"/>
                <w:bCs w:val="1"/>
                <w:color w:val="auto"/>
              </w:rPr>
              <w:t>2010</w:t>
            </w: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61"/>
              <w:spacing w:after="0" w:line="138" w:lineRule="exact"/>
              <w:rPr>
                <w:sz w:val="20"/>
                <w:szCs w:val="20"/>
                <w:color w:val="auto"/>
              </w:rPr>
            </w:pPr>
            <w:r>
              <w:rPr>
                <w:rFonts w:ascii="Arial" w:cs="Arial" w:eastAsia="Arial" w:hAnsi="Arial"/>
                <w:sz w:val="13"/>
                <w:szCs w:val="13"/>
                <w:b w:val="1"/>
                <w:bCs w:val="1"/>
                <w:color w:val="auto"/>
              </w:rPr>
              <w:t>2009</w:t>
            </w:r>
          </w:p>
        </w:tc>
        <w:tc>
          <w:tcPr>
            <w:tcW w:w="48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121"/>
              <w:spacing w:after="0" w:line="138" w:lineRule="exact"/>
              <w:rPr>
                <w:sz w:val="20"/>
                <w:szCs w:val="20"/>
                <w:color w:val="auto"/>
              </w:rPr>
            </w:pPr>
            <w:r>
              <w:rPr>
                <w:rFonts w:ascii="Arial" w:cs="Arial" w:eastAsia="Arial" w:hAnsi="Arial"/>
                <w:sz w:val="13"/>
                <w:szCs w:val="13"/>
                <w:b w:val="1"/>
                <w:bCs w:val="1"/>
                <w:color w:val="auto"/>
              </w:rPr>
              <w:t>2010</w:t>
            </w:r>
          </w:p>
        </w:tc>
        <w:tc>
          <w:tcPr>
            <w:tcW w:w="2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34"/>
              <w:spacing w:after="0" w:line="138" w:lineRule="exact"/>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(in</w:t>
            </w:r>
          </w:p>
        </w:tc>
        <w:tc>
          <w:tcPr>
            <w:tcW w:w="1040" w:type="dxa"/>
            <w:vAlign w:val="bottom"/>
            <w:gridSpan w:val="3"/>
          </w:tcPr>
          <w:p>
            <w:pPr>
              <w:jc w:val="right"/>
              <w:ind w:right="321"/>
              <w:spacing w:after="0" w:line="138" w:lineRule="exact"/>
              <w:rPr>
                <w:sz w:val="20"/>
                <w:szCs w:val="20"/>
                <w:color w:val="auto"/>
              </w:rPr>
            </w:pPr>
            <w:r>
              <w:rPr>
                <w:rFonts w:ascii="Arial" w:cs="Arial" w:eastAsia="Arial" w:hAnsi="Arial"/>
                <w:sz w:val="13"/>
                <w:szCs w:val="13"/>
                <w:b w:val="1"/>
                <w:bCs w:val="1"/>
                <w:color w:val="auto"/>
                <w:w w:val="88"/>
              </w:rPr>
              <w:t>thousands)</w:t>
            </w:r>
          </w:p>
        </w:tc>
        <w:tc>
          <w:tcPr>
            <w:tcW w:w="480" w:type="dxa"/>
            <w:vAlign w:val="bottom"/>
          </w:tcPr>
          <w:p>
            <w:pPr>
              <w:spacing w:after="0"/>
              <w:rPr>
                <w:sz w:val="11"/>
                <w:szCs w:val="11"/>
                <w:color w:val="auto"/>
              </w:rPr>
            </w:pPr>
          </w:p>
        </w:tc>
        <w:tc>
          <w:tcPr>
            <w:tcW w:w="1900" w:type="dxa"/>
            <w:vAlign w:val="bottom"/>
            <w:gridSpan w:val="5"/>
          </w:tcPr>
          <w:p>
            <w:pPr>
              <w:jc w:val="center"/>
              <w:ind w:right="100"/>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$34,305</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$33,366</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$128,237</w:t>
            </w: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$103,872</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30,116</w:t>
            </w:r>
          </w:p>
        </w:tc>
        <w:tc>
          <w:tcPr>
            <w:tcW w:w="260" w:type="dxa"/>
            <w:vAlign w:val="bottom"/>
          </w:tcPr>
          <w:p>
            <w:pPr>
              <w:spacing w:after="0"/>
              <w:rPr>
                <w:sz w:val="18"/>
                <w:szCs w:val="18"/>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7"/>
                <w:szCs w:val="17"/>
                <w:color w:val="auto"/>
              </w:rPr>
              <w:t>28,458</w:t>
            </w:r>
          </w:p>
        </w:tc>
        <w:tc>
          <w:tcPr>
            <w:tcW w:w="660" w:type="dxa"/>
            <w:vAlign w:val="bottom"/>
          </w:tcPr>
          <w:p>
            <w:pPr>
              <w:jc w:val="right"/>
              <w:spacing w:after="0"/>
              <w:rPr>
                <w:sz w:val="20"/>
                <w:szCs w:val="20"/>
                <w:color w:val="auto"/>
              </w:rPr>
            </w:pPr>
            <w:r>
              <w:rPr>
                <w:rFonts w:ascii="Arial" w:cs="Arial" w:eastAsia="Arial" w:hAnsi="Arial"/>
                <w:sz w:val="17"/>
                <w:szCs w:val="17"/>
                <w:color w:val="auto"/>
              </w:rPr>
              <w:t>119,817</w:t>
            </w:r>
          </w:p>
        </w:tc>
        <w:tc>
          <w:tcPr>
            <w:tcW w:w="2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115,093</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25,203</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29,159</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101,882</w:t>
            </w: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108,781</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7"/>
                <w:szCs w:val="17"/>
                <w:color w:val="auto"/>
              </w:rPr>
              <w:t>Early extinguishment of debt</w:t>
            </w:r>
          </w:p>
        </w:tc>
        <w:tc>
          <w:tcPr>
            <w:tcW w:w="20" w:type="dxa"/>
            <w:vAlign w:val="bottom"/>
          </w:tcPr>
          <w:p>
            <w:pPr>
              <w:spacing w:after="0"/>
              <w:rPr>
                <w:sz w:val="18"/>
                <w:szCs w:val="18"/>
                <w:color w:val="auto"/>
              </w:rPr>
            </w:pPr>
          </w:p>
        </w:tc>
        <w:tc>
          <w:tcPr>
            <w:tcW w:w="820" w:type="dxa"/>
            <w:vAlign w:val="bottom"/>
            <w:gridSpan w:val="2"/>
          </w:tcPr>
          <w:p>
            <w:pPr>
              <w:jc w:val="right"/>
              <w:ind w:right="294"/>
              <w:spacing w:after="0"/>
              <w:rPr>
                <w:sz w:val="20"/>
                <w:szCs w:val="20"/>
                <w:color w:val="auto"/>
              </w:rPr>
            </w:pPr>
            <w:r>
              <w:rPr>
                <w:rFonts w:ascii="Arial" w:cs="Arial" w:eastAsia="Arial" w:hAnsi="Arial"/>
                <w:sz w:val="17"/>
                <w:szCs w:val="17"/>
                <w:color w:val="auto"/>
              </w:rPr>
              <w:t>—</w:t>
            </w:r>
          </w:p>
        </w:tc>
        <w:tc>
          <w:tcPr>
            <w:tcW w:w="1260" w:type="dxa"/>
            <w:vAlign w:val="bottom"/>
            <w:gridSpan w:val="3"/>
          </w:tcPr>
          <w:p>
            <w:pPr>
              <w:jc w:val="right"/>
              <w:ind w:right="480"/>
              <w:spacing w:after="0"/>
              <w:rPr>
                <w:sz w:val="20"/>
                <w:szCs w:val="20"/>
                <w:color w:val="auto"/>
              </w:rPr>
            </w:pPr>
            <w:r>
              <w:rPr>
                <w:rFonts w:ascii="Arial" w:cs="Arial" w:eastAsia="Arial" w:hAnsi="Arial"/>
                <w:sz w:val="17"/>
                <w:szCs w:val="17"/>
                <w:color w:val="auto"/>
              </w:rPr>
              <w:t>1,671</w:t>
            </w:r>
          </w:p>
        </w:tc>
        <w:tc>
          <w:tcPr>
            <w:tcW w:w="660" w:type="dxa"/>
            <w:vAlign w:val="bottom"/>
          </w:tcPr>
          <w:p>
            <w:pPr>
              <w:jc w:val="right"/>
              <w:spacing w:after="0"/>
              <w:rPr>
                <w:sz w:val="20"/>
                <w:szCs w:val="20"/>
                <w:color w:val="auto"/>
              </w:rPr>
            </w:pPr>
            <w:r>
              <w:rPr>
                <w:rFonts w:ascii="Arial" w:cs="Arial" w:eastAsia="Arial" w:hAnsi="Arial"/>
                <w:sz w:val="17"/>
                <w:szCs w:val="17"/>
                <w:color w:val="auto"/>
              </w:rPr>
              <w:t>2,801</w:t>
            </w:r>
          </w:p>
        </w:tc>
        <w:tc>
          <w:tcPr>
            <w:tcW w:w="2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2,639</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Other interest income</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(23)</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(620)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(256)</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(1,894)</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7"/>
                <w:szCs w:val="17"/>
                <w:color w:val="auto"/>
              </w:rPr>
              <w:t>EBITDA</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89,601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7"/>
                <w:szCs w:val="17"/>
                <w:color w:val="auto"/>
              </w:rPr>
              <w:t>92,034</w:t>
            </w:r>
          </w:p>
        </w:tc>
        <w:tc>
          <w:tcPr>
            <w:tcW w:w="660" w:type="dxa"/>
            <w:vAlign w:val="bottom"/>
          </w:tcPr>
          <w:p>
            <w:pPr>
              <w:jc w:val="right"/>
              <w:spacing w:after="0"/>
              <w:rPr>
                <w:sz w:val="20"/>
                <w:szCs w:val="20"/>
                <w:color w:val="auto"/>
              </w:rPr>
            </w:pPr>
            <w:r>
              <w:rPr>
                <w:rFonts w:ascii="Arial" w:cs="Arial" w:eastAsia="Arial" w:hAnsi="Arial"/>
                <w:sz w:val="17"/>
                <w:szCs w:val="17"/>
                <w:color w:val="auto"/>
              </w:rPr>
              <w:t>352,481</w:t>
            </w:r>
          </w:p>
        </w:tc>
        <w:tc>
          <w:tcPr>
            <w:tcW w:w="2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328,491</w:t>
            </w:r>
          </w:p>
        </w:tc>
        <w:tc>
          <w:tcPr>
            <w:tcW w:w="0" w:type="dxa"/>
            <w:vAlign w:val="bottom"/>
          </w:tcPr>
          <w:p>
            <w:pPr>
              <w:spacing w:after="0"/>
              <w:rPr>
                <w:sz w:val="1"/>
                <w:szCs w:val="1"/>
                <w:color w:val="auto"/>
              </w:rPr>
            </w:pPr>
          </w:p>
        </w:tc>
      </w:tr>
      <w:tr>
        <w:trPr>
          <w:trHeight w:val="211"/>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(1,410)</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(1,298)</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7"/>
                <w:szCs w:val="17"/>
                <w:color w:val="auto"/>
              </w:rPr>
              <w:t>Adjusted EBITDA</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60" w:type="dxa"/>
            <w:vAlign w:val="bottom"/>
            <w:vMerge w:val="continue"/>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89,601</w:t>
            </w:r>
          </w:p>
        </w:tc>
        <w:tc>
          <w:tcPr>
            <w:tcW w:w="260" w:type="dxa"/>
            <w:vAlign w:val="bottom"/>
          </w:tcPr>
          <w:p>
            <w:pPr>
              <w:spacing w:after="0"/>
              <w:rPr>
                <w:sz w:val="18"/>
                <w:szCs w:val="18"/>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92,034</w:t>
            </w:r>
          </w:p>
        </w:tc>
        <w:tc>
          <w:tcPr>
            <w:tcW w:w="660" w:type="dxa"/>
            <w:vAlign w:val="bottom"/>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351,071</w:t>
            </w:r>
          </w:p>
        </w:tc>
        <w:tc>
          <w:tcPr>
            <w:tcW w:w="2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327,193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net income, computed in accordance with GAAP plus depreciation and amortization of real estate assets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24"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b w:val="1"/>
          <w:bCs w:val="1"/>
          <w:color w:val="auto"/>
        </w:rPr>
        <w:t xml:space="preserve">Property Operating Income: </w:t>
      </w:r>
      <w:r>
        <w:rPr>
          <w:rFonts w:ascii="Arial" w:cs="Arial" w:eastAsia="Arial" w:hAnsi="Arial"/>
          <w:sz w:val="17"/>
          <w:szCs w:val="17"/>
          <w:color w:val="auto"/>
        </w:rPr>
        <w:t>Rental income, other property income and mortgage interest income, less rental expenses and real estate taxes and excluding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results from discontinued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Overall Portfolio: </w:t>
      </w:r>
      <w:r>
        <w:rPr>
          <w:rFonts w:ascii="Arial" w:cs="Arial" w:eastAsia="Arial" w:hAnsi="Arial"/>
          <w:sz w:val="17"/>
          <w:szCs w:val="17"/>
          <w:color w:val="auto"/>
        </w:rPr>
        <w:t>Includes all operating properties owned in reporting period.</w:t>
      </w:r>
    </w:p>
    <w:p>
      <w:pPr>
        <w:spacing w:after="0" w:line="17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b w:val="1"/>
          <w:bCs w:val="1"/>
          <w:color w:val="auto"/>
        </w:rPr>
        <w:t xml:space="preserve">Same Center: </w:t>
      </w:r>
      <w:r>
        <w:rPr>
          <w:rFonts w:ascii="Arial" w:cs="Arial" w:eastAsia="Arial" w:hAnsi="Arial"/>
          <w:sz w:val="17"/>
          <w:szCs w:val="17"/>
          <w:color w:val="auto"/>
        </w:rPr>
        <w:t>Information provided on a same center basis is provided for only those properties that were owned and operated for the entirety of both periods being</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excludes properties that were redeveloped, expanded or under development and properties purchased or sold at any time during the periods being compared.</w:t>
      </w:r>
    </w:p>
    <w:p>
      <w:pPr>
        <w:spacing w:after="0" w:line="122" w:lineRule="exact"/>
        <w:rPr>
          <w:sz w:val="20"/>
          <w:szCs w:val="20"/>
          <w:color w:val="auto"/>
        </w:rPr>
      </w:pPr>
    </w:p>
    <w:p>
      <w:pPr>
        <w:jc w:val="both"/>
        <w:ind w:right="220"/>
        <w:spacing w:after="0" w:line="272"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 lease but</w:t>
      </w:r>
      <w:r>
        <w:rPr>
          <w:rFonts w:ascii="Arial" w:cs="Arial" w:eastAsia="Arial" w:hAnsi="Arial"/>
          <w:sz w:val="17"/>
          <w:szCs w:val="17"/>
          <w:b w:val="1"/>
          <w:bCs w:val="1"/>
          <w:color w:val="auto"/>
        </w:rPr>
        <w:t xml:space="preserve"> </w:t>
      </w:r>
      <w:r>
        <w:rPr>
          <w:rFonts w:ascii="Arial" w:cs="Arial" w:eastAsia="Arial" w:hAnsi="Arial"/>
          <w:sz w:val="17"/>
          <w:szCs w:val="17"/>
          <w:color w:val="auto"/>
        </w:rPr>
        <w:t>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sectPr>
      <w:pgSz w:w="11900" w:h="16838" w:orient="portrait"/>
      <w:cols w:equalWidth="0" w:num="1">
        <w:col w:w="11400"/>
      </w:cols>
      <w:pgMar w:left="240" w:top="27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lowerLetter"/>
      <w:start w:val="3"/>
    </w:lvl>
  </w:abstractNum>
  <w:abstractNum w:abstractNumId="2">
    <w:nsid w:val="1BEFD79F"/>
    <w:multiLevelType w:val="hybridMultilevel"/>
    <w:lvl w:ilvl="0">
      <w:lvlJc w:val="left"/>
      <w:lvlText w:val="%1."/>
      <w:numFmt w:val="decimal"/>
      <w:start w:val="3"/>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1)"/>
      <w:numFmt w:val="lowerLetter"/>
      <w:start w:val="2"/>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3"/>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5"/>
    </w:lvl>
  </w:abstractNum>
  <w:abstractNum w:abstractNumId="22">
    <w:nsid w:val="79838CB2"/>
    <w:multiLevelType w:val="hybridMultilevel"/>
    <w:lvl w:ilvl="0">
      <w:lvlJc w:val="left"/>
      <w:lvlText w:val="(%1)"/>
      <w:numFmt w:val="decimal"/>
    </w:lvl>
  </w:abstractNum>
  <w:abstractNum w:abstractNumId="23">
    <w:nsid w:val="4353D0CD"/>
    <w:multiLevelType w:val="hybridMultilevel"/>
    <w:lvl w:ilvl="0">
      <w:lvlJc w:val="left"/>
      <w:lvlText w:val="%1"/>
      <w:numFmt w:val="decimal"/>
      <w:start w:val="245"/>
    </w:lvl>
    <w:lvl w:ilvl="1">
      <w:lvlJc w:val="left"/>
      <w:lvlText w:val="(%2)"/>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2019-12-09T23:25:53Z</dcterms:created>
  <dcterms:modified xsi:type="dcterms:W3CDTF">2019-12-09T23:25:53Z</dcterms:modified>
</cp:coreProperties>
</file>