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8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3"/>
          <w:szCs w:val="23"/>
          <w:b w:val="1"/>
          <w:bCs w:val="1"/>
          <w:color w:val="auto"/>
        </w:rPr>
        <w:t>CURRENT REPORT</w:t>
      </w:r>
    </w:p>
    <w:p>
      <w:pPr>
        <w:spacing w:after="0" w:line="17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17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November 03, 2022</w:t>
      </w:r>
    </w:p>
    <w:p>
      <w:pPr>
        <w:spacing w:after="0" w:line="16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Federal Realty Investment Trust</w:t>
      </w:r>
    </w:p>
    <w:p>
      <w:pPr>
        <w:spacing w:after="0" w:line="18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Federal Realty OP LP</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06" w:lineRule="exact"/>
        <w:rPr>
          <w:sz w:val="24"/>
          <w:szCs w:val="24"/>
          <w:color w:val="auto"/>
        </w:rPr>
      </w:pPr>
    </w:p>
    <w:tbl>
      <w:tblPr>
        <w:tblLayout w:type="fixed"/>
        <w:tblInd w:w="460" w:type="dxa"/>
        <w:tblCellMar>
          <w:top w:w="0" w:type="dxa"/>
          <w:left w:w="0" w:type="dxa"/>
          <w:bottom w:w="0" w:type="dxa"/>
          <w:right w:w="0" w:type="dxa"/>
        </w:tblCellMar>
      </w:tblPr>
      <w:tr>
        <w:trPr>
          <w:trHeight w:val="226"/>
        </w:trPr>
        <w:tc>
          <w:tcPr>
            <w:tcW w:w="4240" w:type="dxa"/>
            <w:vAlign w:val="bottom"/>
          </w:tcPr>
          <w:p>
            <w:pPr>
              <w:jc w:val="center"/>
              <w:ind w:right="904"/>
              <w:spacing w:after="0"/>
              <w:rPr>
                <w:sz w:val="20"/>
                <w:szCs w:val="20"/>
                <w:color w:val="auto"/>
              </w:rPr>
            </w:pPr>
            <w:r>
              <w:rPr>
                <w:rFonts w:ascii="Times New Roman" w:cs="Times New Roman" w:eastAsia="Times New Roman" w:hAnsi="Times New Roman"/>
                <w:sz w:val="17"/>
                <w:szCs w:val="17"/>
                <w:b w:val="1"/>
                <w:bCs w:val="1"/>
                <w:color w:val="auto"/>
              </w:rPr>
              <w:t>Maryland (Federal Realty Investment Trust)</w:t>
            </w:r>
          </w:p>
        </w:tc>
        <w:tc>
          <w:tcPr>
            <w:tcW w:w="1700" w:type="dxa"/>
            <w:vAlign w:val="bottom"/>
          </w:tcPr>
          <w:p>
            <w:pPr>
              <w:jc w:val="right"/>
              <w:ind w:right="444"/>
              <w:spacing w:after="0"/>
              <w:rPr>
                <w:sz w:val="20"/>
                <w:szCs w:val="20"/>
                <w:color w:val="auto"/>
              </w:rPr>
            </w:pPr>
            <w:r>
              <w:rPr>
                <w:rFonts w:ascii="Times New Roman" w:cs="Times New Roman" w:eastAsia="Times New Roman" w:hAnsi="Times New Roman"/>
                <w:sz w:val="17"/>
                <w:szCs w:val="17"/>
                <w:b w:val="1"/>
                <w:bCs w:val="1"/>
                <w:color w:val="auto"/>
              </w:rPr>
              <w:t>1-07533</w:t>
            </w:r>
          </w:p>
        </w:tc>
        <w:tc>
          <w:tcPr>
            <w:tcW w:w="1340" w:type="dxa"/>
            <w:vAlign w:val="bottom"/>
          </w:tcPr>
          <w:p>
            <w:pPr>
              <w:spacing w:after="0"/>
              <w:rPr>
                <w:sz w:val="19"/>
                <w:szCs w:val="19"/>
                <w:color w:val="auto"/>
              </w:rPr>
            </w:pPr>
          </w:p>
        </w:tc>
        <w:tc>
          <w:tcPr>
            <w:tcW w:w="1900" w:type="dxa"/>
            <w:vAlign w:val="bottom"/>
          </w:tcPr>
          <w:p>
            <w:pPr>
              <w:jc w:val="center"/>
              <w:ind w:left="844"/>
              <w:spacing w:after="0"/>
              <w:rPr>
                <w:sz w:val="20"/>
                <w:szCs w:val="20"/>
                <w:color w:val="auto"/>
              </w:rPr>
            </w:pPr>
            <w:r>
              <w:rPr>
                <w:rFonts w:ascii="Times New Roman" w:cs="Times New Roman" w:eastAsia="Times New Roman" w:hAnsi="Times New Roman"/>
                <w:sz w:val="17"/>
                <w:szCs w:val="17"/>
                <w:b w:val="1"/>
                <w:bCs w:val="1"/>
                <w:color w:val="auto"/>
                <w:w w:val="99"/>
              </w:rPr>
              <w:t>87-3916363</w:t>
            </w:r>
          </w:p>
        </w:tc>
      </w:tr>
      <w:tr>
        <w:trPr>
          <w:trHeight w:val="229"/>
        </w:trPr>
        <w:tc>
          <w:tcPr>
            <w:tcW w:w="4240" w:type="dxa"/>
            <w:vAlign w:val="bottom"/>
          </w:tcPr>
          <w:p>
            <w:pPr>
              <w:jc w:val="center"/>
              <w:ind w:right="904"/>
              <w:spacing w:after="0"/>
              <w:rPr>
                <w:sz w:val="20"/>
                <w:szCs w:val="20"/>
                <w:color w:val="auto"/>
              </w:rPr>
            </w:pPr>
            <w:r>
              <w:rPr>
                <w:rFonts w:ascii="Times New Roman" w:cs="Times New Roman" w:eastAsia="Times New Roman" w:hAnsi="Times New Roman"/>
                <w:sz w:val="17"/>
                <w:szCs w:val="17"/>
                <w:b w:val="1"/>
                <w:bCs w:val="1"/>
                <w:color w:val="auto"/>
              </w:rPr>
              <w:t>Delaware (Federal Realty OP LP)</w:t>
            </w:r>
          </w:p>
        </w:tc>
        <w:tc>
          <w:tcPr>
            <w:tcW w:w="1700" w:type="dxa"/>
            <w:vAlign w:val="bottom"/>
          </w:tcPr>
          <w:p>
            <w:pPr>
              <w:jc w:val="right"/>
              <w:ind w:right="184"/>
              <w:spacing w:after="0"/>
              <w:rPr>
                <w:sz w:val="20"/>
                <w:szCs w:val="20"/>
                <w:color w:val="auto"/>
              </w:rPr>
            </w:pPr>
            <w:r>
              <w:rPr>
                <w:rFonts w:ascii="Times New Roman" w:cs="Times New Roman" w:eastAsia="Times New Roman" w:hAnsi="Times New Roman"/>
                <w:sz w:val="17"/>
                <w:szCs w:val="17"/>
                <w:b w:val="1"/>
                <w:bCs w:val="1"/>
                <w:color w:val="auto"/>
              </w:rPr>
              <w:t>333-262016-01</w:t>
            </w:r>
          </w:p>
        </w:tc>
        <w:tc>
          <w:tcPr>
            <w:tcW w:w="1340" w:type="dxa"/>
            <w:vAlign w:val="bottom"/>
          </w:tcPr>
          <w:p>
            <w:pPr>
              <w:spacing w:after="0"/>
              <w:rPr>
                <w:sz w:val="19"/>
                <w:szCs w:val="19"/>
                <w:color w:val="auto"/>
              </w:rPr>
            </w:pPr>
          </w:p>
        </w:tc>
        <w:tc>
          <w:tcPr>
            <w:tcW w:w="1900" w:type="dxa"/>
            <w:vAlign w:val="bottom"/>
          </w:tcPr>
          <w:p>
            <w:pPr>
              <w:jc w:val="center"/>
              <w:ind w:left="844"/>
              <w:spacing w:after="0"/>
              <w:rPr>
                <w:sz w:val="20"/>
                <w:szCs w:val="20"/>
                <w:color w:val="auto"/>
              </w:rPr>
            </w:pPr>
            <w:r>
              <w:rPr>
                <w:rFonts w:ascii="Times New Roman" w:cs="Times New Roman" w:eastAsia="Times New Roman" w:hAnsi="Times New Roman"/>
                <w:sz w:val="17"/>
                <w:szCs w:val="17"/>
                <w:b w:val="1"/>
                <w:bCs w:val="1"/>
                <w:color w:val="auto"/>
                <w:w w:val="99"/>
              </w:rPr>
              <w:t>52-0782497</w:t>
            </w:r>
          </w:p>
        </w:tc>
      </w:tr>
      <w:tr>
        <w:trPr>
          <w:trHeight w:val="144"/>
        </w:trPr>
        <w:tc>
          <w:tcPr>
            <w:tcW w:w="4240" w:type="dxa"/>
            <w:vAlign w:val="bottom"/>
          </w:tcPr>
          <w:p>
            <w:pPr>
              <w:jc w:val="center"/>
              <w:ind w:right="884"/>
              <w:spacing w:after="0" w:line="144" w:lineRule="exact"/>
              <w:rPr>
                <w:sz w:val="20"/>
                <w:szCs w:val="20"/>
                <w:color w:val="auto"/>
              </w:rPr>
            </w:pPr>
            <w:r>
              <w:rPr>
                <w:rFonts w:ascii="Times New Roman" w:cs="Times New Roman" w:eastAsia="Times New Roman" w:hAnsi="Times New Roman"/>
                <w:sz w:val="13"/>
                <w:szCs w:val="13"/>
                <w:b w:val="1"/>
                <w:bCs w:val="1"/>
                <w:color w:val="auto"/>
                <w:w w:val="97"/>
              </w:rPr>
              <w:t>(State or other jurisdiction</w:t>
            </w:r>
          </w:p>
        </w:tc>
        <w:tc>
          <w:tcPr>
            <w:tcW w:w="1700" w:type="dxa"/>
            <w:vAlign w:val="bottom"/>
          </w:tcPr>
          <w:p>
            <w:pPr>
              <w:ind w:left="560"/>
              <w:spacing w:after="0" w:line="144" w:lineRule="exact"/>
              <w:rPr>
                <w:sz w:val="20"/>
                <w:szCs w:val="20"/>
                <w:color w:val="auto"/>
              </w:rPr>
            </w:pPr>
            <w:r>
              <w:rPr>
                <w:rFonts w:ascii="Times New Roman" w:cs="Times New Roman" w:eastAsia="Times New Roman" w:hAnsi="Times New Roman"/>
                <w:sz w:val="13"/>
                <w:szCs w:val="13"/>
                <w:b w:val="1"/>
                <w:bCs w:val="1"/>
                <w:color w:val="auto"/>
              </w:rPr>
              <w:t>(Commission</w:t>
            </w:r>
          </w:p>
        </w:tc>
        <w:tc>
          <w:tcPr>
            <w:tcW w:w="1340" w:type="dxa"/>
            <w:vAlign w:val="bottom"/>
          </w:tcPr>
          <w:p>
            <w:pPr>
              <w:spacing w:after="0"/>
              <w:rPr>
                <w:sz w:val="12"/>
                <w:szCs w:val="12"/>
                <w:color w:val="auto"/>
              </w:rPr>
            </w:pPr>
          </w:p>
        </w:tc>
        <w:tc>
          <w:tcPr>
            <w:tcW w:w="1900" w:type="dxa"/>
            <w:vAlign w:val="bottom"/>
          </w:tcPr>
          <w:p>
            <w:pPr>
              <w:jc w:val="center"/>
              <w:ind w:left="844"/>
              <w:spacing w:after="0" w:line="144"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4240" w:type="dxa"/>
            <w:vAlign w:val="bottom"/>
          </w:tcPr>
          <w:p>
            <w:pPr>
              <w:jc w:val="center"/>
              <w:ind w:right="884"/>
              <w:spacing w:after="0"/>
              <w:rPr>
                <w:sz w:val="20"/>
                <w:szCs w:val="20"/>
                <w:color w:val="auto"/>
              </w:rPr>
            </w:pPr>
            <w:r>
              <w:rPr>
                <w:rFonts w:ascii="Times New Roman" w:cs="Times New Roman" w:eastAsia="Times New Roman" w:hAnsi="Times New Roman"/>
                <w:sz w:val="13"/>
                <w:szCs w:val="13"/>
                <w:b w:val="1"/>
                <w:bCs w:val="1"/>
                <w:color w:val="auto"/>
                <w:w w:val="96"/>
              </w:rPr>
              <w:t>of incorporation)</w:t>
            </w:r>
          </w:p>
        </w:tc>
        <w:tc>
          <w:tcPr>
            <w:tcW w:w="1700" w:type="dxa"/>
            <w:vAlign w:val="bottom"/>
          </w:tcPr>
          <w:p>
            <w:pPr>
              <w:ind w:left="540"/>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1340" w:type="dxa"/>
            <w:vAlign w:val="bottom"/>
          </w:tcPr>
          <w:p>
            <w:pPr>
              <w:spacing w:after="0"/>
              <w:rPr>
                <w:sz w:val="14"/>
                <w:szCs w:val="14"/>
                <w:color w:val="auto"/>
              </w:rPr>
            </w:pPr>
          </w:p>
        </w:tc>
        <w:tc>
          <w:tcPr>
            <w:tcW w:w="1900" w:type="dxa"/>
            <w:vAlign w:val="bottom"/>
          </w:tcPr>
          <w:p>
            <w:pPr>
              <w:jc w:val="center"/>
              <w:ind w:left="844"/>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442"/>
        </w:trPr>
        <w:tc>
          <w:tcPr>
            <w:tcW w:w="4240" w:type="dxa"/>
            <w:vAlign w:val="bottom"/>
          </w:tcPr>
          <w:p>
            <w:pPr>
              <w:ind w:left="2140"/>
              <w:spacing w:after="0"/>
              <w:rPr>
                <w:sz w:val="20"/>
                <w:szCs w:val="20"/>
                <w:color w:val="auto"/>
              </w:rPr>
            </w:pPr>
            <w:r>
              <w:rPr>
                <w:rFonts w:ascii="Times New Roman" w:cs="Times New Roman" w:eastAsia="Times New Roman" w:hAnsi="Times New Roman"/>
                <w:sz w:val="16"/>
                <w:szCs w:val="16"/>
                <w:b w:val="1"/>
                <w:bCs w:val="1"/>
                <w:color w:val="auto"/>
              </w:rPr>
              <w:t>909 Rose Avenue, Suite 200</w:t>
            </w:r>
          </w:p>
        </w:tc>
        <w:tc>
          <w:tcPr>
            <w:tcW w:w="170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North Bethesda,</w:t>
            </w:r>
          </w:p>
        </w:tc>
        <w:tc>
          <w:tcPr>
            <w:tcW w:w="13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Maryland</w:t>
            </w:r>
          </w:p>
        </w:tc>
        <w:tc>
          <w:tcPr>
            <w:tcW w:w="1900" w:type="dxa"/>
            <w:vAlign w:val="bottom"/>
          </w:tcPr>
          <w:p>
            <w:pPr>
              <w:jc w:val="right"/>
              <w:ind w:right="724"/>
              <w:spacing w:after="0"/>
              <w:rPr>
                <w:sz w:val="20"/>
                <w:szCs w:val="20"/>
                <w:color w:val="auto"/>
              </w:rPr>
            </w:pPr>
            <w:r>
              <w:rPr>
                <w:rFonts w:ascii="Times New Roman" w:cs="Times New Roman" w:eastAsia="Times New Roman" w:hAnsi="Times New Roman"/>
                <w:sz w:val="16"/>
                <w:szCs w:val="16"/>
                <w:b w:val="1"/>
                <w:bCs w:val="1"/>
                <w:color w:val="auto"/>
              </w:rPr>
              <w:t>20852</w:t>
            </w:r>
          </w:p>
        </w:tc>
      </w:tr>
      <w:tr>
        <w:trPr>
          <w:trHeight w:val="216"/>
        </w:trPr>
        <w:tc>
          <w:tcPr>
            <w:tcW w:w="5940" w:type="dxa"/>
            <w:vAlign w:val="bottom"/>
            <w:gridSpan w:val="2"/>
          </w:tcPr>
          <w:p>
            <w:pPr>
              <w:ind w:left="3100"/>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1340" w:type="dxa"/>
            <w:vAlign w:val="bottom"/>
          </w:tcPr>
          <w:p>
            <w:pPr>
              <w:spacing w:after="0"/>
              <w:rPr>
                <w:sz w:val="18"/>
                <w:szCs w:val="18"/>
                <w:color w:val="auto"/>
              </w:rPr>
            </w:pPr>
          </w:p>
        </w:tc>
        <w:tc>
          <w:tcPr>
            <w:tcW w:w="1900" w:type="dxa"/>
            <w:vAlign w:val="bottom"/>
          </w:tcPr>
          <w:p>
            <w:pPr>
              <w:jc w:val="center"/>
              <w:ind w:right="24"/>
              <w:spacing w:after="0"/>
              <w:rPr>
                <w:sz w:val="20"/>
                <w:szCs w:val="20"/>
                <w:color w:val="auto"/>
              </w:rPr>
            </w:pPr>
            <w:r>
              <w:rPr>
                <w:rFonts w:ascii="Times New Roman" w:cs="Times New Roman" w:eastAsia="Times New Roman" w:hAnsi="Times New Roman"/>
                <w:sz w:val="16"/>
                <w:szCs w:val="16"/>
                <w:b w:val="1"/>
                <w:bCs w:val="1"/>
                <w:color w:val="auto"/>
              </w:rPr>
              <w:t>(Zip Code)</w:t>
            </w:r>
          </w:p>
        </w:tc>
      </w:tr>
    </w:tbl>
    <w:p>
      <w:pPr>
        <w:spacing w:after="0" w:line="1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301/998-8100</w:t>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(see</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General Instruction A.2. below):</w:t>
      </w:r>
    </w:p>
    <w:p>
      <w:pPr>
        <w:spacing w:after="0" w:line="136" w:lineRule="exact"/>
        <w:rPr>
          <w:sz w:val="24"/>
          <w:szCs w:val="24"/>
          <w:color w:val="auto"/>
        </w:rPr>
      </w:pPr>
    </w:p>
    <w:p>
      <w:pPr>
        <w:ind w:left="460" w:hanging="414"/>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40" w:lineRule="exact"/>
        <w:rPr>
          <w:rFonts w:ascii="MS PGothic" w:cs="MS PGothic" w:eastAsia="MS PGothic" w:hAnsi="MS PGothic"/>
          <w:sz w:val="16"/>
          <w:szCs w:val="16"/>
          <w:color w:val="auto"/>
        </w:rPr>
      </w:pPr>
    </w:p>
    <w:p>
      <w:pPr>
        <w:ind w:left="460" w:hanging="414"/>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53" w:lineRule="exact"/>
        <w:rPr>
          <w:rFonts w:ascii="MS PGothic" w:cs="MS PGothic" w:eastAsia="MS PGothic" w:hAnsi="MS PGothic"/>
          <w:sz w:val="16"/>
          <w:szCs w:val="16"/>
          <w:color w:val="auto"/>
        </w:rPr>
      </w:pPr>
    </w:p>
    <w:p>
      <w:pPr>
        <w:ind w:left="460" w:hanging="414"/>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40" w:lineRule="exact"/>
        <w:rPr>
          <w:rFonts w:ascii="MS PGothic" w:cs="MS PGothic" w:eastAsia="MS PGothic" w:hAnsi="MS PGothic"/>
          <w:sz w:val="16"/>
          <w:szCs w:val="16"/>
          <w:color w:val="auto"/>
        </w:rPr>
      </w:pPr>
    </w:p>
    <w:p>
      <w:pPr>
        <w:ind w:left="460" w:hanging="414"/>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4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324"/>
        </w:trPr>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54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tc>
        <w:tc>
          <w:tcPr>
            <w:tcW w:w="2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182"/>
        </w:trPr>
        <w:tc>
          <w:tcPr>
            <w:tcW w:w="1680" w:type="dxa"/>
            <w:vAlign w:val="bottom"/>
          </w:tcPr>
          <w:p>
            <w:pPr>
              <w:spacing w:after="0"/>
              <w:rPr>
                <w:sz w:val="15"/>
                <w:szCs w:val="15"/>
                <w:color w:val="auto"/>
              </w:rPr>
            </w:pPr>
          </w:p>
        </w:tc>
        <w:tc>
          <w:tcPr>
            <w:tcW w:w="13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Title of Each Class</w:t>
            </w:r>
          </w:p>
        </w:tc>
        <w:tc>
          <w:tcPr>
            <w:tcW w:w="1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Trading Symbol</w:t>
            </w:r>
          </w:p>
        </w:tc>
        <w:tc>
          <w:tcPr>
            <w:tcW w:w="840" w:type="dxa"/>
            <w:vAlign w:val="bottom"/>
          </w:tcPr>
          <w:p>
            <w:pPr>
              <w:spacing w:after="0"/>
              <w:rPr>
                <w:sz w:val="15"/>
                <w:szCs w:val="15"/>
                <w:color w:val="auto"/>
              </w:rPr>
            </w:pPr>
          </w:p>
        </w:tc>
        <w:tc>
          <w:tcPr>
            <w:tcW w:w="3500" w:type="dxa"/>
            <w:vAlign w:val="bottom"/>
            <w:gridSpan w:val="2"/>
          </w:tcPr>
          <w:p>
            <w:pPr>
              <w:jc w:val="center"/>
              <w:ind w:left="199"/>
              <w:spacing w:after="0" w:line="181" w:lineRule="exact"/>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1680" w:type="dxa"/>
            <w:vAlign w:val="bottom"/>
          </w:tcPr>
          <w:p>
            <w:pPr>
              <w:spacing w:after="0" w:line="20" w:lineRule="exact"/>
              <w:rPr>
                <w:sz w:val="1"/>
                <w:szCs w:val="1"/>
                <w:color w:val="auto"/>
              </w:rPr>
            </w:pPr>
          </w:p>
        </w:tc>
        <w:tc>
          <w:tcPr>
            <w:tcW w:w="1320" w:type="dxa"/>
            <w:vAlign w:val="bottom"/>
            <w:tcBorders>
              <w:right w:val="single" w:sz="8" w:color="auto"/>
            </w:tcBorders>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r>
      <w:tr>
        <w:trPr>
          <w:trHeight w:val="230"/>
        </w:trPr>
        <w:tc>
          <w:tcPr>
            <w:tcW w:w="4480" w:type="dxa"/>
            <w:vAlign w:val="bottom"/>
            <w:gridSpan w:val="3"/>
          </w:tcPr>
          <w:p>
            <w:pPr>
              <w:jc w:val="center"/>
              <w:ind w:left="79"/>
              <w:spacing w:after="0"/>
              <w:rPr>
                <w:sz w:val="20"/>
                <w:szCs w:val="20"/>
                <w:color w:val="auto"/>
              </w:rPr>
            </w:pPr>
            <w:r>
              <w:rPr>
                <w:rFonts w:ascii="Times New Roman" w:cs="Times New Roman" w:eastAsia="Times New Roman" w:hAnsi="Times New Roman"/>
                <w:sz w:val="16"/>
                <w:szCs w:val="16"/>
                <w:color w:val="auto"/>
              </w:rPr>
              <w:t>Common Shares of Beneficial Interest</w:t>
            </w:r>
          </w:p>
        </w:tc>
        <w:tc>
          <w:tcPr>
            <w:tcW w:w="580" w:type="dxa"/>
            <w:vAlign w:val="bottom"/>
          </w:tcPr>
          <w:p>
            <w:pPr>
              <w:spacing w:after="0"/>
              <w:rPr>
                <w:sz w:val="20"/>
                <w:szCs w:val="20"/>
                <w:color w:val="auto"/>
              </w:rPr>
            </w:pPr>
          </w:p>
        </w:tc>
        <w:tc>
          <w:tcPr>
            <w:tcW w:w="1960" w:type="dxa"/>
            <w:vAlign w:val="bottom"/>
            <w:gridSpan w:val="2"/>
          </w:tcPr>
          <w:p>
            <w:pPr>
              <w:jc w:val="center"/>
              <w:ind w:right="840"/>
              <w:spacing w:after="0"/>
              <w:rPr>
                <w:sz w:val="20"/>
                <w:szCs w:val="20"/>
                <w:color w:val="auto"/>
              </w:rPr>
            </w:pPr>
            <w:r>
              <w:rPr>
                <w:rFonts w:ascii="Times New Roman" w:cs="Times New Roman" w:eastAsia="Times New Roman" w:hAnsi="Times New Roman"/>
                <w:sz w:val="16"/>
                <w:szCs w:val="16"/>
                <w:color w:val="auto"/>
                <w:w w:val="95"/>
              </w:rPr>
              <w:t>FRT</w:t>
            </w:r>
          </w:p>
        </w:tc>
        <w:tc>
          <w:tcPr>
            <w:tcW w:w="280" w:type="dxa"/>
            <w:vAlign w:val="bottom"/>
          </w:tcPr>
          <w:p>
            <w:pPr>
              <w:spacing w:after="0"/>
              <w:rPr>
                <w:sz w:val="20"/>
                <w:szCs w:val="20"/>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r>
        <w:trPr>
          <w:trHeight w:val="168"/>
        </w:trPr>
        <w:tc>
          <w:tcPr>
            <w:tcW w:w="4480" w:type="dxa"/>
            <w:vAlign w:val="bottom"/>
            <w:gridSpan w:val="3"/>
          </w:tcPr>
          <w:p>
            <w:pPr>
              <w:jc w:val="center"/>
              <w:ind w:left="99"/>
              <w:spacing w:after="0" w:line="168" w:lineRule="exact"/>
              <w:rPr>
                <w:sz w:val="20"/>
                <w:szCs w:val="20"/>
                <w:color w:val="auto"/>
              </w:rPr>
            </w:pPr>
            <w:r>
              <w:rPr>
                <w:rFonts w:ascii="Times New Roman" w:cs="Times New Roman" w:eastAsia="Times New Roman" w:hAnsi="Times New Roman"/>
                <w:sz w:val="16"/>
                <w:szCs w:val="16"/>
                <w:color w:val="auto"/>
              </w:rPr>
              <w:t>$.01 par value per share, with associated Common Share Purchase</w:t>
            </w: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210"/>
        </w:trPr>
        <w:tc>
          <w:tcPr>
            <w:tcW w:w="1680" w:type="dxa"/>
            <w:vAlign w:val="bottom"/>
          </w:tcPr>
          <w:p>
            <w:pPr>
              <w:spacing w:after="0"/>
              <w:rPr>
                <w:sz w:val="18"/>
                <w:szCs w:val="18"/>
                <w:color w:val="auto"/>
              </w:rPr>
            </w:pPr>
          </w:p>
        </w:tc>
        <w:tc>
          <w:tcPr>
            <w:tcW w:w="2800" w:type="dxa"/>
            <w:vAlign w:val="bottom"/>
            <w:gridSpan w:val="2"/>
          </w:tcPr>
          <w:p>
            <w:pPr>
              <w:jc w:val="center"/>
              <w:ind w:right="1500"/>
              <w:spacing w:after="0"/>
              <w:rPr>
                <w:sz w:val="20"/>
                <w:szCs w:val="20"/>
                <w:color w:val="auto"/>
              </w:rPr>
            </w:pPr>
            <w:r>
              <w:rPr>
                <w:rFonts w:ascii="Times New Roman" w:cs="Times New Roman" w:eastAsia="Times New Roman" w:hAnsi="Times New Roman"/>
                <w:sz w:val="16"/>
                <w:szCs w:val="16"/>
                <w:color w:val="auto"/>
              </w:rPr>
              <w:t>Rights</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324"/>
        </w:trPr>
        <w:tc>
          <w:tcPr>
            <w:tcW w:w="4480" w:type="dxa"/>
            <w:vAlign w:val="bottom"/>
            <w:gridSpan w:val="3"/>
          </w:tcPr>
          <w:p>
            <w:pPr>
              <w:jc w:val="center"/>
              <w:ind w:left="79"/>
              <w:spacing w:after="0"/>
              <w:rPr>
                <w:sz w:val="20"/>
                <w:szCs w:val="20"/>
                <w:color w:val="auto"/>
              </w:rPr>
            </w:pPr>
            <w:r>
              <w:rPr>
                <w:rFonts w:ascii="Times New Roman" w:cs="Times New Roman" w:eastAsia="Times New Roman" w:hAnsi="Times New Roman"/>
                <w:sz w:val="16"/>
                <w:szCs w:val="16"/>
                <w:color w:val="auto"/>
              </w:rPr>
              <w:t>Depositary Shares, each representing 1/1000 of a share</w:t>
            </w:r>
          </w:p>
        </w:tc>
        <w:tc>
          <w:tcPr>
            <w:tcW w:w="580" w:type="dxa"/>
            <w:vAlign w:val="bottom"/>
          </w:tcPr>
          <w:p>
            <w:pPr>
              <w:spacing w:after="0"/>
              <w:rPr>
                <w:sz w:val="24"/>
                <w:szCs w:val="24"/>
                <w:color w:val="auto"/>
              </w:rPr>
            </w:pPr>
          </w:p>
        </w:tc>
        <w:tc>
          <w:tcPr>
            <w:tcW w:w="1960" w:type="dxa"/>
            <w:vAlign w:val="bottom"/>
            <w:gridSpan w:val="2"/>
          </w:tcPr>
          <w:p>
            <w:pPr>
              <w:jc w:val="center"/>
              <w:ind w:right="840"/>
              <w:spacing w:after="0"/>
              <w:rPr>
                <w:sz w:val="20"/>
                <w:szCs w:val="20"/>
                <w:color w:val="auto"/>
              </w:rPr>
            </w:pPr>
            <w:r>
              <w:rPr>
                <w:rFonts w:ascii="Times New Roman" w:cs="Times New Roman" w:eastAsia="Times New Roman" w:hAnsi="Times New Roman"/>
                <w:sz w:val="16"/>
                <w:szCs w:val="16"/>
                <w:color w:val="auto"/>
                <w:w w:val="96"/>
              </w:rPr>
              <w:t>FRT-C</w:t>
            </w:r>
          </w:p>
        </w:tc>
        <w:tc>
          <w:tcPr>
            <w:tcW w:w="28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r>
        <w:trPr>
          <w:trHeight w:val="168"/>
        </w:trPr>
        <w:tc>
          <w:tcPr>
            <w:tcW w:w="7020" w:type="dxa"/>
            <w:vAlign w:val="bottom"/>
            <w:gridSpan w:val="6"/>
          </w:tcPr>
          <w:p>
            <w:pPr>
              <w:jc w:val="center"/>
              <w:ind w:right="2380"/>
              <w:spacing w:after="0" w:line="168" w:lineRule="exact"/>
              <w:rPr>
                <w:sz w:val="20"/>
                <w:szCs w:val="20"/>
                <w:color w:val="auto"/>
              </w:rPr>
            </w:pPr>
            <w:r>
              <w:rPr>
                <w:rFonts w:ascii="Times New Roman" w:cs="Times New Roman" w:eastAsia="Times New Roman" w:hAnsi="Times New Roman"/>
                <w:sz w:val="16"/>
                <w:szCs w:val="16"/>
                <w:color w:val="auto"/>
              </w:rPr>
              <w:t>of 5.00% Series C Cumulative Redeemable Preferred Stock, $.01 par</w:t>
            </w:r>
          </w:p>
        </w:tc>
        <w:tc>
          <w:tcPr>
            <w:tcW w:w="28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210"/>
        </w:trPr>
        <w:tc>
          <w:tcPr>
            <w:tcW w:w="1680" w:type="dxa"/>
            <w:vAlign w:val="bottom"/>
          </w:tcPr>
          <w:p>
            <w:pPr>
              <w:spacing w:after="0"/>
              <w:rPr>
                <w:sz w:val="18"/>
                <w:szCs w:val="18"/>
                <w:color w:val="auto"/>
              </w:rPr>
            </w:pPr>
          </w:p>
        </w:tc>
        <w:tc>
          <w:tcPr>
            <w:tcW w:w="2800" w:type="dxa"/>
            <w:vAlign w:val="bottom"/>
            <w:gridSpan w:val="2"/>
          </w:tcPr>
          <w:p>
            <w:pPr>
              <w:jc w:val="center"/>
              <w:ind w:right="1500"/>
              <w:spacing w:after="0"/>
              <w:rPr>
                <w:sz w:val="20"/>
                <w:szCs w:val="20"/>
                <w:color w:val="auto"/>
              </w:rPr>
            </w:pPr>
            <w:r>
              <w:rPr>
                <w:rFonts w:ascii="Times New Roman" w:cs="Times New Roman" w:eastAsia="Times New Roman" w:hAnsi="Times New Roman"/>
                <w:sz w:val="16"/>
                <w:szCs w:val="16"/>
                <w:color w:val="auto"/>
              </w:rPr>
              <w:t>value per share</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310"/>
        </w:trPr>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54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Federal Realty OP LP</w:t>
            </w:r>
          </w:p>
        </w:tc>
        <w:tc>
          <w:tcPr>
            <w:tcW w:w="2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182"/>
        </w:trPr>
        <w:tc>
          <w:tcPr>
            <w:tcW w:w="1680" w:type="dxa"/>
            <w:vAlign w:val="bottom"/>
          </w:tcPr>
          <w:p>
            <w:pPr>
              <w:spacing w:after="0"/>
              <w:rPr>
                <w:sz w:val="15"/>
                <w:szCs w:val="15"/>
                <w:color w:val="auto"/>
              </w:rPr>
            </w:pPr>
          </w:p>
        </w:tc>
        <w:tc>
          <w:tcPr>
            <w:tcW w:w="13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Title of Each Class</w:t>
            </w:r>
          </w:p>
        </w:tc>
        <w:tc>
          <w:tcPr>
            <w:tcW w:w="1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Trading Symbol</w:t>
            </w:r>
          </w:p>
        </w:tc>
        <w:tc>
          <w:tcPr>
            <w:tcW w:w="840" w:type="dxa"/>
            <w:vAlign w:val="bottom"/>
          </w:tcPr>
          <w:p>
            <w:pPr>
              <w:spacing w:after="0"/>
              <w:rPr>
                <w:sz w:val="15"/>
                <w:szCs w:val="15"/>
                <w:color w:val="auto"/>
              </w:rPr>
            </w:pPr>
          </w:p>
        </w:tc>
        <w:tc>
          <w:tcPr>
            <w:tcW w:w="3500" w:type="dxa"/>
            <w:vAlign w:val="bottom"/>
            <w:gridSpan w:val="2"/>
          </w:tcPr>
          <w:p>
            <w:pPr>
              <w:jc w:val="center"/>
              <w:ind w:left="199"/>
              <w:spacing w:after="0" w:line="181" w:lineRule="exact"/>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30"/>
        </w:trPr>
        <w:tc>
          <w:tcPr>
            <w:tcW w:w="1680" w:type="dxa"/>
            <w:vAlign w:val="bottom"/>
          </w:tcPr>
          <w:p>
            <w:pPr>
              <w:spacing w:after="0"/>
              <w:rPr>
                <w:sz w:val="20"/>
                <w:szCs w:val="20"/>
                <w:color w:val="auto"/>
              </w:rPr>
            </w:pP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None</w:t>
            </w:r>
          </w:p>
        </w:tc>
        <w:tc>
          <w:tcPr>
            <w:tcW w:w="1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r>
    </w:tbl>
    <w:p>
      <w:pPr>
        <w:spacing w:after="0" w:line="208" w:lineRule="exact"/>
        <w:rPr>
          <w:sz w:val="24"/>
          <w:szCs w:val="24"/>
          <w:color w:val="auto"/>
        </w:rPr>
      </w:pPr>
    </w:p>
    <w:p>
      <w:pPr>
        <w:ind w:left="20" w:right="600"/>
        <w:spacing w:after="0" w:line="242"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or Rule 12b-2 of the Securities Exchange Act of 1934.</w:t>
      </w:r>
    </w:p>
    <w:p>
      <w:pPr>
        <w:spacing w:after="0" w:line="1" w:lineRule="exact"/>
        <w:rPr>
          <w:sz w:val="24"/>
          <w:szCs w:val="24"/>
          <w:color w:val="auto"/>
        </w:rPr>
      </w:pPr>
    </w:p>
    <w:p>
      <w:pPr>
        <w:ind w:left="20"/>
        <w:spacing w:after="0" w:line="184" w:lineRule="exact"/>
        <w:tabs>
          <w:tab w:leader="none" w:pos="3940" w:val="left"/>
        </w:tabs>
        <w:rPr>
          <w:sz w:val="20"/>
          <w:szCs w:val="20"/>
          <w:color w:val="auto"/>
        </w:rPr>
      </w:pPr>
      <w:r>
        <w:rPr>
          <w:rFonts w:ascii="Times New Roman" w:cs="Times New Roman" w:eastAsia="Times New Roman" w:hAnsi="Times New Roman"/>
          <w:sz w:val="16"/>
          <w:szCs w:val="16"/>
          <w:color w:val="auto"/>
        </w:rPr>
        <w:t xml:space="preserve">Federal Realty Investment Trust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Federal Realty OP LP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59" w:lineRule="exact"/>
        <w:rPr>
          <w:sz w:val="24"/>
          <w:szCs w:val="24"/>
          <w:color w:val="auto"/>
        </w:rPr>
      </w:pPr>
    </w:p>
    <w:p>
      <w:pPr>
        <w:ind w:left="20" w:right="100"/>
        <w:spacing w:after="0" w:line="242" w:lineRule="auto"/>
        <w:rPr>
          <w:sz w:val="20"/>
          <w:szCs w:val="20"/>
          <w:color w:val="auto"/>
        </w:rPr>
      </w:pPr>
      <w:r>
        <w:rPr>
          <w:rFonts w:ascii="Times New Roman" w:cs="Times New Roman" w:eastAsia="Times New Roman" w:hAnsi="Times New Roman"/>
          <w:sz w:val="16"/>
          <w:szCs w:val="16"/>
          <w:color w:val="auto"/>
        </w:rPr>
        <w:t>If an emerging growth company, indicate by checkmark if the registrant has elected not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ind w:left="20"/>
        <w:spacing w:after="0" w:line="184" w:lineRule="exact"/>
        <w:tabs>
          <w:tab w:leader="none" w:pos="3940" w:val="left"/>
        </w:tabs>
        <w:rPr>
          <w:sz w:val="20"/>
          <w:szCs w:val="20"/>
          <w:color w:val="auto"/>
        </w:rPr>
      </w:pPr>
      <w:r>
        <w:rPr>
          <w:rFonts w:ascii="Times New Roman" w:cs="Times New Roman" w:eastAsia="Times New Roman" w:hAnsi="Times New Roman"/>
          <w:sz w:val="16"/>
          <w:szCs w:val="16"/>
          <w:color w:val="auto"/>
        </w:rPr>
        <w:t xml:space="preserve">Federal Realty Investment Trust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Federal Realty OP LP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620395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3"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Item 2.02. Results of Operations and Financial Condition.</w:t>
      </w:r>
    </w:p>
    <w:p>
      <w:pPr>
        <w:spacing w:after="0" w:line="251" w:lineRule="exact"/>
        <w:rPr>
          <w:sz w:val="20"/>
          <w:szCs w:val="20"/>
          <w:color w:val="auto"/>
        </w:rPr>
      </w:pPr>
    </w:p>
    <w:p>
      <w:pPr>
        <w:ind w:firstLine="180"/>
        <w:spacing w:after="0" w:line="268" w:lineRule="auto"/>
        <w:rPr>
          <w:sz w:val="20"/>
          <w:szCs w:val="20"/>
          <w:color w:val="auto"/>
        </w:rPr>
      </w:pPr>
      <w:r>
        <w:rPr>
          <w:rFonts w:ascii="Times New Roman" w:cs="Times New Roman" w:eastAsia="Times New Roman" w:hAnsi="Times New Roman"/>
          <w:sz w:val="21"/>
          <w:szCs w:val="21"/>
          <w:color w:val="auto"/>
        </w:rPr>
        <w:t>The following information is being furnished under Item 2.02-Results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191" w:lineRule="exact"/>
        <w:rPr>
          <w:sz w:val="20"/>
          <w:szCs w:val="20"/>
          <w:color w:val="auto"/>
        </w:rPr>
      </w:pPr>
    </w:p>
    <w:p>
      <w:pPr>
        <w:ind w:right="40" w:firstLine="180"/>
        <w:spacing w:after="0" w:line="263" w:lineRule="auto"/>
        <w:rPr>
          <w:sz w:val="20"/>
          <w:szCs w:val="20"/>
          <w:color w:val="auto"/>
        </w:rPr>
      </w:pPr>
      <w:r>
        <w:rPr>
          <w:rFonts w:ascii="Times New Roman" w:cs="Times New Roman" w:eastAsia="Times New Roman" w:hAnsi="Times New Roman"/>
          <w:sz w:val="22"/>
          <w:szCs w:val="22"/>
          <w:color w:val="auto"/>
        </w:rPr>
        <w:t>On November 03, 2022, Federal Realty Investment Trust issued supplemental data pertaining to its operations, as well as a press release, to report its financial results for the quarter ended September 30, 2022. The supplemental data and press release are furnished as Exhibit 99.1 hereto.</w:t>
      </w:r>
    </w:p>
    <w:p>
      <w:pPr>
        <w:spacing w:after="0" w:line="190"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2"/>
          <w:szCs w:val="22"/>
          <w:b w:val="1"/>
          <w:bCs w:val="1"/>
          <w:color w:val="auto"/>
        </w:rPr>
        <w:t>Item 9.01.</w:t>
      </w:r>
      <w:r>
        <w:rPr>
          <w:sz w:val="20"/>
          <w:szCs w:val="20"/>
          <w:color w:val="auto"/>
        </w:rPr>
        <w:tab/>
      </w:r>
      <w:r>
        <w:rPr>
          <w:rFonts w:ascii="Times New Roman" w:cs="Times New Roman" w:eastAsia="Times New Roman" w:hAnsi="Times New Roman"/>
          <w:sz w:val="21"/>
          <w:szCs w:val="21"/>
          <w:b w:val="1"/>
          <w:bCs w:val="1"/>
          <w:color w:val="auto"/>
        </w:rPr>
        <w:t>Financial Statements and Exhibits.</w:t>
      </w:r>
    </w:p>
    <w:p>
      <w:pPr>
        <w:spacing w:after="0" w:line="251" w:lineRule="exact"/>
        <w:rPr>
          <w:sz w:val="20"/>
          <w:szCs w:val="20"/>
          <w:color w:val="auto"/>
        </w:rPr>
      </w:pPr>
    </w:p>
    <w:p>
      <w:pPr>
        <w:ind w:left="180"/>
        <w:spacing w:after="0"/>
        <w:tabs>
          <w:tab w:leader="none" w:pos="58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1"/>
          <w:szCs w:val="21"/>
          <w:color w:val="auto"/>
        </w:rPr>
        <w:t>Exhibits</w:t>
      </w:r>
    </w:p>
    <w:p>
      <w:pPr>
        <w:spacing w:after="0" w:line="247" w:lineRule="exact"/>
        <w:rPr>
          <w:sz w:val="20"/>
          <w:szCs w:val="20"/>
          <w:color w:val="auto"/>
        </w:rPr>
      </w:pPr>
    </w:p>
    <w:p>
      <w:pPr>
        <w:ind w:left="180"/>
        <w:spacing w:after="0"/>
        <w:tabs>
          <w:tab w:leader="none" w:pos="720" w:val="left"/>
        </w:tabs>
        <w:rPr>
          <w:sz w:val="20"/>
          <w:szCs w:val="20"/>
          <w:color w:val="auto"/>
        </w:rPr>
      </w:pPr>
      <w:r>
        <w:rPr>
          <w:rFonts w:ascii="Times New Roman" w:cs="Times New Roman" w:eastAsia="Times New Roman" w:hAnsi="Times New Roman"/>
          <w:sz w:val="22"/>
          <w:szCs w:val="22"/>
          <w:color w:val="auto"/>
        </w:rPr>
        <w:t>99.1</w:t>
      </w:r>
      <w:r>
        <w:rPr>
          <w:sz w:val="20"/>
          <w:szCs w:val="20"/>
          <w:color w:val="auto"/>
        </w:rPr>
        <w:tab/>
      </w:r>
      <w:r>
        <w:rPr>
          <w:rFonts w:ascii="Times New Roman" w:cs="Times New Roman" w:eastAsia="Times New Roman" w:hAnsi="Times New Roman"/>
          <w:sz w:val="21"/>
          <w:szCs w:val="21"/>
          <w:color w:val="auto"/>
        </w:rPr>
        <w:t>Supplemental information at September 30, 2022 (including press release dated November 03,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00" w:lineRule="exact"/>
        <w:rPr>
          <w:sz w:val="20"/>
          <w:szCs w:val="20"/>
          <w:color w:val="auto"/>
        </w:rPr>
      </w:pPr>
    </w:p>
    <w:p>
      <w:pPr>
        <w:spacing w:after="0" w:line="294" w:lineRule="exact"/>
        <w:rPr>
          <w:sz w:val="20"/>
          <w:szCs w:val="20"/>
          <w:color w:val="auto"/>
        </w:rPr>
      </w:pPr>
    </w:p>
    <w:p>
      <w:pPr>
        <w:ind w:right="200" w:firstLine="180"/>
        <w:spacing w:after="0" w:line="284"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registrants have duly caused this report to be signed on their behalf by the undersigned hereunto duly authorized.</w:t>
      </w:r>
    </w:p>
    <w:p>
      <w:pPr>
        <w:spacing w:after="0" w:line="19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b w:val="1"/>
          <w:bCs w:val="1"/>
          <w:color w:val="auto"/>
        </w:rPr>
        <w:t>FEDERAL REALTY INVESTMENT TRUST</w:t>
      </w:r>
    </w:p>
    <w:p>
      <w:pPr>
        <w:spacing w:after="0" w:line="3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b w:val="1"/>
          <w:bCs w:val="1"/>
          <w:color w:val="auto"/>
        </w:rPr>
        <w:t>FEDERAL REALTY OP LP</w:t>
      </w:r>
    </w:p>
    <w:p>
      <w:pPr>
        <w:spacing w:after="0" w:line="275" w:lineRule="exact"/>
        <w:rPr>
          <w:sz w:val="20"/>
          <w:szCs w:val="20"/>
          <w:color w:val="auto"/>
        </w:rPr>
      </w:pPr>
    </w:p>
    <w:p>
      <w:pPr>
        <w:ind w:left="40"/>
        <w:spacing w:after="0"/>
        <w:tabs>
          <w:tab w:leader="none" w:pos="840" w:val="left"/>
          <w:tab w:leader="none" w:pos="4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November 03, 2022</w:t>
      </w:r>
      <w:r>
        <w:rPr>
          <w:sz w:val="20"/>
          <w:szCs w:val="20"/>
          <w:color w:val="auto"/>
        </w:rPr>
        <w:tab/>
      </w:r>
      <w:r>
        <w:rPr>
          <w:rFonts w:ascii="Times New Roman" w:cs="Times New Roman" w:eastAsia="Times New Roman" w:hAnsi="Times New Roman"/>
          <w:sz w:val="21"/>
          <w:szCs w:val="21"/>
          <w:u w:val="single" w:color="auto"/>
          <w:color w:val="auto"/>
        </w:rPr>
        <w:t>/s/ Daniel Guglielmone</w:t>
      </w:r>
    </w:p>
    <w:p>
      <w:pPr>
        <w:spacing w:after="0" w:line="28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Daniel Guglielmone</w:t>
      </w:r>
    </w:p>
    <w:p>
      <w:pPr>
        <w:spacing w:after="0" w:line="2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Executive Vice President-</w:t>
      </w:r>
    </w:p>
    <w:p>
      <w:pPr>
        <w:spacing w:after="0" w:line="1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607695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2"/>
        </w:trPr>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380" w:type="dxa"/>
            <w:vAlign w:val="bottom"/>
          </w:tcPr>
          <w:p>
            <w:pPr>
              <w:ind w:left="2980"/>
              <w:spacing w:after="0"/>
              <w:rPr>
                <w:sz w:val="20"/>
                <w:szCs w:val="20"/>
                <w:color w:val="auto"/>
              </w:rPr>
            </w:pPr>
            <w:r>
              <w:rPr>
                <w:rFonts w:ascii="Times New Roman" w:cs="Times New Roman" w:eastAsia="Times New Roman" w:hAnsi="Times New Roman"/>
                <w:sz w:val="22"/>
                <w:szCs w:val="22"/>
                <w:color w:val="auto"/>
              </w:rPr>
              <w:t>EXHIBIT INDEX</w:t>
            </w:r>
          </w:p>
        </w:tc>
      </w:tr>
      <w:tr>
        <w:trPr>
          <w:trHeight w:val="555"/>
        </w:trPr>
        <w:tc>
          <w:tcPr>
            <w:tcW w:w="1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3"/>
        </w:trPr>
        <w:tc>
          <w:tcPr>
            <w:tcW w:w="1700" w:type="dxa"/>
            <w:vAlign w:val="bottom"/>
            <w:tcBorders>
              <w:top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00" w:type="dxa"/>
            <w:vAlign w:val="bottom"/>
          </w:tcPr>
          <w:p>
            <w:pPr>
              <w:spacing w:after="0"/>
              <w:rPr>
                <w:sz w:val="15"/>
                <w:szCs w:val="15"/>
                <w:color w:val="auto"/>
              </w:rPr>
            </w:pPr>
          </w:p>
        </w:tc>
        <w:tc>
          <w:tcPr>
            <w:tcW w:w="938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Supplemental Information at September 30, 2022</w:t>
            </w:r>
          </w:p>
        </w:tc>
      </w:tr>
      <w:tr>
        <w:trPr>
          <w:trHeight w:val="304"/>
        </w:trPr>
        <w:tc>
          <w:tcPr>
            <w:tcW w:w="3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(the Cover Page Interactive Data File is embedded within the Inline XBRL document)</w:t>
            </w:r>
          </w:p>
        </w:tc>
      </w:tr>
    </w:tbl>
    <w:p>
      <w:pPr>
        <w:sectPr>
          <w:pgSz w:w="11900" w:h="16838" w:orient="portrait"/>
          <w:cols w:equalWidth="0" w:num="1">
            <w:col w:w="11180"/>
          </w:cols>
          <w:pgMar w:left="360" w:top="895" w:right="35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SUPPLEMENTAL INFORMATION</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September 30, 2022</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1</w:t>
            </w:r>
          </w:p>
        </w:tc>
        <w:tc>
          <w:tcPr>
            <w:tcW w:w="6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Third Quarter 2022 Earnings Press Release</w:t>
            </w:r>
          </w:p>
        </w:tc>
        <w:tc>
          <w:tcPr>
            <w:tcW w:w="18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r>
      <w:tr>
        <w:trPr>
          <w:trHeight w:val="216"/>
        </w:trPr>
        <w:tc>
          <w:tcPr>
            <w:tcW w:w="460" w:type="dxa"/>
            <w:vAlign w:val="bottom"/>
            <w:tcBorders>
              <w:top w:val="single" w:sz="8" w:color="CCEEFF"/>
            </w:tcBorders>
          </w:tcPr>
          <w:p>
            <w:pPr>
              <w:spacing w:after="0"/>
              <w:rPr>
                <w:sz w:val="18"/>
                <w:szCs w:val="18"/>
                <w:color w:val="auto"/>
              </w:rPr>
            </w:pPr>
          </w:p>
        </w:tc>
        <w:tc>
          <w:tcPr>
            <w:tcW w:w="69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29"/>
        </w:trPr>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2</w:t>
            </w:r>
          </w:p>
        </w:tc>
        <w:tc>
          <w:tcPr>
            <w:tcW w:w="6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Financial Highlights</w:t>
            </w:r>
          </w:p>
        </w:tc>
        <w:tc>
          <w:tcPr>
            <w:tcW w:w="1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460" w:type="dxa"/>
            <w:vAlign w:val="bottom"/>
          </w:tcPr>
          <w:p>
            <w:pPr>
              <w:spacing w:after="0"/>
              <w:rPr>
                <w:sz w:val="16"/>
                <w:szCs w:val="16"/>
                <w:color w:val="auto"/>
              </w:rPr>
            </w:pPr>
          </w:p>
        </w:tc>
        <w:tc>
          <w:tcPr>
            <w:tcW w:w="6980" w:type="dxa"/>
            <w:vAlign w:val="bottom"/>
          </w:tcPr>
          <w:p>
            <w:pPr>
              <w:ind w:left="1140"/>
              <w:spacing w:after="0" w:line="189" w:lineRule="exact"/>
              <w:rPr>
                <w:sz w:val="20"/>
                <w:szCs w:val="20"/>
                <w:color w:val="auto"/>
              </w:rPr>
            </w:pPr>
            <w:r>
              <w:rPr>
                <w:rFonts w:ascii="Times New Roman" w:cs="Times New Roman" w:eastAsia="Times New Roman" w:hAnsi="Times New Roman"/>
                <w:sz w:val="18"/>
                <w:szCs w:val="18"/>
                <w:color w:val="auto"/>
              </w:rPr>
              <w:t>Consolidated Income Statements</w:t>
            </w:r>
          </w:p>
        </w:tc>
        <w:tc>
          <w:tcPr>
            <w:tcW w:w="18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8</w:t>
            </w:r>
          </w:p>
        </w:tc>
      </w:tr>
      <w:tr>
        <w:trPr>
          <w:trHeight w:val="21"/>
        </w:trPr>
        <w:tc>
          <w:tcPr>
            <w:tcW w:w="46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60" w:type="dxa"/>
            <w:vAlign w:val="bottom"/>
            <w:tcBorders>
              <w:bottom w:val="single" w:sz="8" w:color="CCEEFF"/>
            </w:tcBorders>
            <w:shd w:val="clear" w:color="auto" w:fill="CCEEFF"/>
          </w:tcPr>
          <w:p>
            <w:pPr>
              <w:spacing w:after="0"/>
              <w:rPr>
                <w:sz w:val="18"/>
                <w:szCs w:val="18"/>
                <w:color w:val="auto"/>
              </w:rPr>
            </w:pPr>
          </w:p>
        </w:tc>
        <w:tc>
          <w:tcPr>
            <w:tcW w:w="6980" w:type="dxa"/>
            <w:vAlign w:val="bottom"/>
            <w:tcBorders>
              <w:bottom w:val="single" w:sz="8" w:color="CCEEFF"/>
            </w:tcBorders>
            <w:shd w:val="clear" w:color="auto" w:fill="CCEEFF"/>
          </w:tcPr>
          <w:p>
            <w:pPr>
              <w:ind w:left="1140"/>
              <w:spacing w:after="0" w:line="189" w:lineRule="exact"/>
              <w:rPr>
                <w:sz w:val="20"/>
                <w:szCs w:val="20"/>
                <w:color w:val="auto"/>
              </w:rPr>
            </w:pPr>
            <w:r>
              <w:rPr>
                <w:rFonts w:ascii="Times New Roman" w:cs="Times New Roman" w:eastAsia="Times New Roman" w:hAnsi="Times New Roman"/>
                <w:sz w:val="18"/>
                <w:szCs w:val="18"/>
                <w:color w:val="auto"/>
              </w:rPr>
              <w:t>Consolidated Balance Sheets</w:t>
            </w:r>
          </w:p>
        </w:tc>
        <w:tc>
          <w:tcPr>
            <w:tcW w:w="174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9</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460" w:type="dxa"/>
            <w:vAlign w:val="bottom"/>
          </w:tcPr>
          <w:p>
            <w:pPr>
              <w:spacing w:after="0"/>
              <w:rPr>
                <w:sz w:val="16"/>
                <w:szCs w:val="16"/>
                <w:color w:val="auto"/>
              </w:rPr>
            </w:pPr>
          </w:p>
        </w:tc>
        <w:tc>
          <w:tcPr>
            <w:tcW w:w="6980" w:type="dxa"/>
            <w:vAlign w:val="bottom"/>
          </w:tcPr>
          <w:p>
            <w:pPr>
              <w:ind w:left="1140"/>
              <w:spacing w:after="0" w:line="189" w:lineRule="exact"/>
              <w:rPr>
                <w:sz w:val="20"/>
                <w:szCs w:val="20"/>
                <w:color w:val="auto"/>
              </w:rPr>
            </w:pPr>
            <w:r>
              <w:rPr>
                <w:rFonts w:ascii="Times New Roman" w:cs="Times New Roman" w:eastAsia="Times New Roman" w:hAnsi="Times New Roman"/>
                <w:sz w:val="18"/>
                <w:szCs w:val="18"/>
                <w:color w:val="auto"/>
              </w:rPr>
              <w:t>Funds From Operations / Other Supplemental Information</w:t>
            </w:r>
          </w:p>
        </w:tc>
        <w:tc>
          <w:tcPr>
            <w:tcW w:w="18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10</w:t>
            </w:r>
          </w:p>
        </w:tc>
        <w:tc>
          <w:tcPr>
            <w:tcW w:w="20" w:type="dxa"/>
            <w:vAlign w:val="bottom"/>
          </w:tcPr>
          <w:p>
            <w:pPr>
              <w:spacing w:after="0"/>
              <w:rPr>
                <w:sz w:val="16"/>
                <w:szCs w:val="16"/>
                <w:color w:val="auto"/>
              </w:rPr>
            </w:pPr>
          </w:p>
        </w:tc>
      </w:tr>
      <w:tr>
        <w:trPr>
          <w:trHeight w:val="20"/>
        </w:trPr>
        <w:tc>
          <w:tcPr>
            <w:tcW w:w="46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60" w:type="dxa"/>
            <w:vAlign w:val="bottom"/>
            <w:tcBorders>
              <w:bottom w:val="single" w:sz="8" w:color="CCEEFF"/>
            </w:tcBorders>
            <w:shd w:val="clear" w:color="auto" w:fill="CCEEFF"/>
          </w:tcPr>
          <w:p>
            <w:pPr>
              <w:spacing w:after="0"/>
              <w:rPr>
                <w:sz w:val="18"/>
                <w:szCs w:val="18"/>
                <w:color w:val="auto"/>
              </w:rPr>
            </w:pPr>
          </w:p>
        </w:tc>
        <w:tc>
          <w:tcPr>
            <w:tcW w:w="6980" w:type="dxa"/>
            <w:vAlign w:val="bottom"/>
            <w:tcBorders>
              <w:bottom w:val="single" w:sz="8" w:color="CCEEFF"/>
            </w:tcBorders>
            <w:shd w:val="clear" w:color="auto" w:fill="CCEEFF"/>
          </w:tcPr>
          <w:p>
            <w:pPr>
              <w:ind w:left="1140"/>
              <w:spacing w:after="0" w:line="189" w:lineRule="exact"/>
              <w:rPr>
                <w:sz w:val="20"/>
                <w:szCs w:val="20"/>
                <w:color w:val="auto"/>
              </w:rPr>
            </w:pPr>
            <w:r>
              <w:rPr>
                <w:rFonts w:ascii="Times New Roman" w:cs="Times New Roman" w:eastAsia="Times New Roman" w:hAnsi="Times New Roman"/>
                <w:sz w:val="18"/>
                <w:szCs w:val="18"/>
                <w:color w:val="auto"/>
              </w:rPr>
              <w:t>Components of Rental Income and Other Information</w:t>
            </w:r>
          </w:p>
        </w:tc>
        <w:tc>
          <w:tcPr>
            <w:tcW w:w="16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11</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460" w:type="dxa"/>
            <w:vAlign w:val="bottom"/>
          </w:tcPr>
          <w:p>
            <w:pPr>
              <w:spacing w:after="0"/>
              <w:rPr>
                <w:sz w:val="16"/>
                <w:szCs w:val="16"/>
                <w:color w:val="auto"/>
              </w:rPr>
            </w:pPr>
          </w:p>
        </w:tc>
        <w:tc>
          <w:tcPr>
            <w:tcW w:w="6980" w:type="dxa"/>
            <w:vAlign w:val="bottom"/>
          </w:tcPr>
          <w:p>
            <w:pPr>
              <w:ind w:left="1140"/>
              <w:spacing w:after="0" w:line="189" w:lineRule="exact"/>
              <w:rPr>
                <w:sz w:val="20"/>
                <w:szCs w:val="20"/>
                <w:color w:val="auto"/>
              </w:rPr>
            </w:pPr>
            <w:r>
              <w:rPr>
                <w:rFonts w:ascii="Times New Roman" w:cs="Times New Roman" w:eastAsia="Times New Roman" w:hAnsi="Times New Roman"/>
                <w:sz w:val="18"/>
                <w:szCs w:val="18"/>
                <w:color w:val="auto"/>
              </w:rPr>
              <w:t>Comparable Property Information</w:t>
            </w:r>
          </w:p>
        </w:tc>
        <w:tc>
          <w:tcPr>
            <w:tcW w:w="18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12</w:t>
            </w:r>
          </w:p>
        </w:tc>
        <w:tc>
          <w:tcPr>
            <w:tcW w:w="20" w:type="dxa"/>
            <w:vAlign w:val="bottom"/>
          </w:tcPr>
          <w:p>
            <w:pPr>
              <w:spacing w:after="0"/>
              <w:rPr>
                <w:sz w:val="16"/>
                <w:szCs w:val="16"/>
                <w:color w:val="auto"/>
              </w:rPr>
            </w:pPr>
          </w:p>
        </w:tc>
      </w:tr>
      <w:tr>
        <w:trPr>
          <w:trHeight w:val="20"/>
        </w:trPr>
        <w:tc>
          <w:tcPr>
            <w:tcW w:w="46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60" w:type="dxa"/>
            <w:vAlign w:val="bottom"/>
            <w:shd w:val="clear" w:color="auto" w:fill="CCEEFF"/>
          </w:tcPr>
          <w:p>
            <w:pPr>
              <w:spacing w:after="0"/>
              <w:rPr>
                <w:sz w:val="16"/>
                <w:szCs w:val="16"/>
                <w:color w:val="auto"/>
              </w:rPr>
            </w:pPr>
          </w:p>
        </w:tc>
        <w:tc>
          <w:tcPr>
            <w:tcW w:w="6980" w:type="dxa"/>
            <w:vAlign w:val="bottom"/>
            <w:shd w:val="clear" w:color="auto" w:fill="CCEEFF"/>
          </w:tcPr>
          <w:p>
            <w:pPr>
              <w:ind w:left="1140"/>
              <w:spacing w:after="0" w:line="189" w:lineRule="exact"/>
              <w:rPr>
                <w:sz w:val="20"/>
                <w:szCs w:val="20"/>
                <w:color w:val="auto"/>
              </w:rPr>
            </w:pPr>
            <w:r>
              <w:rPr>
                <w:rFonts w:ascii="Times New Roman" w:cs="Times New Roman" w:eastAsia="Times New Roman" w:hAnsi="Times New Roman"/>
                <w:sz w:val="18"/>
                <w:szCs w:val="18"/>
                <w:color w:val="auto"/>
              </w:rPr>
              <w:t>Market Data</w:t>
            </w:r>
          </w:p>
        </w:tc>
        <w:tc>
          <w:tcPr>
            <w:tcW w:w="18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13</w:t>
            </w:r>
          </w:p>
        </w:tc>
        <w:tc>
          <w:tcPr>
            <w:tcW w:w="20" w:type="dxa"/>
            <w:vAlign w:val="bottom"/>
            <w:shd w:val="clear" w:color="auto" w:fill="CCEEFF"/>
          </w:tcPr>
          <w:p>
            <w:pPr>
              <w:spacing w:after="0"/>
              <w:rPr>
                <w:sz w:val="16"/>
                <w:szCs w:val="16"/>
                <w:color w:val="auto"/>
              </w:rPr>
            </w:pPr>
          </w:p>
        </w:tc>
      </w:tr>
      <w:tr>
        <w:trPr>
          <w:trHeight w:val="21"/>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698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11" w:lineRule="exact"/>
        <w:rPr>
          <w:sz w:val="20"/>
          <w:szCs w:val="20"/>
          <w:color w:val="auto"/>
        </w:rPr>
      </w:pPr>
    </w:p>
    <w:p>
      <w:pPr>
        <w:ind w:left="800" w:hanging="789"/>
        <w:spacing w:after="0"/>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5906135" cy="145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6135" cy="1454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66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Summary of Outstanding Debt</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14</w:t>
            </w:r>
          </w:p>
        </w:tc>
        <w:tc>
          <w:tcPr>
            <w:tcW w:w="20" w:type="dxa"/>
            <w:vAlign w:val="bottom"/>
          </w:tcPr>
          <w:p>
            <w:pPr>
              <w:spacing w:after="0"/>
              <w:rPr>
                <w:sz w:val="17"/>
                <w:szCs w:val="17"/>
                <w:color w:val="auto"/>
              </w:rPr>
            </w:pPr>
          </w:p>
        </w:tc>
      </w:tr>
      <w:tr>
        <w:trPr>
          <w:trHeight w:val="21"/>
        </w:trPr>
        <w:tc>
          <w:tcPr>
            <w:tcW w:w="50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00" w:type="dxa"/>
            <w:vAlign w:val="bottom"/>
            <w:shd w:val="clear" w:color="auto" w:fill="CCEEFF"/>
          </w:tcPr>
          <w:p>
            <w:pPr>
              <w:spacing w:after="0"/>
              <w:rPr>
                <w:sz w:val="18"/>
                <w:szCs w:val="18"/>
                <w:color w:val="auto"/>
              </w:rPr>
            </w:pPr>
          </w:p>
        </w:tc>
        <w:tc>
          <w:tcPr>
            <w:tcW w:w="6620" w:type="dxa"/>
            <w:vAlign w:val="bottom"/>
            <w:shd w:val="clear" w:color="auto" w:fill="CCEEFF"/>
          </w:tcPr>
          <w:p>
            <w:pPr>
              <w:ind w:left="1100"/>
              <w:spacing w:after="0" w:line="189" w:lineRule="exact"/>
              <w:rPr>
                <w:sz w:val="20"/>
                <w:szCs w:val="20"/>
                <w:color w:val="auto"/>
              </w:rPr>
            </w:pPr>
            <w:r>
              <w:rPr>
                <w:rFonts w:ascii="Times New Roman" w:cs="Times New Roman" w:eastAsia="Times New Roman" w:hAnsi="Times New Roman"/>
                <w:sz w:val="18"/>
                <w:szCs w:val="18"/>
                <w:color w:val="auto"/>
              </w:rPr>
              <w:t>Summary of Debt Maturities</w:t>
            </w:r>
          </w:p>
        </w:tc>
        <w:tc>
          <w:tcPr>
            <w:tcW w:w="216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16</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6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09"/>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4</w:t>
            </w:r>
          </w:p>
        </w:tc>
        <w:tc>
          <w:tcPr>
            <w:tcW w:w="662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Summary of Redevelopment Opportunities</w:t>
            </w:r>
          </w:p>
        </w:tc>
        <w:tc>
          <w:tcPr>
            <w:tcW w:w="216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17</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6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09"/>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5</w:t>
            </w:r>
          </w:p>
        </w:tc>
        <w:tc>
          <w:tcPr>
            <w:tcW w:w="662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Assembly Row, Pike &amp; Rose, and Santana Row</w:t>
            </w:r>
          </w:p>
        </w:tc>
        <w:tc>
          <w:tcPr>
            <w:tcW w:w="216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18</w:t>
            </w:r>
          </w:p>
        </w:tc>
        <w:tc>
          <w:tcPr>
            <w:tcW w:w="20" w:type="dxa"/>
            <w:vAlign w:val="bottom"/>
            <w:shd w:val="clear" w:color="auto" w:fill="CCEEFF"/>
          </w:tcPr>
          <w:p>
            <w:pPr>
              <w:spacing w:after="0"/>
              <w:rPr>
                <w:sz w:val="18"/>
                <w:szCs w:val="18"/>
                <w:color w:val="auto"/>
              </w:rPr>
            </w:pPr>
          </w:p>
        </w:tc>
      </w:tr>
      <w:tr>
        <w:trPr>
          <w:trHeight w:val="270"/>
        </w:trPr>
        <w:tc>
          <w:tcPr>
            <w:tcW w:w="500" w:type="dxa"/>
            <w:vAlign w:val="bottom"/>
            <w:tcBorders>
              <w:top w:val="single" w:sz="8" w:color="CCEEFF"/>
            </w:tcBorders>
          </w:tcPr>
          <w:p>
            <w:pPr>
              <w:spacing w:after="0"/>
              <w:rPr>
                <w:sz w:val="23"/>
                <w:szCs w:val="23"/>
                <w:color w:val="auto"/>
              </w:rPr>
            </w:pPr>
          </w:p>
        </w:tc>
        <w:tc>
          <w:tcPr>
            <w:tcW w:w="6620" w:type="dxa"/>
            <w:vAlign w:val="bottom"/>
            <w:tcBorders>
              <w:top w:val="single" w:sz="8" w:color="CCEEFF"/>
            </w:tcBorders>
          </w:tcPr>
          <w:p>
            <w:pPr>
              <w:spacing w:after="0"/>
              <w:rPr>
                <w:sz w:val="23"/>
                <w:szCs w:val="23"/>
                <w:color w:val="auto"/>
              </w:rPr>
            </w:pPr>
          </w:p>
        </w:tc>
        <w:tc>
          <w:tcPr>
            <w:tcW w:w="198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10"/>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6</w:t>
            </w:r>
          </w:p>
        </w:tc>
        <w:tc>
          <w:tcPr>
            <w:tcW w:w="662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Future Redevelopment Opportunities</w:t>
            </w:r>
          </w:p>
        </w:tc>
        <w:tc>
          <w:tcPr>
            <w:tcW w:w="216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19</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6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0"/>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7</w:t>
            </w:r>
          </w:p>
        </w:tc>
        <w:tc>
          <w:tcPr>
            <w:tcW w:w="662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Property Acquisitions, Dispositions, and Other Transactions</w:t>
            </w:r>
          </w:p>
        </w:tc>
        <w:tc>
          <w:tcPr>
            <w:tcW w:w="216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20</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6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0"/>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8</w:t>
            </w:r>
          </w:p>
        </w:tc>
        <w:tc>
          <w:tcPr>
            <w:tcW w:w="662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Real Estate Status Report</w:t>
            </w:r>
          </w:p>
        </w:tc>
        <w:tc>
          <w:tcPr>
            <w:tcW w:w="216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21</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6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0"/>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9</w:t>
            </w:r>
          </w:p>
        </w:tc>
        <w:tc>
          <w:tcPr>
            <w:tcW w:w="662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Retail Leasing Summary</w:t>
            </w:r>
          </w:p>
        </w:tc>
        <w:tc>
          <w:tcPr>
            <w:tcW w:w="216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25</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6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0"/>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662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Lease Expirations</w:t>
            </w:r>
          </w:p>
        </w:tc>
        <w:tc>
          <w:tcPr>
            <w:tcW w:w="216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26</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6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09"/>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11</w:t>
            </w:r>
          </w:p>
        </w:tc>
        <w:tc>
          <w:tcPr>
            <w:tcW w:w="662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Portfolio Leased Statistics</w:t>
            </w:r>
          </w:p>
        </w:tc>
        <w:tc>
          <w:tcPr>
            <w:tcW w:w="216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27</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6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09"/>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12</w:t>
            </w:r>
          </w:p>
        </w:tc>
        <w:tc>
          <w:tcPr>
            <w:tcW w:w="662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Summary of Top 25 Tenants</w:t>
            </w:r>
          </w:p>
        </w:tc>
        <w:tc>
          <w:tcPr>
            <w:tcW w:w="216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28</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6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0"/>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13</w:t>
            </w:r>
          </w:p>
        </w:tc>
        <w:tc>
          <w:tcPr>
            <w:tcW w:w="662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Reconciliation of FFO Guidance</w:t>
            </w:r>
          </w:p>
        </w:tc>
        <w:tc>
          <w:tcPr>
            <w:tcW w:w="216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29</w:t>
            </w:r>
          </w:p>
        </w:tc>
        <w:tc>
          <w:tcPr>
            <w:tcW w:w="20" w:type="dxa"/>
            <w:vAlign w:val="bottom"/>
            <w:shd w:val="clear" w:color="auto" w:fill="CCEEFF"/>
          </w:tcPr>
          <w:p>
            <w:pPr>
              <w:spacing w:after="0"/>
              <w:rPr>
                <w:sz w:val="18"/>
                <w:szCs w:val="18"/>
                <w:color w:val="auto"/>
              </w:rPr>
            </w:pPr>
          </w:p>
        </w:tc>
      </w:tr>
      <w:tr>
        <w:trPr>
          <w:trHeight w:val="270"/>
        </w:trPr>
        <w:tc>
          <w:tcPr>
            <w:tcW w:w="500" w:type="dxa"/>
            <w:vAlign w:val="bottom"/>
            <w:tcBorders>
              <w:top w:val="single" w:sz="8" w:color="CCEEFF"/>
            </w:tcBorders>
          </w:tcPr>
          <w:p>
            <w:pPr>
              <w:spacing w:after="0"/>
              <w:rPr>
                <w:sz w:val="23"/>
                <w:szCs w:val="23"/>
                <w:color w:val="auto"/>
              </w:rPr>
            </w:pPr>
          </w:p>
        </w:tc>
        <w:tc>
          <w:tcPr>
            <w:tcW w:w="6620" w:type="dxa"/>
            <w:vAlign w:val="bottom"/>
            <w:tcBorders>
              <w:top w:val="single" w:sz="8" w:color="CCEEFF"/>
            </w:tcBorders>
          </w:tcPr>
          <w:p>
            <w:pPr>
              <w:spacing w:after="0"/>
              <w:rPr>
                <w:sz w:val="23"/>
                <w:szCs w:val="23"/>
                <w:color w:val="auto"/>
              </w:rPr>
            </w:pPr>
          </w:p>
        </w:tc>
        <w:tc>
          <w:tcPr>
            <w:tcW w:w="198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9"/>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14</w:t>
            </w:r>
          </w:p>
        </w:tc>
        <w:tc>
          <w:tcPr>
            <w:tcW w:w="662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Glossary of Terms</w:t>
            </w:r>
          </w:p>
        </w:tc>
        <w:tc>
          <w:tcPr>
            <w:tcW w:w="216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30</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6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6"/>
        </w:trPr>
        <w:tc>
          <w:tcPr>
            <w:tcW w:w="50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bl>
    <w:p>
      <w:pPr>
        <w:jc w:val="center"/>
        <w:ind w:right="20"/>
        <w:spacing w:after="0"/>
        <w:rPr>
          <w:sz w:val="20"/>
          <w:szCs w:val="20"/>
          <w:color w:val="auto"/>
        </w:rPr>
      </w:pPr>
      <w:r>
        <w:rPr>
          <w:rFonts w:ascii="Times New Roman" w:cs="Times New Roman" w:eastAsia="Times New Roman" w:hAnsi="Times New Roman"/>
          <w:sz w:val="18"/>
          <w:szCs w:val="18"/>
          <w:color w:val="auto"/>
        </w:rPr>
        <w:t>909 Rose Avenue, Suite 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5906135" cy="146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6135" cy="146050"/>
                    </a:xfrm>
                    <a:prstGeom prst="rect">
                      <a:avLst/>
                    </a:prstGeom>
                    <a:noFill/>
                  </pic:spPr>
                </pic:pic>
              </a:graphicData>
            </a:graphic>
          </wp:anchor>
        </w:drawing>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North Bethesda, Maryland 20852</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301-998-8100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9300"/>
          </w:cols>
          <w:pgMar w:left="1300" w:top="1022" w:right="1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Safe Harbor Language</w:t>
      </w:r>
    </w:p>
    <w:p>
      <w:pPr>
        <w:spacing w:after="0" w:line="3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10, 2022, and include the following:</w:t>
      </w:r>
    </w:p>
    <w:p>
      <w:pPr>
        <w:spacing w:after="0" w:line="214" w:lineRule="exact"/>
        <w:rPr>
          <w:sz w:val="20"/>
          <w:szCs w:val="20"/>
          <w:color w:val="auto"/>
        </w:rPr>
      </w:pPr>
    </w:p>
    <w:p>
      <w:pPr>
        <w:ind w:left="980" w:right="160" w:hanging="324"/>
        <w:spacing w:after="0" w:line="26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that our tenants will not pay rent, may vacate early or may file for bankruptcy or that we may be unable to renew leases or re-let space at favorable rents as leases expire or to fill existing vacancy;</w:t>
      </w:r>
    </w:p>
    <w:p>
      <w:pPr>
        <w:ind w:left="980" w:hanging="324"/>
        <w:spacing w:after="0" w:line="250"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that we may not be able to proceed with or obtain necessary approvals for any development, redevelopment or renovation project, and that completion of anticipated or ongoing property development, redevelopment, or renovation projects that we do pursue may cost more, take more time to complete or fail to perform as expected;</w:t>
      </w:r>
    </w:p>
    <w:p>
      <w:pPr>
        <w:spacing w:after="0" w:line="1" w:lineRule="exact"/>
        <w:rPr>
          <w:rFonts w:ascii="Times New Roman" w:cs="Times New Roman" w:eastAsia="Times New Roman" w:hAnsi="Times New Roman"/>
          <w:sz w:val="18"/>
          <w:szCs w:val="18"/>
          <w:color w:val="auto"/>
        </w:rPr>
      </w:pPr>
    </w:p>
    <w:p>
      <w:pPr>
        <w:ind w:left="980" w:right="100" w:hanging="324"/>
        <w:spacing w:after="0" w:line="250" w:lineRule="auto"/>
        <w:tabs>
          <w:tab w:leader="none" w:pos="97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1"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that our growth will be limited if we cannot obtain additional capital;</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associated with general economic conditions, including local economic conditions in our geographic markets;</w:t>
      </w:r>
    </w:p>
    <w:p>
      <w:pPr>
        <w:spacing w:after="0" w:line="9" w:lineRule="exact"/>
        <w:rPr>
          <w:rFonts w:ascii="Times New Roman" w:cs="Times New Roman" w:eastAsia="Times New Roman" w:hAnsi="Times New Roman"/>
          <w:sz w:val="18"/>
          <w:szCs w:val="18"/>
          <w:i w:val="1"/>
          <w:iCs w:val="1"/>
          <w:color w:val="auto"/>
        </w:rPr>
      </w:pPr>
    </w:p>
    <w:p>
      <w:pPr>
        <w:ind w:left="980" w:right="360" w:hanging="324"/>
        <w:spacing w:after="0" w:line="250"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jc w:val="both"/>
        <w:ind w:left="980" w:right="420" w:hanging="324"/>
        <w:spacing w:after="0" w:line="250"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 and</w:t>
      </w:r>
    </w:p>
    <w:p>
      <w:pPr>
        <w:spacing w:after="0" w:line="1" w:lineRule="exact"/>
        <w:rPr>
          <w:rFonts w:ascii="Times New Roman" w:cs="Times New Roman" w:eastAsia="Times New Roman" w:hAnsi="Times New Roman"/>
          <w:sz w:val="18"/>
          <w:szCs w:val="18"/>
          <w:color w:val="auto"/>
        </w:rPr>
      </w:pPr>
    </w:p>
    <w:p>
      <w:pPr>
        <w:ind w:left="980" w:right="40" w:hanging="324"/>
        <w:spacing w:after="0" w:line="253" w:lineRule="auto"/>
        <w:tabs>
          <w:tab w:leader="none" w:pos="97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spacing w:after="0" w:line="21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10, 2022.</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887"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2548255</wp:posOffset>
            </wp:positionH>
            <wp:positionV relativeFrom="page">
              <wp:posOffset>757555</wp:posOffset>
            </wp:positionV>
            <wp:extent cx="2451735" cy="960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451735"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NEWS RELEASE</w:t>
            </w:r>
          </w:p>
        </w:tc>
        <w:tc>
          <w:tcPr>
            <w:tcW w:w="55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www.federalrealty.com</w:t>
            </w:r>
          </w:p>
        </w:tc>
      </w:tr>
      <w:tr>
        <w:trPr>
          <w:trHeight w:val="321"/>
        </w:trPr>
        <w:tc>
          <w:tcPr>
            <w:tcW w:w="5340" w:type="dxa"/>
            <w:vAlign w:val="bottom"/>
          </w:tcPr>
          <w:p>
            <w:pPr>
              <w:ind w:left="20"/>
              <w:spacing w:after="0"/>
              <w:rPr>
                <w:sz w:val="20"/>
                <w:szCs w:val="20"/>
                <w:color w:val="auto"/>
              </w:rPr>
            </w:pPr>
            <w:r>
              <w:rPr>
                <w:rFonts w:ascii="Arial" w:cs="Arial" w:eastAsia="Arial" w:hAnsi="Arial"/>
                <w:sz w:val="17"/>
                <w:szCs w:val="17"/>
                <w:b w:val="1"/>
                <w:bCs w:val="1"/>
                <w:color w:val="auto"/>
              </w:rPr>
              <w:t>FOR IMMEDIATE RELEASE</w:t>
            </w:r>
          </w:p>
        </w:tc>
        <w:tc>
          <w:tcPr>
            <w:tcW w:w="5540" w:type="dxa"/>
            <w:vAlign w:val="bottom"/>
          </w:tcPr>
          <w:p>
            <w:pPr>
              <w:spacing w:after="0"/>
              <w:rPr>
                <w:sz w:val="24"/>
                <w:szCs w:val="24"/>
                <w:color w:val="auto"/>
              </w:rPr>
            </w:pPr>
          </w:p>
        </w:tc>
      </w:tr>
      <w:tr>
        <w:trPr>
          <w:trHeight w:val="390"/>
        </w:trPr>
        <w:tc>
          <w:tcPr>
            <w:tcW w:w="5340" w:type="dxa"/>
            <w:vAlign w:val="bottom"/>
          </w:tcPr>
          <w:p>
            <w:pPr>
              <w:ind w:left="20"/>
              <w:spacing w:after="0"/>
              <w:rPr>
                <w:sz w:val="20"/>
                <w:szCs w:val="20"/>
                <w:color w:val="auto"/>
              </w:rPr>
            </w:pPr>
            <w:r>
              <w:rPr>
                <w:rFonts w:ascii="Arial" w:cs="Arial" w:eastAsia="Arial" w:hAnsi="Arial"/>
                <w:sz w:val="18"/>
                <w:szCs w:val="18"/>
                <w:i w:val="1"/>
                <w:iCs w:val="1"/>
                <w:color w:val="auto"/>
              </w:rPr>
              <w:t>Investor Inquiries:</w:t>
            </w:r>
          </w:p>
        </w:tc>
        <w:tc>
          <w:tcPr>
            <w:tcW w:w="5540" w:type="dxa"/>
            <w:vAlign w:val="bottom"/>
          </w:tcPr>
          <w:p>
            <w:pPr>
              <w:jc w:val="right"/>
              <w:spacing w:after="0"/>
              <w:rPr>
                <w:sz w:val="20"/>
                <w:szCs w:val="20"/>
                <w:color w:val="auto"/>
              </w:rPr>
            </w:pPr>
            <w:r>
              <w:rPr>
                <w:rFonts w:ascii="Arial" w:cs="Arial" w:eastAsia="Arial" w:hAnsi="Arial"/>
                <w:sz w:val="18"/>
                <w:szCs w:val="18"/>
                <w:i w:val="1"/>
                <w:iCs w:val="1"/>
                <w:color w:val="auto"/>
              </w:rPr>
              <w:t>Media Inquiries:</w:t>
            </w:r>
          </w:p>
        </w:tc>
      </w:tr>
      <w:tr>
        <w:trPr>
          <w:trHeight w:val="229"/>
        </w:trPr>
        <w:tc>
          <w:tcPr>
            <w:tcW w:w="5340" w:type="dxa"/>
            <w:vAlign w:val="bottom"/>
          </w:tcPr>
          <w:p>
            <w:pPr>
              <w:ind w:left="20"/>
              <w:spacing w:after="0"/>
              <w:rPr>
                <w:sz w:val="20"/>
                <w:szCs w:val="20"/>
                <w:color w:val="auto"/>
              </w:rPr>
            </w:pPr>
            <w:r>
              <w:rPr>
                <w:rFonts w:ascii="Arial" w:cs="Arial" w:eastAsia="Arial" w:hAnsi="Arial"/>
                <w:sz w:val="18"/>
                <w:szCs w:val="18"/>
                <w:color w:val="auto"/>
              </w:rPr>
              <w:t>Leah Andress Brady</w:t>
            </w:r>
          </w:p>
        </w:tc>
        <w:tc>
          <w:tcPr>
            <w:tcW w:w="5540" w:type="dxa"/>
            <w:vAlign w:val="bottom"/>
          </w:tcPr>
          <w:p>
            <w:pPr>
              <w:jc w:val="right"/>
              <w:spacing w:after="0"/>
              <w:rPr>
                <w:sz w:val="20"/>
                <w:szCs w:val="20"/>
                <w:color w:val="auto"/>
              </w:rPr>
            </w:pPr>
            <w:r>
              <w:rPr>
                <w:rFonts w:ascii="Arial" w:cs="Arial" w:eastAsia="Arial" w:hAnsi="Arial"/>
                <w:sz w:val="18"/>
                <w:szCs w:val="18"/>
                <w:color w:val="auto"/>
              </w:rPr>
              <w:t>Brenda Pomar</w:t>
            </w: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Vice President, Investor Relations</w:t>
            </w:r>
          </w:p>
        </w:tc>
        <w:tc>
          <w:tcPr>
            <w:tcW w:w="5540" w:type="dxa"/>
            <w:vAlign w:val="bottom"/>
          </w:tcPr>
          <w:p>
            <w:pPr>
              <w:jc w:val="right"/>
              <w:spacing w:after="0"/>
              <w:rPr>
                <w:sz w:val="20"/>
                <w:szCs w:val="20"/>
                <w:color w:val="auto"/>
              </w:rPr>
            </w:pPr>
            <w:r>
              <w:rPr>
                <w:rFonts w:ascii="Arial" w:cs="Arial" w:eastAsia="Arial" w:hAnsi="Arial"/>
                <w:sz w:val="18"/>
                <w:szCs w:val="18"/>
                <w:color w:val="auto"/>
              </w:rPr>
              <w:t>Director, Corporate Communications</w:t>
            </w:r>
          </w:p>
        </w:tc>
      </w:tr>
      <w:tr>
        <w:trPr>
          <w:trHeight w:val="229"/>
        </w:trPr>
        <w:tc>
          <w:tcPr>
            <w:tcW w:w="5340" w:type="dxa"/>
            <w:vAlign w:val="bottom"/>
          </w:tcPr>
          <w:p>
            <w:pPr>
              <w:ind w:left="20"/>
              <w:spacing w:after="0"/>
              <w:rPr>
                <w:sz w:val="20"/>
                <w:szCs w:val="20"/>
                <w:color w:val="auto"/>
              </w:rPr>
            </w:pPr>
            <w:r>
              <w:rPr>
                <w:rFonts w:ascii="Arial" w:cs="Arial" w:eastAsia="Arial" w:hAnsi="Arial"/>
                <w:sz w:val="18"/>
                <w:szCs w:val="18"/>
                <w:color w:val="auto"/>
              </w:rPr>
              <w:t>301.998.8265</w:t>
            </w:r>
          </w:p>
        </w:tc>
        <w:tc>
          <w:tcPr>
            <w:tcW w:w="5540" w:type="dxa"/>
            <w:vAlign w:val="bottom"/>
          </w:tcPr>
          <w:p>
            <w:pPr>
              <w:jc w:val="right"/>
              <w:spacing w:after="0"/>
              <w:rPr>
                <w:sz w:val="20"/>
                <w:szCs w:val="20"/>
                <w:color w:val="auto"/>
              </w:rPr>
            </w:pPr>
            <w:r>
              <w:rPr>
                <w:rFonts w:ascii="Arial" w:cs="Arial" w:eastAsia="Arial" w:hAnsi="Arial"/>
                <w:sz w:val="18"/>
                <w:szCs w:val="18"/>
                <w:color w:val="auto"/>
              </w:rPr>
              <w:t>301.998.8316</w:t>
            </w:r>
          </w:p>
        </w:tc>
      </w:tr>
      <w:tr>
        <w:trPr>
          <w:trHeight w:val="239"/>
        </w:trPr>
        <w:tc>
          <w:tcPr>
            <w:tcW w:w="5340" w:type="dxa"/>
            <w:vAlign w:val="bottom"/>
          </w:tcPr>
          <w:p>
            <w:pPr>
              <w:ind w:left="20"/>
              <w:spacing w:after="0"/>
              <w:rPr>
                <w:sz w:val="20"/>
                <w:szCs w:val="20"/>
                <w:color w:val="auto"/>
              </w:rPr>
            </w:pPr>
            <w:r>
              <w:rPr>
                <w:rFonts w:ascii="Arial" w:cs="Arial" w:eastAsia="Arial" w:hAnsi="Arial"/>
                <w:sz w:val="18"/>
                <w:szCs w:val="18"/>
                <w:color w:val="auto"/>
              </w:rPr>
              <w:t>lbrady@federalrealty.com</w:t>
            </w:r>
          </w:p>
        </w:tc>
        <w:tc>
          <w:tcPr>
            <w:tcW w:w="5540" w:type="dxa"/>
            <w:vAlign w:val="bottom"/>
          </w:tcPr>
          <w:p>
            <w:pPr>
              <w:jc w:val="right"/>
              <w:spacing w:after="0"/>
              <w:rPr>
                <w:sz w:val="20"/>
                <w:szCs w:val="20"/>
                <w:color w:val="auto"/>
              </w:rPr>
            </w:pPr>
            <w:r>
              <w:rPr>
                <w:rFonts w:ascii="Arial" w:cs="Arial" w:eastAsia="Arial" w:hAnsi="Arial"/>
                <w:sz w:val="18"/>
                <w:szCs w:val="18"/>
                <w:color w:val="auto"/>
              </w:rPr>
              <w:t>bpomar@federalrealty.com</w:t>
            </w:r>
          </w:p>
        </w:tc>
      </w:tr>
    </w:tbl>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 Announces Third Quarter 2022 Operating Results</w:t>
      </w:r>
    </w:p>
    <w:p>
      <w:pPr>
        <w:spacing w:after="0" w:line="252" w:lineRule="exact"/>
        <w:rPr>
          <w:sz w:val="20"/>
          <w:szCs w:val="20"/>
          <w:color w:val="auto"/>
        </w:rPr>
      </w:pPr>
    </w:p>
    <w:p>
      <w:pPr>
        <w:ind w:right="280"/>
        <w:spacing w:after="0" w:line="378" w:lineRule="auto"/>
        <w:rPr>
          <w:sz w:val="20"/>
          <w:szCs w:val="20"/>
          <w:color w:val="auto"/>
        </w:rPr>
      </w:pPr>
      <w:r>
        <w:rPr>
          <w:rFonts w:ascii="Arial" w:cs="Arial" w:eastAsia="Arial" w:hAnsi="Arial"/>
          <w:sz w:val="18"/>
          <w:szCs w:val="18"/>
          <w:color w:val="auto"/>
        </w:rPr>
        <w:t xml:space="preserve">NORTH BETHESDA, Md. (November 3, 2022) - </w:t>
      </w:r>
      <w:r>
        <w:rPr>
          <w:rFonts w:ascii="Arial" w:cs="Arial" w:eastAsia="Arial" w:hAnsi="Arial"/>
          <w:sz w:val="18"/>
          <w:szCs w:val="18"/>
          <w:u w:val="single" w:color="auto"/>
          <w:color w:val="auto"/>
        </w:rPr>
        <w:t>Federal Realty Investment Trust</w:t>
      </w:r>
      <w:r>
        <w:rPr>
          <w:rFonts w:ascii="Arial" w:cs="Arial" w:eastAsia="Arial" w:hAnsi="Arial"/>
          <w:sz w:val="18"/>
          <w:szCs w:val="18"/>
          <w:color w:val="auto"/>
        </w:rPr>
        <w:t xml:space="preserve"> (NYSE:FRT) today reported operating results for its third quarter ended September 30, 2022. For the three months ended September 30, 2022 and 2021, net income available for common shareholders was $1.89 per diluted share and $0.64 per diluted share, respectively.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Highlights for the quarter and subsequent events include:</w:t>
      </w:r>
    </w:p>
    <w:p>
      <w:pPr>
        <w:spacing w:after="0" w:line="252" w:lineRule="exact"/>
        <w:rPr>
          <w:sz w:val="20"/>
          <w:szCs w:val="20"/>
          <w:color w:val="auto"/>
        </w:rPr>
      </w:pPr>
    </w:p>
    <w:p>
      <w:pPr>
        <w:ind w:left="660" w:right="20" w:hanging="328"/>
        <w:spacing w:after="0" w:line="36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Generated funds from operations available to common shareholders (FFO) per diluted share of $1.59 for the quarter compared to $1.51 for the third quarter 2021.</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Generated comparable property operating income (POI) growth of 3.7% for the third quarter and 8.8% year-to-date.</w:t>
      </w:r>
    </w:p>
    <w:p>
      <w:pPr>
        <w:spacing w:after="0" w:line="103" w:lineRule="exact"/>
        <w:rPr>
          <w:rFonts w:ascii="Arial" w:cs="Arial" w:eastAsia="Arial" w:hAnsi="Arial"/>
          <w:sz w:val="18"/>
          <w:szCs w:val="18"/>
          <w:color w:val="auto"/>
        </w:rPr>
      </w:pPr>
    </w:p>
    <w:p>
      <w:pPr>
        <w:ind w:left="660" w:right="540" w:hanging="328"/>
        <w:spacing w:after="0" w:line="36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Continued record levels of leasing with 119 signed leases for 562,859 square feet of comparable space in the third quarter, the highest third quarter volume on record.</w:t>
      </w:r>
    </w:p>
    <w:p>
      <w:pPr>
        <w:spacing w:after="0" w:line="1" w:lineRule="exact"/>
        <w:rPr>
          <w:rFonts w:ascii="Arial" w:cs="Arial" w:eastAsia="Arial" w:hAnsi="Arial"/>
          <w:sz w:val="18"/>
          <w:szCs w:val="18"/>
          <w:color w:val="auto"/>
        </w:rPr>
      </w:pPr>
    </w:p>
    <w:p>
      <w:pPr>
        <w:ind w:left="660" w:hanging="328"/>
        <w:spacing w:after="0" w:line="36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Federal Realty’s portfolio was 92.1% occupied and 94.3% leased, representing year-over-year increases of 190 basis points and 150 basis points, respectively and 10 basis points and 20 basis point increases, respectively quarter-over-quarter.</w:t>
      </w: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220 basis point spread between leased and occupied.</w:t>
      </w:r>
    </w:p>
    <w:p>
      <w:pPr>
        <w:spacing w:after="0" w:line="103" w:lineRule="exact"/>
        <w:rPr>
          <w:rFonts w:ascii="Arial" w:cs="Arial" w:eastAsia="Arial" w:hAnsi="Arial"/>
          <w:sz w:val="18"/>
          <w:szCs w:val="18"/>
          <w:color w:val="auto"/>
        </w:rPr>
      </w:pPr>
    </w:p>
    <w:p>
      <w:pPr>
        <w:ind w:left="660" w:right="160" w:hanging="328"/>
        <w:spacing w:after="0" w:line="36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Continued strong small shop leasing, ending the quarter at 89.9% leased, an increase of 60 basis points over second quarter 2022, an increase of 380 basis points year-over-year and an increase of 640 basis points since the COVID-era low.</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Sold 2 non-core assets for a combined sales price of $67 million in the third quarter.</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Subsequent to quarter end, increased our total bank capacity by $550 million to $1.85 billion.</w:t>
      </w:r>
    </w:p>
    <w:p>
      <w:pPr>
        <w:spacing w:after="0" w:line="103" w:lineRule="exact"/>
        <w:rPr>
          <w:rFonts w:ascii="Arial" w:cs="Arial" w:eastAsia="Arial" w:hAnsi="Arial"/>
          <w:sz w:val="18"/>
          <w:szCs w:val="18"/>
          <w:color w:val="auto"/>
        </w:rPr>
      </w:pPr>
    </w:p>
    <w:p>
      <w:pPr>
        <w:ind w:left="1300" w:hanging="320"/>
        <w:spacing w:after="0" w:line="367" w:lineRule="auto"/>
        <w:tabs>
          <w:tab w:leader="none" w:pos="1323" w:val="left"/>
        </w:tabs>
        <w:numPr>
          <w:ilvl w:val="1"/>
          <w:numId w:val="4"/>
        </w:numPr>
        <w:rPr>
          <w:rFonts w:ascii="Arial" w:cs="Arial" w:eastAsia="Arial" w:hAnsi="Arial"/>
          <w:sz w:val="18"/>
          <w:szCs w:val="18"/>
          <w:color w:val="auto"/>
        </w:rPr>
      </w:pPr>
      <w:r>
        <w:rPr>
          <w:rFonts w:ascii="Arial" w:cs="Arial" w:eastAsia="Arial" w:hAnsi="Arial"/>
          <w:sz w:val="18"/>
          <w:szCs w:val="18"/>
          <w:color w:val="auto"/>
        </w:rPr>
        <w:t>Amended our revolving credit facility, increasing the borrowing capacity from $1.0 billion to $1.25 billion, extending the maturity date to April 5, 2027, plus two six-month extension options.</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Amended our unsecured term loan and borrowed an additional $300.0 million for a total of $600.0 million.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ind w:left="660" w:right="20" w:hanging="328"/>
        <w:spacing w:after="0" w:line="39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6534785</wp:posOffset>
            </wp:positionH>
            <wp:positionV relativeFrom="page">
              <wp:posOffset>88900</wp:posOffset>
            </wp:positionV>
            <wp:extent cx="805815" cy="316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805815" cy="316865"/>
                    </a:xfrm>
                    <a:prstGeom prst="rect">
                      <a:avLst/>
                    </a:prstGeom>
                    <a:noFill/>
                  </pic:spPr>
                </pic:pic>
              </a:graphicData>
            </a:graphic>
          </wp:anchor>
        </w:drawing>
        <w:t>Increased 2022 earnings per diluted share guidance to $3.88 - $3.93 and increased 2022 FFO per diluted share guidance to $6.27 - $6.32.</w:t>
      </w:r>
    </w:p>
    <w:p>
      <w:pPr>
        <w:spacing w:after="0" w:line="86" w:lineRule="exact"/>
        <w:rPr>
          <w:sz w:val="20"/>
          <w:szCs w:val="20"/>
          <w:color w:val="auto"/>
        </w:rPr>
      </w:pPr>
    </w:p>
    <w:p>
      <w:pPr>
        <w:ind w:right="280"/>
        <w:spacing w:after="0" w:line="378" w:lineRule="auto"/>
        <w:rPr>
          <w:sz w:val="20"/>
          <w:szCs w:val="20"/>
          <w:color w:val="auto"/>
        </w:rPr>
      </w:pPr>
      <w:r>
        <w:rPr>
          <w:rFonts w:ascii="Arial" w:cs="Arial" w:eastAsia="Arial" w:hAnsi="Arial"/>
          <w:sz w:val="18"/>
          <w:szCs w:val="18"/>
          <w:color w:val="auto"/>
        </w:rPr>
        <w:t>“Another great quarter of outperformance with continued record leasing, a robust forward pipeline and bottom-line growth,” said Donald C. Wood, Chief Executive Officer. “The sector leading household income and population levels that surround our properties are the best defense in today’s uncertain macro environment.”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w:t>
      </w:r>
      <w:r>
        <w:rPr>
          <w:rFonts w:ascii="Arial" w:cs="Arial" w:eastAsia="Arial" w:hAnsi="Arial"/>
          <w:sz w:val="18"/>
          <w:szCs w:val="18"/>
          <w:color w:val="auto"/>
        </w:rPr>
        <w:t>e</w:t>
      </w:r>
    </w:p>
    <w:p>
      <w:pPr>
        <w:spacing w:after="0" w:line="252" w:lineRule="exact"/>
        <w:rPr>
          <w:sz w:val="20"/>
          <w:szCs w:val="20"/>
          <w:color w:val="auto"/>
        </w:rPr>
      </w:pPr>
    </w:p>
    <w:p>
      <w:pPr>
        <w:ind w:right="280"/>
        <w:spacing w:after="0" w:line="396" w:lineRule="auto"/>
        <w:rPr>
          <w:sz w:val="20"/>
          <w:szCs w:val="20"/>
          <w:color w:val="auto"/>
        </w:rPr>
      </w:pPr>
      <w:r>
        <w:rPr>
          <w:rFonts w:ascii="Arial" w:cs="Arial" w:eastAsia="Arial" w:hAnsi="Arial"/>
          <w:sz w:val="18"/>
          <w:szCs w:val="18"/>
          <w:color w:val="auto"/>
        </w:rPr>
        <w:t>Net income available for common shareholders was $154.1 million and earnings per diluted share was $1.89 for third quarter 2022 versus $50.1 million and $0.64 respectively, for third quarter 2021.</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FFO</w:t>
      </w:r>
    </w:p>
    <w:p>
      <w:pPr>
        <w:spacing w:after="0" w:line="250" w:lineRule="exact"/>
        <w:rPr>
          <w:sz w:val="20"/>
          <w:szCs w:val="20"/>
          <w:color w:val="auto"/>
        </w:rPr>
      </w:pPr>
    </w:p>
    <w:p>
      <w:pPr>
        <w:jc w:val="both"/>
        <w:spacing w:after="0" w:line="396" w:lineRule="auto"/>
        <w:rPr>
          <w:sz w:val="20"/>
          <w:szCs w:val="20"/>
          <w:color w:val="auto"/>
        </w:rPr>
      </w:pPr>
      <w:r>
        <w:rPr>
          <w:rFonts w:ascii="Arial" w:cs="Arial" w:eastAsia="Arial" w:hAnsi="Arial"/>
          <w:sz w:val="18"/>
          <w:szCs w:val="18"/>
          <w:color w:val="auto"/>
        </w:rPr>
        <w:t>In the third quarter 2022, Federal Realty generated FFO of $129.3 million, or $1.59 per diluted share. This compares to FFO of $118.0 million, or $1.51 per diluted share, in third quarter 2021.</w:t>
      </w:r>
    </w:p>
    <w:p>
      <w:pPr>
        <w:spacing w:after="0" w:line="86" w:lineRule="exact"/>
        <w:rPr>
          <w:sz w:val="20"/>
          <w:szCs w:val="20"/>
          <w:color w:val="auto"/>
        </w:rPr>
      </w:pPr>
    </w:p>
    <w:p>
      <w:pPr>
        <w:ind w:right="620"/>
        <w:spacing w:after="0" w:line="396" w:lineRule="auto"/>
        <w:rPr>
          <w:sz w:val="20"/>
          <w:szCs w:val="20"/>
          <w:color w:val="auto"/>
        </w:rPr>
      </w:pPr>
      <w:r>
        <w:rPr>
          <w:rFonts w:ascii="Arial" w:cs="Arial" w:eastAsia="Arial" w:hAnsi="Arial"/>
          <w:sz w:val="18"/>
          <w:szCs w:val="18"/>
          <w:color w:val="auto"/>
        </w:rPr>
        <w:t>FFO is a non-GAAP supplemental earnings measure which the Trust considers meaningful in measuring its operating performance. A reconciliation of FFO to net income is attached to this press release.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Results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Occupancy</w:t>
      </w:r>
    </w:p>
    <w:p>
      <w:pPr>
        <w:spacing w:after="0" w:line="250" w:lineRule="exact"/>
        <w:rPr>
          <w:sz w:val="20"/>
          <w:szCs w:val="20"/>
          <w:color w:val="auto"/>
        </w:rPr>
      </w:pPr>
    </w:p>
    <w:p>
      <w:pPr>
        <w:jc w:val="both"/>
        <w:spacing w:after="0" w:line="372" w:lineRule="auto"/>
        <w:rPr>
          <w:sz w:val="20"/>
          <w:szCs w:val="20"/>
          <w:color w:val="auto"/>
        </w:rPr>
      </w:pPr>
      <w:r>
        <w:rPr>
          <w:rFonts w:ascii="Arial" w:cs="Arial" w:eastAsia="Arial" w:hAnsi="Arial"/>
          <w:sz w:val="18"/>
          <w:szCs w:val="18"/>
          <w:color w:val="auto"/>
        </w:rPr>
        <w:t>The portfolio was 92.1% occupied as of September 30, 2022, an increase of 10 basis points quarter-over-quarter and an increase of 190 basis points year-over-year. The portfolio was 94.3% leased as of September 30, 2022, an increase of 20 basis points quarter-over-quarter and an increase of 150 basis points year-over-year. The spread between our leased and occupied percentages was 220 basis points at the end of the third quarter.</w:t>
      </w:r>
    </w:p>
    <w:p>
      <w:pPr>
        <w:spacing w:after="0" w:line="107" w:lineRule="exact"/>
        <w:rPr>
          <w:sz w:val="20"/>
          <w:szCs w:val="20"/>
          <w:color w:val="auto"/>
        </w:rPr>
      </w:pPr>
    </w:p>
    <w:p>
      <w:pPr>
        <w:jc w:val="both"/>
        <w:spacing w:after="0" w:line="396" w:lineRule="auto"/>
        <w:rPr>
          <w:sz w:val="20"/>
          <w:szCs w:val="20"/>
          <w:color w:val="auto"/>
        </w:rPr>
      </w:pPr>
      <w:r>
        <w:rPr>
          <w:rFonts w:ascii="Arial" w:cs="Arial" w:eastAsia="Arial" w:hAnsi="Arial"/>
          <w:sz w:val="18"/>
          <w:szCs w:val="18"/>
          <w:color w:val="auto"/>
        </w:rPr>
        <w:t>Additionally, our residential properties were 97.0% leased as of September 30, 2022, a sequential increase of 20 basis points over second quarter.</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Leasing Activity</w:t>
      </w:r>
    </w:p>
    <w:p>
      <w:pPr>
        <w:spacing w:after="0" w:line="250" w:lineRule="exact"/>
        <w:rPr>
          <w:sz w:val="20"/>
          <w:szCs w:val="20"/>
          <w:color w:val="auto"/>
        </w:rPr>
      </w:pPr>
    </w:p>
    <w:p>
      <w:pPr>
        <w:jc w:val="both"/>
        <w:spacing w:after="0" w:line="372" w:lineRule="auto"/>
        <w:rPr>
          <w:sz w:val="20"/>
          <w:szCs w:val="20"/>
          <w:color w:val="auto"/>
        </w:rPr>
      </w:pPr>
      <w:r>
        <w:rPr>
          <w:rFonts w:ascii="Arial" w:cs="Arial" w:eastAsia="Arial" w:hAnsi="Arial"/>
          <w:sz w:val="18"/>
          <w:szCs w:val="18"/>
          <w:color w:val="auto"/>
        </w:rPr>
        <w:t>During the third quarter 2022, Federal Realty signed 126 leases for 584,949 square feet of retail space. On a comparable space basis (i.e., spaces for which there was a former tenant), Federal Realty leased 119 leases for 562,859 square feet at an average rent of $34.57 per square foot compared to the average contractual rent of $33.61 per square foot for the last year of the prior leases, representing a cash basis rollover growth on those comparable spaces of 3%, 13% on a straight-line basis.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Regular Quarterly Dividends</w:t>
      </w:r>
    </w:p>
    <w:p>
      <w:pPr>
        <w:spacing w:after="0" w:line="252" w:lineRule="exact"/>
        <w:rPr>
          <w:sz w:val="20"/>
          <w:szCs w:val="20"/>
          <w:color w:val="auto"/>
        </w:rPr>
      </w:pPr>
    </w:p>
    <w:p>
      <w:pPr>
        <w:jc w:val="both"/>
        <w:spacing w:after="0" w:line="378" w:lineRule="auto"/>
        <w:rPr>
          <w:sz w:val="20"/>
          <w:szCs w:val="20"/>
          <w:color w:val="auto"/>
        </w:rPr>
      </w:pPr>
      <w:r>
        <w:rPr>
          <w:rFonts w:ascii="Arial" w:cs="Arial" w:eastAsia="Arial" w:hAnsi="Arial"/>
          <w:sz w:val="18"/>
          <w:szCs w:val="18"/>
          <w:color w:val="auto"/>
        </w:rPr>
        <w:t>Federal Realty announced today that its Board of Trustees declared a regular quarterly cash dividend of $1.08 per common share, resulting in an indicated annual rate of $4.32 per common share. The regular common dividend will be payable on January 17, 2023 to common shareholders of record as of January 3, 2023.</w:t>
      </w:r>
    </w:p>
    <w:p>
      <w:pPr>
        <w:sectPr>
          <w:pgSz w:w="11900" w:h="16838" w:orient="portrait"/>
          <w:cols w:equalWidth="0" w:num="1">
            <w:col w:w="11240"/>
          </w:cols>
          <w:pgMar w:left="320" w:top="12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40"/>
          </w:cols>
          <w:pgMar w:left="320" w:top="1228" w:right="339" w:bottom="1440" w:gutter="0" w:footer="0" w:header="0"/>
          <w:type w:val="continuous"/>
        </w:sectPr>
      </w:pPr>
    </w:p>
    <w:bookmarkStart w:id="7" w:name="page8"/>
    <w:bookmarkEnd w:id="7"/>
    <w:p>
      <w:pPr>
        <w:jc w:val="both"/>
        <w:spacing w:after="0" w:line="37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6534785</wp:posOffset>
            </wp:positionH>
            <wp:positionV relativeFrom="page">
              <wp:posOffset>88900</wp:posOffset>
            </wp:positionV>
            <wp:extent cx="805815" cy="316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805815" cy="316865"/>
                    </a:xfrm>
                    <a:prstGeom prst="rect">
                      <a:avLst/>
                    </a:prstGeom>
                    <a:noFill/>
                  </pic:spPr>
                </pic:pic>
              </a:graphicData>
            </a:graphic>
          </wp:anchor>
        </w:drawing>
        <w:t>Federal Realty’s Board of Trustees also declared a quarterly cash dividend on its Class C depositary shares, each representing 1/1000 of a 5.000% Series C Cumulative Preferred Share of Beneficial Interest, of $0.3125 per depositary share. All dividends on the depositary shares will be payable on January 17, 2023 to shareholders of record as of January 3, 2023.</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Other Activities</w:t>
      </w:r>
    </w:p>
    <w:p>
      <w:pPr>
        <w:spacing w:after="0" w:line="252" w:lineRule="exact"/>
        <w:rPr>
          <w:sz w:val="20"/>
          <w:szCs w:val="20"/>
          <w:color w:val="auto"/>
        </w:rPr>
      </w:pPr>
    </w:p>
    <w:p>
      <w:pPr>
        <w:jc w:val="both"/>
        <w:ind w:left="660" w:hanging="328"/>
        <w:spacing w:after="0" w:line="362"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October 18, 2022 – Federal Realty announced that it has been recognized as a peer group leader in multiple categories in the 2022 Global Real Estate Sustainability Benchmark (GRESB) Real Estate Assessment. The company earned the #1 ranking in the U.S. Publicly Listed Retail Centers peer group under the Standing Investments Benchmark Report. In addition, Federal earned the #1 ranking and was named Sector Leader in the U.S. Diversified-Office/Residential peer group under the Development Benchmark Report. It also received an "A" Public Disclosure Score from GRESB for the second consecutive year and achieved "Green Star" recognition for the fifth year. The REIT was previously named "Development Sector Leader" in GRESB's 2020 Real Estate Assessment.</w:t>
      </w:r>
    </w:p>
    <w:p>
      <w:pPr>
        <w:spacing w:after="0" w:line="1" w:lineRule="exact"/>
        <w:rPr>
          <w:rFonts w:ascii="Arial" w:cs="Arial" w:eastAsia="Arial" w:hAnsi="Arial"/>
          <w:sz w:val="18"/>
          <w:szCs w:val="18"/>
          <w:color w:val="auto"/>
        </w:rPr>
      </w:pPr>
    </w:p>
    <w:p>
      <w:pPr>
        <w:jc w:val="both"/>
        <w:ind w:left="660" w:hanging="328"/>
        <w:spacing w:after="0" w:line="365"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October 11, 2022 – Federal Realty announced it has set a target approved by the Science Based Targets initiative to reduce Scope 1 and 2 greenhouse gas emissions by 46% between 2019 and 2030. This goal has been set in alignment with the more stringent objective of keeping global temperature increases to less than 1.5°C, the most ambitious goal of the Paris Agreement.</w:t>
      </w:r>
    </w:p>
    <w:p>
      <w:pPr>
        <w:ind w:left="660" w:hanging="328"/>
        <w:spacing w:after="0" w:line="365"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8"/>
          <w:szCs w:val="18"/>
          <w:color w:val="auto"/>
        </w:rPr>
        <w:t>October 6, 2022 - Federal Realty acquired a 47.5% interest in an unconsolidated joint venture that owns Chandler Festival and Chandler Gateway, two dominant regional shopping centers located in one of the top retail nodes in the Phoenix metro area for $58.9 million. Combined, the properties comprise 617,000 square feet on 62 acres.</w:t>
      </w:r>
    </w:p>
    <w:p>
      <w:pPr>
        <w:ind w:left="660" w:right="100" w:hanging="328"/>
        <w:spacing w:after="0" w:line="36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October 1, 2022 – Mr. Thomas A. McEachin joined Federal Realty’s Board of Trustees replacing Mr. Mark S. Ordan who resigned effective September 30, 2022. Mr. McEachin is a seasoned financial executive having held various positions at leading companies such as United Technologies, Digital Equipment, Xerox and, most recently, as Chief Financial Officer of Covidien Surgical Solutions, the largest division of Covidien PLC.</w:t>
      </w:r>
    </w:p>
    <w:p>
      <w:pPr>
        <w:ind w:left="660" w:right="20" w:hanging="328"/>
        <w:spacing w:after="0" w:line="396"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September 2022 - Federal Realty sold two non-core assets, Towson Residential (including a retail pad) and Rockville Town Square, for a combined total sales price of $67 million.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Guidance</w:t>
      </w:r>
    </w:p>
    <w:p>
      <w:pPr>
        <w:spacing w:after="0" w:line="252" w:lineRule="exact"/>
        <w:rPr>
          <w:sz w:val="20"/>
          <w:szCs w:val="20"/>
          <w:color w:val="auto"/>
        </w:rPr>
      </w:pPr>
    </w:p>
    <w:p>
      <w:pPr>
        <w:spacing w:after="0" w:line="396" w:lineRule="auto"/>
        <w:rPr>
          <w:sz w:val="20"/>
          <w:szCs w:val="20"/>
          <w:color w:val="auto"/>
        </w:rPr>
      </w:pPr>
      <w:r>
        <w:rPr>
          <w:rFonts w:ascii="Arial" w:cs="Arial" w:eastAsia="Arial" w:hAnsi="Arial"/>
          <w:sz w:val="18"/>
          <w:szCs w:val="18"/>
          <w:color w:val="auto"/>
        </w:rPr>
        <w:t>Federal Realty increased its 2022 guidance for earnings per diluted share to $3.88 - $3.93 from $2.50 - $2.65 and 2022 FFO per diluted share to $6.27 - $6.32 from $6.10 - $6.25.</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22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6534785</wp:posOffset>
            </wp:positionH>
            <wp:positionV relativeFrom="page">
              <wp:posOffset>88900</wp:posOffset>
            </wp:positionV>
            <wp:extent cx="805815" cy="316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805815" cy="316865"/>
                    </a:xfrm>
                    <a:prstGeom prst="rect">
                      <a:avLst/>
                    </a:prstGeom>
                    <a:noFill/>
                  </pic:spPr>
                </pic:pic>
              </a:graphicData>
            </a:graphic>
          </wp:anchor>
        </w:drawing>
        <w:t>Conference Call Information</w:t>
      </w:r>
    </w:p>
    <w:p>
      <w:pPr>
        <w:spacing w:after="0" w:line="252" w:lineRule="exact"/>
        <w:rPr>
          <w:sz w:val="20"/>
          <w:szCs w:val="20"/>
          <w:color w:val="auto"/>
        </w:rPr>
      </w:pPr>
    </w:p>
    <w:p>
      <w:pPr>
        <w:ind w:right="60"/>
        <w:spacing w:after="0" w:line="370" w:lineRule="auto"/>
        <w:rPr>
          <w:sz w:val="20"/>
          <w:szCs w:val="20"/>
          <w:color w:val="auto"/>
        </w:rPr>
      </w:pPr>
      <w:r>
        <w:rPr>
          <w:rFonts w:ascii="Arial" w:cs="Arial" w:eastAsia="Arial" w:hAnsi="Arial"/>
          <w:sz w:val="18"/>
          <w:szCs w:val="18"/>
          <w:color w:val="auto"/>
        </w:rPr>
        <w:t>Federal Realty’s management team will present an in-depth discussion of Federal Realty’s operating performance on its third quarter 2022 earnings conference call, which is scheduled for Thursday, November 3, 2022 at 5:00 PM ET. To participate, please call 844.826.3035 five to ten minutes prior to the call start time and use the passcode 10171249 (required). The teleconference can also be accessed via a live webcast at www.federalrealty.com in the Investors section. A replay of the webcast will be available on Federal Realty’s website at www.federalrealty.com. A telephonic replay of the conference call will also be available through November 17, 2022 by dialing 844.512.2921; Passcode: 10171249.</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Federal Realty</w:t>
      </w:r>
    </w:p>
    <w:p>
      <w:pPr>
        <w:spacing w:after="0" w:line="239"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Federal Realty is a recognized leader in the ownership, operation and redevelopment of high-quality retail-based properties located primarily in major coastal markets from Washington, D.C. to Boston as well as San Francisco and Los Angeles. Founded in 1962, Federal Realty’s mission is to deliver long-term, sustainable growth through investing in communities where retail demand exceeds supply. Its expertise includes creating urban, mixed-use neighborhoods like Santana Row in San Jose, California, Pike &amp; Rose in North Bethesda, Maryland and Assembly Row in Somerville, Massachusetts. These unique and vibrant environments that combine shopping, dining, living and working provide a destination experience valued by their respective communities. Federal Realty's 104 properties include approximately 3,200 tenants, in 26 million square feet, and approximately 3,300 residential units.</w:t>
      </w:r>
    </w:p>
    <w:p>
      <w:pPr>
        <w:spacing w:after="0" w:line="96" w:lineRule="exact"/>
        <w:rPr>
          <w:sz w:val="20"/>
          <w:szCs w:val="20"/>
          <w:color w:val="auto"/>
        </w:rPr>
      </w:pPr>
    </w:p>
    <w:p>
      <w:pPr>
        <w:ind w:right="120"/>
        <w:spacing w:after="0" w:line="386" w:lineRule="auto"/>
        <w:rPr>
          <w:sz w:val="20"/>
          <w:szCs w:val="20"/>
          <w:color w:val="auto"/>
        </w:rPr>
      </w:pPr>
      <w:r>
        <w:rPr>
          <w:rFonts w:ascii="Arial" w:cs="Arial" w:eastAsia="Arial" w:hAnsi="Arial"/>
          <w:sz w:val="18"/>
          <w:szCs w:val="18"/>
          <w:color w:val="auto"/>
        </w:rPr>
        <w:t>Federal Realty has increased its quarterly dividends to its shareholders for 55 consecutive years, the longest record in the REIT industry. Federal Realty is an S&amp;P 500 index member and its shares are traded on the NYSE under the symbol FRT. For additional information about Federal Realty and its properties, visit www.federalrealty.com.</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Language</w:t>
      </w:r>
    </w:p>
    <w:p>
      <w:pPr>
        <w:spacing w:after="0" w:line="210" w:lineRule="exact"/>
        <w:rPr>
          <w:sz w:val="20"/>
          <w:szCs w:val="20"/>
          <w:color w:val="auto"/>
        </w:rPr>
      </w:pPr>
    </w:p>
    <w:p>
      <w:pPr>
        <w:spacing w:after="0" w:line="259" w:lineRule="auto"/>
        <w:rPr>
          <w:sz w:val="20"/>
          <w:szCs w:val="20"/>
          <w:color w:val="auto"/>
        </w:rPr>
      </w:pPr>
      <w:r>
        <w:rPr>
          <w:rFonts w:ascii="Arial" w:cs="Arial" w:eastAsia="Arial" w:hAnsi="Arial"/>
          <w:sz w:val="14"/>
          <w:szCs w:val="14"/>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10, 2022, and include the following:</w:t>
      </w:r>
    </w:p>
    <w:p>
      <w:pPr>
        <w:spacing w:after="0" w:line="19" w:lineRule="exact"/>
        <w:rPr>
          <w:sz w:val="20"/>
          <w:szCs w:val="20"/>
          <w:color w:val="auto"/>
        </w:rPr>
      </w:pPr>
    </w:p>
    <w:p>
      <w:pPr>
        <w:ind w:left="980" w:right="60" w:hanging="324"/>
        <w:spacing w:after="0" w:line="245" w:lineRule="auto"/>
        <w:tabs>
          <w:tab w:leader="none" w:pos="975" w:val="left"/>
        </w:tabs>
        <w:numPr>
          <w:ilvl w:val="0"/>
          <w:numId w:val="7"/>
        </w:numPr>
        <w:rPr>
          <w:rFonts w:ascii="Times New Roman" w:cs="Times New Roman" w:eastAsia="Times New Roman" w:hAnsi="Times New Roman"/>
          <w:sz w:val="18"/>
          <w:szCs w:val="18"/>
          <w:color w:val="auto"/>
        </w:rPr>
      </w:pPr>
      <w:r>
        <w:rPr>
          <w:rFonts w:ascii="Arial" w:cs="Arial" w:eastAsia="Arial" w:hAnsi="Arial"/>
          <w:sz w:val="14"/>
          <w:szCs w:val="14"/>
          <w:i w:val="1"/>
          <w:iCs w:val="1"/>
          <w:color w:val="auto"/>
        </w:rPr>
        <w:t>risks that our tenants will not pay rent, may vacate early or may file for bankruptcy or that we may be unable to renew leases or re-let space at favorable rents as leases expire or to fill existing vacancy;</w:t>
      </w:r>
    </w:p>
    <w:p>
      <w:pPr>
        <w:ind w:left="980" w:right="200" w:hanging="324"/>
        <w:spacing w:after="0" w:line="254" w:lineRule="auto"/>
        <w:tabs>
          <w:tab w:leader="none" w:pos="976"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risks that we may not be able to proceed with or obtain necessary approvals for any development, redevelopment or renovation project, and that completion of anticipated or ongoing property development, redevelopment or renovation projects that we do pursue may cost more, take more time to complete or fail to perform as expected;</w:t>
      </w:r>
    </w:p>
    <w:p>
      <w:pPr>
        <w:spacing w:after="0" w:line="1" w:lineRule="exact"/>
        <w:rPr>
          <w:rFonts w:ascii="Arial" w:cs="Arial" w:eastAsia="Arial" w:hAnsi="Arial"/>
          <w:sz w:val="14"/>
          <w:szCs w:val="14"/>
          <w:i w:val="1"/>
          <w:iCs w:val="1"/>
          <w:color w:val="auto"/>
        </w:rPr>
      </w:pPr>
    </w:p>
    <w:p>
      <w:pPr>
        <w:ind w:left="980" w:hanging="324"/>
        <w:spacing w:after="0" w:line="257" w:lineRule="auto"/>
        <w:tabs>
          <w:tab w:leader="none" w:pos="976"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2" w:lineRule="exact"/>
        <w:rPr>
          <w:rFonts w:ascii="Arial" w:cs="Arial" w:eastAsia="Arial" w:hAnsi="Arial"/>
          <w:sz w:val="14"/>
          <w:szCs w:val="14"/>
          <w:i w:val="1"/>
          <w:iCs w:val="1"/>
          <w:color w:val="auto"/>
        </w:rPr>
      </w:pPr>
    </w:p>
    <w:p>
      <w:pPr>
        <w:ind w:left="980" w:hanging="324"/>
        <w:spacing w:after="0"/>
        <w:tabs>
          <w:tab w:leader="none" w:pos="980"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risks that our growth will be limited if we cannot obtain additional capital;</w:t>
      </w:r>
    </w:p>
    <w:p>
      <w:pPr>
        <w:spacing w:after="0" w:line="14" w:lineRule="exact"/>
        <w:rPr>
          <w:rFonts w:ascii="Arial" w:cs="Arial" w:eastAsia="Arial" w:hAnsi="Arial"/>
          <w:sz w:val="14"/>
          <w:szCs w:val="14"/>
          <w:i w:val="1"/>
          <w:iCs w:val="1"/>
          <w:color w:val="auto"/>
        </w:rPr>
      </w:pPr>
    </w:p>
    <w:p>
      <w:pPr>
        <w:ind w:left="980" w:hanging="324"/>
        <w:spacing w:after="0"/>
        <w:tabs>
          <w:tab w:leader="none" w:pos="980"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risks associated with general economic conditions, including local economic conditions in our geographic markets;</w:t>
      </w:r>
    </w:p>
    <w:p>
      <w:pPr>
        <w:spacing w:after="0" w:line="14" w:lineRule="exact"/>
        <w:rPr>
          <w:rFonts w:ascii="Arial" w:cs="Arial" w:eastAsia="Arial" w:hAnsi="Arial"/>
          <w:sz w:val="14"/>
          <w:szCs w:val="14"/>
          <w:i w:val="1"/>
          <w:iCs w:val="1"/>
          <w:color w:val="auto"/>
        </w:rPr>
      </w:pPr>
    </w:p>
    <w:p>
      <w:pPr>
        <w:ind w:left="980" w:right="320" w:hanging="324"/>
        <w:spacing w:after="0" w:line="251" w:lineRule="auto"/>
        <w:tabs>
          <w:tab w:leader="none" w:pos="976"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ind w:left="980" w:hanging="324"/>
        <w:spacing w:after="0" w:line="261" w:lineRule="auto"/>
        <w:tabs>
          <w:tab w:leader="none" w:pos="976"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 and</w:t>
      </w:r>
    </w:p>
    <w:p>
      <w:pPr>
        <w:spacing w:after="0" w:line="1" w:lineRule="exact"/>
        <w:rPr>
          <w:rFonts w:ascii="Arial" w:cs="Arial" w:eastAsia="Arial" w:hAnsi="Arial"/>
          <w:sz w:val="14"/>
          <w:szCs w:val="14"/>
          <w:i w:val="1"/>
          <w:iCs w:val="1"/>
          <w:color w:val="auto"/>
        </w:rPr>
      </w:pPr>
    </w:p>
    <w:p>
      <w:pPr>
        <w:ind w:left="980" w:right="40" w:hanging="324"/>
        <w:spacing w:after="0" w:line="262" w:lineRule="auto"/>
        <w:tabs>
          <w:tab w:leader="none" w:pos="976"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228" w:right="339" w:bottom="1440" w:gutter="0" w:footer="0" w:header="0"/>
        </w:sectPr>
      </w:pPr>
    </w:p>
    <w:bookmarkStart w:id="9" w:name="page10"/>
    <w:bookmarkEnd w:id="9"/>
    <w:p>
      <w:pPr>
        <w:spacing w:after="0" w:line="271" w:lineRule="auto"/>
        <w:rPr>
          <w:sz w:val="20"/>
          <w:szCs w:val="20"/>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page">
              <wp:posOffset>6534785</wp:posOffset>
            </wp:positionH>
            <wp:positionV relativeFrom="page">
              <wp:posOffset>88900</wp:posOffset>
            </wp:positionV>
            <wp:extent cx="805815" cy="316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805815" cy="316865"/>
                    </a:xfrm>
                    <a:prstGeom prst="rect">
                      <a:avLst/>
                    </a:prstGeom>
                    <a:noFill/>
                  </pic:spPr>
                </pic:pic>
              </a:graphicData>
            </a:graphic>
          </wp:anchor>
        </w:drawing>
        <w:t>Given these uncertainties, readers are cautioned not to place undue reliance on any forward-looking statements that we make, including those in this Press Release.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10, 2022 and subsequent quarterly reports on Form 10-Q.</w:t>
      </w:r>
    </w:p>
    <w:p>
      <w:pPr>
        <w:spacing w:after="0" w:line="200" w:lineRule="exact"/>
        <w:rPr>
          <w:sz w:val="20"/>
          <w:szCs w:val="20"/>
          <w:color w:val="auto"/>
        </w:rPr>
      </w:pPr>
    </w:p>
    <w:p>
      <w:pPr>
        <w:spacing w:after="0" w:line="3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60"/>
          </w:cols>
          <w:pgMar w:left="320" w:top="1185" w:right="419" w:bottom="1440" w:gutter="0" w:footer="0" w:header="0"/>
        </w:sectPr>
      </w:pPr>
    </w:p>
    <w:bookmarkStart w:id="10" w:name="page11"/>
    <w:bookmarkEnd w:id="10"/>
    <w:p>
      <w:pPr>
        <w:ind w:left="2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Consolidated Income Statements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2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6"/>
                <w:szCs w:val="16"/>
                <w:color w:val="auto"/>
              </w:rPr>
            </w:pPr>
          </w:p>
        </w:tc>
        <w:tc>
          <w:tcPr>
            <w:tcW w:w="2100" w:type="dxa"/>
            <w:vAlign w:val="bottom"/>
            <w:gridSpan w:val="4"/>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1"/>
        </w:trPr>
        <w:tc>
          <w:tcPr>
            <w:tcW w:w="6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2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6"/>
                <w:szCs w:val="16"/>
                <w:color w:val="auto"/>
              </w:rPr>
            </w:pPr>
          </w:p>
        </w:tc>
      </w:tr>
      <w:tr>
        <w:trPr>
          <w:trHeight w:val="23"/>
        </w:trPr>
        <w:tc>
          <w:tcPr>
            <w:tcW w:w="6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0"/>
        </w:trPr>
        <w:tc>
          <w:tcPr>
            <w:tcW w:w="6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0"/>
        </w:trPr>
        <w:tc>
          <w:tcPr>
            <w:tcW w:w="6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6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5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30"/>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Rental income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247,024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793,516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694,954</w:t>
            </w:r>
          </w:p>
        </w:tc>
      </w:tr>
      <w:tr>
        <w:trPr>
          <w:trHeight w:val="229"/>
        </w:trPr>
        <w:tc>
          <w:tcPr>
            <w:tcW w:w="6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Mortgage interest income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2,116</w:t>
            </w:r>
          </w:p>
        </w:tc>
      </w:tr>
      <w:tr>
        <w:trPr>
          <w:trHeight w:val="223"/>
        </w:trPr>
        <w:tc>
          <w:tcPr>
            <w:tcW w:w="6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273,451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247,284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794,321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697,070</w:t>
            </w:r>
          </w:p>
        </w:tc>
      </w:tr>
      <w:tr>
        <w:trPr>
          <w:trHeight w:val="20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9"/>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Rental expenses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49,318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166,189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141,474</w:t>
            </w:r>
          </w:p>
        </w:tc>
      </w:tr>
      <w:tr>
        <w:trPr>
          <w:trHeight w:val="230"/>
        </w:trPr>
        <w:tc>
          <w:tcPr>
            <w:tcW w:w="6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Real estate taxes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94,628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88,272</w:t>
            </w:r>
          </w:p>
        </w:tc>
      </w:tr>
      <w:tr>
        <w:trPr>
          <w:trHeight w:val="229"/>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35,357</w:t>
            </w:r>
          </w:p>
        </w:tc>
      </w:tr>
      <w:tr>
        <w:trPr>
          <w:trHeight w:val="230"/>
        </w:trPr>
        <w:tc>
          <w:tcPr>
            <w:tcW w:w="6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77,109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70,611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223,244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202,160</w:t>
            </w:r>
          </w:p>
        </w:tc>
      </w:tr>
      <w:tr>
        <w:trPr>
          <w:trHeight w:val="223"/>
        </w:trPr>
        <w:tc>
          <w:tcPr>
            <w:tcW w:w="6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181,821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161,711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523,107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467,263</w:t>
            </w:r>
          </w:p>
        </w:tc>
      </w:tr>
      <w:tr>
        <w:trPr>
          <w:trHeight w:val="250"/>
        </w:trPr>
        <w:tc>
          <w:tcPr>
            <w:tcW w:w="6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9"/>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deconsolidation of VIE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70,374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on sale of real estate and change in control of interest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17,428</w:t>
            </w:r>
          </w:p>
        </w:tc>
      </w:tr>
      <w:tr>
        <w:trPr>
          <w:trHeight w:val="250"/>
        </w:trPr>
        <w:tc>
          <w:tcPr>
            <w:tcW w:w="616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spacing w:after="0"/>
              <w:rPr>
                <w:sz w:val="21"/>
                <w:szCs w:val="21"/>
                <w:color w:val="auto"/>
              </w:rPr>
            </w:pP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85,573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371,311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247,235</w:t>
            </w:r>
          </w:p>
        </w:tc>
      </w:tr>
      <w:tr>
        <w:trPr>
          <w:trHeight w:val="270"/>
        </w:trPr>
        <w:tc>
          <w:tcPr>
            <w:tcW w:w="61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INCOME/(EXPENSE)</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interest income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30"/>
        </w:trPr>
        <w:tc>
          <w:tcPr>
            <w:tcW w:w="6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(32,249)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(98,707)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(95,511)</w:t>
            </w:r>
          </w:p>
        </w:tc>
      </w:tr>
      <w:tr>
        <w:trPr>
          <w:trHeight w:val="229"/>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(loss) from partnerships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158,774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54,541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277,969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152,339</w:t>
            </w:r>
          </w:p>
        </w:tc>
      </w:tr>
      <w:tr>
        <w:trPr>
          <w:trHeight w:val="229"/>
        </w:trPr>
        <w:tc>
          <w:tcPr>
            <w:tcW w:w="6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(5,777)</w:t>
            </w:r>
          </w:p>
        </w:tc>
      </w:tr>
      <w:tr>
        <w:trPr>
          <w:trHeight w:val="22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TRUST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52,122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269,798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146,562</w:t>
            </w:r>
          </w:p>
        </w:tc>
      </w:tr>
      <w:tr>
        <w:trPr>
          <w:trHeight w:val="230"/>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on preferred shares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r>
      <w:tr>
        <w:trPr>
          <w:trHeight w:val="22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AVAILABLE FOR COMMON SHAREHOLDERS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154,130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50,112</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263,772</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140,531</w:t>
            </w: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7"/>
        </w:trPr>
        <w:tc>
          <w:tcPr>
            <w:tcW w:w="6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COMMON SHARE, BASIC:</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55"/>
        </w:trPr>
        <w:tc>
          <w:tcPr>
            <w:tcW w:w="6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available for common shareholders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160" w:type="dxa"/>
            <w:vAlign w:val="bottom"/>
          </w:tcPr>
          <w:p>
            <w:pPr>
              <w:ind w:left="220"/>
              <w:spacing w:after="0" w:line="203" w:lineRule="exact"/>
              <w:rPr>
                <w:sz w:val="20"/>
                <w:szCs w:val="20"/>
                <w:color w:val="auto"/>
              </w:rPr>
            </w:pPr>
            <w:r>
              <w:rPr>
                <w:rFonts w:ascii="Times New Roman" w:cs="Times New Roman" w:eastAsia="Times New Roman" w:hAnsi="Times New Roman"/>
                <w:sz w:val="18"/>
                <w:szCs w:val="18"/>
                <w:color w:val="auto"/>
              </w:rPr>
              <w:t>Weighted average number of common shares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80,765</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77,485</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79,480</w:t>
            </w: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77,269</w:t>
            </w: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96"/>
        </w:trPr>
        <w:tc>
          <w:tcPr>
            <w:tcW w:w="61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EARNINGS PER COMMON SHARE, DILUTED:</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30"/>
        </w:trPr>
        <w:tc>
          <w:tcPr>
            <w:tcW w:w="6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available for common shareholders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9"/>
        </w:trPr>
        <w:tc>
          <w:tcPr>
            <w:tcW w:w="6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77,575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80,137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77,287</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02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6"/>
                <w:szCs w:val="16"/>
                <w:color w:val="auto"/>
              </w:rPr>
            </w:pPr>
          </w:p>
        </w:tc>
        <w:tc>
          <w:tcPr>
            <w:tcW w:w="110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8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560" w:type="dxa"/>
            <w:vAlign w:val="bottom"/>
          </w:tcPr>
          <w:p>
            <w:pPr>
              <w:spacing w:after="0"/>
              <w:rPr>
                <w:sz w:val="2"/>
                <w:szCs w:val="2"/>
                <w:color w:val="auto"/>
              </w:rPr>
            </w:pPr>
          </w:p>
        </w:tc>
        <w:tc>
          <w:tcPr>
            <w:tcW w:w="2620" w:type="dxa"/>
            <w:vAlign w:val="bottom"/>
            <w:tcBorders>
              <w:bottom w:val="single" w:sz="8" w:color="auto"/>
            </w:tcBorders>
            <w:gridSpan w:val="5"/>
          </w:tcPr>
          <w:p>
            <w:pPr>
              <w:spacing w:after="0"/>
              <w:rPr>
                <w:sz w:val="2"/>
                <w:szCs w:val="2"/>
                <w:color w:val="auto"/>
              </w:rPr>
            </w:pPr>
          </w:p>
        </w:tc>
      </w:tr>
      <w:tr>
        <w:trPr>
          <w:trHeight w:val="128"/>
        </w:trPr>
        <w:tc>
          <w:tcPr>
            <w:tcW w:w="8560" w:type="dxa"/>
            <w:vAlign w:val="bottom"/>
          </w:tcPr>
          <w:p>
            <w:pPr>
              <w:spacing w:after="0"/>
              <w:rPr>
                <w:sz w:val="11"/>
                <w:szCs w:val="11"/>
                <w:color w:val="auto"/>
              </w:rPr>
            </w:pPr>
          </w:p>
        </w:tc>
        <w:tc>
          <w:tcPr>
            <w:tcW w:w="2620" w:type="dxa"/>
            <w:vAlign w:val="bottom"/>
            <w:gridSpan w:val="5"/>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 except share and per share</w:t>
            </w:r>
          </w:p>
        </w:tc>
      </w:tr>
      <w:tr>
        <w:trPr>
          <w:trHeight w:val="190"/>
        </w:trPr>
        <w:tc>
          <w:tcPr>
            <w:tcW w:w="8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data)</w:t>
            </w:r>
          </w:p>
        </w:tc>
        <w:tc>
          <w:tcPr>
            <w:tcW w:w="1100" w:type="dxa"/>
            <w:vAlign w:val="bottom"/>
          </w:tcPr>
          <w:p>
            <w:pPr>
              <w:spacing w:after="0"/>
              <w:rPr>
                <w:sz w:val="16"/>
                <w:szCs w:val="16"/>
                <w:color w:val="auto"/>
              </w:rPr>
            </w:pPr>
          </w:p>
        </w:tc>
      </w:tr>
      <w:tr>
        <w:trPr>
          <w:trHeight w:val="191"/>
        </w:trPr>
        <w:tc>
          <w:tcPr>
            <w:tcW w:w="8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3"/>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30"/>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Real estate, at cost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5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Operating (including $1,963,129 and $2,207,648 of consolidated variable interest entities, respectively)</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9,323,359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8,814,791</w:t>
            </w:r>
          </w:p>
        </w:tc>
      </w:tr>
      <w:tr>
        <w:trPr>
          <w:trHeight w:val="175"/>
        </w:trPr>
        <w:tc>
          <w:tcPr>
            <w:tcW w:w="8560" w:type="dxa"/>
            <w:vAlign w:val="bottom"/>
            <w:shd w:val="clear" w:color="auto" w:fill="CCEEFF"/>
          </w:tcPr>
          <w:p>
            <w:pPr>
              <w:ind w:left="660"/>
              <w:spacing w:after="0" w:line="176" w:lineRule="exact"/>
              <w:rPr>
                <w:sz w:val="20"/>
                <w:szCs w:val="20"/>
                <w:color w:val="auto"/>
              </w:rPr>
            </w:pPr>
            <w:r>
              <w:rPr>
                <w:rFonts w:ascii="Times New Roman" w:cs="Times New Roman" w:eastAsia="Times New Roman" w:hAnsi="Times New Roman"/>
                <w:sz w:val="18"/>
                <w:szCs w:val="18"/>
                <w:color w:val="auto"/>
              </w:rPr>
              <w:t>Construction-in-progress (including $23,448 and $18,752 of consolidated variable interest entities,</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respectively)</w:t>
            </w: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681,641</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607,271</w:t>
            </w:r>
          </w:p>
        </w:tc>
      </w:tr>
      <w:tr>
        <w:trPr>
          <w:trHeight w:val="223"/>
        </w:trPr>
        <w:tc>
          <w:tcPr>
            <w:tcW w:w="8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10,005,000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9,422,062</w:t>
            </w:r>
          </w:p>
        </w:tc>
      </w:tr>
      <w:tr>
        <w:trPr>
          <w:trHeight w:val="175"/>
        </w:trPr>
        <w:tc>
          <w:tcPr>
            <w:tcW w:w="8560" w:type="dxa"/>
            <w:vAlign w:val="bottom"/>
            <w:shd w:val="clear" w:color="auto" w:fill="CCEEFF"/>
          </w:tcPr>
          <w:p>
            <w:pPr>
              <w:ind w:left="660"/>
              <w:spacing w:after="0" w:line="176" w:lineRule="exact"/>
              <w:rPr>
                <w:sz w:val="20"/>
                <w:szCs w:val="20"/>
                <w:color w:val="auto"/>
              </w:rPr>
            </w:pPr>
            <w:r>
              <w:rPr>
                <w:rFonts w:ascii="Times New Roman" w:cs="Times New Roman" w:eastAsia="Times New Roman" w:hAnsi="Times New Roman"/>
                <w:sz w:val="18"/>
                <w:szCs w:val="18"/>
                <w:color w:val="auto"/>
              </w:rPr>
              <w:t>Less accumulated depreciation and amortization (including $349,553 and $389,950 of consolidated variable</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interest entities, respectively)</w:t>
            </w: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(2,660,799)</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(2,531,095)</w:t>
            </w:r>
          </w:p>
        </w:tc>
      </w:tr>
      <w:tr>
        <w:trPr>
          <w:trHeight w:val="223"/>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real estate</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7,344,201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6,890,967</w:t>
            </w:r>
          </w:p>
        </w:tc>
      </w:tr>
      <w:tr>
        <w:trPr>
          <w:trHeight w:val="230"/>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162,132</w:t>
            </w:r>
          </w:p>
        </w:tc>
      </w:tr>
      <w:tr>
        <w:trPr>
          <w:trHeight w:val="229"/>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and notes receivable, net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187,149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169,007</w:t>
            </w:r>
          </w:p>
        </w:tc>
      </w:tr>
      <w:tr>
        <w:trPr>
          <w:trHeight w:val="230"/>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Mortgage notes receivable, net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9,543</w:t>
            </w:r>
          </w:p>
        </w:tc>
      </w:tr>
      <w:tr>
        <w:trPr>
          <w:trHeight w:val="229"/>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 in partnerships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13,027</w:t>
            </w:r>
          </w:p>
        </w:tc>
      </w:tr>
      <w:tr>
        <w:trPr>
          <w:trHeight w:val="229"/>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95,187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90,743</w:t>
            </w:r>
          </w:p>
        </w:tc>
      </w:tr>
      <w:tr>
        <w:trPr>
          <w:trHeight w:val="230"/>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Finance lease right of use assets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45,756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49,832</w:t>
            </w:r>
          </w:p>
        </w:tc>
      </w:tr>
      <w:tr>
        <w:trPr>
          <w:trHeight w:val="229"/>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266,203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237,069</w:t>
            </w:r>
          </w:p>
        </w:tc>
      </w:tr>
      <w:tr>
        <w:trPr>
          <w:trHeight w:val="223"/>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8,217,007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7,622,320</w:t>
            </w: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6"/>
        </w:trPr>
        <w:tc>
          <w:tcPr>
            <w:tcW w:w="85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LIABILITIES AND SHAREHOLDERS’ EQUITY</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75"/>
        </w:trPr>
        <w:tc>
          <w:tcPr>
            <w:tcW w:w="8560" w:type="dxa"/>
            <w:vAlign w:val="bottom"/>
            <w:shd w:val="clear" w:color="auto" w:fill="CCEEFF"/>
          </w:tcPr>
          <w:p>
            <w:pPr>
              <w:ind w:left="660"/>
              <w:spacing w:after="0" w:line="176" w:lineRule="exact"/>
              <w:rPr>
                <w:sz w:val="20"/>
                <w:szCs w:val="20"/>
                <w:color w:val="auto"/>
              </w:rPr>
            </w:pPr>
            <w:r>
              <w:rPr>
                <w:rFonts w:ascii="Times New Roman" w:cs="Times New Roman" w:eastAsia="Times New Roman" w:hAnsi="Times New Roman"/>
                <w:sz w:val="18"/>
                <w:szCs w:val="18"/>
                <w:color w:val="auto"/>
              </w:rPr>
              <w:t>Mortgages payable, net (including $192,442 and $335,301 of consolidated variable interest entities,</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respectively)</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321,299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339,993</w:t>
            </w:r>
          </w:p>
        </w:tc>
      </w:tr>
      <w:tr>
        <w:trPr>
          <w:trHeight w:val="230"/>
        </w:trPr>
        <w:tc>
          <w:tcPr>
            <w:tcW w:w="85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Notes payable, net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568,302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301,466</w:t>
            </w:r>
          </w:p>
        </w:tc>
      </w:tr>
      <w:tr>
        <w:trPr>
          <w:trHeight w:val="229"/>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Senior notes and debentures, net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3,407,298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3,406,088</w:t>
            </w:r>
          </w:p>
        </w:tc>
      </w:tr>
      <w:tr>
        <w:trPr>
          <w:trHeight w:val="230"/>
        </w:trPr>
        <w:tc>
          <w:tcPr>
            <w:tcW w:w="85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235,168</w:t>
            </w:r>
          </w:p>
        </w:tc>
      </w:tr>
      <w:tr>
        <w:trPr>
          <w:trHeight w:val="230"/>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Dividends payable</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86,538</w:t>
            </w:r>
          </w:p>
        </w:tc>
      </w:tr>
      <w:tr>
        <w:trPr>
          <w:trHeight w:val="230"/>
        </w:trPr>
        <w:tc>
          <w:tcPr>
            <w:tcW w:w="85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Security deposits payable</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25,331</w:t>
            </w:r>
          </w:p>
        </w:tc>
      </w:tr>
      <w:tr>
        <w:trPr>
          <w:trHeight w:val="229"/>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72,661</w:t>
            </w:r>
          </w:p>
        </w:tc>
      </w:tr>
      <w:tr>
        <w:trPr>
          <w:trHeight w:val="230"/>
        </w:trPr>
        <w:tc>
          <w:tcPr>
            <w:tcW w:w="85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67,662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72,032</w:t>
            </w:r>
          </w:p>
        </w:tc>
      </w:tr>
      <w:tr>
        <w:trPr>
          <w:trHeight w:val="230"/>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liabilities and deferred credits</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242,800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206,187</w:t>
            </w:r>
          </w:p>
        </w:tc>
      </w:tr>
      <w:tr>
        <w:trPr>
          <w:trHeight w:val="223"/>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5,049,368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4,745,464</w:t>
            </w:r>
          </w:p>
        </w:tc>
      </w:tr>
      <w:tr>
        <w:trPr>
          <w:trHeight w:val="230"/>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185,759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213,708</w:t>
            </w:r>
          </w:p>
        </w:tc>
      </w:tr>
      <w:tr>
        <w:trPr>
          <w:trHeight w:val="229"/>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Shareholders’ equity</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5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Preferred shares, authorized 15,000,000 shares, $.01 par:</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75"/>
        </w:trPr>
        <w:tc>
          <w:tcPr>
            <w:tcW w:w="8560" w:type="dxa"/>
            <w:vAlign w:val="bottom"/>
            <w:shd w:val="clear" w:color="auto" w:fill="CCEEFF"/>
          </w:tcPr>
          <w:p>
            <w:pPr>
              <w:ind w:left="780"/>
              <w:spacing w:after="0" w:line="176" w:lineRule="exact"/>
              <w:rPr>
                <w:sz w:val="20"/>
                <w:szCs w:val="20"/>
                <w:color w:val="auto"/>
              </w:rPr>
            </w:pPr>
            <w:r>
              <w:rPr>
                <w:rFonts w:ascii="Times New Roman" w:cs="Times New Roman" w:eastAsia="Times New Roman" w:hAnsi="Times New Roman"/>
                <w:sz w:val="18"/>
                <w:szCs w:val="18"/>
                <w:color w:val="auto"/>
              </w:rPr>
              <w:t>5.0% Series C Cumulative Redeemable Preferred Shares, (stated at liquidation preference $25,000 per</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85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share), 6,000 shares issued and outstanding</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r>
      <w:tr>
        <w:trPr>
          <w:trHeight w:val="176"/>
        </w:trPr>
        <w:tc>
          <w:tcPr>
            <w:tcW w:w="8560" w:type="dxa"/>
            <w:vAlign w:val="bottom"/>
          </w:tcPr>
          <w:p>
            <w:pPr>
              <w:ind w:left="780"/>
              <w:spacing w:after="0" w:line="176" w:lineRule="exact"/>
              <w:rPr>
                <w:sz w:val="20"/>
                <w:szCs w:val="20"/>
                <w:color w:val="auto"/>
              </w:rPr>
            </w:pPr>
            <w:r>
              <w:rPr>
                <w:rFonts w:ascii="Times New Roman" w:cs="Times New Roman" w:eastAsia="Times New Roman" w:hAnsi="Times New Roman"/>
                <w:sz w:val="18"/>
                <w:szCs w:val="18"/>
                <w:color w:val="auto"/>
              </w:rPr>
              <w:t>5.417% Series 1 Cumulative Convertible Preferred Shares, (stated at liquidation preference $25 per share),</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43"/>
        </w:trPr>
        <w:tc>
          <w:tcPr>
            <w:tcW w:w="85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392,878 and 399,896 shares issued and outstanding, respectively</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9,997</w:t>
            </w:r>
          </w:p>
        </w:tc>
      </w:tr>
      <w:tr>
        <w:trPr>
          <w:trHeight w:val="175"/>
        </w:trPr>
        <w:tc>
          <w:tcPr>
            <w:tcW w:w="8560" w:type="dxa"/>
            <w:vAlign w:val="bottom"/>
            <w:shd w:val="clear" w:color="auto" w:fill="CCEEFF"/>
          </w:tcPr>
          <w:p>
            <w:pPr>
              <w:ind w:left="660"/>
              <w:spacing w:after="0" w:line="176" w:lineRule="exact"/>
              <w:rPr>
                <w:sz w:val="20"/>
                <w:szCs w:val="20"/>
                <w:color w:val="auto"/>
              </w:rPr>
            </w:pPr>
            <w:r>
              <w:rPr>
                <w:rFonts w:ascii="Times New Roman" w:cs="Times New Roman" w:eastAsia="Times New Roman" w:hAnsi="Times New Roman"/>
                <w:sz w:val="18"/>
                <w:szCs w:val="18"/>
                <w:color w:val="auto"/>
              </w:rPr>
              <w:t>Common shares of beneficial interest, $.01 par, 100,000,000 shares authorized, 81,204,286 and 78,603,305</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shares issued and outstanding, respectively</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r>
      <w:tr>
        <w:trPr>
          <w:trHeight w:val="230"/>
        </w:trPr>
        <w:tc>
          <w:tcPr>
            <w:tcW w:w="85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3,794,247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3,488,794</w:t>
            </w:r>
          </w:p>
        </w:tc>
      </w:tr>
      <w:tr>
        <w:trPr>
          <w:trHeight w:val="229"/>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Accumulated dividends in excess of net income</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(1,060,027)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(1,066,932)</w:t>
            </w:r>
          </w:p>
        </w:tc>
      </w:tr>
      <w:tr>
        <w:trPr>
          <w:trHeight w:val="230"/>
        </w:trPr>
        <w:tc>
          <w:tcPr>
            <w:tcW w:w="85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(2,047)</w:t>
            </w:r>
          </w:p>
        </w:tc>
      </w:tr>
      <w:tr>
        <w:trPr>
          <w:trHeight w:val="223"/>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shareholders’ equity of the Trust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2,900,943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2,580,602</w:t>
            </w:r>
          </w:p>
        </w:tc>
      </w:tr>
      <w:tr>
        <w:trPr>
          <w:trHeight w:val="229"/>
        </w:trPr>
        <w:tc>
          <w:tcPr>
            <w:tcW w:w="85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80,937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82,546</w:t>
            </w:r>
          </w:p>
        </w:tc>
      </w:tr>
      <w:tr>
        <w:trPr>
          <w:trHeight w:val="223"/>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2,981,880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2,663,148</w:t>
            </w:r>
          </w:p>
        </w:tc>
      </w:tr>
      <w:tr>
        <w:trPr>
          <w:trHeight w:val="223"/>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8,217,007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7,622,320</w:t>
            </w:r>
          </w:p>
        </w:tc>
      </w:tr>
      <w:tr>
        <w:trPr>
          <w:trHeight w:val="20"/>
        </w:trPr>
        <w:tc>
          <w:tcPr>
            <w:tcW w:w="8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60" w:top="10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180"/>
          </w:cols>
          <w:pgMar w:left="360" w:top="1022" w:right="359" w:bottom="1440" w:gutter="0" w:footer="0" w:header="0"/>
          <w:type w:val="continuous"/>
        </w:sectPr>
      </w:pPr>
    </w:p>
    <w:bookmarkStart w:id="12" w:name="page13"/>
    <w:bookmarkEnd w:id="12"/>
    <w:p>
      <w:pPr>
        <w:ind w:left="2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Funds From Operations / Other Supplemental Information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8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6"/>
                <w:szCs w:val="16"/>
                <w:color w:val="auto"/>
              </w:rPr>
            </w:pPr>
          </w:p>
        </w:tc>
        <w:tc>
          <w:tcPr>
            <w:tcW w:w="2360" w:type="dxa"/>
            <w:vAlign w:val="bottom"/>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8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820" w:type="dxa"/>
            <w:vAlign w:val="bottom"/>
            <w:gridSpan w:val="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Funds from Operations available for common shareholders (FFO) (1)</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00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CCEEFF"/>
            </w:tcBorders>
          </w:tcPr>
          <w:p>
            <w:pPr>
              <w:jc w:val="right"/>
              <w:ind w:right="132"/>
              <w:spacing w:after="0"/>
              <w:rPr>
                <w:sz w:val="20"/>
                <w:szCs w:val="20"/>
                <w:color w:val="auto"/>
              </w:rPr>
            </w:pPr>
            <w:r>
              <w:rPr>
                <w:rFonts w:ascii="Times New Roman" w:cs="Times New Roman" w:eastAsia="Times New Roman" w:hAnsi="Times New Roman"/>
                <w:sz w:val="18"/>
                <w:szCs w:val="18"/>
                <w:color w:val="auto"/>
              </w:rPr>
              <w:t>158,774</w:t>
            </w:r>
          </w:p>
        </w:tc>
        <w:tc>
          <w:tcPr>
            <w:tcW w:w="1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CCEEFF"/>
            </w:tcBorders>
          </w:tcPr>
          <w:p>
            <w:pPr>
              <w:jc w:val="right"/>
              <w:ind w:right="131"/>
              <w:spacing w:after="0"/>
              <w:rPr>
                <w:sz w:val="20"/>
                <w:szCs w:val="20"/>
                <w:color w:val="auto"/>
              </w:rPr>
            </w:pPr>
            <w:r>
              <w:rPr>
                <w:rFonts w:ascii="Times New Roman" w:cs="Times New Roman" w:eastAsia="Times New Roman" w:hAnsi="Times New Roman"/>
                <w:sz w:val="18"/>
                <w:szCs w:val="18"/>
                <w:color w:val="auto"/>
              </w:rPr>
              <w:t>54,541</w:t>
            </w:r>
          </w:p>
        </w:tc>
        <w:tc>
          <w:tcPr>
            <w:tcW w:w="12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CCEEFF"/>
            </w:tcBorders>
          </w:tcPr>
          <w:p>
            <w:pPr>
              <w:jc w:val="right"/>
              <w:ind w:right="132"/>
              <w:spacing w:after="0"/>
              <w:rPr>
                <w:sz w:val="20"/>
                <w:szCs w:val="20"/>
                <w:color w:val="auto"/>
              </w:rPr>
            </w:pPr>
            <w:r>
              <w:rPr>
                <w:rFonts w:ascii="Times New Roman" w:cs="Times New Roman" w:eastAsia="Times New Roman" w:hAnsi="Times New Roman"/>
                <w:sz w:val="18"/>
                <w:szCs w:val="18"/>
                <w:color w:val="auto"/>
              </w:rPr>
              <w:t>277,969</w:t>
            </w:r>
          </w:p>
        </w:tc>
        <w:tc>
          <w:tcPr>
            <w:tcW w:w="1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CCEEFF"/>
            </w:tcBorders>
          </w:tcPr>
          <w:p>
            <w:pPr>
              <w:jc w:val="right"/>
              <w:ind w:right="131"/>
              <w:spacing w:after="0"/>
              <w:rPr>
                <w:sz w:val="20"/>
                <w:szCs w:val="20"/>
                <w:color w:val="auto"/>
              </w:rPr>
            </w:pPr>
            <w:r>
              <w:rPr>
                <w:rFonts w:ascii="Times New Roman" w:cs="Times New Roman" w:eastAsia="Times New Roman" w:hAnsi="Times New Roman"/>
                <w:sz w:val="18"/>
                <w:szCs w:val="18"/>
                <w:color w:val="auto"/>
              </w:rPr>
              <w:t>152,339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8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(2,636)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(2,419)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(8,171)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(5,777)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Gain on deconsolidation of VIE</w:t>
            </w:r>
          </w:p>
        </w:tc>
        <w:tc>
          <w:tcPr>
            <w:tcW w:w="280" w:type="dxa"/>
            <w:vAlign w:val="bottom"/>
          </w:tcPr>
          <w:p>
            <w:pPr>
              <w:spacing w:after="0"/>
              <w:rPr>
                <w:sz w:val="19"/>
                <w:szCs w:val="19"/>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(70,374)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(70,374)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8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real estate and change in control of interest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(29,723)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(29,723)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(17,428)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Depreciation and amortization of real estate assets</w:t>
            </w:r>
          </w:p>
        </w:tc>
        <w:tc>
          <w:tcPr>
            <w:tcW w:w="280" w:type="dxa"/>
            <w:vAlign w:val="bottom"/>
          </w:tcPr>
          <w:p>
            <w:pPr>
              <w:spacing w:after="0"/>
              <w:rPr>
                <w:sz w:val="19"/>
                <w:szCs w:val="19"/>
                <w:color w:val="auto"/>
              </w:rPr>
            </w:pP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67,455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61,236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196,159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174,770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8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initial direct costs of leases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7,454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6,202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19,129</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20,127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Funds from operations</w:t>
            </w:r>
          </w:p>
        </w:tc>
        <w:tc>
          <w:tcPr>
            <w:tcW w:w="280" w:type="dxa"/>
            <w:vAlign w:val="bottom"/>
          </w:tcPr>
          <w:p>
            <w:pPr>
              <w:spacing w:after="0"/>
              <w:rPr>
                <w:sz w:val="19"/>
                <w:szCs w:val="19"/>
                <w:color w:val="auto"/>
              </w:rPr>
            </w:pP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130,950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119,560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384,989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324,031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8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on preferred shares (2)</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(1,875)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(1,875)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(5,625)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(6,031)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Income attributable to downREIT operating partnership units</w:t>
            </w:r>
          </w:p>
        </w:tc>
        <w:tc>
          <w:tcPr>
            <w:tcW w:w="280" w:type="dxa"/>
            <w:vAlign w:val="bottom"/>
          </w:tcPr>
          <w:p>
            <w:pPr>
              <w:spacing w:after="0"/>
              <w:rPr>
                <w:sz w:val="19"/>
                <w:szCs w:val="19"/>
                <w:color w:val="auto"/>
              </w:rPr>
            </w:pP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704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2,111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2,267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8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attributable to unvested shares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(449)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(438)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(1,353)</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(1,156)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20" w:type="dxa"/>
            <w:vAlign w:val="bottom"/>
            <w:gridSpan w:val="5"/>
          </w:tcPr>
          <w:p>
            <w:pPr>
              <w:ind w:left="340"/>
              <w:spacing w:after="0" w:line="196" w:lineRule="exact"/>
              <w:rPr>
                <w:sz w:val="20"/>
                <w:szCs w:val="20"/>
                <w:color w:val="auto"/>
              </w:rPr>
            </w:pPr>
            <w:r>
              <w:rPr>
                <w:rFonts w:ascii="Times New Roman" w:cs="Times New Roman" w:eastAsia="Times New Roman" w:hAnsi="Times New Roman"/>
                <w:sz w:val="18"/>
                <w:szCs w:val="18"/>
                <w:color w:val="auto"/>
              </w:rPr>
              <w:t>FFO</w:t>
            </w: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32"/>
              <w:spacing w:after="0" w:line="196" w:lineRule="exact"/>
              <w:rPr>
                <w:sz w:val="20"/>
                <w:szCs w:val="20"/>
                <w:color w:val="auto"/>
              </w:rPr>
            </w:pPr>
            <w:r>
              <w:rPr>
                <w:rFonts w:ascii="Times New Roman" w:cs="Times New Roman" w:eastAsia="Times New Roman" w:hAnsi="Times New Roman"/>
                <w:sz w:val="18"/>
                <w:szCs w:val="18"/>
                <w:color w:val="auto"/>
              </w:rPr>
              <w:t>129,330</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131"/>
              <w:spacing w:after="0" w:line="196" w:lineRule="exact"/>
              <w:rPr>
                <w:sz w:val="20"/>
                <w:szCs w:val="20"/>
                <w:color w:val="auto"/>
              </w:rPr>
            </w:pPr>
            <w:r>
              <w:rPr>
                <w:rFonts w:ascii="Times New Roman" w:cs="Times New Roman" w:eastAsia="Times New Roman" w:hAnsi="Times New Roman"/>
                <w:sz w:val="18"/>
                <w:szCs w:val="18"/>
                <w:color w:val="auto"/>
              </w:rPr>
              <w:t>117,989</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32"/>
              <w:spacing w:after="0" w:line="196" w:lineRule="exact"/>
              <w:rPr>
                <w:sz w:val="20"/>
                <w:szCs w:val="20"/>
                <w:color w:val="auto"/>
              </w:rPr>
            </w:pPr>
            <w:r>
              <w:rPr>
                <w:rFonts w:ascii="Times New Roman" w:cs="Times New Roman" w:eastAsia="Times New Roman" w:hAnsi="Times New Roman"/>
                <w:sz w:val="18"/>
                <w:szCs w:val="18"/>
                <w:color w:val="auto"/>
              </w:rPr>
              <w:t>380,122</w:t>
            </w:r>
          </w:p>
        </w:tc>
        <w:tc>
          <w:tcPr>
            <w:tcW w:w="120" w:type="dxa"/>
            <w:vAlign w:val="bottom"/>
          </w:tcPr>
          <w:p>
            <w:pPr>
              <w:spacing w:after="0"/>
              <w:rPr>
                <w:sz w:val="17"/>
                <w:szCs w:val="17"/>
                <w:color w:val="auto"/>
              </w:rPr>
            </w:pPr>
          </w:p>
        </w:tc>
        <w:tc>
          <w:tcPr>
            <w:tcW w:w="420" w:type="dxa"/>
            <w:vAlign w:val="bottom"/>
            <w:tcBorders>
              <w:bottom w:val="single" w:sz="8" w:color="auto"/>
            </w:tcBorders>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ind w:right="131"/>
              <w:spacing w:after="0" w:line="196" w:lineRule="exact"/>
              <w:rPr>
                <w:sz w:val="20"/>
                <w:szCs w:val="20"/>
                <w:color w:val="auto"/>
              </w:rPr>
            </w:pPr>
            <w:r>
              <w:rPr>
                <w:rFonts w:ascii="Times New Roman" w:cs="Times New Roman" w:eastAsia="Times New Roman" w:hAnsi="Times New Roman"/>
                <w:sz w:val="18"/>
                <w:szCs w:val="18"/>
                <w:color w:val="auto"/>
              </w:rPr>
              <w:t>319,111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Borders>
              <w:bottom w:val="single" w:sz="8" w:color="CCEEFF"/>
            </w:tcBorders>
            <w:shd w:val="clear" w:color="auto" w:fill="CCEEFF"/>
          </w:tcPr>
          <w:p>
            <w:pPr>
              <w:spacing w:after="0"/>
              <w:rPr>
                <w:sz w:val="18"/>
                <w:szCs w:val="18"/>
                <w:color w:val="auto"/>
              </w:rPr>
            </w:pPr>
          </w:p>
        </w:tc>
        <w:tc>
          <w:tcPr>
            <w:tcW w:w="5820" w:type="dxa"/>
            <w:vAlign w:val="bottom"/>
            <w:tcBorders>
              <w:bottom w:val="single" w:sz="8" w:color="CCEEFF"/>
            </w:tcBorders>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number of common shares, diluted (2)(3)</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32"/>
              <w:spacing w:after="0" w:line="196" w:lineRule="exact"/>
              <w:rPr>
                <w:sz w:val="20"/>
                <w:szCs w:val="20"/>
                <w:color w:val="auto"/>
              </w:rPr>
            </w:pPr>
            <w:r>
              <w:rPr>
                <w:rFonts w:ascii="Times New Roman" w:cs="Times New Roman" w:eastAsia="Times New Roman" w:hAnsi="Times New Roman"/>
                <w:sz w:val="18"/>
                <w:szCs w:val="18"/>
                <w:color w:val="auto"/>
              </w:rPr>
              <w:t>81,511</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31"/>
              <w:spacing w:after="0" w:line="196" w:lineRule="exact"/>
              <w:rPr>
                <w:sz w:val="20"/>
                <w:szCs w:val="20"/>
                <w:color w:val="auto"/>
              </w:rPr>
            </w:pPr>
            <w:r>
              <w:rPr>
                <w:rFonts w:ascii="Times New Roman" w:cs="Times New Roman" w:eastAsia="Times New Roman" w:hAnsi="Times New Roman"/>
                <w:sz w:val="18"/>
                <w:szCs w:val="18"/>
                <w:color w:val="auto"/>
              </w:rPr>
              <w:t>78,365</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32"/>
              <w:spacing w:after="0" w:line="196" w:lineRule="exact"/>
              <w:rPr>
                <w:sz w:val="20"/>
                <w:szCs w:val="20"/>
                <w:color w:val="auto"/>
              </w:rPr>
            </w:pPr>
            <w:r>
              <w:rPr>
                <w:rFonts w:ascii="Times New Roman" w:cs="Times New Roman" w:eastAsia="Times New Roman" w:hAnsi="Times New Roman"/>
                <w:sz w:val="18"/>
                <w:szCs w:val="18"/>
                <w:color w:val="auto"/>
              </w:rPr>
              <w:t>80,232</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31"/>
              <w:spacing w:after="0" w:line="196" w:lineRule="exact"/>
              <w:rPr>
                <w:sz w:val="20"/>
                <w:szCs w:val="20"/>
                <w:color w:val="auto"/>
              </w:rPr>
            </w:pPr>
            <w:r>
              <w:rPr>
                <w:rFonts w:ascii="Times New Roman" w:cs="Times New Roman" w:eastAsia="Times New Roman" w:hAnsi="Times New Roman"/>
                <w:sz w:val="18"/>
                <w:szCs w:val="18"/>
                <w:color w:val="auto"/>
              </w:rPr>
              <w:t>77,997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820" w:type="dxa"/>
            <w:vAlign w:val="bottom"/>
            <w:tcBorders>
              <w:top w:val="single" w:sz="8" w:color="CCEEFF"/>
              <w:bottom w:val="single" w:sz="8" w:color="CCEEFF"/>
            </w:tcBorders>
            <w:gridSpan w:val="5"/>
            <w:vMerge w:val="restart"/>
          </w:tcPr>
          <w:p>
            <w:pPr>
              <w:spacing w:after="0"/>
              <w:rPr>
                <w:sz w:val="20"/>
                <w:szCs w:val="20"/>
                <w:color w:val="auto"/>
              </w:rPr>
            </w:pPr>
            <w:r>
              <w:rPr>
                <w:rFonts w:ascii="Times New Roman" w:cs="Times New Roman" w:eastAsia="Times New Roman" w:hAnsi="Times New Roman"/>
                <w:sz w:val="18"/>
                <w:szCs w:val="18"/>
                <w:color w:val="auto"/>
              </w:rPr>
              <w:t>FFO per diluted share (3)</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5820" w:type="dxa"/>
            <w:vAlign w:val="bottom"/>
            <w:gridSpan w:val="5"/>
            <w:vMerge w:val="continue"/>
          </w:tcPr>
          <w:p>
            <w:pPr>
              <w:spacing w:after="0"/>
              <w:rPr>
                <w:sz w:val="15"/>
                <w:szCs w:val="15"/>
                <w:color w:val="auto"/>
              </w:rPr>
            </w:pPr>
          </w:p>
        </w:tc>
        <w:tc>
          <w:tcPr>
            <w:tcW w:w="280" w:type="dxa"/>
            <w:vAlign w:val="bottom"/>
            <w:tcBorders>
              <w:bottom w:val="single" w:sz="8" w:color="auto"/>
            </w:tcBorders>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32"/>
              <w:spacing w:after="0" w:line="176" w:lineRule="exact"/>
              <w:rPr>
                <w:sz w:val="20"/>
                <w:szCs w:val="20"/>
                <w:color w:val="auto"/>
              </w:rPr>
            </w:pPr>
            <w:r>
              <w:rPr>
                <w:rFonts w:ascii="Times New Roman" w:cs="Times New Roman" w:eastAsia="Times New Roman" w:hAnsi="Times New Roman"/>
                <w:sz w:val="18"/>
                <w:szCs w:val="18"/>
                <w:color w:val="auto"/>
              </w:rPr>
              <w:t>1.59</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131"/>
              <w:spacing w:after="0" w:line="176" w:lineRule="exact"/>
              <w:rPr>
                <w:sz w:val="20"/>
                <w:szCs w:val="20"/>
                <w:color w:val="auto"/>
              </w:rPr>
            </w:pPr>
            <w:r>
              <w:rPr>
                <w:rFonts w:ascii="Times New Roman" w:cs="Times New Roman" w:eastAsia="Times New Roman" w:hAnsi="Times New Roman"/>
                <w:sz w:val="18"/>
                <w:szCs w:val="18"/>
                <w:color w:val="auto"/>
              </w:rPr>
              <w:t>1.51</w:t>
            </w:r>
          </w:p>
        </w:tc>
        <w:tc>
          <w:tcPr>
            <w:tcW w:w="120" w:type="dxa"/>
            <w:vAlign w:val="bottom"/>
          </w:tcPr>
          <w:p>
            <w:pPr>
              <w:spacing w:after="0"/>
              <w:rPr>
                <w:sz w:val="15"/>
                <w:szCs w:val="15"/>
                <w:color w:val="auto"/>
              </w:rPr>
            </w:pPr>
          </w:p>
        </w:tc>
        <w:tc>
          <w:tcPr>
            <w:tcW w:w="280" w:type="dxa"/>
            <w:vAlign w:val="bottom"/>
            <w:tcBorders>
              <w:bottom w:val="single" w:sz="8" w:color="auto"/>
            </w:tcBorders>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32"/>
              <w:spacing w:after="0" w:line="176" w:lineRule="exact"/>
              <w:rPr>
                <w:sz w:val="20"/>
                <w:szCs w:val="20"/>
                <w:color w:val="auto"/>
              </w:rPr>
            </w:pPr>
            <w:r>
              <w:rPr>
                <w:rFonts w:ascii="Times New Roman" w:cs="Times New Roman" w:eastAsia="Times New Roman" w:hAnsi="Times New Roman"/>
                <w:sz w:val="18"/>
                <w:szCs w:val="18"/>
                <w:color w:val="auto"/>
              </w:rPr>
              <w:t>4.74</w:t>
            </w:r>
          </w:p>
        </w:tc>
        <w:tc>
          <w:tcPr>
            <w:tcW w:w="120" w:type="dxa"/>
            <w:vAlign w:val="bottom"/>
          </w:tcPr>
          <w:p>
            <w:pPr>
              <w:spacing w:after="0"/>
              <w:rPr>
                <w:sz w:val="15"/>
                <w:szCs w:val="15"/>
                <w:color w:val="auto"/>
              </w:rPr>
            </w:pPr>
          </w:p>
        </w:tc>
        <w:tc>
          <w:tcPr>
            <w:tcW w:w="420" w:type="dxa"/>
            <w:vAlign w:val="bottom"/>
            <w:tcBorders>
              <w:bottom w:val="single" w:sz="8" w:color="auto"/>
            </w:tcBorders>
          </w:tcPr>
          <w:p>
            <w:pPr>
              <w:jc w:val="right"/>
              <w:ind w:right="23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ind w:right="131"/>
              <w:spacing w:after="0" w:line="176" w:lineRule="exact"/>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2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auto"/>
              </w:rPr>
              <w:t>Dividends and Payout Ratios</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0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8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Regular common dividends declared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87,694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83,212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256,867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248,000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Dividend payout ratio as a percentage of FFO</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2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auto"/>
              </w:rPr>
              <w:t>Summary of Capital Expenditures</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8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Non-maintenance capital expenditures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2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Development, redevelopment and expansions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70,916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81,262</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215,987</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283,139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82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Tenant improvements and incentives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18,521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8,780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55,147</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35,632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Total non-maintenance capital expenditures</w:t>
            </w:r>
          </w:p>
        </w:tc>
        <w:tc>
          <w:tcPr>
            <w:tcW w:w="280" w:type="dxa"/>
            <w:vAlign w:val="bottom"/>
          </w:tcPr>
          <w:p>
            <w:pPr>
              <w:spacing w:after="0"/>
              <w:rPr>
                <w:sz w:val="19"/>
                <w:szCs w:val="19"/>
                <w:color w:val="auto"/>
              </w:rPr>
            </w:pP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89,437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90,042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271,134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318,771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82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10,061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1,523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23,929</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10,735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99,498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91,565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295,063</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329,506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2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auto"/>
              </w:rPr>
              <w:t>Noncontrolling Interests Supplemental Information (4)</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8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operating income (1)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4,017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4,728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13,592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10,462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(1,919)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(2,599)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(6,532)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(5,555)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8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(453)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(1,398)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1,931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1,676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6,060</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3,509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59"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Glossary of Terms.</w:t>
      </w:r>
    </w:p>
    <w:p>
      <w:pPr>
        <w:spacing w:after="0" w:line="64" w:lineRule="exact"/>
        <w:rPr>
          <w:rFonts w:ascii="Times New Roman" w:cs="Times New Roman" w:eastAsia="Times New Roman" w:hAnsi="Times New Roman"/>
          <w:sz w:val="16"/>
          <w:szCs w:val="16"/>
          <w:color w:val="auto"/>
        </w:rPr>
      </w:pPr>
    </w:p>
    <w:p>
      <w:pPr>
        <w:ind w:left="660" w:right="180" w:hanging="652"/>
        <w:spacing w:after="0" w:line="269" w:lineRule="auto"/>
        <w:tabs>
          <w:tab w:leader="none" w:pos="65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 xml:space="preserve">For the three and nine months ended </w:t>
      </w:r>
      <w:r>
        <w:rPr>
          <w:rFonts w:ascii="Times New Roman" w:cs="Times New Roman" w:eastAsia="Times New Roman" w:hAnsi="Times New Roman"/>
          <w:sz w:val="17"/>
          <w:szCs w:val="17"/>
          <w:color w:val="auto"/>
        </w:rPr>
        <w:t>September 30, 2022</w:t>
      </w:r>
      <w:r>
        <w:rPr>
          <w:rFonts w:ascii="Times New Roman" w:cs="Times New Roman" w:eastAsia="Times New Roman" w:hAnsi="Times New Roman"/>
          <w:sz w:val="16"/>
          <w:szCs w:val="16"/>
          <w:color w:val="auto"/>
        </w:rPr>
        <w:t xml:space="preserve"> and the three months ended September 30, 2021, dividends on our Series 1 preferred stock were not deducted in the calculation of FFO available to common shareholders, as the related shares were dilutive and are included in "weighted average common shares, diluted."</w:t>
      </w:r>
    </w:p>
    <w:p>
      <w:pPr>
        <w:spacing w:after="0" w:line="24" w:lineRule="exact"/>
        <w:rPr>
          <w:rFonts w:ascii="Times New Roman" w:cs="Times New Roman" w:eastAsia="Times New Roman" w:hAnsi="Times New Roman"/>
          <w:sz w:val="17"/>
          <w:szCs w:val="17"/>
          <w:color w:val="auto"/>
        </w:rPr>
      </w:pPr>
    </w:p>
    <w:p>
      <w:pPr>
        <w:ind w:left="660" w:right="60" w:hanging="652"/>
        <w:spacing w:after="0" w:line="264" w:lineRule="auto"/>
        <w:tabs>
          <w:tab w:leader="none" w:pos="65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The weighted average common shares used to compute FFO per diluted common share for all periods presented includes downREIT operating partnership units that were excluded from the computation of diluted EPS for the three and nine months ended September 30, 2021. Conversion of these operating partnership units is dilutive in the computation of FFO per diluted share for all periods presented but is anti-dilutive for the computation of dilutive EPS for the three and nine months ended September 30, 2021.</w:t>
      </w:r>
    </w:p>
    <w:p>
      <w:pPr>
        <w:spacing w:after="0" w:line="14" w:lineRule="exact"/>
        <w:rPr>
          <w:rFonts w:ascii="Times New Roman" w:cs="Times New Roman" w:eastAsia="Times New Roman" w:hAnsi="Times New Roman"/>
          <w:sz w:val="17"/>
          <w:szCs w:val="17"/>
          <w:color w:val="auto"/>
        </w:rPr>
      </w:pPr>
    </w:p>
    <w:p>
      <w:pPr>
        <w:ind w:left="660" w:right="280" w:hanging="652"/>
        <w:spacing w:after="0" w:line="280" w:lineRule="auto"/>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reflect the components of "net income attributable to noncontrolling interests," but excludes "income attributable to downREIT operating partnership units."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143" w:right="339" w:bottom="1440" w:gutter="0" w:footer="0" w:header="0"/>
        </w:sectPr>
      </w:pPr>
    </w:p>
    <w:bookmarkStart w:id="13" w:name="page14"/>
    <w:bookmarkEnd w:id="13"/>
    <w:p>
      <w:pPr>
        <w:ind w:left="2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Components of Rental Income and Other Information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Components of Rental Income (1)</w:t>
            </w:r>
          </w:p>
        </w:tc>
        <w:tc>
          <w:tcPr>
            <w:tcW w:w="300" w:type="dxa"/>
            <w:vAlign w:val="bottom"/>
          </w:tcPr>
          <w:p>
            <w:pPr>
              <w:spacing w:after="0"/>
              <w:rPr>
                <w:sz w:val="19"/>
                <w:szCs w:val="19"/>
                <w:color w:val="auto"/>
              </w:rPr>
            </w:pPr>
          </w:p>
        </w:tc>
        <w:tc>
          <w:tcPr>
            <w:tcW w:w="23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9"/>
                <w:szCs w:val="19"/>
                <w:color w:val="auto"/>
              </w:rPr>
            </w:pPr>
          </w:p>
        </w:tc>
        <w:tc>
          <w:tcPr>
            <w:tcW w:w="2100" w:type="dxa"/>
            <w:vAlign w:val="bottom"/>
            <w:gridSpan w:val="4"/>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6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6"/>
                <w:szCs w:val="16"/>
                <w:color w:val="auto"/>
              </w:rPr>
            </w:pPr>
          </w:p>
        </w:tc>
      </w:tr>
      <w:tr>
        <w:trPr>
          <w:trHeight w:val="23"/>
        </w:trPr>
        <w:tc>
          <w:tcPr>
            <w:tcW w:w="6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0"/>
        </w:trPr>
        <w:tc>
          <w:tcPr>
            <w:tcW w:w="6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0"/>
        </w:trPr>
        <w:tc>
          <w:tcPr>
            <w:tcW w:w="6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34"/>
        </w:trPr>
        <w:tc>
          <w:tcPr>
            <w:tcW w:w="6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Minimum rents (2)</w:t>
            </w: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37"/>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Commercial</w:t>
            </w:r>
          </w:p>
        </w:tc>
        <w:tc>
          <w:tcPr>
            <w:tcW w:w="3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179,224</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169,495</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519,771</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486,796</w:t>
            </w:r>
          </w:p>
        </w:tc>
      </w:tr>
      <w:tr>
        <w:trPr>
          <w:trHeight w:val="226"/>
        </w:trPr>
        <w:tc>
          <w:tcPr>
            <w:tcW w:w="61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Residential</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25,541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21,210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72,751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59,911</w:t>
            </w:r>
          </w:p>
        </w:tc>
      </w:tr>
      <w:tr>
        <w:trPr>
          <w:trHeight w:val="23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reimbursements</w:t>
            </w: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50,223</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43,262</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146,992</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131,510</w:t>
            </w:r>
          </w:p>
        </w:tc>
      </w:tr>
      <w:tr>
        <w:trPr>
          <w:trHeight w:val="226"/>
        </w:trPr>
        <w:tc>
          <w:tcPr>
            <w:tcW w:w="6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Percentage rents</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12,647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5,541</w:t>
            </w:r>
          </w:p>
        </w:tc>
      </w:tr>
      <w:tr>
        <w:trPr>
          <w:trHeight w:val="23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(3)</w:t>
            </w: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12,138</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10,714</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38,737</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32,286</w:t>
            </w:r>
          </w:p>
        </w:tc>
      </w:tr>
      <w:tr>
        <w:trPr>
          <w:trHeight w:val="226"/>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Collectibility related impact (4)</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2,618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(21,090)</w:t>
            </w:r>
          </w:p>
        </w:tc>
      </w:tr>
      <w:tr>
        <w:trPr>
          <w:trHeight w:val="252"/>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rental income</w:t>
            </w:r>
          </w:p>
        </w:tc>
        <w:tc>
          <w:tcPr>
            <w:tcW w:w="30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273,179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247,024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793,516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694,954</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Notes:</w:t>
      </w:r>
    </w:p>
    <w:p>
      <w:pPr>
        <w:spacing w:after="0" w:line="75" w:lineRule="exact"/>
        <w:rPr>
          <w:sz w:val="20"/>
          <w:szCs w:val="20"/>
          <w:color w:val="auto"/>
        </w:rPr>
      </w:pPr>
    </w:p>
    <w:p>
      <w:pPr>
        <w:ind w:left="660" w:right="260" w:hanging="652"/>
        <w:spacing w:after="0" w:line="265" w:lineRule="auto"/>
        <w:tabs>
          <w:tab w:leader="none" w:pos="654"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income from tenant leases is reported as a single line item called "rental income." We have provided the above supplemental information with a breakout of the contractual components of the rental income line, however, these breakouts are provided for informational purposes only and should be considered a non-GAAP presentation.</w:t>
      </w:r>
    </w:p>
    <w:p>
      <w:pPr>
        <w:spacing w:after="0" w:line="13" w:lineRule="exact"/>
        <w:rPr>
          <w:rFonts w:ascii="Times New Roman" w:cs="Times New Roman" w:eastAsia="Times New Roman" w:hAnsi="Times New Roman"/>
          <w:sz w:val="17"/>
          <w:szCs w:val="17"/>
          <w:color w:val="auto"/>
        </w:rPr>
      </w:pPr>
    </w:p>
    <w:p>
      <w:pPr>
        <w:ind w:left="640" w:hanging="632"/>
        <w:spacing w:after="0"/>
        <w:tabs>
          <w:tab w:leader="none" w:pos="6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Minimum rents include the following:</w:t>
      </w:r>
    </w:p>
    <w:p>
      <w:pPr>
        <w:spacing w:after="0" w:line="45" w:lineRule="exact"/>
        <w:rPr>
          <w:sz w:val="20"/>
          <w:szCs w:val="20"/>
          <w:color w:val="auto"/>
        </w:rPr>
      </w:pPr>
    </w:p>
    <w:tbl>
      <w:tblPr>
        <w:tblLayout w:type="fixed"/>
        <w:tblInd w:w="72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2120" w:type="dxa"/>
            <w:vAlign w:val="bottom"/>
            <w:gridSpan w:val="3"/>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3"/>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20" w:type="dxa"/>
            <w:vAlign w:val="bottom"/>
          </w:tcPr>
          <w:p>
            <w:pPr>
              <w:spacing w:after="0"/>
              <w:rPr>
                <w:sz w:val="16"/>
                <w:szCs w:val="16"/>
                <w:color w:val="auto"/>
              </w:rPr>
            </w:pPr>
          </w:p>
        </w:tc>
      </w:tr>
      <w:tr>
        <w:trPr>
          <w:trHeight w:val="202"/>
        </w:trPr>
        <w:tc>
          <w:tcPr>
            <w:tcW w:w="5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40" w:type="dxa"/>
            <w:vAlign w:val="bottom"/>
            <w:gridSpan w:val="2"/>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20" w:type="dxa"/>
            <w:vAlign w:val="bottom"/>
            <w:gridSpan w:val="2"/>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Pr>
          <w:p>
            <w:pPr>
              <w:spacing w:after="0"/>
              <w:rPr>
                <w:sz w:val="17"/>
                <w:szCs w:val="17"/>
                <w:color w:val="auto"/>
              </w:rPr>
            </w:pPr>
          </w:p>
        </w:tc>
      </w:tr>
      <w:tr>
        <w:trPr>
          <w:trHeight w:val="23"/>
        </w:trPr>
        <w:tc>
          <w:tcPr>
            <w:tcW w:w="53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190"/>
        </w:trPr>
        <w:tc>
          <w:tcPr>
            <w:tcW w:w="538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r>
      <w:tr>
        <w:trPr>
          <w:trHeight w:val="190"/>
        </w:trPr>
        <w:tc>
          <w:tcPr>
            <w:tcW w:w="5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gridSpan w:val="3"/>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88"/>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Straight-line rents</w:t>
            </w:r>
          </w:p>
        </w:tc>
        <w:tc>
          <w:tcPr>
            <w:tcW w:w="780" w:type="dxa"/>
            <w:vAlign w:val="bottom"/>
          </w:tcPr>
          <w:p>
            <w:pPr>
              <w:jc w:val="right"/>
              <w:ind w:right="601"/>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4.6</w:t>
            </w:r>
          </w:p>
        </w:tc>
        <w:tc>
          <w:tcPr>
            <w:tcW w:w="900" w:type="dxa"/>
            <w:vAlign w:val="bottom"/>
          </w:tcPr>
          <w:p>
            <w:pPr>
              <w:jc w:val="right"/>
              <w:ind w:right="639"/>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tcPr>
          <w:p>
            <w:pPr>
              <w:spacing w:after="0"/>
              <w:rPr>
                <w:sz w:val="24"/>
                <w:szCs w:val="24"/>
                <w:color w:val="auto"/>
              </w:rPr>
            </w:pPr>
          </w:p>
        </w:tc>
        <w:tc>
          <w:tcPr>
            <w:tcW w:w="780" w:type="dxa"/>
            <w:vAlign w:val="bottom"/>
          </w:tcPr>
          <w:p>
            <w:pPr>
              <w:jc w:val="right"/>
              <w:ind w:right="601"/>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14.4</w:t>
            </w:r>
          </w:p>
        </w:tc>
        <w:tc>
          <w:tcPr>
            <w:tcW w:w="860" w:type="dxa"/>
            <w:vAlign w:val="bottom"/>
          </w:tcPr>
          <w:p>
            <w:pPr>
              <w:jc w:val="right"/>
              <w:ind w:right="599"/>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r>
      <w:tr>
        <w:trPr>
          <w:trHeight w:val="237"/>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of in-place leases</w:t>
            </w:r>
          </w:p>
        </w:tc>
        <w:tc>
          <w:tcPr>
            <w:tcW w:w="780" w:type="dxa"/>
            <w:vAlign w:val="bottom"/>
            <w:shd w:val="clear" w:color="auto" w:fill="CCEEFF"/>
          </w:tcPr>
          <w:p>
            <w:pPr>
              <w:jc w:val="right"/>
              <w:ind w:right="601"/>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2.7</w:t>
            </w:r>
          </w:p>
        </w:tc>
        <w:tc>
          <w:tcPr>
            <w:tcW w:w="90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601"/>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8.1</w:t>
            </w:r>
          </w:p>
        </w:tc>
        <w:tc>
          <w:tcPr>
            <w:tcW w:w="86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r>
    </w:tbl>
    <w:p>
      <w:pPr>
        <w:spacing w:after="0" w:line="127" w:lineRule="exact"/>
        <w:rPr>
          <w:sz w:val="20"/>
          <w:szCs w:val="20"/>
          <w:color w:val="auto"/>
        </w:rPr>
      </w:pPr>
    </w:p>
    <w:p>
      <w:pPr>
        <w:ind w:left="660" w:right="60" w:hanging="652"/>
        <w:spacing w:after="0" w:line="264" w:lineRule="auto"/>
        <w:tabs>
          <w:tab w:leader="none" w:pos="65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nine months ended September 30, 2021, other rental income includes a $2.8 million net lease termination fee related to a tenant who vacated early in Q2 2021; the $2.8 million is net of the write-off of $8.8 million of a straight-line rent receivable.</w:t>
      </w:r>
    </w:p>
    <w:p>
      <w:pPr>
        <w:spacing w:after="0" w:line="1" w:lineRule="exact"/>
        <w:rPr>
          <w:rFonts w:ascii="Times New Roman" w:cs="Times New Roman" w:eastAsia="Times New Roman" w:hAnsi="Times New Roman"/>
          <w:sz w:val="17"/>
          <w:szCs w:val="17"/>
          <w:color w:val="auto"/>
        </w:rPr>
      </w:pPr>
    </w:p>
    <w:p>
      <w:pPr>
        <w:ind w:left="660" w:right="260" w:hanging="652"/>
        <w:spacing w:after="0" w:line="248" w:lineRule="auto"/>
        <w:tabs>
          <w:tab w:leader="none" w:pos="65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three and nine months ended September 30, 2022, our collectability related impact includes the collection of approximately $2 million and $7 million, respectively, of prior period rents which were contractually deferred or payment re-negotiated specifically related to the COVID-19 pandemic, and is partially offset by approximately $1 million and $4 million related to the abatement of contractual rents due to COVID-19 for the three and nine months ended September 30, 2022, respectively, and cash basis tenants who did not make full contractual rent payments.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Information on Cash Basis Tenants (5)</w:t>
            </w:r>
          </w:p>
        </w:tc>
        <w:tc>
          <w:tcPr>
            <w:tcW w:w="3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As of September 30, 2022</w:t>
            </w:r>
          </w:p>
        </w:tc>
        <w:tc>
          <w:tcPr>
            <w:tcW w:w="0" w:type="dxa"/>
            <w:vAlign w:val="bottom"/>
          </w:tcPr>
          <w:p>
            <w:pPr>
              <w:spacing w:after="0"/>
              <w:rPr>
                <w:sz w:val="1"/>
                <w:szCs w:val="1"/>
                <w:color w:val="auto"/>
              </w:rPr>
            </w:pPr>
          </w:p>
        </w:tc>
      </w:tr>
      <w:tr>
        <w:trPr>
          <w:trHeight w:val="135"/>
        </w:trPr>
        <w:tc>
          <w:tcPr>
            <w:tcW w:w="7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 Recognized on a Cash</w:t>
            </w:r>
          </w:p>
        </w:tc>
        <w:tc>
          <w:tcPr>
            <w:tcW w:w="0" w:type="dxa"/>
            <w:vAlign w:val="bottom"/>
          </w:tcPr>
          <w:p>
            <w:pPr>
              <w:spacing w:after="0"/>
              <w:rPr>
                <w:sz w:val="1"/>
                <w:szCs w:val="1"/>
                <w:color w:val="auto"/>
              </w:rPr>
            </w:pPr>
          </w:p>
        </w:tc>
      </w:tr>
      <w:tr>
        <w:trPr>
          <w:trHeight w:val="196"/>
        </w:trPr>
        <w:tc>
          <w:tcPr>
            <w:tcW w:w="7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Basis</w:t>
            </w:r>
          </w:p>
        </w:tc>
        <w:tc>
          <w:tcPr>
            <w:tcW w:w="0" w:type="dxa"/>
            <w:vAlign w:val="bottom"/>
          </w:tcPr>
          <w:p>
            <w:pPr>
              <w:spacing w:after="0"/>
              <w:rPr>
                <w:sz w:val="1"/>
                <w:szCs w:val="1"/>
                <w:color w:val="auto"/>
              </w:rPr>
            </w:pPr>
          </w:p>
        </w:tc>
      </w:tr>
      <w:tr>
        <w:trPr>
          <w:trHeight w:val="229"/>
        </w:trPr>
        <w:tc>
          <w:tcPr>
            <w:tcW w:w="7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Active commercial tenant leases</w:t>
            </w:r>
          </w:p>
        </w:tc>
        <w:tc>
          <w:tcPr>
            <w:tcW w:w="3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3,237</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22"/>
        </w:trPr>
        <w:tc>
          <w:tcPr>
            <w:tcW w:w="7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Annualized base rent from commercial tenants (in millions) (6)</w:t>
            </w:r>
          </w:p>
        </w:tc>
        <w:tc>
          <w:tcPr>
            <w:tcW w:w="38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719</w:t>
            </w:r>
          </w:p>
        </w:tc>
        <w:tc>
          <w:tcPr>
            <w:tcW w:w="10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bl>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Notes:</w:t>
      </w:r>
    </w:p>
    <w:p>
      <w:pPr>
        <w:spacing w:after="0" w:line="48" w:lineRule="exact"/>
        <w:rPr>
          <w:sz w:val="20"/>
          <w:szCs w:val="20"/>
          <w:color w:val="auto"/>
        </w:rPr>
      </w:pPr>
    </w:p>
    <w:p>
      <w:pPr>
        <w:ind w:left="660" w:right="180" w:hanging="652"/>
        <w:spacing w:after="0" w:line="273" w:lineRule="auto"/>
        <w:tabs>
          <w:tab w:leader="none" w:pos="65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Tenants are recognized on a cash basis of accounting when we determine collection of substantially all lease payments during the lease term is not considered probable; revenue is then limited to the lesser of revenue recognized under accrual accounting or cash received. Our full revenue recognition policy with respect to leases can be found in Note 2 of our December 31, 2021 Annual Report on Form 10-K.</w:t>
      </w:r>
    </w:p>
    <w:p>
      <w:pPr>
        <w:spacing w:after="0" w:line="7" w:lineRule="exact"/>
        <w:rPr>
          <w:rFonts w:ascii="Times New Roman" w:cs="Times New Roman" w:eastAsia="Times New Roman" w:hAnsi="Times New Roman"/>
          <w:sz w:val="17"/>
          <w:szCs w:val="17"/>
          <w:color w:val="auto"/>
        </w:rPr>
      </w:pPr>
    </w:p>
    <w:p>
      <w:pPr>
        <w:ind w:left="640" w:hanging="632"/>
        <w:spacing w:after="0"/>
        <w:tabs>
          <w:tab w:leader="none" w:pos="6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 Glossary of Terms. Includes our 77.7% pro-rata share of Escondido Promenade</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6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COVID-19 Related Rent Deferrals</w:t>
            </w:r>
          </w:p>
        </w:tc>
        <w:tc>
          <w:tcPr>
            <w:tcW w:w="26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9"/>
        </w:trPr>
        <w:tc>
          <w:tcPr>
            <w:tcW w:w="76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Cumulative contractual rent deferred (in millions) (7)</w:t>
            </w:r>
          </w:p>
        </w:tc>
        <w:tc>
          <w:tcPr>
            <w:tcW w:w="260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22"/>
        </w:trPr>
        <w:tc>
          <w:tcPr>
            <w:tcW w:w="7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Cumulative deferral payments collected through September 30, 2022 (in millions) (8)</w:t>
            </w:r>
          </w:p>
        </w:tc>
        <w:tc>
          <w:tcPr>
            <w:tcW w:w="2600" w:type="dxa"/>
            <w:vAlign w:val="bottom"/>
          </w:tcPr>
          <w:p>
            <w:pPr>
              <w:jc w:val="right"/>
              <w:ind w:right="63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Notes:</w:t>
      </w:r>
    </w:p>
    <w:p>
      <w:pPr>
        <w:spacing w:after="0" w:line="61" w:lineRule="exact"/>
        <w:rPr>
          <w:sz w:val="20"/>
          <w:szCs w:val="20"/>
          <w:color w:val="auto"/>
        </w:rPr>
      </w:pPr>
    </w:p>
    <w:p>
      <w:pPr>
        <w:ind w:left="660" w:right="180" w:hanging="652"/>
        <w:spacing w:after="0" w:line="281" w:lineRule="auto"/>
        <w:tabs>
          <w:tab w:leader="none" w:pos="654"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contractual rent for April 2020 through September 2022 that has been deferred pursuant to modification agreements signed through September 30, 2022. Accrual basis tenants comprise approximately 50% of this cumulative deferred rent for executed agreements in place as of September 30, 2022.</w:t>
      </w:r>
    </w:p>
    <w:p>
      <w:pPr>
        <w:spacing w:after="0" w:line="1" w:lineRule="exact"/>
        <w:rPr>
          <w:rFonts w:ascii="Times New Roman" w:cs="Times New Roman" w:eastAsia="Times New Roman" w:hAnsi="Times New Roman"/>
          <w:sz w:val="17"/>
          <w:szCs w:val="17"/>
          <w:color w:val="auto"/>
        </w:rPr>
      </w:pPr>
    </w:p>
    <w:p>
      <w:pPr>
        <w:ind w:left="640" w:hanging="632"/>
        <w:spacing w:after="0"/>
        <w:tabs>
          <w:tab w:leader="none" w:pos="6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Deferral payments collected to date represent approximately 90% of the amounts agreed to be repaid by September 30, 2022.</w:t>
      </w:r>
    </w:p>
    <w:p>
      <w:pPr>
        <w:sectPr>
          <w:pgSz w:w="11900" w:h="16838" w:orient="portrait"/>
          <w:cols w:equalWidth="0" w:num="1">
            <w:col w:w="11240"/>
          </w:cols>
          <w:pgMar w:left="320" w:top="1022" w:right="33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022" w:right="339" w:bottom="1440" w:gutter="0" w:footer="0" w:header="0"/>
          <w:type w:val="continuous"/>
        </w:sectPr>
      </w:pPr>
    </w:p>
    <w:bookmarkStart w:id="14" w:name="page15"/>
    <w:bookmarkEnd w:id="14"/>
    <w:p>
      <w:pPr>
        <w:ind w:left="4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Comparable Property Information</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76" w:lineRule="exact"/>
        <w:rPr>
          <w:sz w:val="20"/>
          <w:szCs w:val="20"/>
          <w:color w:val="auto"/>
        </w:rPr>
      </w:pPr>
    </w:p>
    <w:p>
      <w:pPr>
        <w:ind w:left="40" w:right="40"/>
        <w:spacing w:after="0" w:line="221" w:lineRule="auto"/>
        <w:rPr>
          <w:sz w:val="20"/>
          <w:szCs w:val="20"/>
          <w:color w:val="auto"/>
        </w:rPr>
      </w:pPr>
      <w:r>
        <w:rPr>
          <w:rFonts w:ascii="Times New Roman" w:cs="Times New Roman" w:eastAsia="Times New Roman" w:hAnsi="Times New Roman"/>
          <w:sz w:val="16"/>
          <w:szCs w:val="16"/>
          <w:color w:val="auto"/>
        </w:rPr>
        <w:t>The following information is being provided for “Comparable Properties.” Comparable Properties represents our consolidated property portfolio other than those properties that distort comparability between periods in two primary categories: (1) assets that were not owned for the full quarter in both periods presented and (2) assets currently under development or being repositioned for significant redevelopment and investment. The assets excluded from Comparable Properties in Q3 include: Assembly Row Phase 3, CocoWalk, Darien Commons, Pike &amp; Rose Phase 3, Huntington Shopping Center, Willow Grove Shopping Center, and all properties acquired, disposed of, or deconsolidated from Q3 2021 to Q3 2022. Comparable Property property operating income ("Comparable Property POI") is a non-GAAP measure used by management in evaluating the operating performance of our properties period over period.</w:t>
      </w: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Reconciliation of GAAP operating income to Comparable Property POI</w:t>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60" w:type="dxa"/>
            <w:vAlign w:val="bottom"/>
            <w:gridSpan w:val="4"/>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gridSpan w:val="3"/>
          </w:tcPr>
          <w:p>
            <w:pPr>
              <w:jc w:val="center"/>
              <w:ind w:left="4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gridSpan w:val="3"/>
          </w:tcPr>
          <w:p>
            <w:pPr>
              <w:jc w:val="center"/>
              <w:ind w:left="4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income</w:t>
            </w: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191,727</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85,573</w:t>
            </w: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77,109</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70,611</w:t>
            </w: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00" w:type="dxa"/>
            <w:vAlign w:val="bottom"/>
          </w:tcPr>
          <w:p>
            <w:pPr>
              <w:spacing w:after="0"/>
              <w:rPr>
                <w:sz w:val="19"/>
                <w:szCs w:val="19"/>
                <w:color w:val="auto"/>
              </w:rPr>
            </w:pPr>
          </w:p>
        </w:tc>
        <w:tc>
          <w:tcPr>
            <w:tcW w:w="960" w:type="dxa"/>
            <w:vAlign w:val="bottom"/>
          </w:tcPr>
          <w:p>
            <w:pPr>
              <w:jc w:val="right"/>
              <w:ind w:right="120"/>
              <w:spacing w:after="0"/>
              <w:rPr>
                <w:sz w:val="20"/>
                <w:szCs w:val="20"/>
                <w:color w:val="auto"/>
              </w:rPr>
            </w:pPr>
            <w:r>
              <w:rPr>
                <w:rFonts w:ascii="Times New Roman" w:cs="Times New Roman" w:eastAsia="Times New Roman" w:hAnsi="Times New Roman"/>
                <w:sz w:val="17"/>
                <w:szCs w:val="17"/>
                <w:color w:val="auto"/>
              </w:rPr>
              <w:t>13,100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rPr>
              <w:t>12,253</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on deconsolidation of VIE</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(70,374)</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Gain on sale of real estate and change in control of interest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8"/>
                <w:szCs w:val="18"/>
                <w:color w:val="auto"/>
              </w:rPr>
              <w:t>(29,723)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operating income (POI)</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181,839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168,437</w:t>
            </w: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Non-comparable POI - acquisitions/dispositions</w:t>
            </w:r>
          </w:p>
        </w:tc>
        <w:tc>
          <w:tcPr>
            <w:tcW w:w="300" w:type="dxa"/>
            <w:vAlign w:val="bottom"/>
          </w:tcPr>
          <w:p>
            <w:pPr>
              <w:spacing w:after="0"/>
              <w:rPr>
                <w:sz w:val="19"/>
                <w:szCs w:val="19"/>
                <w:color w:val="auto"/>
              </w:rPr>
            </w:pP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7"/>
                <w:szCs w:val="17"/>
                <w:color w:val="auto"/>
              </w:rPr>
              <w:t>(6,152)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rPr>
              <w:t>(3,307)</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Non-comparable POI - redevelopment, development &amp; other</w:t>
            </w:r>
          </w:p>
        </w:tc>
        <w:tc>
          <w:tcPr>
            <w:tcW w:w="3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(11,740)</w:t>
            </w:r>
          </w:p>
        </w:tc>
        <w:tc>
          <w:tcPr>
            <w:tcW w:w="10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rPr>
              <w:t>(7,074)</w:t>
            </w: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Comparable property POI</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ind w:right="120"/>
              <w:spacing w:after="0"/>
              <w:rPr>
                <w:sz w:val="20"/>
                <w:szCs w:val="20"/>
                <w:color w:val="auto"/>
              </w:rPr>
            </w:pPr>
            <w:r>
              <w:rPr>
                <w:rFonts w:ascii="Times New Roman" w:cs="Times New Roman" w:eastAsia="Times New Roman" w:hAnsi="Times New Roman"/>
                <w:sz w:val="17"/>
                <w:szCs w:val="17"/>
                <w:color w:val="auto"/>
              </w:rPr>
              <w:t>163,947</w:t>
            </w:r>
          </w:p>
        </w:tc>
        <w:tc>
          <w:tcPr>
            <w:tcW w:w="100" w:type="dxa"/>
            <w:vAlign w:val="bottom"/>
          </w:tcPr>
          <w:p>
            <w:pPr>
              <w:spacing w:after="0"/>
              <w:rPr>
                <w:sz w:val="18"/>
                <w:szCs w:val="18"/>
                <w:color w:val="auto"/>
              </w:rPr>
            </w:pPr>
          </w:p>
        </w:tc>
        <w:tc>
          <w:tcPr>
            <w:tcW w:w="50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rPr>
              <w:t>158,056</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734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Additional information regarding the components of Comparable Property POI</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60" w:type="dxa"/>
            <w:vAlign w:val="bottom"/>
            <w:gridSpan w:val="4"/>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gridSpan w:val="3"/>
          </w:tcPr>
          <w:p>
            <w:pPr>
              <w:jc w:val="center"/>
              <w:ind w:left="4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0" w:type="dxa"/>
            <w:vAlign w:val="bottom"/>
            <w:vMerge w:val="restart"/>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7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gridSpan w:val="3"/>
          </w:tcPr>
          <w:p>
            <w:pPr>
              <w:jc w:val="center"/>
              <w:ind w:left="4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Rental income</w:t>
            </w: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242,058</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229,398</w:t>
            </w: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7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Rental expenses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(48,916)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rPr>
              <w:t>(43,906)</w:t>
            </w: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Real estate taxes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7"/>
                <w:szCs w:val="17"/>
                <w:color w:val="auto"/>
              </w:rPr>
              <w:t>(29,195)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rPr>
              <w:t>(27,436)</w:t>
            </w:r>
          </w:p>
        </w:tc>
        <w:tc>
          <w:tcPr>
            <w:tcW w:w="1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(78,111)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rPr>
              <w:t>(71,342)</w:t>
            </w: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7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Comparable property POI</w:t>
            </w: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163,947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158,056</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3.7 %</w:t>
            </w:r>
          </w:p>
        </w:tc>
        <w:tc>
          <w:tcPr>
            <w:tcW w:w="0" w:type="dxa"/>
            <w:vAlign w:val="bottom"/>
          </w:tcPr>
          <w:p>
            <w:pPr>
              <w:spacing w:after="0"/>
              <w:rPr>
                <w:sz w:val="1"/>
                <w:szCs w:val="1"/>
                <w:color w:val="auto"/>
              </w:rPr>
            </w:pPr>
          </w:p>
        </w:tc>
      </w:tr>
      <w:tr>
        <w:trPr>
          <w:trHeight w:val="430"/>
        </w:trPr>
        <w:tc>
          <w:tcPr>
            <w:tcW w:w="734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Comparable Property - Summary of Capital Expenditures (1)</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60" w:type="dxa"/>
            <w:vAlign w:val="bottom"/>
            <w:gridSpan w:val="4"/>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gridSpan w:val="3"/>
          </w:tcPr>
          <w:p>
            <w:pPr>
              <w:jc w:val="center"/>
              <w:ind w:left="4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gridSpan w:val="3"/>
          </w:tcPr>
          <w:p>
            <w:pPr>
              <w:jc w:val="center"/>
              <w:ind w:left="4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Redevelopment and tenant improvements and incentives</w:t>
            </w: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37,935</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30,876</w:t>
            </w: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Maintenance capital expenditures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7"/>
                <w:szCs w:val="17"/>
                <w:color w:val="auto"/>
              </w:rPr>
              <w:t>9,886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rPr>
              <w:t>1,141</w:t>
            </w:r>
          </w:p>
        </w:tc>
        <w:tc>
          <w:tcPr>
            <w:tcW w:w="1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3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47,821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32,017</w:t>
            </w: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734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Comparable Property - Occupancy Statistics (2)</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3"/>
          </w:tcPr>
          <w:p>
            <w:pPr>
              <w:jc w:val="center"/>
              <w:ind w:left="420"/>
              <w:spacing w:after="0"/>
              <w:rPr>
                <w:sz w:val="20"/>
                <w:szCs w:val="20"/>
                <w:color w:val="auto"/>
              </w:rPr>
            </w:pPr>
            <w:r>
              <w:rPr>
                <w:rFonts w:ascii="Times New Roman" w:cs="Times New Roman" w:eastAsia="Times New Roman" w:hAnsi="Times New Roman"/>
                <w:sz w:val="14"/>
                <w:szCs w:val="14"/>
                <w:b w:val="1"/>
                <w:bCs w:val="1"/>
                <w:color w:val="auto"/>
              </w:rPr>
              <w:t>At September 30,</w:t>
            </w:r>
          </w:p>
        </w:tc>
        <w:tc>
          <w:tcPr>
            <w:tcW w:w="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GLA - comparable commercial properties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w w:val="99"/>
              </w:rPr>
              <w:t>23,413,000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23,450,000</w:t>
            </w: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Leased % - comparable commercial properties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94.2 %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93.1 %</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Occupancy % - comparable commercial properties</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92.0 %</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90.7 %</w:t>
            </w: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10"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page 10 for "Summary of Capital Expenditures" for our entire portfolio.</w:t>
      </w:r>
    </w:p>
    <w:p>
      <w:pPr>
        <w:spacing w:after="0" w:line="5"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page 27 for entire portfolio occupancy statistics.</w:t>
      </w:r>
    </w:p>
    <w:p>
      <w:pPr>
        <w:sectPr>
          <w:pgSz w:w="11900" w:h="16838" w:orient="portrait"/>
          <w:cols w:equalWidth="0" w:num="1">
            <w:col w:w="11220"/>
          </w:cols>
          <w:pgMar w:left="320" w:top="927" w:right="35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20"/>
          </w:cols>
          <w:pgMar w:left="320" w:top="927" w:right="359" w:bottom="1440" w:gutter="0" w:footer="0" w:header="0"/>
          <w:type w:val="continuous"/>
        </w:sectPr>
      </w:pPr>
    </w:p>
    <w:bookmarkStart w:id="15" w:name="page16"/>
    <w:bookmarkEnd w:id="15"/>
    <w:p>
      <w:pPr>
        <w:ind w:left="2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Market Data</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20" w:type="dxa"/>
            <w:vAlign w:val="bottom"/>
            <w:tcBorders>
              <w:bottom w:val="single" w:sz="8" w:color="auto"/>
            </w:tcBorders>
          </w:tcPr>
          <w:p>
            <w:pPr>
              <w:spacing w:after="0"/>
              <w:rPr>
                <w:sz w:val="17"/>
                <w:szCs w:val="17"/>
                <w:color w:val="auto"/>
              </w:rPr>
            </w:pPr>
          </w:p>
        </w:tc>
      </w:tr>
      <w:tr>
        <w:trPr>
          <w:trHeight w:val="196"/>
        </w:trPr>
        <w:tc>
          <w:tcPr>
            <w:tcW w:w="79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7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60" w:type="dxa"/>
            <w:vAlign w:val="bottom"/>
            <w:gridSpan w:val="4"/>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r>
      <w:tr>
        <w:trPr>
          <w:trHeight w:val="23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Data</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9"/>
        </w:trPr>
        <w:tc>
          <w:tcPr>
            <w:tcW w:w="7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shares outstanding and downREIT operating partnership units (1)</w:t>
            </w:r>
          </w:p>
        </w:tc>
        <w:tc>
          <w:tcPr>
            <w:tcW w:w="30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81,857</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78,469</w:t>
            </w:r>
          </w:p>
        </w:tc>
      </w:tr>
      <w:tr>
        <w:trPr>
          <w:trHeight w:val="229"/>
        </w:trPr>
        <w:tc>
          <w:tcPr>
            <w:tcW w:w="7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Market price per common share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90.12</w:t>
            </w: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117.99</w:t>
            </w:r>
          </w:p>
        </w:tc>
      </w:tr>
      <w:tr>
        <w:trPr>
          <w:trHeight w:val="223"/>
        </w:trPr>
        <w:tc>
          <w:tcPr>
            <w:tcW w:w="798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color w:val="auto"/>
              </w:rPr>
              <w:t>Common equity market capitalization including downREIT operating partnership units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7,376,953</w:t>
            </w: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9,258,557</w:t>
            </w:r>
          </w:p>
        </w:tc>
      </w:tr>
      <w:tr>
        <w:trPr>
          <w:trHeight w:val="196"/>
        </w:trPr>
        <w:tc>
          <w:tcPr>
            <w:tcW w:w="7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9"/>
        </w:trPr>
        <w:tc>
          <w:tcPr>
            <w:tcW w:w="7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Series C preferred shares outstanding</w:t>
            </w:r>
          </w:p>
        </w:tc>
        <w:tc>
          <w:tcPr>
            <w:tcW w:w="30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7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Liquidation price per Series C preferred share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25,000</w:t>
            </w: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25,000</w:t>
            </w:r>
          </w:p>
        </w:tc>
      </w:tr>
      <w:tr>
        <w:trPr>
          <w:trHeight w:val="223"/>
        </w:trPr>
        <w:tc>
          <w:tcPr>
            <w:tcW w:w="798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color w:val="auto"/>
              </w:rPr>
              <w:t>Series C preferred equity market capitalization</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150,000</w:t>
            </w: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150,000</w:t>
            </w:r>
          </w:p>
        </w:tc>
      </w:tr>
      <w:tr>
        <w:trPr>
          <w:trHeight w:val="196"/>
        </w:trPr>
        <w:tc>
          <w:tcPr>
            <w:tcW w:w="7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9"/>
        </w:trPr>
        <w:tc>
          <w:tcPr>
            <w:tcW w:w="7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Series 1 preferred shares outstanding (2)</w:t>
            </w:r>
          </w:p>
        </w:tc>
        <w:tc>
          <w:tcPr>
            <w:tcW w:w="30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393</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400</w:t>
            </w:r>
          </w:p>
        </w:tc>
      </w:tr>
      <w:tr>
        <w:trPr>
          <w:trHeight w:val="229"/>
        </w:trPr>
        <w:tc>
          <w:tcPr>
            <w:tcW w:w="7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Liquidation price per Series 1 preferred share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25.00</w:t>
            </w: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25.00</w:t>
            </w:r>
          </w:p>
        </w:tc>
      </w:tr>
      <w:tr>
        <w:trPr>
          <w:trHeight w:val="223"/>
        </w:trPr>
        <w:tc>
          <w:tcPr>
            <w:tcW w:w="798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color w:val="auto"/>
              </w:rPr>
              <w:t>Series 1 preferred equity market capitalization</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9,825</w:t>
            </w: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10,000</w:t>
            </w:r>
          </w:p>
        </w:tc>
      </w:tr>
      <w:tr>
        <w:trPr>
          <w:trHeight w:val="196"/>
        </w:trPr>
        <w:tc>
          <w:tcPr>
            <w:tcW w:w="7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9"/>
        </w:trPr>
        <w:tc>
          <w:tcPr>
            <w:tcW w:w="7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Equity market capitalization</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7,536,778</w:t>
            </w:r>
          </w:p>
        </w:tc>
        <w:tc>
          <w:tcPr>
            <w:tcW w:w="14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9,418,557</w:t>
            </w:r>
          </w:p>
        </w:tc>
      </w:tr>
      <w:tr>
        <w:trPr>
          <w:trHeight w:val="216"/>
        </w:trPr>
        <w:tc>
          <w:tcPr>
            <w:tcW w:w="7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7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debt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4,296,899</w:t>
            </w:r>
          </w:p>
        </w:tc>
        <w:tc>
          <w:tcPr>
            <w:tcW w:w="14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4,164,350</w:t>
            </w:r>
          </w:p>
        </w:tc>
      </w:tr>
      <w:tr>
        <w:trPr>
          <w:trHeight w:val="229"/>
        </w:trPr>
        <w:tc>
          <w:tcPr>
            <w:tcW w:w="7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(146,214)</w:t>
            </w: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(177,591)</w:t>
            </w:r>
          </w:p>
        </w:tc>
      </w:tr>
      <w:tr>
        <w:trPr>
          <w:trHeight w:val="223"/>
        </w:trPr>
        <w:tc>
          <w:tcPr>
            <w:tcW w:w="798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color w:val="auto"/>
              </w:rPr>
              <w:t>Total net debt (3)</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4,150,685</w:t>
            </w: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3,986,759</w:t>
            </w:r>
          </w:p>
        </w:tc>
      </w:tr>
      <w:tr>
        <w:trPr>
          <w:trHeight w:val="196"/>
        </w:trPr>
        <w:tc>
          <w:tcPr>
            <w:tcW w:w="7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0"/>
        </w:trPr>
        <w:tc>
          <w:tcPr>
            <w:tcW w:w="7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market capitalization</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11,687,463</w:t>
            </w:r>
          </w:p>
        </w:tc>
        <w:tc>
          <w:tcPr>
            <w:tcW w:w="14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13,405,316</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79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30"/>
        </w:trPr>
        <w:tc>
          <w:tcPr>
            <w:tcW w:w="7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net debt to market capitalization at market price per common share</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16"/>
        </w:trPr>
        <w:tc>
          <w:tcPr>
            <w:tcW w:w="7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4"/>
        </w:trPr>
        <w:tc>
          <w:tcPr>
            <w:tcW w:w="7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net debt to market capitalization at a constant common share price of $117.99</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r>
    </w:tbl>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73"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include 652,233 and 694,133 downREIT operating partnership units outstanding at September 30, 2022 and 2021, respectively.</w:t>
      </w:r>
    </w:p>
    <w:p>
      <w:pPr>
        <w:spacing w:after="0" w:line="59"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shares, issued March 8, 2007, are unregistered.</w:t>
      </w:r>
    </w:p>
    <w:p>
      <w:pPr>
        <w:spacing w:after="0" w:line="59" w:lineRule="exact"/>
        <w:rPr>
          <w:rFonts w:ascii="Times New Roman" w:cs="Times New Roman" w:eastAsia="Times New Roman" w:hAnsi="Times New Roman"/>
          <w:sz w:val="16"/>
          <w:szCs w:val="16"/>
          <w:color w:val="auto"/>
        </w:rPr>
      </w:pPr>
    </w:p>
    <w:p>
      <w:pPr>
        <w:ind w:left="660" w:right="40" w:hanging="652"/>
        <w:spacing w:after="0" w:line="298" w:lineRule="auto"/>
        <w:tabs>
          <w:tab w:leader="none" w:pos="6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net debt includes mortgages payable, notes payable, senior notes and debentures, net of premiums/discounts and debt issuance costs and net of cash and cash equivalents from our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022" w:right="339" w:bottom="1440" w:gutter="0" w:footer="0" w:header="0"/>
        </w:sectPr>
      </w:pPr>
    </w:p>
    <w:bookmarkStart w:id="16" w:name="page17"/>
    <w:bookmarkEnd w:id="16"/>
    <w:p>
      <w:pPr>
        <w:ind w:left="2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Summary of Outstanding Debt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2022</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5"/>
          </w:tcPr>
          <w:p>
            <w:pPr>
              <w:ind w:left="920"/>
              <w:spacing w:after="0"/>
              <w:rPr>
                <w:sz w:val="20"/>
                <w:szCs w:val="20"/>
                <w:color w:val="auto"/>
              </w:rPr>
            </w:pPr>
            <w:r>
              <w:rPr>
                <w:rFonts w:ascii="Times New Roman" w:cs="Times New Roman" w:eastAsia="Times New Roman" w:hAnsi="Times New Roman"/>
                <w:sz w:val="14"/>
                <w:szCs w:val="14"/>
                <w:b w:val="1"/>
                <w:bCs w:val="1"/>
                <w:color w:val="auto"/>
              </w:rPr>
              <w:t>As of September 30, 2022</w:t>
            </w: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9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Stated maturity date</w:t>
            </w:r>
          </w:p>
        </w:tc>
        <w:tc>
          <w:tcPr>
            <w:tcW w:w="16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Stated interest rate</w:t>
            </w:r>
          </w:p>
        </w:tc>
        <w:tc>
          <w:tcPr>
            <w:tcW w:w="140" w:type="dxa"/>
            <w:vAlign w:val="bottom"/>
          </w:tcPr>
          <w:p>
            <w:pPr>
              <w:spacing w:after="0"/>
              <w:rPr>
                <w:sz w:val="11"/>
                <w:szCs w:val="11"/>
                <w:color w:val="auto"/>
              </w:rPr>
            </w:pPr>
          </w:p>
        </w:tc>
        <w:tc>
          <w:tcPr>
            <w:tcW w:w="12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tcPr>
          <w:p>
            <w:pPr>
              <w:jc w:val="right"/>
              <w:ind w:right="59"/>
              <w:spacing w:after="0" w:line="135"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940" w:type="dxa"/>
            <w:vAlign w:val="bottom"/>
            <w:gridSpan w:val="2"/>
            <w:vMerge w:val="continue"/>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effective rate (7)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3940" w:type="dxa"/>
            <w:vAlign w:val="bottom"/>
            <w:gridSpan w:val="4"/>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Mortgages Payable (1)</w:t>
            </w:r>
          </w:p>
        </w:tc>
        <w:tc>
          <w:tcPr>
            <w:tcW w:w="1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3940" w:type="dxa"/>
            <w:vAlign w:val="bottom"/>
            <w:gridSpan w:val="4"/>
          </w:tcPr>
          <w:p>
            <w:pPr>
              <w:ind w:left="380"/>
              <w:spacing w:after="0"/>
              <w:rPr>
                <w:sz w:val="20"/>
                <w:szCs w:val="20"/>
                <w:color w:val="auto"/>
              </w:rPr>
            </w:pPr>
            <w:r>
              <w:rPr>
                <w:rFonts w:ascii="Times New Roman" w:cs="Times New Roman" w:eastAsia="Times New Roman" w:hAnsi="Times New Roman"/>
                <w:sz w:val="16"/>
                <w:szCs w:val="16"/>
                <w:i w:val="1"/>
                <w:iCs w:val="1"/>
                <w:color w:val="auto"/>
              </w:rPr>
              <w:t>Secured fixed rate</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394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Azalea</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11/1/2025</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3.73%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Bell Gardens</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8/1/2026</w:t>
            </w: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11,910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4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Plaza El Segundo</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6/5/2027</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3.83%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125,000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The Grove at Shrewsbury (East)</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9/1/2027</w:t>
            </w: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43,600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4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Brook 35</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7/1/2029</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4.65%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Hoboken (24 Buildings) (2)</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12/15/2029</w:t>
            </w:r>
          </w:p>
        </w:tc>
        <w:tc>
          <w:tcPr>
            <w:tcW w:w="120" w:type="dxa"/>
            <w:vAlign w:val="bottom"/>
          </w:tcPr>
          <w:p>
            <w:pPr>
              <w:spacing w:after="0"/>
              <w:rPr>
                <w:sz w:val="18"/>
                <w:szCs w:val="18"/>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LIBOR + 1.95%</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55,407</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4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Various Hoboken (14 Buildings) (3)</w:t>
            </w:r>
          </w:p>
        </w:tc>
        <w:tc>
          <w:tcPr>
            <w:tcW w:w="19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Various through 2029</w:t>
            </w:r>
          </w:p>
        </w:tc>
        <w:tc>
          <w:tcPr>
            <w:tcW w:w="16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8"/>
              </w:rPr>
              <w:t>Various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31,119</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940" w:type="dxa"/>
            <w:vAlign w:val="bottom"/>
            <w:tcBorders>
              <w:bottom w:val="single" w:sz="8" w:color="CCEEFF"/>
            </w:tcBorders>
            <w:gridSpan w:val="4"/>
          </w:tcPr>
          <w:p>
            <w:pPr>
              <w:ind w:left="380"/>
              <w:spacing w:after="0"/>
              <w:rPr>
                <w:sz w:val="20"/>
                <w:szCs w:val="20"/>
                <w:color w:val="auto"/>
              </w:rPr>
            </w:pPr>
            <w:r>
              <w:rPr>
                <w:rFonts w:ascii="Times New Roman" w:cs="Times New Roman" w:eastAsia="Times New Roman" w:hAnsi="Times New Roman"/>
                <w:sz w:val="16"/>
                <w:szCs w:val="16"/>
                <w:color w:val="auto"/>
              </w:rPr>
              <w:t>Chelsea</w:t>
            </w:r>
          </w:p>
        </w:tc>
        <w:tc>
          <w:tcPr>
            <w:tcW w:w="18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1/15/2031</w:t>
            </w:r>
          </w:p>
        </w:tc>
        <w:tc>
          <w:tcPr>
            <w:tcW w:w="12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5.36%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4,549</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940" w:type="dxa"/>
            <w:vAlign w:val="bottom"/>
            <w:gridSpan w:val="4"/>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Subtotal</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323,085</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880" w:type="dxa"/>
            <w:vAlign w:val="bottom"/>
            <w:tcBorders>
              <w:bottom w:val="single" w:sz="8" w:color="CCEEFF"/>
            </w:tcBorders>
            <w:gridSpan w:val="6"/>
          </w:tcPr>
          <w:p>
            <w:pPr>
              <w:ind w:left="900"/>
              <w:spacing w:after="0"/>
              <w:rPr>
                <w:sz w:val="20"/>
                <w:szCs w:val="20"/>
                <w:color w:val="auto"/>
              </w:rPr>
            </w:pPr>
            <w:r>
              <w:rPr>
                <w:rFonts w:ascii="Times New Roman" w:cs="Times New Roman" w:eastAsia="Times New Roman" w:hAnsi="Times New Roman"/>
                <w:sz w:val="16"/>
                <w:szCs w:val="16"/>
                <w:color w:val="auto"/>
              </w:rPr>
              <w:t>Net unamortized debt issuance costs and premium</w:t>
            </w:r>
          </w:p>
        </w:tc>
        <w:tc>
          <w:tcPr>
            <w:tcW w:w="15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(1,786)</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940" w:type="dxa"/>
            <w:vAlign w:val="bottom"/>
            <w:gridSpan w:val="4"/>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Total mortgages payable, net</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321,299</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4.02%</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940" w:type="dxa"/>
            <w:vAlign w:val="bottom"/>
            <w:gridSpan w:val="4"/>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Notes payable</w:t>
            </w:r>
          </w:p>
        </w:tc>
        <w:tc>
          <w:tcPr>
            <w:tcW w:w="1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Revolving credit facility (4)</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1/19/2024</w:t>
            </w:r>
          </w:p>
        </w:tc>
        <w:tc>
          <w:tcPr>
            <w:tcW w:w="120" w:type="dxa"/>
            <w:vAlign w:val="bottom"/>
          </w:tcPr>
          <w:p>
            <w:pPr>
              <w:spacing w:after="0"/>
              <w:rPr>
                <w:sz w:val="18"/>
                <w:szCs w:val="18"/>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LIBOR + 0.825%</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267,000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4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Term loan (5)</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4/16/2024</w:t>
            </w:r>
          </w:p>
        </w:tc>
        <w:tc>
          <w:tcPr>
            <w:tcW w:w="1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LIBOR + 0.85%</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940" w:type="dxa"/>
            <w:vAlign w:val="bottom"/>
            <w:tcBorders>
              <w:bottom w:val="single" w:sz="8" w:color="CCEEFF"/>
            </w:tcBorders>
            <w:gridSpan w:val="4"/>
          </w:tcPr>
          <w:p>
            <w:pPr>
              <w:ind w:left="380"/>
              <w:spacing w:after="0"/>
              <w:rPr>
                <w:sz w:val="20"/>
                <w:szCs w:val="20"/>
                <w:color w:val="auto"/>
              </w:rPr>
            </w:pPr>
            <w:r>
              <w:rPr>
                <w:rFonts w:ascii="Times New Roman" w:cs="Times New Roman" w:eastAsia="Times New Roman" w:hAnsi="Times New Roman"/>
                <w:sz w:val="16"/>
                <w:szCs w:val="16"/>
                <w:color w:val="auto"/>
              </w:rPr>
              <w:t>Various</w:t>
            </w:r>
          </w:p>
        </w:tc>
        <w:tc>
          <w:tcPr>
            <w:tcW w:w="194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Various through 2028</w:t>
            </w:r>
          </w:p>
        </w:tc>
        <w:tc>
          <w:tcPr>
            <w:tcW w:w="15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11.31%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2,097</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940" w:type="dxa"/>
            <w:vAlign w:val="bottom"/>
            <w:gridSpan w:val="4"/>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Subtotal</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569,097</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940" w:type="dxa"/>
            <w:vAlign w:val="bottom"/>
            <w:tcBorders>
              <w:bottom w:val="single" w:sz="8" w:color="CCEEFF"/>
            </w:tcBorders>
            <w:gridSpan w:val="4"/>
          </w:tcPr>
          <w:p>
            <w:pPr>
              <w:ind w:left="900"/>
              <w:spacing w:after="0"/>
              <w:rPr>
                <w:sz w:val="20"/>
                <w:szCs w:val="20"/>
                <w:color w:val="auto"/>
              </w:rPr>
            </w:pPr>
            <w:r>
              <w:rPr>
                <w:rFonts w:ascii="Times New Roman" w:cs="Times New Roman" w:eastAsia="Times New Roman" w:hAnsi="Times New Roman"/>
                <w:sz w:val="16"/>
                <w:szCs w:val="16"/>
                <w:color w:val="auto"/>
              </w:rPr>
              <w:t>Net unamortized debt issuance costs</w:t>
            </w:r>
          </w:p>
        </w:tc>
        <w:tc>
          <w:tcPr>
            <w:tcW w:w="18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940" w:type="dxa"/>
            <w:vAlign w:val="bottom"/>
            <w:gridSpan w:val="4"/>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Total notes payable, net</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568,302</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4.09%</w:t>
            </w:r>
          </w:p>
        </w:tc>
        <w:tc>
          <w:tcPr>
            <w:tcW w:w="4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940" w:type="dxa"/>
            <w:vAlign w:val="bottom"/>
            <w:gridSpan w:val="4"/>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Senior notes and debentures</w:t>
            </w:r>
          </w:p>
        </w:tc>
        <w:tc>
          <w:tcPr>
            <w:tcW w:w="1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CCEEFF"/>
            </w:tcBorders>
          </w:tcPr>
          <w:p>
            <w:pPr>
              <w:spacing w:after="0"/>
              <w:rPr>
                <w:sz w:val="18"/>
                <w:szCs w:val="18"/>
                <w:color w:val="auto"/>
              </w:rPr>
            </w:pPr>
          </w:p>
        </w:tc>
        <w:tc>
          <w:tcPr>
            <w:tcW w:w="1820" w:type="dxa"/>
            <w:vAlign w:val="bottom"/>
            <w:tcBorders>
              <w:top w:val="single" w:sz="8" w:color="auto"/>
            </w:tcBorders>
            <w:gridSpan w:val="3"/>
          </w:tcPr>
          <w:p>
            <w:pPr>
              <w:ind w:left="380"/>
              <w:spacing w:after="0"/>
              <w:rPr>
                <w:sz w:val="20"/>
                <w:szCs w:val="20"/>
                <w:color w:val="auto"/>
              </w:rPr>
            </w:pPr>
            <w:r>
              <w:rPr>
                <w:rFonts w:ascii="Times New Roman" w:cs="Times New Roman" w:eastAsia="Times New Roman" w:hAnsi="Times New Roman"/>
                <w:sz w:val="16"/>
                <w:szCs w:val="16"/>
                <w:i w:val="1"/>
                <w:iCs w:val="1"/>
                <w:color w:val="auto"/>
              </w:rPr>
              <w:t>Unsecured fixed rate</w:t>
            </w:r>
          </w:p>
        </w:tc>
        <w:tc>
          <w:tcPr>
            <w:tcW w:w="212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394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2.75% notes</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6/1/2023</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2.75%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275,000</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3.95% notes</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1/15/2024</w:t>
            </w: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3.95%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4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1.25% notes</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2/15/2026</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7.48% debentures</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8/15/2026</w:t>
            </w: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29,200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4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3.25% notes</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7/15/2027</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475,000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6.82% medium term notes</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8/1/2027</w:t>
            </w: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4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3.20% notes</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6/15/2029</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3.50% notes</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6/1/2030</w:t>
            </w: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4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4.50% notes</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12/1/2044</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550,000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940" w:type="dxa"/>
            <w:vAlign w:val="bottom"/>
            <w:tcBorders>
              <w:bottom w:val="single" w:sz="8" w:color="CCEEFF"/>
            </w:tcBorders>
            <w:gridSpan w:val="4"/>
          </w:tcPr>
          <w:p>
            <w:pPr>
              <w:ind w:left="380"/>
              <w:spacing w:after="0"/>
              <w:rPr>
                <w:sz w:val="20"/>
                <w:szCs w:val="20"/>
                <w:color w:val="auto"/>
              </w:rPr>
            </w:pPr>
            <w:r>
              <w:rPr>
                <w:rFonts w:ascii="Times New Roman" w:cs="Times New Roman" w:eastAsia="Times New Roman" w:hAnsi="Times New Roman"/>
                <w:sz w:val="16"/>
                <w:szCs w:val="16"/>
                <w:color w:val="auto"/>
              </w:rPr>
              <w:t>3.625% notes</w:t>
            </w:r>
          </w:p>
        </w:tc>
        <w:tc>
          <w:tcPr>
            <w:tcW w:w="18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8/1/2046</w:t>
            </w:r>
          </w:p>
        </w:tc>
        <w:tc>
          <w:tcPr>
            <w:tcW w:w="12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3.63%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940" w:type="dxa"/>
            <w:vAlign w:val="bottom"/>
            <w:gridSpan w:val="4"/>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Subtotal</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3,419,200</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880" w:type="dxa"/>
            <w:vAlign w:val="bottom"/>
            <w:tcBorders>
              <w:bottom w:val="single" w:sz="8" w:color="CCEEFF"/>
            </w:tcBorders>
            <w:gridSpan w:val="6"/>
          </w:tcPr>
          <w:p>
            <w:pPr>
              <w:ind w:left="900"/>
              <w:spacing w:after="0"/>
              <w:rPr>
                <w:sz w:val="20"/>
                <w:szCs w:val="20"/>
                <w:color w:val="auto"/>
              </w:rPr>
            </w:pPr>
            <w:r>
              <w:rPr>
                <w:rFonts w:ascii="Times New Roman" w:cs="Times New Roman" w:eastAsia="Times New Roman" w:hAnsi="Times New Roman"/>
                <w:sz w:val="16"/>
                <w:szCs w:val="16"/>
                <w:color w:val="auto"/>
              </w:rPr>
              <w:t>Net unamortized debt issuance costs and premium</w:t>
            </w:r>
          </w:p>
        </w:tc>
        <w:tc>
          <w:tcPr>
            <w:tcW w:w="15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(11,902)</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940" w:type="dxa"/>
            <w:vAlign w:val="bottom"/>
            <w:gridSpan w:val="4"/>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Total senior notes and debentures, net</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3,407,298</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3.49%</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2120" w:type="dxa"/>
            <w:vAlign w:val="bottom"/>
            <w:tcBorders>
              <w:bottom w:val="single" w:sz="8" w:color="CCEEFF"/>
            </w:tcBorders>
          </w:tcPr>
          <w:p>
            <w:pPr>
              <w:spacing w:after="0"/>
              <w:rPr>
                <w:sz w:val="16"/>
                <w:szCs w:val="16"/>
                <w:color w:val="auto"/>
              </w:rPr>
            </w:pPr>
          </w:p>
        </w:tc>
        <w:tc>
          <w:tcPr>
            <w:tcW w:w="18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19"/>
                <w:szCs w:val="19"/>
                <w:color w:val="auto"/>
              </w:rPr>
            </w:pPr>
          </w:p>
        </w:tc>
        <w:tc>
          <w:tcPr>
            <w:tcW w:w="3940" w:type="dxa"/>
            <w:vAlign w:val="bottom"/>
            <w:tcBorders>
              <w:bottom w:val="single" w:sz="8" w:color="CCEEFF"/>
            </w:tcBorders>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debt, net</w:t>
            </w:r>
          </w:p>
        </w:tc>
        <w:tc>
          <w:tcPr>
            <w:tcW w:w="18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4,296,899</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fixed rate debt, net</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3,730,653</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87 %</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3.54%</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94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6"/>
                <w:szCs w:val="16"/>
                <w:color w:val="auto"/>
              </w:rPr>
              <w:t>Total variable rate debt, net</w:t>
            </w:r>
          </w:p>
        </w:tc>
        <w:tc>
          <w:tcPr>
            <w:tcW w:w="18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566,246</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rPr>
              <w:t>4.06%</w:t>
            </w:r>
          </w:p>
        </w:tc>
        <w:tc>
          <w:tcPr>
            <w:tcW w:w="480" w:type="dxa"/>
            <w:vAlign w:val="bottom"/>
            <w:tcBorders>
              <w:bottom w:val="single" w:sz="8" w:color="CCEEFF"/>
            </w:tcBorders>
          </w:tcPr>
          <w:p>
            <w:pPr>
              <w:jc w:val="right"/>
              <w:ind w:right="179"/>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9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debt, net</w:t>
            </w:r>
          </w:p>
        </w:tc>
        <w:tc>
          <w:tcPr>
            <w:tcW w:w="1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4,296,899</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3.61%</w:t>
            </w:r>
          </w:p>
        </w:tc>
        <w:tc>
          <w:tcPr>
            <w:tcW w:w="4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028"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1880" w:type="dxa"/>
            <w:vAlign w:val="bottom"/>
            <w:gridSpan w:val="4"/>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03"/>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1880" w:type="dxa"/>
            <w:vAlign w:val="bottom"/>
            <w:gridSpan w:val="4"/>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3"/>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00" w:type="dxa"/>
            <w:vAlign w:val="bottom"/>
            <w:gridSpan w:val="2"/>
          </w:tcPr>
          <w:p>
            <w:pPr>
              <w:spacing w:after="0"/>
              <w:rPr>
                <w:sz w:val="2"/>
                <w:szCs w:val="2"/>
                <w:color w:val="auto"/>
              </w:rPr>
            </w:pPr>
          </w:p>
        </w:tc>
        <w:tc>
          <w:tcPr>
            <w:tcW w:w="1160" w:type="dxa"/>
            <w:vAlign w:val="bottom"/>
            <w:gridSpan w:val="3"/>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6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top w:val="single" w:sz="8" w:color="auto"/>
            </w:tcBorders>
          </w:tcPr>
          <w:p>
            <w:pPr>
              <w:jc w:val="right"/>
              <w:ind w:right="30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62"/>
        </w:trPr>
        <w:tc>
          <w:tcPr>
            <w:tcW w:w="20" w:type="dxa"/>
            <w:vAlign w:val="bottom"/>
          </w:tcPr>
          <w:p>
            <w:pPr>
              <w:spacing w:after="0"/>
              <w:rPr>
                <w:sz w:val="14"/>
                <w:szCs w:val="14"/>
                <w:color w:val="auto"/>
              </w:rPr>
            </w:pPr>
          </w:p>
        </w:tc>
        <w:tc>
          <w:tcPr>
            <w:tcW w:w="6680" w:type="dxa"/>
            <w:vAlign w:val="bottom"/>
            <w:gridSpan w:val="2"/>
          </w:tcPr>
          <w:p>
            <w:pPr>
              <w:jc w:val="right"/>
              <w:ind w:right="5280"/>
              <w:spacing w:after="0" w:line="162" w:lineRule="exact"/>
              <w:rPr>
                <w:sz w:val="20"/>
                <w:szCs w:val="20"/>
                <w:color w:val="auto"/>
              </w:rPr>
            </w:pPr>
            <w:r>
              <w:rPr>
                <w:rFonts w:ascii="Times New Roman" w:cs="Times New Roman" w:eastAsia="Times New Roman" w:hAnsi="Times New Roman"/>
                <w:sz w:val="16"/>
                <w:szCs w:val="16"/>
                <w:color w:val="auto"/>
              </w:rPr>
              <w:t>Operational Statistics</w:t>
            </w:r>
          </w:p>
        </w:tc>
        <w:tc>
          <w:tcPr>
            <w:tcW w:w="7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400" w:type="dxa"/>
            <w:vAlign w:val="bottom"/>
            <w:gridSpan w:val="3"/>
            <w:shd w:val="clear" w:color="auto" w:fill="CCEEFF"/>
          </w:tcPr>
          <w:p>
            <w:pPr>
              <w:jc w:val="right"/>
              <w:ind w:right="1868"/>
              <w:spacing w:after="0"/>
              <w:rPr>
                <w:sz w:val="20"/>
                <w:szCs w:val="20"/>
                <w:color w:val="auto"/>
              </w:rPr>
            </w:pPr>
            <w:r>
              <w:rPr>
                <w:rFonts w:ascii="Times New Roman" w:cs="Times New Roman" w:eastAsia="Times New Roman" w:hAnsi="Times New Roman"/>
                <w:sz w:val="16"/>
                <w:szCs w:val="16"/>
                <w:color w:val="auto"/>
              </w:rPr>
              <w:t>Ratio of EBITDAre to combined fixed charges and preferred share dividends (9)</w:t>
            </w:r>
          </w:p>
        </w:tc>
        <w:tc>
          <w:tcPr>
            <w:tcW w:w="1160" w:type="dxa"/>
            <w:vAlign w:val="bottom"/>
            <w:gridSpan w:val="3"/>
            <w:shd w:val="clear" w:color="auto" w:fill="CCEEFF"/>
          </w:tcPr>
          <w:p>
            <w:pPr>
              <w:jc w:val="right"/>
              <w:ind w:right="840"/>
              <w:spacing w:after="0"/>
              <w:rPr>
                <w:sz w:val="20"/>
                <w:szCs w:val="20"/>
                <w:color w:val="auto"/>
              </w:rPr>
            </w:pPr>
            <w:r>
              <w:rPr>
                <w:rFonts w:ascii="Times New Roman" w:cs="Times New Roman" w:eastAsia="Times New Roman" w:hAnsi="Times New Roman"/>
                <w:sz w:val="16"/>
                <w:szCs w:val="16"/>
                <w:color w:val="auto"/>
              </w:rPr>
              <w:t>4.0x</w:t>
            </w: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3.9x</w:t>
            </w: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4.1x</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3.5x</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Notes:</w:t>
      </w:r>
    </w:p>
    <w:p>
      <w:pPr>
        <w:spacing w:after="0" w:line="55" w:lineRule="exact"/>
        <w:rPr>
          <w:sz w:val="20"/>
          <w:szCs w:val="20"/>
          <w:color w:val="auto"/>
        </w:rPr>
      </w:pPr>
    </w:p>
    <w:p>
      <w:pPr>
        <w:ind w:left="660" w:right="360" w:hanging="652"/>
        <w:spacing w:after="0" w:line="301" w:lineRule="auto"/>
        <w:tabs>
          <w:tab w:leader="none" w:pos="658"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Mortgages payable does not include our share of debt on our unconsolidated real estate partnerships. At September 30, 2022, our share of unconsolidated debt was approximately $28.1 million. At September 30, 2022, our noncontrolling interests' share of mortgages payable was $15.8 million.</w:t>
      </w:r>
    </w:p>
    <w:p>
      <w:pPr>
        <w:spacing w:after="0" w:line="1"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two interest rate swap agreements that fix the interest rate on the mortgage loan at 3.67%.</w:t>
      </w:r>
    </w:p>
    <w:p>
      <w:pPr>
        <w:spacing w:after="0" w:line="68"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rates on these mortgages range from 3.91% to 5.00%.</w:t>
      </w:r>
    </w:p>
    <w:p>
      <w:pPr>
        <w:spacing w:after="0" w:line="68" w:lineRule="exact"/>
        <w:rPr>
          <w:rFonts w:ascii="Times New Roman" w:cs="Times New Roman" w:eastAsia="Times New Roman" w:hAnsi="Times New Roman"/>
          <w:sz w:val="14"/>
          <w:szCs w:val="14"/>
          <w:color w:val="auto"/>
        </w:rPr>
      </w:pPr>
    </w:p>
    <w:p>
      <w:pPr>
        <w:ind w:left="660" w:right="40" w:hanging="652"/>
        <w:spacing w:after="0" w:line="266" w:lineRule="auto"/>
        <w:tabs>
          <w:tab w:leader="none" w:pos="658"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maximum amount drawn under our $1.0 billion revolving credit facility during the three and nine months ended September 30, 2022 was $330.0 million. The weighted average interest rate on borrowings under our credit facility, before amortization of debt fees, for the three and nine months ended September 30, 2022 was 3.4% and 3.1%, respectively. On October 5, 2022, we amended our revolving credit facility, increasing the borrowing capacity from $1.0 billion to $1.25 billion, extending the maturity date to April 5, 2027, plus two six-month extension options, transitioning the interest rate provisions from LIBOR to the secured overnight financing rate ("SOFR"), and adjusting the spread for SOFR based loans. Our SOFR based loans bear interest at Daily Simple SOFR or Term SOFR as defined in the credit agreement plus 0.10% plus a spread. Based on our current credit rating, the spread is 0.775%.</w:t>
      </w:r>
    </w:p>
    <w:p>
      <w:pPr>
        <w:spacing w:after="0" w:line="187"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October 5, 2022, we amended our unsecured term loan and borrowed an additional $300.0 million. We also transitioned the interest rate from LIBOR to SOFR.</w:t>
      </w:r>
    </w:p>
    <w:p>
      <w:pPr>
        <w:spacing w:after="0" w:line="68"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remaining term on our mortgages payable, notes payable, and senior notes and debentures is approximately 7 years.</w:t>
      </w:r>
    </w:p>
    <w:p>
      <w:pPr>
        <w:spacing w:after="0" w:line="68"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effective interest rate includes the amortization of any debt issuance costs and discounts and premiums, if applicable, except as described in Note 8.</w:t>
      </w:r>
    </w:p>
    <w:p>
      <w:pPr>
        <w:spacing w:after="0" w:line="68"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effective interest rate excludes $0.7 million in quarterly financing fees and quarterly debt fee amortization on our revolving credit facility.</w:t>
      </w:r>
    </w:p>
    <w:p>
      <w:pPr>
        <w:spacing w:after="0" w:line="68" w:lineRule="exact"/>
        <w:rPr>
          <w:rFonts w:ascii="Times New Roman" w:cs="Times New Roman" w:eastAsia="Times New Roman" w:hAnsi="Times New Roman"/>
          <w:sz w:val="14"/>
          <w:szCs w:val="14"/>
          <w:color w:val="auto"/>
        </w:rPr>
      </w:pPr>
    </w:p>
    <w:p>
      <w:pPr>
        <w:ind w:left="660" w:right="200" w:hanging="652"/>
        <w:spacing w:after="0" w:line="282" w:lineRule="auto"/>
        <w:tabs>
          <w:tab w:leader="none" w:pos="658"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Fixed charges consist of interest on borrowed funds and finance leases (including capitalized interest), amortization of debt discount/premium and debt costs, and the portion of rent expense representing an interest factor. EBITDAre is reconciled to net income in the Glossary of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925" w:right="339" w:bottom="1440" w:gutter="0" w:footer="0" w:header="0"/>
        </w:sectPr>
      </w:pPr>
    </w:p>
    <w:bookmarkStart w:id="18" w:name="page19"/>
    <w:bookmarkEnd w:id="18"/>
    <w:p>
      <w:pPr>
        <w:ind w:left="4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Summary of Debt Maturities</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vMerge w:val="restart"/>
          </w:tcPr>
          <w:p>
            <w:pPr>
              <w:jc w:val="center"/>
              <w:ind w:right="600"/>
              <w:spacing w:after="0"/>
              <w:rPr>
                <w:sz w:val="20"/>
                <w:szCs w:val="20"/>
                <w:color w:val="auto"/>
              </w:rPr>
            </w:pPr>
            <w:r>
              <w:rPr>
                <w:rFonts w:ascii="Times New Roman" w:cs="Times New Roman" w:eastAsia="Times New Roman" w:hAnsi="Times New Roman"/>
                <w:sz w:val="16"/>
                <w:szCs w:val="16"/>
                <w:b w:val="1"/>
                <w:bCs w:val="1"/>
                <w:color w:val="auto"/>
                <w:w w:val="99"/>
              </w:rPr>
              <w:t>Scheduled</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vMerge w:val="restart"/>
          </w:tcPr>
          <w:p>
            <w:pPr>
              <w:jc w:val="right"/>
              <w:ind w:right="11"/>
              <w:spacing w:after="0"/>
              <w:rPr>
                <w:sz w:val="20"/>
                <w:szCs w:val="20"/>
                <w:color w:val="auto"/>
              </w:rPr>
            </w:pPr>
            <w:r>
              <w:rPr>
                <w:rFonts w:ascii="Times New Roman" w:cs="Times New Roman" w:eastAsia="Times New Roman" w:hAnsi="Times New Roman"/>
                <w:sz w:val="16"/>
                <w:szCs w:val="16"/>
                <w:b w:val="1"/>
                <w:bCs w:val="1"/>
                <w:color w:val="auto"/>
              </w:rPr>
              <w:t>Percent of Debt</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Cumulative</w:t>
            </w:r>
          </w:p>
        </w:tc>
        <w:tc>
          <w:tcPr>
            <w:tcW w:w="1660" w:type="dxa"/>
            <w:vAlign w:val="bottom"/>
            <w:vMerge w:val="restart"/>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15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Year</w:t>
            </w:r>
          </w:p>
        </w:tc>
        <w:tc>
          <w:tcPr>
            <w:tcW w:w="12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vMerge w:val="restart"/>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Maturities</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vMerge w:val="restart"/>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5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Percent of Debt</w:t>
            </w:r>
          </w:p>
        </w:tc>
        <w:tc>
          <w:tcPr>
            <w:tcW w:w="1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5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jc w:val="center"/>
              <w:ind w:right="60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Maturing</w:t>
            </w: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Maturing</w:t>
            </w:r>
          </w:p>
        </w:tc>
        <w:tc>
          <w:tcPr>
            <w:tcW w:w="16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Average Rate (4)</w:t>
            </w:r>
          </w:p>
        </w:tc>
        <w:tc>
          <w:tcPr>
            <w:tcW w:w="0" w:type="dxa"/>
            <w:vAlign w:val="bottom"/>
          </w:tcPr>
          <w:p>
            <w:pPr>
              <w:spacing w:after="0"/>
              <w:rPr>
                <w:sz w:val="1"/>
                <w:szCs w:val="1"/>
                <w:color w:val="auto"/>
              </w:rPr>
            </w:pPr>
          </w:p>
        </w:tc>
      </w:tr>
      <w:tr>
        <w:trPr>
          <w:trHeight w:val="192"/>
        </w:trPr>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278,929</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6.5 %</w:t>
            </w:r>
          </w:p>
        </w:tc>
        <w:tc>
          <w:tcPr>
            <w:tcW w:w="166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29"/>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3,958</w:t>
            </w: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1,167,000</w:t>
            </w:r>
          </w:p>
        </w:tc>
        <w:tc>
          <w:tcPr>
            <w:tcW w:w="5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6"/>
                <w:szCs w:val="16"/>
                <w:color w:val="auto"/>
              </w:rPr>
              <w:t>(1)(2)</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1,170,958</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27.2 %</w:t>
            </w:r>
          </w:p>
        </w:tc>
        <w:tc>
          <w:tcPr>
            <w:tcW w:w="15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33.7 %</w:t>
            </w:r>
          </w:p>
        </w:tc>
        <w:tc>
          <w:tcPr>
            <w:tcW w:w="16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 xml:space="preserve">3.9 % </w:t>
            </w: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3,715</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44,298</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48,013</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34.8 %</w:t>
            </w:r>
          </w:p>
        </w:tc>
        <w:tc>
          <w:tcPr>
            <w:tcW w:w="166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29"/>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452,450</w:t>
            </w:r>
          </w:p>
        </w:tc>
        <w:tc>
          <w:tcPr>
            <w:tcW w:w="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455,494</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15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45.4 %</w:t>
            </w:r>
          </w:p>
        </w:tc>
        <w:tc>
          <w:tcPr>
            <w:tcW w:w="166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29"/>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690,682</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693,315</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1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61.5 %</w:t>
            </w:r>
          </w:p>
        </w:tc>
        <w:tc>
          <w:tcPr>
            <w:tcW w:w="166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30"/>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61.5 %</w:t>
            </w:r>
          </w:p>
        </w:tc>
        <w:tc>
          <w:tcPr>
            <w:tcW w:w="166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29"/>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458,105</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460,432</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1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72.2 %</w:t>
            </w:r>
          </w:p>
        </w:tc>
        <w:tc>
          <w:tcPr>
            <w:tcW w:w="166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29"/>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400,681</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5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81.5 %</w:t>
            </w:r>
          </w:p>
        </w:tc>
        <w:tc>
          <w:tcPr>
            <w:tcW w:w="166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2031</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81.5 %</w:t>
            </w:r>
          </w:p>
        </w:tc>
        <w:tc>
          <w:tcPr>
            <w:tcW w:w="166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29"/>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15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100.0 %</w:t>
            </w:r>
          </w:p>
        </w:tc>
        <w:tc>
          <w:tcPr>
            <w:tcW w:w="166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23"/>
        </w:trPr>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23,847</w:t>
            </w:r>
          </w:p>
        </w:tc>
        <w:tc>
          <w:tcPr>
            <w:tcW w:w="4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4,287,535</w:t>
            </w:r>
          </w:p>
        </w:tc>
        <w:tc>
          <w:tcPr>
            <w:tcW w:w="5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4,311,382</w:t>
            </w:r>
          </w:p>
        </w:tc>
        <w:tc>
          <w:tcPr>
            <w:tcW w:w="3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6"/>
              </w:rPr>
              <w:t>(3)</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5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59" w:lineRule="exact"/>
        <w:rPr>
          <w:sz w:val="20"/>
          <w:szCs w:val="20"/>
          <w:color w:val="auto"/>
        </w:rPr>
      </w:pPr>
    </w:p>
    <w:p>
      <w:pPr>
        <w:ind w:left="660" w:right="420" w:hanging="652"/>
        <w:spacing w:after="0" w:line="280" w:lineRule="auto"/>
        <w:tabs>
          <w:tab w:leader="none" w:pos="6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$300.0 million term loan matures on April 16, 2024, plus two one-year extensions at our option. On October 5, 2022, we borrowed an additional $300.0 million increasing our term loan to $600.0 million.</w:t>
      </w:r>
    </w:p>
    <w:p>
      <w:pPr>
        <w:spacing w:after="0" w:line="16" w:lineRule="exact"/>
        <w:rPr>
          <w:rFonts w:ascii="Times New Roman" w:cs="Times New Roman" w:eastAsia="Times New Roman" w:hAnsi="Times New Roman"/>
          <w:sz w:val="16"/>
          <w:szCs w:val="16"/>
          <w:color w:val="auto"/>
        </w:rPr>
      </w:pPr>
    </w:p>
    <w:p>
      <w:pPr>
        <w:ind w:left="660" w:right="180" w:hanging="652"/>
        <w:spacing w:after="0" w:line="263" w:lineRule="auto"/>
        <w:tabs>
          <w:tab w:leader="none" w:pos="6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September 30, 2022, our $1.0 billion revolving credit facility had $267.0 million outstanding, which previously matured on January 19, 2024, plus two six-month extensions at our option. On October 5, 2022, we amended the agreement increasing the borrowing capacity to $1.25 billion, and extending the maturity date to April 5, 2027, plus two six-month extensions, at our option. On October 5, 2022, we also repaid the outstanding $267.0 million balance on our revolving credit facility using proceeds from our term loan as described in Note 1.</w:t>
      </w:r>
    </w:p>
    <w:p>
      <w:pPr>
        <w:spacing w:after="0" w:line="17" w:lineRule="exact"/>
        <w:rPr>
          <w:rFonts w:ascii="Times New Roman" w:cs="Times New Roman" w:eastAsia="Times New Roman" w:hAnsi="Times New Roman"/>
          <w:sz w:val="16"/>
          <w:szCs w:val="16"/>
          <w:color w:val="auto"/>
        </w:rPr>
      </w:pPr>
    </w:p>
    <w:p>
      <w:pPr>
        <w:ind w:left="660" w:right="120" w:hanging="652"/>
        <w:spacing w:after="0" w:line="290" w:lineRule="auto"/>
        <w:tabs>
          <w:tab w:leader="none" w:pos="6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total debt maturities differ from the total reported on the consolidated balance sheet due to the debt issuance costs and unamortized net premium/discount on certain mortgage loans, notes payable, and senior notes as of September 30, 2022.</w:t>
      </w:r>
    </w:p>
    <w:p>
      <w:pPr>
        <w:ind w:left="660" w:hanging="652"/>
        <w:spacing w:after="0"/>
        <w:tabs>
          <w:tab w:leader="none" w:pos="6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 average rate reflects the weighted average interest rate on debt maturing in the respective year.</w:t>
      </w:r>
    </w:p>
    <w:p>
      <w:pPr>
        <w:spacing w:after="0" w:line="72"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 average rate excludes $0.7 million in quarterly financing fees and quarterly debt fee amortization on our $1.0 billion revolving credit facility.</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20"/>
          </w:cols>
          <w:pgMar w:left="320" w:top="1022" w:right="359" w:bottom="1440" w:gutter="0" w:footer="0" w:header="0"/>
        </w:sectPr>
      </w:pPr>
    </w:p>
    <w:bookmarkStart w:id="19" w:name="page20"/>
    <w:bookmarkEnd w:id="19"/>
    <w:p>
      <w:pPr>
        <w:ind w:left="2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Summary of Redevelopment Opportunities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2022</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The following redevelopment opportunities have received or will shortly receive all necessary approvals to proceed and are actively being worked on by the Trust. (1)</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Impacts of Current Environment:</w:t>
      </w:r>
    </w:p>
    <w:p>
      <w:pPr>
        <w:spacing w:after="0" w:line="44" w:lineRule="exact"/>
        <w:rPr>
          <w:sz w:val="20"/>
          <w:szCs w:val="20"/>
          <w:color w:val="auto"/>
        </w:rPr>
      </w:pPr>
    </w:p>
    <w:p>
      <w:pPr>
        <w:ind w:left="20" w:right="100"/>
        <w:spacing w:after="0" w:line="241" w:lineRule="auto"/>
        <w:rPr>
          <w:sz w:val="20"/>
          <w:szCs w:val="20"/>
          <w:color w:val="auto"/>
        </w:rPr>
      </w:pPr>
      <w:r>
        <w:rPr>
          <w:rFonts w:ascii="Times New Roman" w:cs="Times New Roman" w:eastAsia="Times New Roman" w:hAnsi="Times New Roman"/>
          <w:sz w:val="14"/>
          <w:szCs w:val="14"/>
          <w:color w:val="auto"/>
        </w:rPr>
        <w:t>Information provided below reflects management’s best estimate based on current available information, however the completion of construction, final costs, return on investment, and timing of stabilization may be impacted by the current environment, including the impacts of inflation, COVID-19, and supply chain disruptions currently affecting the broader economy.</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Projected</w:t>
            </w:r>
          </w:p>
        </w:tc>
        <w:tc>
          <w:tcPr>
            <w:tcW w:w="8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Projected</w:t>
            </w:r>
          </w:p>
        </w:tc>
        <w:tc>
          <w:tcPr>
            <w:tcW w:w="7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Cost to</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Anticipated</w:t>
            </w:r>
          </w:p>
        </w:tc>
        <w:tc>
          <w:tcPr>
            <w:tcW w:w="0" w:type="dxa"/>
            <w:vAlign w:val="bottom"/>
          </w:tcPr>
          <w:p>
            <w:pPr>
              <w:spacing w:after="0"/>
              <w:rPr>
                <w:sz w:val="1"/>
                <w:szCs w:val="1"/>
                <w:color w:val="auto"/>
              </w:rPr>
            </w:pPr>
          </w:p>
        </w:tc>
      </w:tr>
      <w:tr>
        <w:trPr>
          <w:trHeight w:val="148"/>
        </w:trPr>
        <w:tc>
          <w:tcPr>
            <w:tcW w:w="134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460" w:type="dxa"/>
            <w:vAlign w:val="bottom"/>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5140" w:type="dxa"/>
            <w:vAlign w:val="bottom"/>
            <w:vMerge w:val="restart"/>
          </w:tcPr>
          <w:p>
            <w:pPr>
              <w:ind w:left="2220"/>
              <w:spacing w:after="0"/>
              <w:rPr>
                <w:sz w:val="20"/>
                <w:szCs w:val="20"/>
                <w:color w:val="auto"/>
              </w:rPr>
            </w:pPr>
            <w:r>
              <w:rPr>
                <w:rFonts w:ascii="Times New Roman" w:cs="Times New Roman" w:eastAsia="Times New Roman" w:hAnsi="Times New Roman"/>
                <w:sz w:val="14"/>
                <w:szCs w:val="14"/>
                <w:b w:val="1"/>
                <w:bCs w:val="1"/>
                <w:color w:val="auto"/>
              </w:rPr>
              <w:t>Opportunity</w:t>
            </w:r>
          </w:p>
        </w:tc>
        <w:tc>
          <w:tcPr>
            <w:tcW w:w="76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Stabilization</w:t>
            </w:r>
          </w:p>
        </w:tc>
        <w:tc>
          <w:tcPr>
            <w:tcW w:w="0" w:type="dxa"/>
            <w:vAlign w:val="bottom"/>
          </w:tcPr>
          <w:p>
            <w:pPr>
              <w:spacing w:after="0"/>
              <w:rPr>
                <w:sz w:val="1"/>
                <w:szCs w:val="1"/>
                <w:color w:val="auto"/>
              </w:rPr>
            </w:pPr>
          </w:p>
        </w:tc>
      </w:tr>
      <w:tr>
        <w:trPr>
          <w:trHeight w:val="196"/>
        </w:trPr>
        <w:tc>
          <w:tcPr>
            <w:tcW w:w="1340" w:type="dxa"/>
            <w:vAlign w:val="bottom"/>
            <w:tcBorders>
              <w:bottom w:val="single" w:sz="8" w:color="auto"/>
            </w:tcBorders>
            <w:vMerge w:val="continue"/>
          </w:tcPr>
          <w:p>
            <w:pPr>
              <w:spacing w:after="0"/>
              <w:rPr>
                <w:sz w:val="17"/>
                <w:szCs w:val="17"/>
                <w:color w:val="auto"/>
              </w:rPr>
            </w:pPr>
          </w:p>
        </w:tc>
        <w:tc>
          <w:tcPr>
            <w:tcW w:w="1460" w:type="dxa"/>
            <w:vAlign w:val="bottom"/>
            <w:tcBorders>
              <w:bottom w:val="single" w:sz="8" w:color="auto"/>
            </w:tcBorders>
            <w:vMerge w:val="continue"/>
          </w:tcPr>
          <w:p>
            <w:pPr>
              <w:spacing w:after="0"/>
              <w:rPr>
                <w:sz w:val="17"/>
                <w:szCs w:val="17"/>
                <w:color w:val="auto"/>
              </w:rPr>
            </w:pPr>
          </w:p>
        </w:tc>
        <w:tc>
          <w:tcPr>
            <w:tcW w:w="514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ROI (2)</w:t>
            </w:r>
          </w:p>
        </w:tc>
        <w:tc>
          <w:tcPr>
            <w:tcW w:w="8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Cost (1)</w:t>
            </w:r>
          </w:p>
        </w:tc>
        <w:tc>
          <w:tcPr>
            <w:tcW w:w="7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Date</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w:t>
            </w:r>
          </w:p>
        </w:tc>
        <w:tc>
          <w:tcPr>
            <w:tcW w:w="0" w:type="dxa"/>
            <w:vAlign w:val="bottom"/>
          </w:tcPr>
          <w:p>
            <w:pPr>
              <w:spacing w:after="0"/>
              <w:rPr>
                <w:sz w:val="1"/>
                <w:szCs w:val="1"/>
                <w:color w:val="auto"/>
              </w:rPr>
            </w:pPr>
          </w:p>
        </w:tc>
      </w:tr>
      <w:tr>
        <w:trPr>
          <w:trHeight w:val="188"/>
        </w:trPr>
        <w:tc>
          <w:tcPr>
            <w:tcW w:w="13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(in millions) (in millions)</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Darien Commons</w:t>
            </w:r>
          </w:p>
        </w:tc>
        <w:tc>
          <w:tcPr>
            <w:tcW w:w="14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Darien, CT</w:t>
            </w:r>
          </w:p>
        </w:tc>
        <w:tc>
          <w:tcPr>
            <w:tcW w:w="5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Demolition of a 45,000 square foot anchor space to construct 75,000 square feet of</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$110 - $120</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5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new retail space, 122 rental apartments, and 720 parking spaces</w:t>
            </w: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3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CocoWalk (4)</w:t>
            </w:r>
          </w:p>
        </w:tc>
        <w:tc>
          <w:tcPr>
            <w:tcW w:w="1460" w:type="dxa"/>
            <w:vAlign w:val="bottom"/>
            <w:shd w:val="clear" w:color="auto" w:fill="CCEEFF"/>
          </w:tcPr>
          <w:p>
            <w:pPr>
              <w:ind w:left="260"/>
              <w:spacing w:after="0" w:line="142" w:lineRule="exact"/>
              <w:rPr>
                <w:sz w:val="20"/>
                <w:szCs w:val="20"/>
                <w:color w:val="auto"/>
              </w:rPr>
            </w:pPr>
            <w:r>
              <w:rPr>
                <w:rFonts w:ascii="Times New Roman" w:cs="Times New Roman" w:eastAsia="Times New Roman" w:hAnsi="Times New Roman"/>
                <w:sz w:val="14"/>
                <w:szCs w:val="14"/>
                <w:color w:val="auto"/>
              </w:rPr>
              <w:t>Coconut Grove, FL</w:t>
            </w:r>
          </w:p>
        </w:tc>
        <w:tc>
          <w:tcPr>
            <w:tcW w:w="5140" w:type="dxa"/>
            <w:vAlign w:val="bottom"/>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Entire shopping center redevelopment to include: demolition of three story east wing</w:t>
            </w: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6 %</w:t>
            </w:r>
          </w:p>
        </w:tc>
        <w:tc>
          <w:tcPr>
            <w:tcW w:w="84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$93 - $97</w:t>
            </w: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$92</w:t>
            </w:r>
          </w:p>
        </w:tc>
        <w:tc>
          <w:tcPr>
            <w:tcW w:w="98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Stabilized</w:t>
            </w:r>
          </w:p>
        </w:tc>
        <w:tc>
          <w:tcPr>
            <w:tcW w:w="0" w:type="dxa"/>
            <w:vAlign w:val="bottom"/>
          </w:tcPr>
          <w:p>
            <w:pPr>
              <w:spacing w:after="0"/>
              <w:rPr>
                <w:sz w:val="1"/>
                <w:szCs w:val="1"/>
                <w:color w:val="auto"/>
              </w:rPr>
            </w:pPr>
          </w:p>
        </w:tc>
      </w:tr>
      <w:tr>
        <w:trPr>
          <w:trHeight w:val="139"/>
        </w:trPr>
        <w:tc>
          <w:tcPr>
            <w:tcW w:w="13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5140" w:type="dxa"/>
            <w:vAlign w:val="bottom"/>
            <w:shd w:val="clear" w:color="auto" w:fill="CCEEFF"/>
          </w:tcPr>
          <w:p>
            <w:pPr>
              <w:ind w:left="100"/>
              <w:spacing w:after="0" w:line="139" w:lineRule="exact"/>
              <w:rPr>
                <w:sz w:val="20"/>
                <w:szCs w:val="20"/>
                <w:color w:val="auto"/>
              </w:rPr>
            </w:pPr>
            <w:r>
              <w:rPr>
                <w:rFonts w:ascii="Times New Roman" w:cs="Times New Roman" w:eastAsia="Times New Roman" w:hAnsi="Times New Roman"/>
                <w:sz w:val="14"/>
                <w:szCs w:val="14"/>
                <w:color w:val="auto"/>
              </w:rPr>
              <w:t>of the property and construction of a 107,000 square foot 5-story office/retail building</w:t>
            </w:r>
          </w:p>
        </w:tc>
        <w:tc>
          <w:tcPr>
            <w:tcW w:w="7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34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51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with 22,000 square feet of retail; complete renovation of the west wing</w:t>
            </w:r>
          </w:p>
        </w:tc>
        <w:tc>
          <w:tcPr>
            <w:tcW w:w="7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3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Huntington</w:t>
            </w:r>
          </w:p>
        </w:tc>
        <w:tc>
          <w:tcPr>
            <w:tcW w:w="1460" w:type="dxa"/>
            <w:vAlign w:val="bottom"/>
          </w:tcPr>
          <w:p>
            <w:pPr>
              <w:ind w:left="260"/>
              <w:spacing w:after="0" w:line="135" w:lineRule="exact"/>
              <w:rPr>
                <w:sz w:val="20"/>
                <w:szCs w:val="20"/>
                <w:color w:val="auto"/>
              </w:rPr>
            </w:pPr>
            <w:r>
              <w:rPr>
                <w:rFonts w:ascii="Times New Roman" w:cs="Times New Roman" w:eastAsia="Times New Roman" w:hAnsi="Times New Roman"/>
                <w:sz w:val="14"/>
                <w:szCs w:val="14"/>
                <w:color w:val="auto"/>
              </w:rPr>
              <w:t>Huntington, NY</w:t>
            </w:r>
          </w:p>
        </w:tc>
        <w:tc>
          <w:tcPr>
            <w:tcW w:w="5140" w:type="dxa"/>
            <w:vAlign w:val="bottom"/>
          </w:tcPr>
          <w:p>
            <w:pPr>
              <w:ind w:left="100"/>
              <w:spacing w:after="0" w:line="135" w:lineRule="exact"/>
              <w:rPr>
                <w:sz w:val="20"/>
                <w:szCs w:val="20"/>
                <w:color w:val="auto"/>
              </w:rPr>
            </w:pPr>
            <w:r>
              <w:rPr>
                <w:rFonts w:ascii="Times New Roman" w:cs="Times New Roman" w:eastAsia="Times New Roman" w:hAnsi="Times New Roman"/>
                <w:sz w:val="14"/>
                <w:szCs w:val="14"/>
                <w:color w:val="auto"/>
              </w:rPr>
              <w:t>Demolition of the main two level building consisting of 161,000 square feet of anchor</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7 %</w:t>
            </w:r>
          </w:p>
        </w:tc>
        <w:tc>
          <w:tcPr>
            <w:tcW w:w="840" w:type="dxa"/>
            <w:vAlign w:val="bottom"/>
          </w:tcPr>
          <w:p>
            <w:pPr>
              <w:jc w:val="right"/>
              <w:ind w:right="8"/>
              <w:spacing w:after="0" w:line="135" w:lineRule="exact"/>
              <w:rPr>
                <w:sz w:val="20"/>
                <w:szCs w:val="20"/>
                <w:color w:val="auto"/>
              </w:rPr>
            </w:pPr>
            <w:r>
              <w:rPr>
                <w:rFonts w:ascii="Times New Roman" w:cs="Times New Roman" w:eastAsia="Times New Roman" w:hAnsi="Times New Roman"/>
                <w:sz w:val="14"/>
                <w:szCs w:val="14"/>
                <w:color w:val="auto"/>
              </w:rPr>
              <w:t>$80 - $85</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$34</w:t>
            </w: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139"/>
        </w:trPr>
        <w:tc>
          <w:tcPr>
            <w:tcW w:w="13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140" w:type="dxa"/>
            <w:vAlign w:val="bottom"/>
          </w:tcPr>
          <w:p>
            <w:pPr>
              <w:ind w:left="100"/>
              <w:spacing w:after="0" w:line="139" w:lineRule="exact"/>
              <w:rPr>
                <w:sz w:val="20"/>
                <w:szCs w:val="20"/>
                <w:color w:val="auto"/>
              </w:rPr>
            </w:pPr>
            <w:r>
              <w:rPr>
                <w:rFonts w:ascii="Times New Roman" w:cs="Times New Roman" w:eastAsia="Times New Roman" w:hAnsi="Times New Roman"/>
                <w:sz w:val="14"/>
                <w:szCs w:val="14"/>
                <w:color w:val="auto"/>
              </w:rPr>
              <w:t>and small shop space to construct 102,000 square feet of new ground-level anchor and</w:t>
            </w: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3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5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small shop retail space</w:t>
            </w: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3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Lawrence Park</w:t>
            </w:r>
          </w:p>
        </w:tc>
        <w:tc>
          <w:tcPr>
            <w:tcW w:w="1460" w:type="dxa"/>
            <w:vAlign w:val="bottom"/>
            <w:shd w:val="clear" w:color="auto" w:fill="CCEEFF"/>
          </w:tcPr>
          <w:p>
            <w:pPr>
              <w:ind w:left="260"/>
              <w:spacing w:after="0" w:line="135" w:lineRule="exact"/>
              <w:rPr>
                <w:sz w:val="20"/>
                <w:szCs w:val="20"/>
                <w:color w:val="auto"/>
              </w:rPr>
            </w:pPr>
            <w:r>
              <w:rPr>
                <w:rFonts w:ascii="Times New Roman" w:cs="Times New Roman" w:eastAsia="Times New Roman" w:hAnsi="Times New Roman"/>
                <w:sz w:val="14"/>
                <w:szCs w:val="14"/>
                <w:color w:val="auto"/>
              </w:rPr>
              <w:t>Broomall, PA</w:t>
            </w:r>
          </w:p>
        </w:tc>
        <w:tc>
          <w:tcPr>
            <w:tcW w:w="514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4"/>
                <w:szCs w:val="14"/>
                <w:color w:val="auto"/>
              </w:rPr>
              <w:t>Full shopping center redevelopment to include expansion of Main Line Health into</w:t>
            </w: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8 %</w:t>
            </w:r>
          </w:p>
        </w:tc>
        <w:tc>
          <w:tcPr>
            <w:tcW w:w="840" w:type="dxa"/>
            <w:vAlign w:val="bottom"/>
            <w:shd w:val="clear" w:color="auto" w:fill="CCEEFF"/>
          </w:tcPr>
          <w:p>
            <w:pPr>
              <w:jc w:val="right"/>
              <w:ind w:right="8"/>
              <w:spacing w:after="0" w:line="135" w:lineRule="exact"/>
              <w:rPr>
                <w:sz w:val="20"/>
                <w:szCs w:val="20"/>
                <w:color w:val="auto"/>
              </w:rPr>
            </w:pPr>
            <w:r>
              <w:rPr>
                <w:rFonts w:ascii="Times New Roman" w:cs="Times New Roman" w:eastAsia="Times New Roman" w:hAnsi="Times New Roman"/>
                <w:sz w:val="14"/>
                <w:szCs w:val="14"/>
                <w:color w:val="auto"/>
              </w:rPr>
              <w:t>$15</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$14</w:t>
            </w:r>
          </w:p>
        </w:tc>
        <w:tc>
          <w:tcPr>
            <w:tcW w:w="9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139"/>
        </w:trPr>
        <w:tc>
          <w:tcPr>
            <w:tcW w:w="13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5140" w:type="dxa"/>
            <w:vAlign w:val="bottom"/>
            <w:shd w:val="clear" w:color="auto" w:fill="CCEEFF"/>
          </w:tcPr>
          <w:p>
            <w:pPr>
              <w:ind w:left="100"/>
              <w:spacing w:after="0" w:line="139" w:lineRule="exact"/>
              <w:rPr>
                <w:sz w:val="20"/>
                <w:szCs w:val="20"/>
                <w:color w:val="auto"/>
              </w:rPr>
            </w:pPr>
            <w:r>
              <w:rPr>
                <w:rFonts w:ascii="Times New Roman" w:cs="Times New Roman" w:eastAsia="Times New Roman" w:hAnsi="Times New Roman"/>
                <w:sz w:val="14"/>
                <w:szCs w:val="14"/>
                <w:color w:val="auto"/>
              </w:rPr>
              <w:t>vacant lower level space, creation of 17,800 square feet of small shop space converted</w:t>
            </w:r>
          </w:p>
        </w:tc>
        <w:tc>
          <w:tcPr>
            <w:tcW w:w="7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51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from vacated anchor space, a new 2,000 square foot bank pad building, and a façade</w:t>
            </w:r>
          </w:p>
        </w:tc>
        <w:tc>
          <w:tcPr>
            <w:tcW w:w="7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34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51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renovation for the entire center</w:t>
            </w:r>
          </w:p>
        </w:tc>
        <w:tc>
          <w:tcPr>
            <w:tcW w:w="7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Willow Grove</w:t>
            </w:r>
          </w:p>
        </w:tc>
        <w:tc>
          <w:tcPr>
            <w:tcW w:w="14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Willow Grove, PA</w:t>
            </w:r>
          </w:p>
        </w:tc>
        <w:tc>
          <w:tcPr>
            <w:tcW w:w="5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Development of a new 17,000 square foot multi-tenant pad building</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10"/>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Azalea</w:t>
            </w:r>
          </w:p>
        </w:tc>
        <w:tc>
          <w:tcPr>
            <w:tcW w:w="1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Southgate, CA</w:t>
            </w:r>
          </w:p>
        </w:tc>
        <w:tc>
          <w:tcPr>
            <w:tcW w:w="5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Development of a new 3,000 square foot single tenant pad building</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195"/>
        </w:trPr>
        <w:tc>
          <w:tcPr>
            <w:tcW w:w="1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Flourtown</w:t>
            </w:r>
          </w:p>
        </w:tc>
        <w:tc>
          <w:tcPr>
            <w:tcW w:w="14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Flourtown, PA</w:t>
            </w:r>
          </w:p>
        </w:tc>
        <w:tc>
          <w:tcPr>
            <w:tcW w:w="5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Development of a new 2,450 square foot bank pad building</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142"/>
        </w:trPr>
        <w:tc>
          <w:tcPr>
            <w:tcW w:w="13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Dedham</w:t>
            </w:r>
          </w:p>
        </w:tc>
        <w:tc>
          <w:tcPr>
            <w:tcW w:w="1460" w:type="dxa"/>
            <w:vAlign w:val="bottom"/>
            <w:shd w:val="clear" w:color="auto" w:fill="CCEEFF"/>
          </w:tcPr>
          <w:p>
            <w:pPr>
              <w:ind w:left="260"/>
              <w:spacing w:after="0" w:line="142" w:lineRule="exact"/>
              <w:rPr>
                <w:sz w:val="20"/>
                <w:szCs w:val="20"/>
                <w:color w:val="auto"/>
              </w:rPr>
            </w:pPr>
            <w:r>
              <w:rPr>
                <w:rFonts w:ascii="Times New Roman" w:cs="Times New Roman" w:eastAsia="Times New Roman" w:hAnsi="Times New Roman"/>
                <w:sz w:val="14"/>
                <w:szCs w:val="14"/>
                <w:color w:val="auto"/>
              </w:rPr>
              <w:t>Dedham, MA</w:t>
            </w:r>
          </w:p>
        </w:tc>
        <w:tc>
          <w:tcPr>
            <w:tcW w:w="5140" w:type="dxa"/>
            <w:vAlign w:val="bottom"/>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Development of a new 4,000 square foot pad building with drive-thru pre-leased to a</w:t>
            </w: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7 %</w:t>
            </w:r>
          </w:p>
        </w:tc>
        <w:tc>
          <w:tcPr>
            <w:tcW w:w="84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$2</w:t>
            </w: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$0</w:t>
            </w:r>
          </w:p>
        </w:tc>
        <w:tc>
          <w:tcPr>
            <w:tcW w:w="98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03"/>
        </w:trPr>
        <w:tc>
          <w:tcPr>
            <w:tcW w:w="13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5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restaurant tenant</w:t>
            </w:r>
          </w:p>
        </w:tc>
        <w:tc>
          <w:tcPr>
            <w:tcW w:w="7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Active Redevelopment projects (5)</w:t>
            </w:r>
          </w:p>
        </w:tc>
        <w:tc>
          <w:tcPr>
            <w:tcW w:w="5140" w:type="dxa"/>
            <w:vAlign w:val="bottom"/>
          </w:tcPr>
          <w:p>
            <w:pPr>
              <w:spacing w:after="0"/>
              <w:rPr>
                <w:sz w:val="16"/>
                <w:szCs w:val="16"/>
                <w:color w:val="auto"/>
              </w:rPr>
            </w:pPr>
          </w:p>
        </w:tc>
        <w:tc>
          <w:tcPr>
            <w:tcW w:w="160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7 % $316 - $335</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134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5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Active Property Improvement Projects (6)</w:t>
            </w:r>
          </w:p>
        </w:tc>
        <w:tc>
          <w:tcPr>
            <w:tcW w:w="514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134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4"/>
                <w:szCs w:val="14"/>
                <w:color w:val="auto"/>
              </w:rPr>
              <w:t>Various Properties</w:t>
            </w:r>
          </w:p>
        </w:tc>
        <w:tc>
          <w:tcPr>
            <w:tcW w:w="1460" w:type="dxa"/>
            <w:vAlign w:val="bottom"/>
            <w:shd w:val="clear" w:color="auto" w:fill="CCEEFF"/>
          </w:tcPr>
          <w:p>
            <w:pPr>
              <w:spacing w:after="0"/>
              <w:rPr>
                <w:sz w:val="10"/>
                <w:szCs w:val="10"/>
                <w:color w:val="auto"/>
              </w:rPr>
            </w:pPr>
          </w:p>
        </w:tc>
        <w:tc>
          <w:tcPr>
            <w:tcW w:w="5140" w:type="dxa"/>
            <w:vAlign w:val="bottom"/>
            <w:shd w:val="clear" w:color="auto" w:fill="CCEEFF"/>
          </w:tcPr>
          <w:p>
            <w:pPr>
              <w:ind w:left="100"/>
              <w:spacing w:after="0" w:line="121" w:lineRule="exact"/>
              <w:rPr>
                <w:sz w:val="20"/>
                <w:szCs w:val="20"/>
                <w:color w:val="auto"/>
              </w:rPr>
            </w:pPr>
            <w:r>
              <w:rPr>
                <w:rFonts w:ascii="Times New Roman" w:cs="Times New Roman" w:eastAsia="Times New Roman" w:hAnsi="Times New Roman"/>
                <w:sz w:val="14"/>
                <w:szCs w:val="14"/>
                <w:color w:val="auto"/>
              </w:rPr>
              <w:t>Ongoing improvements at 25 properties to better position those properties to capture a</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- 13%</w:t>
            </w:r>
          </w:p>
        </w:tc>
        <w:tc>
          <w:tcPr>
            <w:tcW w:w="8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$112</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13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51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disproportionate amount of retail demand post-COVID</w:t>
            </w: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Notes:</w:t>
      </w:r>
    </w:p>
    <w:p>
      <w:pPr>
        <w:spacing w:after="0" w:line="27" w:lineRule="exact"/>
        <w:rPr>
          <w:sz w:val="20"/>
          <w:szCs w:val="20"/>
          <w:color w:val="auto"/>
        </w:rPr>
      </w:pPr>
    </w:p>
    <w:p>
      <w:pPr>
        <w:ind w:left="660" w:right="120" w:hanging="652"/>
        <w:spacing w:after="0" w:line="267" w:lineRule="auto"/>
        <w:tabs>
          <w:tab w:leader="none" w:pos="655"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is no guarantee that the Trust will ultimately complete any or all of these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ind w:left="660" w:right="40" w:hanging="652"/>
        <w:spacing w:after="0" w:line="260" w:lineRule="auto"/>
        <w:tabs>
          <w:tab w:leader="none" w:pos="655"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Projected ROI for redevelopment projects generally reflects only the deal specific cash, unleveraged incremental Property Operating Income (POI) generated by the redevelopment and is calculated as Incremental POI divided by incremental cost. Incremental POI is the POI generated by the redevelopment after deducting rent being paid or management's estimate of rent to be paid for the redevelopment space and any other space taken out of service to accommodate the redevelopment. Projected ROI for redevelopment projects generally does not include peripheral impacts, such as the impact on future lease rollovers at the property or the impact on the long-term value of the property but may for certain property improvement projects.</w:t>
      </w:r>
    </w:p>
    <w:p>
      <w:pPr>
        <w:ind w:left="660" w:hanging="652"/>
        <w:spacing w:after="0"/>
        <w:tabs>
          <w:tab w:leader="none" w:pos="66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Stabilization is generally the year in which 90% physical occupancy of the redeveloped space is achieved. Economic stabilization may occur at a later point in time.</w:t>
      </w:r>
    </w:p>
    <w:p>
      <w:pPr>
        <w:spacing w:after="0" w:line="12" w:lineRule="exact"/>
        <w:rPr>
          <w:rFonts w:ascii="Times New Roman" w:cs="Times New Roman" w:eastAsia="Times New Roman" w:hAnsi="Times New Roman"/>
          <w:sz w:val="13"/>
          <w:szCs w:val="13"/>
          <w:color w:val="auto"/>
        </w:rPr>
      </w:pPr>
    </w:p>
    <w:p>
      <w:pPr>
        <w:ind w:left="660" w:right="100" w:hanging="652"/>
        <w:spacing w:after="0" w:line="260" w:lineRule="auto"/>
        <w:tabs>
          <w:tab w:leader="none" w:pos="655"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CocoWalk is expected to stabilize from an economic perspective during 2022, with a full year of stabilized POI of approximately $11 million in 2023. 2022 is expected to generate approximately 80-85% of this amount.</w:t>
      </w:r>
    </w:p>
    <w:p>
      <w:pPr>
        <w:ind w:left="660" w:hanging="652"/>
        <w:spacing w:after="0"/>
        <w:tabs>
          <w:tab w:leader="none" w:pos="66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subtotals and totals reflect cost weighted-average ROIs.</w:t>
      </w:r>
    </w:p>
    <w:p>
      <w:pPr>
        <w:spacing w:after="0" w:line="12" w:lineRule="exact"/>
        <w:rPr>
          <w:rFonts w:ascii="Times New Roman" w:cs="Times New Roman" w:eastAsia="Times New Roman" w:hAnsi="Times New Roman"/>
          <w:sz w:val="13"/>
          <w:szCs w:val="13"/>
          <w:color w:val="auto"/>
        </w:rPr>
      </w:pPr>
    </w:p>
    <w:p>
      <w:pPr>
        <w:ind w:left="660" w:right="40" w:hanging="652"/>
        <w:spacing w:after="0" w:line="266" w:lineRule="auto"/>
        <w:tabs>
          <w:tab w:leader="none" w:pos="655"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Property improvement projects generally consist of façade renovations, site improvements, landscaping, improved outdoor amenity spaces, and other upgrades to improve the overall look and environment of the property. These projects improve overall tenant and customer experiences, improve market rents, drive leasing demand, and/or provide outdoor spaces critical to meeting the needs of the current environment. Returns on these projects are typically seen over one to five years, however, some projects could extend beyond that. Projected ROI range reflects management's best estimate of the long term expected return on cost of these investments.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028" w:right="339" w:bottom="1440" w:gutter="0" w:footer="0" w:header="0"/>
        </w:sectPr>
      </w:pPr>
    </w:p>
    <w:bookmarkStart w:id="20" w:name="page21"/>
    <w:bookmarkEnd w:id="20"/>
    <w:p>
      <w:pPr>
        <w:ind w:left="2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Assembly Row, Pike &amp; Rose, and Santana Row</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2022</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Impacts of Current Environment:</w:t>
      </w:r>
    </w:p>
    <w:p>
      <w:pPr>
        <w:spacing w:after="0" w:line="34" w:lineRule="exact"/>
        <w:rPr>
          <w:sz w:val="20"/>
          <w:szCs w:val="20"/>
          <w:color w:val="auto"/>
        </w:rPr>
      </w:pPr>
    </w:p>
    <w:p>
      <w:pPr>
        <w:ind w:left="20" w:right="40"/>
        <w:spacing w:after="0" w:line="232" w:lineRule="auto"/>
        <w:rPr>
          <w:sz w:val="20"/>
          <w:szCs w:val="20"/>
          <w:color w:val="auto"/>
        </w:rPr>
      </w:pPr>
      <w:r>
        <w:rPr>
          <w:rFonts w:ascii="Times New Roman" w:cs="Times New Roman" w:eastAsia="Times New Roman" w:hAnsi="Times New Roman"/>
          <w:sz w:val="16"/>
          <w:szCs w:val="16"/>
          <w:color w:val="auto"/>
        </w:rPr>
        <w:t>Information provided below reflects management’s best estimate based on current available information, however the completion of construction, final costs, return on investment, and timing of stabilization may be impacted by the current environment, including the impacts of COVID-19 and supply chain disruptions affecting the broader economy.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Projected POI Delivered</w:t>
            </w: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a % of Total)</w:t>
            </w:r>
          </w:p>
        </w:tc>
        <w:tc>
          <w:tcPr>
            <w:tcW w:w="2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320" w:type="dxa"/>
            <w:vAlign w:val="bottom"/>
            <w:vMerge w:val="restart"/>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Projected</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vMerge w:val="restart"/>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Costs to</w:t>
            </w:r>
          </w:p>
        </w:tc>
        <w:tc>
          <w:tcPr>
            <w:tcW w:w="2020" w:type="dxa"/>
            <w:vAlign w:val="bottom"/>
            <w:gridSpan w:val="3"/>
          </w:tcPr>
          <w:p>
            <w:pPr>
              <w:jc w:val="center"/>
              <w:ind w:right="80"/>
              <w:spacing w:after="0" w:line="159" w:lineRule="exact"/>
              <w:rPr>
                <w:sz w:val="20"/>
                <w:szCs w:val="20"/>
                <w:color w:val="auto"/>
              </w:rPr>
            </w:pPr>
            <w:r>
              <w:rPr>
                <w:rFonts w:ascii="Times New Roman" w:cs="Times New Roman" w:eastAsia="Times New Roman" w:hAnsi="Times New Roman"/>
                <w:sz w:val="14"/>
                <w:szCs w:val="14"/>
                <w:b w:val="1"/>
                <w:bCs w:val="1"/>
                <w:color w:val="auto"/>
              </w:rPr>
              <w:t>For Year Ended December 31,</w:t>
            </w:r>
          </w:p>
        </w:tc>
        <w:tc>
          <w:tcPr>
            <w:tcW w:w="2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748"/>
              <w:spacing w:after="0"/>
              <w:rPr>
                <w:sz w:val="20"/>
                <w:szCs w:val="20"/>
                <w:color w:val="auto"/>
              </w:rPr>
            </w:pPr>
            <w:r>
              <w:rPr>
                <w:rFonts w:ascii="Times New Roman" w:cs="Times New Roman" w:eastAsia="Times New Roman" w:hAnsi="Times New Roman"/>
                <w:sz w:val="14"/>
                <w:szCs w:val="14"/>
                <w:b w:val="1"/>
                <w:bCs w:val="1"/>
                <w:color w:val="auto"/>
              </w:rPr>
              <w:t>(2)</w:t>
            </w:r>
          </w:p>
        </w:tc>
        <w:tc>
          <w:tcPr>
            <w:tcW w:w="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Property (1)</w:t>
            </w:r>
          </w:p>
        </w:tc>
        <w:tc>
          <w:tcPr>
            <w:tcW w:w="232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Opportunity</w:t>
            </w:r>
          </w:p>
        </w:tc>
        <w:tc>
          <w:tcPr>
            <w:tcW w:w="1320" w:type="dxa"/>
            <w:vAlign w:val="bottom"/>
            <w:tcBorders>
              <w:bottom w:val="single" w:sz="8" w:color="auto"/>
            </w:tcBorders>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rPr>
              <w:t>ROI (2)</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Cost (3)</w:t>
            </w:r>
          </w:p>
        </w:tc>
        <w:tc>
          <w:tcPr>
            <w:tcW w:w="940" w:type="dxa"/>
            <w:vAlign w:val="bottom"/>
            <w:tcBorders>
              <w:bottom w:val="single" w:sz="8" w:color="auto"/>
            </w:tcBorders>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Date</w:t>
            </w:r>
          </w:p>
        </w:tc>
        <w:tc>
          <w:tcPr>
            <w:tcW w:w="820" w:type="dxa"/>
            <w:vAlign w:val="bottom"/>
            <w:tcBorders>
              <w:bottom w:val="single" w:sz="8" w:color="auto"/>
            </w:tcBorders>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120" w:type="dxa"/>
            <w:vAlign w:val="bottom"/>
            <w:tcBorders>
              <w:bottom w:val="single" w:sz="8" w:color="auto"/>
            </w:tcBorders>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7"/>
                <w:szCs w:val="17"/>
                <w:color w:val="auto"/>
              </w:rPr>
            </w:pPr>
          </w:p>
        </w:tc>
        <w:tc>
          <w:tcPr>
            <w:tcW w:w="2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Expected Opening Timeframe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color w:val="auto"/>
              </w:rPr>
              <w:t>(in</w:t>
            </w:r>
          </w:p>
        </w:tc>
        <w:tc>
          <w:tcPr>
            <w:tcW w:w="940" w:type="dxa"/>
            <w:vAlign w:val="bottom"/>
          </w:tcPr>
          <w:p>
            <w:pPr>
              <w:jc w:val="center"/>
              <w:ind w:right="169"/>
              <w:spacing w:after="0" w:line="136" w:lineRule="exact"/>
              <w:rPr>
                <w:sz w:val="20"/>
                <w:szCs w:val="20"/>
                <w:color w:val="auto"/>
              </w:rPr>
            </w:pPr>
            <w:r>
              <w:rPr>
                <w:rFonts w:ascii="Times New Roman" w:cs="Times New Roman" w:eastAsia="Times New Roman" w:hAnsi="Times New Roman"/>
                <w:sz w:val="13"/>
                <w:szCs w:val="13"/>
                <w:color w:val="auto"/>
                <w:w w:val="96"/>
              </w:rPr>
              <w:t>(in</w:t>
            </w: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millions)</w:t>
            </w:r>
          </w:p>
        </w:tc>
        <w:tc>
          <w:tcPr>
            <w:tcW w:w="940" w:type="dxa"/>
            <w:vAlign w:val="bottom"/>
          </w:tcPr>
          <w:p>
            <w:pPr>
              <w:jc w:val="center"/>
              <w:ind w:right="149"/>
              <w:spacing w:after="0"/>
              <w:rPr>
                <w:sz w:val="20"/>
                <w:szCs w:val="20"/>
                <w:color w:val="auto"/>
              </w:rPr>
            </w:pPr>
            <w:r>
              <w:rPr>
                <w:rFonts w:ascii="Times New Roman" w:cs="Times New Roman" w:eastAsia="Times New Roman" w:hAnsi="Times New Roman"/>
                <w:sz w:val="13"/>
                <w:szCs w:val="13"/>
                <w:color w:val="auto"/>
              </w:rPr>
              <w:t>millions)</w:t>
            </w: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 xml:space="preserve">Assembly Row, </w:t>
            </w:r>
            <w:r>
              <w:rPr>
                <w:rFonts w:ascii="Times New Roman" w:cs="Times New Roman" w:eastAsia="Times New Roman" w:hAnsi="Times New Roman"/>
                <w:sz w:val="14"/>
                <w:szCs w:val="14"/>
                <w:b w:val="1"/>
                <w:bCs w:val="1"/>
                <w:i w:val="1"/>
                <w:iCs w:val="1"/>
                <w:color w:val="auto"/>
              </w:rPr>
              <w:t>Somerville, MA</w:t>
            </w:r>
          </w:p>
        </w:tc>
        <w:tc>
          <w:tcPr>
            <w:tcW w:w="1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Phase III</w:t>
            </w:r>
          </w:p>
        </w:tc>
        <w:tc>
          <w:tcPr>
            <w:tcW w:w="2320" w:type="dxa"/>
            <w:vAlign w:val="bottom"/>
            <w:gridSpan w:val="4"/>
            <w:shd w:val="clear" w:color="auto" w:fill="CCEEFF"/>
          </w:tcPr>
          <w:p>
            <w:pPr>
              <w:ind w:left="60"/>
              <w:spacing w:after="0" w:line="135" w:lineRule="exact"/>
              <w:rPr>
                <w:sz w:val="20"/>
                <w:szCs w:val="20"/>
                <w:color w:val="auto"/>
              </w:rPr>
            </w:pPr>
            <w:r>
              <w:rPr>
                <w:rFonts w:ascii="Times New Roman" w:cs="Times New Roman" w:eastAsia="Times New Roman" w:hAnsi="Times New Roman"/>
                <w:sz w:val="14"/>
                <w:szCs w:val="14"/>
                <w:color w:val="auto"/>
              </w:rPr>
              <w:t>- 277,000 SF of office</w:t>
            </w:r>
          </w:p>
        </w:tc>
        <w:tc>
          <w:tcPr>
            <w:tcW w:w="1320" w:type="dxa"/>
            <w:vAlign w:val="bottom"/>
            <w:shd w:val="clear" w:color="auto" w:fill="CCEEFF"/>
          </w:tcPr>
          <w:p>
            <w:pPr>
              <w:jc w:val="center"/>
              <w:ind w:left="488"/>
              <w:spacing w:after="0" w:line="135" w:lineRule="exact"/>
              <w:rPr>
                <w:sz w:val="20"/>
                <w:szCs w:val="20"/>
                <w:color w:val="auto"/>
              </w:rPr>
            </w:pPr>
            <w:r>
              <w:rPr>
                <w:rFonts w:ascii="Times New Roman" w:cs="Times New Roman" w:eastAsia="Times New Roman" w:hAnsi="Times New Roman"/>
                <w:sz w:val="14"/>
                <w:szCs w:val="14"/>
                <w:color w:val="auto"/>
              </w:rPr>
              <w:t>6%</w:t>
            </w:r>
          </w:p>
        </w:tc>
        <w:tc>
          <w:tcPr>
            <w:tcW w:w="80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rPr>
              <w:t>$475 - 485</w:t>
            </w:r>
          </w:p>
        </w:tc>
        <w:tc>
          <w:tcPr>
            <w:tcW w:w="94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4"/>
                <w:szCs w:val="14"/>
                <w:color w:val="auto"/>
              </w:rPr>
              <w:t>$472</w:t>
            </w:r>
          </w:p>
        </w:tc>
        <w:tc>
          <w:tcPr>
            <w:tcW w:w="820" w:type="dxa"/>
            <w:vAlign w:val="bottom"/>
            <w:shd w:val="clear" w:color="auto" w:fill="CCEEFF"/>
          </w:tcPr>
          <w:p>
            <w:pPr>
              <w:jc w:val="center"/>
              <w:ind w:left="68"/>
              <w:spacing w:after="0" w:line="135" w:lineRule="exact"/>
              <w:rPr>
                <w:sz w:val="20"/>
                <w:szCs w:val="20"/>
                <w:color w:val="auto"/>
              </w:rPr>
            </w:pPr>
            <w:r>
              <w:rPr>
                <w:rFonts w:ascii="Times New Roman" w:cs="Times New Roman" w:eastAsia="Times New Roman" w:hAnsi="Times New Roman"/>
                <w:sz w:val="14"/>
                <w:szCs w:val="14"/>
                <w:color w:val="auto"/>
              </w:rPr>
              <w:t>70 - 75%</w:t>
            </w:r>
          </w:p>
        </w:tc>
        <w:tc>
          <w:tcPr>
            <w:tcW w:w="1120" w:type="dxa"/>
            <w:vAlign w:val="bottom"/>
            <w:shd w:val="clear" w:color="auto" w:fill="CCEEFF"/>
          </w:tcPr>
          <w:p>
            <w:pPr>
              <w:jc w:val="center"/>
              <w:ind w:left="48"/>
              <w:spacing w:after="0" w:line="135" w:lineRule="exact"/>
              <w:rPr>
                <w:sz w:val="20"/>
                <w:szCs w:val="20"/>
                <w:color w:val="auto"/>
              </w:rPr>
            </w:pPr>
            <w:r>
              <w:rPr>
                <w:rFonts w:ascii="Times New Roman" w:cs="Times New Roman" w:eastAsia="Times New Roman" w:hAnsi="Times New Roman"/>
                <w:sz w:val="14"/>
                <w:szCs w:val="14"/>
                <w:color w:val="auto"/>
              </w:rPr>
              <w:t>95 - 100%</w:t>
            </w:r>
          </w:p>
        </w:tc>
        <w:tc>
          <w:tcPr>
            <w:tcW w:w="80" w:type="dxa"/>
            <w:vAlign w:val="bottom"/>
            <w:shd w:val="clear" w:color="auto" w:fill="CCEEFF"/>
          </w:tcPr>
          <w:p>
            <w:pPr>
              <w:spacing w:after="0"/>
              <w:rPr>
                <w:sz w:val="11"/>
                <w:szCs w:val="11"/>
                <w:color w:val="auto"/>
              </w:rPr>
            </w:pPr>
          </w:p>
        </w:tc>
        <w:tc>
          <w:tcPr>
            <w:tcW w:w="22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300,000 SF of commercial space</w:t>
            </w:r>
          </w:p>
        </w:tc>
        <w:tc>
          <w:tcPr>
            <w:tcW w:w="0" w:type="dxa"/>
            <w:vAlign w:val="bottom"/>
          </w:tcPr>
          <w:p>
            <w:pPr>
              <w:spacing w:after="0"/>
              <w:rPr>
                <w:sz w:val="1"/>
                <w:szCs w:val="1"/>
                <w:color w:val="auto"/>
              </w:rPr>
            </w:pPr>
          </w:p>
        </w:tc>
      </w:tr>
      <w:tr>
        <w:trPr>
          <w:trHeight w:val="139"/>
        </w:trPr>
        <w:tc>
          <w:tcPr>
            <w:tcW w:w="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320" w:type="dxa"/>
            <w:vAlign w:val="bottom"/>
            <w:gridSpan w:val="4"/>
            <w:shd w:val="clear" w:color="auto" w:fill="CCEEFF"/>
          </w:tcPr>
          <w:p>
            <w:pPr>
              <w:ind w:left="60"/>
              <w:spacing w:after="0" w:line="139" w:lineRule="exact"/>
              <w:rPr>
                <w:sz w:val="20"/>
                <w:szCs w:val="20"/>
                <w:color w:val="auto"/>
              </w:rPr>
            </w:pPr>
            <w:r>
              <w:rPr>
                <w:rFonts w:ascii="Times New Roman" w:cs="Times New Roman" w:eastAsia="Times New Roman" w:hAnsi="Times New Roman"/>
                <w:sz w:val="14"/>
                <w:szCs w:val="14"/>
                <w:color w:val="auto"/>
              </w:rPr>
              <w:t>- 500 residential units</w:t>
            </w:r>
          </w:p>
        </w:tc>
        <w:tc>
          <w:tcPr>
            <w:tcW w:w="1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leased</w:t>
            </w: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320" w:type="dxa"/>
            <w:vAlign w:val="bottom"/>
            <w:gridSpan w:val="4"/>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- 56,000 SF of retail</w:t>
            </w:r>
          </w:p>
        </w:tc>
        <w:tc>
          <w:tcPr>
            <w:tcW w:w="1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Residential units - 96% leased at</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84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9/30/22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0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Future Phases</w:t>
            </w:r>
          </w:p>
        </w:tc>
        <w:tc>
          <w:tcPr>
            <w:tcW w:w="2320" w:type="dxa"/>
            <w:vAlign w:val="bottom"/>
            <w:gridSpan w:val="4"/>
          </w:tcPr>
          <w:p>
            <w:pPr>
              <w:ind w:left="60"/>
              <w:spacing w:after="0" w:line="135" w:lineRule="exact"/>
              <w:rPr>
                <w:sz w:val="20"/>
                <w:szCs w:val="20"/>
                <w:color w:val="auto"/>
              </w:rPr>
            </w:pPr>
            <w:r>
              <w:rPr>
                <w:rFonts w:ascii="Times New Roman" w:cs="Times New Roman" w:eastAsia="Times New Roman" w:hAnsi="Times New Roman"/>
                <w:sz w:val="14"/>
                <w:szCs w:val="14"/>
                <w:color w:val="auto"/>
              </w:rPr>
              <w:t>- 1.5M SF of commercial</w:t>
            </w:r>
          </w:p>
        </w:tc>
        <w:tc>
          <w:tcPr>
            <w:tcW w:w="1320" w:type="dxa"/>
            <w:vAlign w:val="bottom"/>
          </w:tcPr>
          <w:p>
            <w:pPr>
              <w:jc w:val="center"/>
              <w:ind w:left="488"/>
              <w:spacing w:after="0" w:line="135" w:lineRule="exact"/>
              <w:rPr>
                <w:sz w:val="20"/>
                <w:szCs w:val="20"/>
                <w:color w:val="auto"/>
              </w:rPr>
            </w:pPr>
            <w:r>
              <w:rPr>
                <w:rFonts w:ascii="Times New Roman" w:cs="Times New Roman" w:eastAsia="Times New Roman" w:hAnsi="Times New Roman"/>
                <w:sz w:val="14"/>
                <w:szCs w:val="14"/>
                <w:color w:val="auto"/>
                <w:w w:val="99"/>
              </w:rPr>
              <w:t>TBD</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TBD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32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- 326 residential units</w:t>
            </w:r>
          </w:p>
        </w:tc>
        <w:tc>
          <w:tcPr>
            <w:tcW w:w="1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68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2080" w:type="dxa"/>
            <w:vAlign w:val="bottom"/>
            <w:tcBorders>
              <w:bottom w:val="single" w:sz="8" w:color="auto"/>
            </w:tcBorders>
            <w:gridSpan w:val="4"/>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Pike &amp; Rose, </w:t>
            </w:r>
            <w:r>
              <w:rPr>
                <w:rFonts w:ascii="Times New Roman" w:cs="Times New Roman" w:eastAsia="Times New Roman" w:hAnsi="Times New Roman"/>
                <w:sz w:val="14"/>
                <w:szCs w:val="14"/>
                <w:b w:val="1"/>
                <w:bCs w:val="1"/>
                <w:i w:val="1"/>
                <w:iCs w:val="1"/>
                <w:color w:val="auto"/>
              </w:rPr>
              <w:t>North Bethesda, MD</w:t>
            </w:r>
          </w:p>
        </w:tc>
        <w:tc>
          <w:tcPr>
            <w:tcW w:w="184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0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909 Rose Avenue (Phase</w:t>
            </w:r>
          </w:p>
        </w:tc>
        <w:tc>
          <w:tcPr>
            <w:tcW w:w="2320" w:type="dxa"/>
            <w:vAlign w:val="bottom"/>
            <w:gridSpan w:val="4"/>
          </w:tcPr>
          <w:p>
            <w:pPr>
              <w:ind w:left="60"/>
              <w:spacing w:after="0" w:line="135" w:lineRule="exact"/>
              <w:rPr>
                <w:sz w:val="20"/>
                <w:szCs w:val="20"/>
                <w:color w:val="auto"/>
              </w:rPr>
            </w:pPr>
            <w:r>
              <w:rPr>
                <w:rFonts w:ascii="Times New Roman" w:cs="Times New Roman" w:eastAsia="Times New Roman" w:hAnsi="Times New Roman"/>
                <w:sz w:val="14"/>
                <w:szCs w:val="14"/>
                <w:color w:val="auto"/>
              </w:rPr>
              <w:t>-212,000 SF of office</w:t>
            </w:r>
          </w:p>
        </w:tc>
        <w:tc>
          <w:tcPr>
            <w:tcW w:w="1320" w:type="dxa"/>
            <w:vAlign w:val="bottom"/>
          </w:tcPr>
          <w:p>
            <w:pPr>
              <w:jc w:val="center"/>
              <w:ind w:left="488"/>
              <w:spacing w:after="0" w:line="135" w:lineRule="exact"/>
              <w:rPr>
                <w:sz w:val="20"/>
                <w:szCs w:val="20"/>
                <w:color w:val="auto"/>
              </w:rPr>
            </w:pPr>
            <w:r>
              <w:rPr>
                <w:rFonts w:ascii="Times New Roman" w:cs="Times New Roman" w:eastAsia="Times New Roman" w:hAnsi="Times New Roman"/>
                <w:sz w:val="14"/>
                <w:szCs w:val="14"/>
                <w:color w:val="auto"/>
              </w:rPr>
              <w:t>6-7%</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$130 - 135</w:t>
            </w:r>
          </w:p>
        </w:tc>
        <w:tc>
          <w:tcPr>
            <w:tcW w:w="940" w:type="dxa"/>
            <w:vAlign w:val="bottom"/>
          </w:tcPr>
          <w:p>
            <w:pPr>
              <w:ind w:left="200"/>
              <w:spacing w:after="0" w:line="135" w:lineRule="exact"/>
              <w:rPr>
                <w:sz w:val="20"/>
                <w:szCs w:val="20"/>
                <w:color w:val="auto"/>
              </w:rPr>
            </w:pPr>
            <w:r>
              <w:rPr>
                <w:rFonts w:ascii="Times New Roman" w:cs="Times New Roman" w:eastAsia="Times New Roman" w:hAnsi="Times New Roman"/>
                <w:sz w:val="14"/>
                <w:szCs w:val="14"/>
                <w:color w:val="auto"/>
              </w:rPr>
              <w:t>$126   (4)</w:t>
            </w:r>
          </w:p>
        </w:tc>
        <w:tc>
          <w:tcPr>
            <w:tcW w:w="820" w:type="dxa"/>
            <w:vAlign w:val="bottom"/>
          </w:tcPr>
          <w:p>
            <w:pPr>
              <w:jc w:val="center"/>
              <w:ind w:left="68"/>
              <w:spacing w:after="0" w:line="135" w:lineRule="exact"/>
              <w:rPr>
                <w:sz w:val="20"/>
                <w:szCs w:val="20"/>
                <w:color w:val="auto"/>
              </w:rPr>
            </w:pPr>
            <w:r>
              <w:rPr>
                <w:rFonts w:ascii="Times New Roman" w:cs="Times New Roman" w:eastAsia="Times New Roman" w:hAnsi="Times New Roman"/>
                <w:sz w:val="14"/>
                <w:szCs w:val="14"/>
                <w:color w:val="auto"/>
              </w:rPr>
              <w:t>65 - 70%</w:t>
            </w:r>
          </w:p>
        </w:tc>
        <w:tc>
          <w:tcPr>
            <w:tcW w:w="1120" w:type="dxa"/>
            <w:vAlign w:val="bottom"/>
          </w:tcPr>
          <w:p>
            <w:pPr>
              <w:jc w:val="center"/>
              <w:ind w:left="48"/>
              <w:spacing w:after="0" w:line="135" w:lineRule="exact"/>
              <w:rPr>
                <w:sz w:val="20"/>
                <w:szCs w:val="20"/>
                <w:color w:val="auto"/>
              </w:rPr>
            </w:pPr>
            <w:r>
              <w:rPr>
                <w:rFonts w:ascii="Times New Roman" w:cs="Times New Roman" w:eastAsia="Times New Roman" w:hAnsi="Times New Roman"/>
                <w:sz w:val="14"/>
                <w:szCs w:val="14"/>
                <w:color w:val="auto"/>
              </w:rPr>
              <w:t>95 - 100%</w:t>
            </w:r>
          </w:p>
        </w:tc>
        <w:tc>
          <w:tcPr>
            <w:tcW w:w="80" w:type="dxa"/>
            <w:vAlign w:val="bottom"/>
          </w:tcPr>
          <w:p>
            <w:pPr>
              <w:spacing w:after="0"/>
              <w:rPr>
                <w:sz w:val="11"/>
                <w:szCs w:val="11"/>
                <w:color w:val="auto"/>
              </w:rPr>
            </w:pPr>
          </w:p>
        </w:tc>
        <w:tc>
          <w:tcPr>
            <w:tcW w:w="22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Office/Retail fully leased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4"/>
                <w:szCs w:val="14"/>
                <w:color w:val="auto"/>
              </w:rPr>
              <w:t>III)</w:t>
            </w:r>
          </w:p>
        </w:tc>
        <w:tc>
          <w:tcPr>
            <w:tcW w:w="232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-7,000 SF of retail</w:t>
            </w:r>
          </w:p>
        </w:tc>
        <w:tc>
          <w:tcPr>
            <w:tcW w:w="1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915 Meeting Street (Phase</w:t>
            </w:r>
          </w:p>
        </w:tc>
        <w:tc>
          <w:tcPr>
            <w:tcW w:w="2320" w:type="dxa"/>
            <w:vAlign w:val="bottom"/>
            <w:gridSpan w:val="4"/>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color w:val="auto"/>
              </w:rPr>
              <w:t>-266,000 SF of office</w:t>
            </w:r>
          </w:p>
        </w:tc>
        <w:tc>
          <w:tcPr>
            <w:tcW w:w="1320" w:type="dxa"/>
            <w:vAlign w:val="bottom"/>
            <w:shd w:val="clear" w:color="auto" w:fill="CCEEFF"/>
          </w:tcPr>
          <w:p>
            <w:pPr>
              <w:jc w:val="center"/>
              <w:ind w:left="488"/>
              <w:spacing w:after="0" w:line="142" w:lineRule="exact"/>
              <w:rPr>
                <w:sz w:val="20"/>
                <w:szCs w:val="20"/>
                <w:color w:val="auto"/>
              </w:rPr>
            </w:pPr>
            <w:r>
              <w:rPr>
                <w:rFonts w:ascii="Times New Roman" w:cs="Times New Roman" w:eastAsia="Times New Roman" w:hAnsi="Times New Roman"/>
                <w:sz w:val="14"/>
                <w:szCs w:val="14"/>
                <w:color w:val="auto"/>
              </w:rPr>
              <w:t>6%</w:t>
            </w:r>
          </w:p>
        </w:tc>
        <w:tc>
          <w:tcPr>
            <w:tcW w:w="8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$185 - 200</w:t>
            </w:r>
          </w:p>
        </w:tc>
        <w:tc>
          <w:tcPr>
            <w:tcW w:w="940" w:type="dxa"/>
            <w:vAlign w:val="bottom"/>
            <w:shd w:val="clear" w:color="auto" w:fill="CCEEFF"/>
          </w:tcPr>
          <w:p>
            <w:pPr>
              <w:jc w:val="center"/>
              <w:ind w:right="169"/>
              <w:spacing w:after="0" w:line="142" w:lineRule="exact"/>
              <w:rPr>
                <w:sz w:val="20"/>
                <w:szCs w:val="20"/>
                <w:color w:val="auto"/>
              </w:rPr>
            </w:pPr>
            <w:r>
              <w:rPr>
                <w:rFonts w:ascii="Times New Roman" w:cs="Times New Roman" w:eastAsia="Times New Roman" w:hAnsi="Times New Roman"/>
                <w:sz w:val="14"/>
                <w:szCs w:val="14"/>
                <w:color w:val="auto"/>
              </w:rPr>
              <w:t>$95</w:t>
            </w:r>
          </w:p>
        </w:tc>
        <w:tc>
          <w:tcPr>
            <w:tcW w:w="820" w:type="dxa"/>
            <w:vAlign w:val="bottom"/>
            <w:shd w:val="clear" w:color="auto" w:fill="CCEEFF"/>
          </w:tcPr>
          <w:p>
            <w:pPr>
              <w:jc w:val="center"/>
              <w:ind w:lef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22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157,000 SF of office space pre-leased</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IV)</w:t>
            </w:r>
          </w:p>
        </w:tc>
        <w:tc>
          <w:tcPr>
            <w:tcW w:w="232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-10,000 SF of retail</w:t>
            </w:r>
          </w:p>
        </w:tc>
        <w:tc>
          <w:tcPr>
            <w:tcW w:w="1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0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Future Phases</w:t>
            </w:r>
          </w:p>
        </w:tc>
        <w:tc>
          <w:tcPr>
            <w:tcW w:w="2320" w:type="dxa"/>
            <w:vAlign w:val="bottom"/>
            <w:gridSpan w:val="4"/>
          </w:tcPr>
          <w:p>
            <w:pPr>
              <w:ind w:left="60"/>
              <w:spacing w:after="0" w:line="135" w:lineRule="exact"/>
              <w:rPr>
                <w:sz w:val="20"/>
                <w:szCs w:val="20"/>
                <w:color w:val="auto"/>
              </w:rPr>
            </w:pPr>
            <w:r>
              <w:rPr>
                <w:rFonts w:ascii="Times New Roman" w:cs="Times New Roman" w:eastAsia="Times New Roman" w:hAnsi="Times New Roman"/>
                <w:sz w:val="14"/>
                <w:szCs w:val="14"/>
                <w:color w:val="auto"/>
              </w:rPr>
              <w:t>- 530,000 SF of commercial</w:t>
            </w:r>
          </w:p>
        </w:tc>
        <w:tc>
          <w:tcPr>
            <w:tcW w:w="1320" w:type="dxa"/>
            <w:vAlign w:val="bottom"/>
          </w:tcPr>
          <w:p>
            <w:pPr>
              <w:jc w:val="center"/>
              <w:ind w:left="488"/>
              <w:spacing w:after="0" w:line="135" w:lineRule="exact"/>
              <w:rPr>
                <w:sz w:val="20"/>
                <w:szCs w:val="20"/>
                <w:color w:val="auto"/>
              </w:rPr>
            </w:pPr>
            <w:r>
              <w:rPr>
                <w:rFonts w:ascii="Times New Roman" w:cs="Times New Roman" w:eastAsia="Times New Roman" w:hAnsi="Times New Roman"/>
                <w:sz w:val="14"/>
                <w:szCs w:val="14"/>
                <w:color w:val="auto"/>
                <w:w w:val="99"/>
              </w:rPr>
              <w:t>TBD</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TBD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32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- 741 residential units</w:t>
            </w:r>
          </w:p>
        </w:tc>
        <w:tc>
          <w:tcPr>
            <w:tcW w:w="1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68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392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Santana Row, </w:t>
            </w:r>
            <w:r>
              <w:rPr>
                <w:rFonts w:ascii="Times New Roman" w:cs="Times New Roman" w:eastAsia="Times New Roman" w:hAnsi="Times New Roman"/>
                <w:sz w:val="14"/>
                <w:szCs w:val="14"/>
                <w:b w:val="1"/>
                <w:bCs w:val="1"/>
                <w:i w:val="1"/>
                <w:iCs w:val="1"/>
                <w:color w:val="auto"/>
              </w:rPr>
              <w:t>San Jose, CA</w:t>
            </w:r>
          </w:p>
        </w:tc>
        <w:tc>
          <w:tcPr>
            <w:tcW w:w="1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4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4"/>
                <w:szCs w:val="14"/>
                <w:color w:val="auto"/>
              </w:rPr>
              <w:t>Santana West</w:t>
            </w:r>
          </w:p>
        </w:tc>
        <w:tc>
          <w:tcPr>
            <w:tcW w:w="232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- 376,000 SF of office</w:t>
            </w:r>
          </w:p>
        </w:tc>
        <w:tc>
          <w:tcPr>
            <w:tcW w:w="1320" w:type="dxa"/>
            <w:vAlign w:val="bottom"/>
          </w:tcPr>
          <w:p>
            <w:pPr>
              <w:jc w:val="center"/>
              <w:ind w:left="488"/>
              <w:spacing w:after="0"/>
              <w:rPr>
                <w:sz w:val="20"/>
                <w:szCs w:val="20"/>
                <w:color w:val="auto"/>
              </w:rPr>
            </w:pPr>
            <w:r>
              <w:rPr>
                <w:rFonts w:ascii="Times New Roman" w:cs="Times New Roman" w:eastAsia="Times New Roman" w:hAnsi="Times New Roman"/>
                <w:sz w:val="14"/>
                <w:szCs w:val="14"/>
                <w:color w:val="auto"/>
              </w:rPr>
              <w:t>6-7%</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$300 - 315</w:t>
            </w:r>
          </w:p>
        </w:tc>
        <w:tc>
          <w:tcPr>
            <w:tcW w:w="9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$203</w:t>
            </w:r>
          </w:p>
        </w:tc>
        <w:tc>
          <w:tcPr>
            <w:tcW w:w="82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Future Phases</w:t>
            </w:r>
          </w:p>
        </w:tc>
        <w:tc>
          <w:tcPr>
            <w:tcW w:w="2320" w:type="dxa"/>
            <w:vAlign w:val="bottom"/>
            <w:gridSpan w:val="4"/>
          </w:tcPr>
          <w:p>
            <w:pPr>
              <w:ind w:left="60"/>
              <w:spacing w:after="0" w:line="156" w:lineRule="exact"/>
              <w:rPr>
                <w:sz w:val="20"/>
                <w:szCs w:val="20"/>
                <w:color w:val="auto"/>
              </w:rPr>
            </w:pPr>
            <w:r>
              <w:rPr>
                <w:rFonts w:ascii="Times New Roman" w:cs="Times New Roman" w:eastAsia="Times New Roman" w:hAnsi="Times New Roman"/>
                <w:sz w:val="14"/>
                <w:szCs w:val="14"/>
                <w:color w:val="auto"/>
              </w:rPr>
              <w:t>-321,000 SF of commercial</w:t>
            </w:r>
          </w:p>
        </w:tc>
        <w:tc>
          <w:tcPr>
            <w:tcW w:w="1320" w:type="dxa"/>
            <w:vAlign w:val="bottom"/>
          </w:tcPr>
          <w:p>
            <w:pPr>
              <w:jc w:val="center"/>
              <w:ind w:left="488"/>
              <w:spacing w:after="0" w:line="156" w:lineRule="exact"/>
              <w:rPr>
                <w:sz w:val="20"/>
                <w:szCs w:val="20"/>
                <w:color w:val="auto"/>
              </w:rPr>
            </w:pPr>
            <w:r>
              <w:rPr>
                <w:rFonts w:ascii="Times New Roman" w:cs="Times New Roman" w:eastAsia="Times New Roman" w:hAnsi="Times New Roman"/>
                <w:sz w:val="14"/>
                <w:szCs w:val="14"/>
                <w:color w:val="auto"/>
                <w:w w:val="99"/>
              </w:rPr>
              <w:t>TBD</w:t>
            </w:r>
          </w:p>
        </w:tc>
        <w:tc>
          <w:tcPr>
            <w:tcW w:w="80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color w:val="auto"/>
                <w:w w:val="99"/>
              </w:rPr>
              <w:t>TBD</w:t>
            </w: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23430" cy="4032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3430" cy="403225"/>
                    </a:xfrm>
                    <a:prstGeom prst="rect">
                      <a:avLst/>
                    </a:prstGeom>
                    <a:noFill/>
                  </pic:spPr>
                </pic:pic>
              </a:graphicData>
            </a:graphic>
          </wp:anchor>
        </w:drawing>
      </w:r>
    </w:p>
    <w:p>
      <w:pPr>
        <w:ind w:left="1680"/>
        <w:spacing w:after="0" w:line="221" w:lineRule="auto"/>
        <w:rPr>
          <w:sz w:val="20"/>
          <w:szCs w:val="20"/>
          <w:color w:val="auto"/>
        </w:rPr>
      </w:pPr>
      <w:r>
        <w:rPr>
          <w:rFonts w:ascii="Times New Roman" w:cs="Times New Roman" w:eastAsia="Times New Roman" w:hAnsi="Times New Roman"/>
          <w:sz w:val="14"/>
          <w:szCs w:val="14"/>
          <w:color w:val="auto"/>
        </w:rPr>
        <w:t>-395 residential units</w:t>
      </w:r>
    </w:p>
    <w:p>
      <w:pPr>
        <w:ind w:left="1680"/>
        <w:spacing w:after="0" w:line="221" w:lineRule="auto"/>
        <w:rPr>
          <w:sz w:val="20"/>
          <w:szCs w:val="20"/>
          <w:color w:val="auto"/>
        </w:rPr>
      </w:pPr>
      <w:r>
        <w:rPr>
          <w:rFonts w:ascii="Times New Roman" w:cs="Times New Roman" w:eastAsia="Times New Roman" w:hAnsi="Times New Roman"/>
          <w:sz w:val="14"/>
          <w:szCs w:val="14"/>
          <w:color w:val="auto"/>
        </w:rPr>
        <w:t>-604,000 SF of commercial across from</w:t>
      </w:r>
    </w:p>
    <w:p>
      <w:pPr>
        <w:spacing w:after="0" w:line="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Santana Row</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Notes:</w:t>
      </w:r>
    </w:p>
    <w:p>
      <w:pPr>
        <w:spacing w:after="0" w:line="27" w:lineRule="exact"/>
        <w:rPr>
          <w:sz w:val="20"/>
          <w:szCs w:val="20"/>
          <w:color w:val="auto"/>
        </w:rPr>
      </w:pPr>
    </w:p>
    <w:p>
      <w:pPr>
        <w:ind w:left="660" w:right="20" w:hanging="652"/>
        <w:spacing w:after="0" w:line="261" w:lineRule="auto"/>
        <w:tabs>
          <w:tab w:leader="none" w:pos="65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Anticipated opening dates, total cost, and projected return on investment (ROI), and projected POI delivered are subject to adjustment as a result of factors inherent in the development process, some of which may not be under the direct control of the Company. Refer to the Company's filings with the Securities and Exchange Commission on Form 10-K and Form 10-Q for other risk factors.</w:t>
      </w:r>
    </w:p>
    <w:p>
      <w:pPr>
        <w:spacing w:after="0" w:line="1" w:lineRule="exact"/>
        <w:rPr>
          <w:rFonts w:ascii="Times New Roman" w:cs="Times New Roman" w:eastAsia="Times New Roman" w:hAnsi="Times New Roman"/>
          <w:sz w:val="14"/>
          <w:szCs w:val="14"/>
          <w:color w:val="auto"/>
        </w:rPr>
      </w:pPr>
    </w:p>
    <w:p>
      <w:pPr>
        <w:ind w:left="660" w:right="180" w:hanging="652"/>
        <w:spacing w:after="0" w:line="251" w:lineRule="auto"/>
        <w:tabs>
          <w:tab w:leader="none" w:pos="65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Projected ROI for development projects reflects the unleveraged Property Operating Income (POI) generated by the development and is calculated as POI divided by cost. Projected POI delivered includes straight-line rent.</w:t>
      </w:r>
    </w:p>
    <w:p>
      <w:pPr>
        <w:ind w:left="660" w:right="120" w:hanging="652"/>
        <w:spacing w:after="0" w:line="261" w:lineRule="auto"/>
        <w:tabs>
          <w:tab w:leader="none" w:pos="65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Projected costs for Assembly Row and Pike &amp; Rose include an allocation of infrastructure costs for the entire project. Phase I of Santana West includes an allocation of infrastructure for the Santana West site.</w:t>
      </w:r>
    </w:p>
    <w:p>
      <w:pPr>
        <w:ind w:left="660" w:right="500" w:hanging="652"/>
        <w:spacing w:after="0" w:line="263" w:lineRule="auto"/>
        <w:tabs>
          <w:tab w:leader="none" w:pos="65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Realty Investment Trust is leasing 45,000 square feet of office space at a market rent in Pike &amp; Rose Phase III delivered in August 2020. Revenue related to this rent is eliminated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20"/>
          </w:cols>
          <w:pgMar w:left="320" w:top="907" w:right="359" w:bottom="1440" w:gutter="0" w:footer="0" w:header="0"/>
        </w:sectPr>
      </w:pPr>
    </w:p>
    <w:bookmarkStart w:id="21" w:name="page22"/>
    <w:bookmarkEnd w:id="21"/>
    <w:p>
      <w:pPr>
        <w:ind w:left="20"/>
        <w:spacing w:after="0"/>
        <w:rPr>
          <w:sz w:val="20"/>
          <w:szCs w:val="20"/>
          <w:color w:val="auto"/>
        </w:rPr>
      </w:pPr>
      <w:r>
        <w:rPr>
          <w:rFonts w:ascii="Times New Roman" w:cs="Times New Roman" w:eastAsia="Times New Roman" w:hAnsi="Times New Roman"/>
          <w:sz w:val="17"/>
          <w:szCs w:val="17"/>
          <w:b w:val="1"/>
          <w:bCs w:val="1"/>
          <w:color w:val="auto"/>
        </w:rPr>
        <w:t>Federal Realty Investment Trust</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Future Redevelopment Opportunities</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September 30, 2022</w:t>
      </w:r>
    </w:p>
    <w:p>
      <w:pPr>
        <w:spacing w:after="0" w:line="289" w:lineRule="exact"/>
        <w:rPr>
          <w:sz w:val="20"/>
          <w:szCs w:val="20"/>
          <w:color w:val="auto"/>
        </w:rPr>
      </w:pPr>
    </w:p>
    <w:p>
      <w:pPr>
        <w:ind w:left="20" w:right="700"/>
        <w:spacing w:after="0" w:line="221" w:lineRule="auto"/>
        <w:rPr>
          <w:sz w:val="20"/>
          <w:szCs w:val="20"/>
          <w:color w:val="auto"/>
        </w:rPr>
      </w:pPr>
      <w:r>
        <w:rPr>
          <w:rFonts w:ascii="Times New Roman" w:cs="Times New Roman" w:eastAsia="Times New Roman" w:hAnsi="Times New Roman"/>
          <w:sz w:val="17"/>
          <w:szCs w:val="17"/>
          <w:b w:val="1"/>
          <w:bCs w:val="1"/>
          <w:i w:val="1"/>
          <w:iCs w:val="1"/>
          <w:color w:val="auto"/>
        </w:rPr>
        <w:t>We have identified the following potential opportunities to create future shareholder value. Executing these opportunities could be subject to government approvals, tenant consents, market conditions, etc. Work on many of these opportunities is in its preliminary stages and may not</w:t>
      </w:r>
    </w:p>
    <w:p>
      <w:pPr>
        <w:spacing w:after="0" w:line="1" w:lineRule="exact"/>
        <w:rPr>
          <w:sz w:val="20"/>
          <w:szCs w:val="20"/>
          <w:color w:val="auto"/>
        </w:rPr>
      </w:pPr>
    </w:p>
    <w:p>
      <w:pPr>
        <w:ind w:left="20" w:right="420"/>
        <w:spacing w:after="0" w:line="233" w:lineRule="auto"/>
        <w:rPr>
          <w:sz w:val="20"/>
          <w:szCs w:val="20"/>
          <w:color w:val="auto"/>
        </w:rPr>
      </w:pPr>
      <w:r>
        <w:rPr>
          <w:rFonts w:ascii="Times New Roman" w:cs="Times New Roman" w:eastAsia="Times New Roman" w:hAnsi="Times New Roman"/>
          <w:sz w:val="17"/>
          <w:szCs w:val="17"/>
          <w:b w:val="1"/>
          <w:bCs w:val="1"/>
          <w:i w:val="1"/>
          <w:iCs w:val="1"/>
          <w:color w:val="auto"/>
        </w:rPr>
        <w:t>ultimately come to fruition. This list will change from time to time as we identify hurdles that cannot be overcome in the near term, and focus on those opportunities that are most likely to lead to the creation of shareholder value over time.</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4260" w:type="dxa"/>
            <w:vAlign w:val="bottom"/>
            <w:tcBorders>
              <w:bottom w:val="single" w:sz="8" w:color="auto"/>
            </w:tcBorders>
            <w:gridSpan w:val="2"/>
            <w:shd w:val="clear" w:color="auto" w:fill="DBDBDB"/>
          </w:tcPr>
          <w:p>
            <w:pPr>
              <w:ind w:left="2020"/>
              <w:spacing w:after="0"/>
              <w:rPr>
                <w:sz w:val="20"/>
                <w:szCs w:val="20"/>
                <w:color w:val="auto"/>
              </w:rPr>
            </w:pPr>
            <w:r>
              <w:rPr>
                <w:rFonts w:ascii="Times New Roman" w:cs="Times New Roman" w:eastAsia="Times New Roman" w:hAnsi="Times New Roman"/>
                <w:sz w:val="17"/>
                <w:szCs w:val="17"/>
                <w:b w:val="1"/>
                <w:bCs w:val="1"/>
                <w:color w:val="auto"/>
              </w:rPr>
              <w:t>Redevelopment Opportunities</w:t>
            </w:r>
          </w:p>
        </w:tc>
        <w:tc>
          <w:tcPr>
            <w:tcW w:w="2000" w:type="dxa"/>
            <w:vAlign w:val="bottom"/>
            <w:tcBorders>
              <w:bottom w:val="single" w:sz="8" w:color="auto"/>
            </w:tcBorders>
            <w:shd w:val="clear" w:color="auto" w:fill="DBDBDB"/>
          </w:tcPr>
          <w:p>
            <w:pPr>
              <w:spacing w:after="0"/>
              <w:rPr>
                <w:sz w:val="19"/>
                <w:szCs w:val="19"/>
                <w:color w:val="auto"/>
              </w:rPr>
            </w:pPr>
          </w:p>
        </w:tc>
      </w:tr>
      <w:tr>
        <w:trPr>
          <w:trHeight w:val="221"/>
        </w:trPr>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Property</w:t>
            </w:r>
          </w:p>
        </w:tc>
        <w:tc>
          <w:tcPr>
            <w:tcW w:w="19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7"/>
                <w:szCs w:val="17"/>
                <w:b w:val="1"/>
                <w:bCs w:val="1"/>
                <w:color w:val="auto"/>
              </w:rPr>
              <w:t>Location</w:t>
            </w:r>
          </w:p>
        </w:tc>
        <w:tc>
          <w:tcPr>
            <w:tcW w:w="234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7"/>
                <w:szCs w:val="17"/>
                <w:b w:val="1"/>
                <w:bCs w:val="1"/>
                <w:color w:val="auto"/>
                <w:w w:val="99"/>
              </w:rPr>
              <w:t>Expansion/Conversion (4)</w:t>
            </w:r>
          </w:p>
        </w:tc>
        <w:tc>
          <w:tcPr>
            <w:tcW w:w="192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7"/>
                <w:szCs w:val="17"/>
                <w:b w:val="1"/>
                <w:bCs w:val="1"/>
                <w:color w:val="auto"/>
              </w:rPr>
              <w:t>Residential (5)</w:t>
            </w:r>
          </w:p>
        </w:tc>
        <w:tc>
          <w:tcPr>
            <w:tcW w:w="200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7"/>
                <w:szCs w:val="17"/>
                <w:b w:val="1"/>
                <w:bCs w:val="1"/>
                <w:color w:val="auto"/>
                <w:w w:val="98"/>
              </w:rPr>
              <w:t>Mixed Use - Long Term</w:t>
            </w:r>
          </w:p>
        </w:tc>
      </w:tr>
      <w:tr>
        <w:trPr>
          <w:trHeight w:val="238"/>
        </w:trPr>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Assembly Row (1)</w:t>
            </w:r>
          </w:p>
        </w:tc>
        <w:tc>
          <w:tcPr>
            <w:tcW w:w="1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Somerville, MA</w:t>
            </w:r>
          </w:p>
        </w:tc>
        <w:tc>
          <w:tcPr>
            <w:tcW w:w="23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00" w:type="dxa"/>
            <w:vAlign w:val="bottom"/>
          </w:tcPr>
          <w:p>
            <w:pPr>
              <w:jc w:val="center"/>
              <w:ind w:right="62"/>
              <w:spacing w:after="0" w:line="171" w:lineRule="exact"/>
              <w:rPr>
                <w:sz w:val="20"/>
                <w:szCs w:val="20"/>
                <w:color w:val="auto"/>
              </w:rPr>
            </w:pPr>
            <w:r>
              <w:rPr>
                <w:rFonts w:ascii="MS PGothic" w:cs="MS PGothic" w:eastAsia="MS PGothic" w:hAnsi="MS PGothic"/>
                <w:sz w:val="17"/>
                <w:szCs w:val="17"/>
                <w:color w:val="auto"/>
                <w:highlight w:val="black"/>
                <w:w w:val="93"/>
              </w:rPr>
              <w:t>✔</w:t>
            </w:r>
          </w:p>
        </w:tc>
      </w:tr>
      <w:tr>
        <w:trPr>
          <w:trHeight w:val="243"/>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 Cynwyd</w:t>
            </w:r>
          </w:p>
        </w:tc>
        <w:tc>
          <w:tcPr>
            <w:tcW w:w="1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Bala Cynwyd, PA</w:t>
            </w:r>
          </w:p>
        </w:tc>
        <w:tc>
          <w:tcPr>
            <w:tcW w:w="2340" w:type="dxa"/>
            <w:vAlign w:val="bottom"/>
            <w:shd w:val="clear" w:color="auto" w:fill="CCEEFF"/>
          </w:tcPr>
          <w:p>
            <w:pPr>
              <w:spacing w:after="0"/>
              <w:rPr>
                <w:sz w:val="21"/>
                <w:szCs w:val="21"/>
                <w:color w:val="auto"/>
              </w:rPr>
            </w:pPr>
          </w:p>
        </w:tc>
        <w:tc>
          <w:tcPr>
            <w:tcW w:w="1920" w:type="dxa"/>
            <w:vAlign w:val="bottom"/>
            <w:shd w:val="clear" w:color="auto" w:fill="CCEEFF"/>
          </w:tcPr>
          <w:p>
            <w:pPr>
              <w:jc w:val="center"/>
              <w:ind w:right="168"/>
              <w:spacing w:after="0" w:line="171" w:lineRule="exact"/>
              <w:rPr>
                <w:sz w:val="20"/>
                <w:szCs w:val="20"/>
                <w:color w:val="auto"/>
              </w:rPr>
            </w:pPr>
            <w:r>
              <w:rPr>
                <w:rFonts w:ascii="MS PGothic" w:cs="MS PGothic" w:eastAsia="MS PGothic" w:hAnsi="MS PGothic"/>
                <w:sz w:val="17"/>
                <w:szCs w:val="17"/>
                <w:color w:val="auto"/>
                <w:highlight w:val="black"/>
                <w:w w:val="82"/>
              </w:rPr>
              <w:t>✔</w:t>
            </w:r>
          </w:p>
        </w:tc>
        <w:tc>
          <w:tcPr>
            <w:tcW w:w="2000" w:type="dxa"/>
            <w:vAlign w:val="bottom"/>
            <w:shd w:val="clear" w:color="auto" w:fill="CCEEFF"/>
          </w:tcPr>
          <w:p>
            <w:pPr>
              <w:jc w:val="center"/>
              <w:ind w:right="62"/>
              <w:spacing w:after="0" w:line="171" w:lineRule="exact"/>
              <w:rPr>
                <w:sz w:val="20"/>
                <w:szCs w:val="20"/>
                <w:color w:val="auto"/>
              </w:rPr>
            </w:pPr>
            <w:r>
              <w:rPr>
                <w:rFonts w:ascii="MS PGothic" w:cs="MS PGothic" w:eastAsia="MS PGothic" w:hAnsi="MS PGothic"/>
                <w:sz w:val="17"/>
                <w:szCs w:val="17"/>
                <w:color w:val="auto"/>
                <w:highlight w:val="black"/>
                <w:w w:val="93"/>
              </w:rPr>
              <w:t>✔</w:t>
            </w:r>
          </w:p>
        </w:tc>
      </w:tr>
      <w:tr>
        <w:trPr>
          <w:trHeight w:val="243"/>
        </w:trPr>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Barracks Road</w:t>
            </w:r>
          </w:p>
        </w:tc>
        <w:tc>
          <w:tcPr>
            <w:tcW w:w="1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Charlottesville, VA</w:t>
            </w:r>
          </w:p>
        </w:tc>
        <w:tc>
          <w:tcPr>
            <w:tcW w:w="2340" w:type="dxa"/>
            <w:vAlign w:val="bottom"/>
          </w:tcPr>
          <w:p>
            <w:pPr>
              <w:jc w:val="center"/>
              <w:ind w:right="58"/>
              <w:spacing w:after="0" w:line="171" w:lineRule="exact"/>
              <w:rPr>
                <w:sz w:val="20"/>
                <w:szCs w:val="20"/>
                <w:color w:val="auto"/>
              </w:rPr>
            </w:pPr>
            <w:r>
              <w:rPr>
                <w:rFonts w:ascii="MS PGothic" w:cs="MS PGothic" w:eastAsia="MS PGothic" w:hAnsi="MS PGothic"/>
                <w:sz w:val="17"/>
                <w:szCs w:val="17"/>
                <w:color w:val="auto"/>
                <w:highlight w:val="black"/>
                <w:w w:val="82"/>
              </w:rPr>
              <w:t>✔</w:t>
            </w:r>
          </w:p>
        </w:tc>
        <w:tc>
          <w:tcPr>
            <w:tcW w:w="1920" w:type="dxa"/>
            <w:vAlign w:val="bottom"/>
          </w:tcPr>
          <w:p>
            <w:pPr>
              <w:jc w:val="center"/>
              <w:ind w:right="168"/>
              <w:spacing w:after="0" w:line="171" w:lineRule="exact"/>
              <w:rPr>
                <w:sz w:val="20"/>
                <w:szCs w:val="20"/>
                <w:color w:val="auto"/>
              </w:rPr>
            </w:pPr>
            <w:r>
              <w:rPr>
                <w:rFonts w:ascii="MS PGothic" w:cs="MS PGothic" w:eastAsia="MS PGothic" w:hAnsi="MS PGothic"/>
                <w:sz w:val="17"/>
                <w:szCs w:val="17"/>
                <w:color w:val="auto"/>
                <w:highlight w:val="black"/>
                <w:w w:val="82"/>
              </w:rPr>
              <w:t>✔</w:t>
            </w:r>
          </w:p>
        </w:tc>
        <w:tc>
          <w:tcPr>
            <w:tcW w:w="2000" w:type="dxa"/>
            <w:vAlign w:val="bottom"/>
          </w:tcPr>
          <w:p>
            <w:pPr>
              <w:spacing w:after="0"/>
              <w:rPr>
                <w:sz w:val="21"/>
                <w:szCs w:val="21"/>
                <w:color w:val="auto"/>
              </w:rPr>
            </w:pPr>
          </w:p>
        </w:tc>
      </w:tr>
      <w:tr>
        <w:trPr>
          <w:trHeight w:val="27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Bethesda Row</w:t>
            </w:r>
          </w:p>
        </w:tc>
        <w:tc>
          <w:tcPr>
            <w:tcW w:w="1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Bethesda, MD</w:t>
            </w:r>
          </w:p>
        </w:tc>
        <w:tc>
          <w:tcPr>
            <w:tcW w:w="2340" w:type="dxa"/>
            <w:vAlign w:val="bottom"/>
            <w:shd w:val="clear" w:color="auto" w:fill="CCEEFF"/>
          </w:tcPr>
          <w:p>
            <w:pPr>
              <w:jc w:val="center"/>
              <w:ind w:right="18"/>
              <w:spacing w:after="0" w:line="221" w:lineRule="exact"/>
              <w:rPr>
                <w:sz w:val="20"/>
                <w:szCs w:val="20"/>
                <w:color w:val="auto"/>
              </w:rPr>
            </w:pPr>
            <w:r>
              <w:rPr>
                <w:rFonts w:ascii="MS PGothic" w:cs="MS PGothic" w:eastAsia="MS PGothic" w:hAnsi="MS PGothic"/>
                <w:sz w:val="22"/>
                <w:szCs w:val="22"/>
                <w:color w:val="auto"/>
                <w:highlight w:val="black"/>
                <w:w w:val="81"/>
              </w:rPr>
              <w:t>✔</w:t>
            </w:r>
          </w:p>
        </w:tc>
        <w:tc>
          <w:tcPr>
            <w:tcW w:w="1920" w:type="dxa"/>
            <w:vAlign w:val="bottom"/>
            <w:shd w:val="clear" w:color="auto" w:fill="CCEEFF"/>
          </w:tcPr>
          <w:p>
            <w:pPr>
              <w:spacing w:after="0"/>
              <w:rPr>
                <w:sz w:val="23"/>
                <w:szCs w:val="23"/>
                <w:color w:val="auto"/>
              </w:rPr>
            </w:pPr>
          </w:p>
        </w:tc>
        <w:tc>
          <w:tcPr>
            <w:tcW w:w="2000" w:type="dxa"/>
            <w:vAlign w:val="bottom"/>
            <w:shd w:val="clear" w:color="auto" w:fill="CCEEFF"/>
          </w:tcPr>
          <w:p>
            <w:pPr>
              <w:spacing w:after="0"/>
              <w:rPr>
                <w:sz w:val="23"/>
                <w:szCs w:val="23"/>
                <w:color w:val="auto"/>
              </w:rPr>
            </w:pPr>
          </w:p>
        </w:tc>
      </w:tr>
      <w:tr>
        <w:trPr>
          <w:trHeight w:val="230"/>
        </w:trPr>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Camelback Colonnade</w:t>
            </w:r>
          </w:p>
        </w:tc>
        <w:tc>
          <w:tcPr>
            <w:tcW w:w="1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Phoenix, AZ</w:t>
            </w:r>
          </w:p>
        </w:tc>
        <w:tc>
          <w:tcPr>
            <w:tcW w:w="2340" w:type="dxa"/>
            <w:vAlign w:val="bottom"/>
          </w:tcPr>
          <w:p>
            <w:pPr>
              <w:spacing w:after="0"/>
              <w:rPr>
                <w:sz w:val="19"/>
                <w:szCs w:val="19"/>
                <w:color w:val="auto"/>
              </w:rPr>
            </w:pPr>
          </w:p>
        </w:tc>
        <w:tc>
          <w:tcPr>
            <w:tcW w:w="1920" w:type="dxa"/>
            <w:vAlign w:val="bottom"/>
          </w:tcPr>
          <w:p>
            <w:pPr>
              <w:jc w:val="center"/>
              <w:ind w:right="168"/>
              <w:spacing w:after="0" w:line="171" w:lineRule="exact"/>
              <w:rPr>
                <w:sz w:val="20"/>
                <w:szCs w:val="20"/>
                <w:color w:val="auto"/>
              </w:rPr>
            </w:pPr>
            <w:r>
              <w:rPr>
                <w:rFonts w:ascii="MS PGothic" w:cs="MS PGothic" w:eastAsia="MS PGothic" w:hAnsi="MS PGothic"/>
                <w:sz w:val="17"/>
                <w:szCs w:val="17"/>
                <w:color w:val="auto"/>
                <w:highlight w:val="black"/>
                <w:w w:val="82"/>
              </w:rPr>
              <w:t>✔</w:t>
            </w:r>
          </w:p>
        </w:tc>
        <w:tc>
          <w:tcPr>
            <w:tcW w:w="2000" w:type="dxa"/>
            <w:vAlign w:val="bottom"/>
          </w:tcPr>
          <w:p>
            <w:pPr>
              <w:spacing w:after="0"/>
              <w:rPr>
                <w:sz w:val="19"/>
                <w:szCs w:val="19"/>
                <w:color w:val="auto"/>
              </w:rPr>
            </w:pPr>
          </w:p>
        </w:tc>
      </w:tr>
      <w:tr>
        <w:trPr>
          <w:trHeight w:val="27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Chelsea Commons</w:t>
            </w:r>
          </w:p>
        </w:tc>
        <w:tc>
          <w:tcPr>
            <w:tcW w:w="1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Chelsea, MA</w:t>
            </w:r>
          </w:p>
        </w:tc>
        <w:tc>
          <w:tcPr>
            <w:tcW w:w="2340" w:type="dxa"/>
            <w:vAlign w:val="bottom"/>
            <w:shd w:val="clear" w:color="auto" w:fill="CCEEFF"/>
          </w:tcPr>
          <w:p>
            <w:pPr>
              <w:jc w:val="center"/>
              <w:ind w:right="18"/>
              <w:spacing w:after="0" w:line="221" w:lineRule="exact"/>
              <w:rPr>
                <w:sz w:val="20"/>
                <w:szCs w:val="20"/>
                <w:color w:val="auto"/>
              </w:rPr>
            </w:pPr>
            <w:r>
              <w:rPr>
                <w:rFonts w:ascii="MS PGothic" w:cs="MS PGothic" w:eastAsia="MS PGothic" w:hAnsi="MS PGothic"/>
                <w:sz w:val="22"/>
                <w:szCs w:val="22"/>
                <w:color w:val="auto"/>
                <w:highlight w:val="black"/>
                <w:w w:val="81"/>
              </w:rPr>
              <w:t>✔</w:t>
            </w:r>
          </w:p>
        </w:tc>
        <w:tc>
          <w:tcPr>
            <w:tcW w:w="1920" w:type="dxa"/>
            <w:vAlign w:val="bottom"/>
            <w:shd w:val="clear" w:color="auto" w:fill="CCEEFF"/>
          </w:tcPr>
          <w:p>
            <w:pPr>
              <w:spacing w:after="0"/>
              <w:rPr>
                <w:sz w:val="23"/>
                <w:szCs w:val="23"/>
                <w:color w:val="auto"/>
              </w:rPr>
            </w:pPr>
          </w:p>
        </w:tc>
        <w:tc>
          <w:tcPr>
            <w:tcW w:w="2000" w:type="dxa"/>
            <w:vAlign w:val="bottom"/>
            <w:shd w:val="clear" w:color="auto" w:fill="CCEEFF"/>
          </w:tcPr>
          <w:p>
            <w:pPr>
              <w:spacing w:after="0"/>
              <w:rPr>
                <w:sz w:val="23"/>
                <w:szCs w:val="23"/>
                <w:color w:val="auto"/>
              </w:rPr>
            </w:pPr>
          </w:p>
        </w:tc>
      </w:tr>
      <w:tr>
        <w:trPr>
          <w:trHeight w:val="270"/>
        </w:trPr>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Dedham Plaza</w:t>
            </w:r>
          </w:p>
        </w:tc>
        <w:tc>
          <w:tcPr>
            <w:tcW w:w="1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Dedham, MA</w:t>
            </w:r>
          </w:p>
        </w:tc>
        <w:tc>
          <w:tcPr>
            <w:tcW w:w="2340" w:type="dxa"/>
            <w:vAlign w:val="bottom"/>
          </w:tcPr>
          <w:p>
            <w:pPr>
              <w:jc w:val="center"/>
              <w:ind w:right="18"/>
              <w:spacing w:after="0" w:line="221" w:lineRule="exact"/>
              <w:rPr>
                <w:sz w:val="20"/>
                <w:szCs w:val="20"/>
                <w:color w:val="auto"/>
              </w:rPr>
            </w:pPr>
            <w:r>
              <w:rPr>
                <w:rFonts w:ascii="MS PGothic" w:cs="MS PGothic" w:eastAsia="MS PGothic" w:hAnsi="MS PGothic"/>
                <w:sz w:val="22"/>
                <w:szCs w:val="22"/>
                <w:color w:val="auto"/>
                <w:highlight w:val="black"/>
                <w:w w:val="81"/>
              </w:rPr>
              <w:t>✔</w:t>
            </w:r>
          </w:p>
        </w:tc>
        <w:tc>
          <w:tcPr>
            <w:tcW w:w="192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27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Escondido Promenade</w:t>
            </w:r>
          </w:p>
        </w:tc>
        <w:tc>
          <w:tcPr>
            <w:tcW w:w="1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Escondido, CA</w:t>
            </w:r>
          </w:p>
        </w:tc>
        <w:tc>
          <w:tcPr>
            <w:tcW w:w="2340" w:type="dxa"/>
            <w:vAlign w:val="bottom"/>
            <w:shd w:val="clear" w:color="auto" w:fill="CCEEFF"/>
          </w:tcPr>
          <w:p>
            <w:pPr>
              <w:jc w:val="center"/>
              <w:ind w:right="18"/>
              <w:spacing w:after="0" w:line="221" w:lineRule="exact"/>
              <w:rPr>
                <w:sz w:val="20"/>
                <w:szCs w:val="20"/>
                <w:color w:val="auto"/>
              </w:rPr>
            </w:pPr>
            <w:r>
              <w:rPr>
                <w:rFonts w:ascii="MS PGothic" w:cs="MS PGothic" w:eastAsia="MS PGothic" w:hAnsi="MS PGothic"/>
                <w:sz w:val="22"/>
                <w:szCs w:val="22"/>
                <w:color w:val="auto"/>
                <w:highlight w:val="black"/>
                <w:w w:val="81"/>
              </w:rPr>
              <w:t>✔</w:t>
            </w:r>
          </w:p>
        </w:tc>
        <w:tc>
          <w:tcPr>
            <w:tcW w:w="1920" w:type="dxa"/>
            <w:vAlign w:val="bottom"/>
            <w:shd w:val="clear" w:color="auto" w:fill="CCEEFF"/>
          </w:tcPr>
          <w:p>
            <w:pPr>
              <w:spacing w:after="0"/>
              <w:rPr>
                <w:sz w:val="23"/>
                <w:szCs w:val="23"/>
                <w:color w:val="auto"/>
              </w:rPr>
            </w:pPr>
          </w:p>
        </w:tc>
        <w:tc>
          <w:tcPr>
            <w:tcW w:w="2000" w:type="dxa"/>
            <w:vAlign w:val="bottom"/>
            <w:shd w:val="clear" w:color="auto" w:fill="CCEEFF"/>
          </w:tcPr>
          <w:p>
            <w:pPr>
              <w:spacing w:after="0"/>
              <w:rPr>
                <w:sz w:val="23"/>
                <w:szCs w:val="23"/>
                <w:color w:val="auto"/>
              </w:rPr>
            </w:pPr>
          </w:p>
        </w:tc>
      </w:tr>
      <w:tr>
        <w:trPr>
          <w:trHeight w:val="229"/>
        </w:trPr>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Fairfax Junction</w:t>
            </w:r>
          </w:p>
        </w:tc>
        <w:tc>
          <w:tcPr>
            <w:tcW w:w="1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Fairfax, VA</w:t>
            </w:r>
          </w:p>
        </w:tc>
        <w:tc>
          <w:tcPr>
            <w:tcW w:w="2340" w:type="dxa"/>
            <w:vAlign w:val="bottom"/>
          </w:tcPr>
          <w:p>
            <w:pPr>
              <w:jc w:val="center"/>
              <w:ind w:right="58"/>
              <w:spacing w:after="0" w:line="171" w:lineRule="exact"/>
              <w:rPr>
                <w:sz w:val="20"/>
                <w:szCs w:val="20"/>
                <w:color w:val="auto"/>
              </w:rPr>
            </w:pPr>
            <w:r>
              <w:rPr>
                <w:rFonts w:ascii="MS PGothic" w:cs="MS PGothic" w:eastAsia="MS PGothic" w:hAnsi="MS PGothic"/>
                <w:sz w:val="17"/>
                <w:szCs w:val="17"/>
                <w:color w:val="auto"/>
                <w:highlight w:val="black"/>
                <w:w w:val="82"/>
              </w:rPr>
              <w:t>✔</w:t>
            </w:r>
          </w:p>
        </w:tc>
        <w:tc>
          <w:tcPr>
            <w:tcW w:w="19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29"/>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Federal Plaza</w:t>
            </w:r>
          </w:p>
        </w:tc>
        <w:tc>
          <w:tcPr>
            <w:tcW w:w="1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Rockville, MD</w:t>
            </w:r>
          </w:p>
        </w:tc>
        <w:tc>
          <w:tcPr>
            <w:tcW w:w="2340" w:type="dxa"/>
            <w:vAlign w:val="bottom"/>
            <w:shd w:val="clear" w:color="auto" w:fill="CCEEFF"/>
          </w:tcPr>
          <w:p>
            <w:pPr>
              <w:spacing w:after="0"/>
              <w:rPr>
                <w:sz w:val="19"/>
                <w:szCs w:val="19"/>
                <w:color w:val="auto"/>
              </w:rPr>
            </w:pPr>
          </w:p>
        </w:tc>
        <w:tc>
          <w:tcPr>
            <w:tcW w:w="1920" w:type="dxa"/>
            <w:vAlign w:val="bottom"/>
            <w:shd w:val="clear" w:color="auto" w:fill="CCEEFF"/>
          </w:tcPr>
          <w:p>
            <w:pPr>
              <w:jc w:val="center"/>
              <w:ind w:right="168"/>
              <w:spacing w:after="0" w:line="171" w:lineRule="exact"/>
              <w:rPr>
                <w:sz w:val="20"/>
                <w:szCs w:val="20"/>
                <w:color w:val="auto"/>
              </w:rPr>
            </w:pPr>
            <w:r>
              <w:rPr>
                <w:rFonts w:ascii="MS PGothic" w:cs="MS PGothic" w:eastAsia="MS PGothic" w:hAnsi="MS PGothic"/>
                <w:sz w:val="17"/>
                <w:szCs w:val="17"/>
                <w:color w:val="auto"/>
                <w:highlight w:val="black"/>
                <w:w w:val="82"/>
              </w:rPr>
              <w:t>✔</w:t>
            </w:r>
          </w:p>
        </w:tc>
        <w:tc>
          <w:tcPr>
            <w:tcW w:w="2000" w:type="dxa"/>
            <w:vAlign w:val="bottom"/>
            <w:shd w:val="clear" w:color="auto" w:fill="CCEEFF"/>
          </w:tcPr>
          <w:p>
            <w:pPr>
              <w:spacing w:after="0"/>
              <w:rPr>
                <w:sz w:val="19"/>
                <w:szCs w:val="19"/>
                <w:color w:val="auto"/>
              </w:rPr>
            </w:pPr>
          </w:p>
        </w:tc>
      </w:tr>
      <w:tr>
        <w:trPr>
          <w:trHeight w:val="243"/>
        </w:trPr>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Fourth Street</w:t>
            </w:r>
          </w:p>
        </w:tc>
        <w:tc>
          <w:tcPr>
            <w:tcW w:w="1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Berkeley, CA</w:t>
            </w:r>
          </w:p>
        </w:tc>
        <w:tc>
          <w:tcPr>
            <w:tcW w:w="2340" w:type="dxa"/>
            <w:vAlign w:val="bottom"/>
          </w:tcPr>
          <w:p>
            <w:pPr>
              <w:jc w:val="center"/>
              <w:ind w:right="58"/>
              <w:spacing w:after="0" w:line="171" w:lineRule="exact"/>
              <w:rPr>
                <w:sz w:val="20"/>
                <w:szCs w:val="20"/>
                <w:color w:val="auto"/>
              </w:rPr>
            </w:pPr>
            <w:r>
              <w:rPr>
                <w:rFonts w:ascii="MS PGothic" w:cs="MS PGothic" w:eastAsia="MS PGothic" w:hAnsi="MS PGothic"/>
                <w:sz w:val="17"/>
                <w:szCs w:val="17"/>
                <w:color w:val="auto"/>
                <w:highlight w:val="black"/>
                <w:w w:val="82"/>
              </w:rPr>
              <w:t>✔</w:t>
            </w:r>
          </w:p>
        </w:tc>
        <w:tc>
          <w:tcPr>
            <w:tcW w:w="192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7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Fresh Meadows</w:t>
            </w:r>
          </w:p>
        </w:tc>
        <w:tc>
          <w:tcPr>
            <w:tcW w:w="1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Queens, NY</w:t>
            </w:r>
          </w:p>
        </w:tc>
        <w:tc>
          <w:tcPr>
            <w:tcW w:w="2340" w:type="dxa"/>
            <w:vAlign w:val="bottom"/>
            <w:shd w:val="clear" w:color="auto" w:fill="CCEEFF"/>
          </w:tcPr>
          <w:p>
            <w:pPr>
              <w:jc w:val="center"/>
              <w:ind w:right="18"/>
              <w:spacing w:after="0" w:line="221" w:lineRule="exact"/>
              <w:rPr>
                <w:sz w:val="20"/>
                <w:szCs w:val="20"/>
                <w:color w:val="auto"/>
              </w:rPr>
            </w:pPr>
            <w:r>
              <w:rPr>
                <w:rFonts w:ascii="MS PGothic" w:cs="MS PGothic" w:eastAsia="MS PGothic" w:hAnsi="MS PGothic"/>
                <w:sz w:val="22"/>
                <w:szCs w:val="22"/>
                <w:color w:val="auto"/>
                <w:highlight w:val="black"/>
                <w:w w:val="81"/>
              </w:rPr>
              <w:t>✔</w:t>
            </w:r>
          </w:p>
        </w:tc>
        <w:tc>
          <w:tcPr>
            <w:tcW w:w="1920" w:type="dxa"/>
            <w:vAlign w:val="bottom"/>
            <w:shd w:val="clear" w:color="auto" w:fill="CCEEFF"/>
          </w:tcPr>
          <w:p>
            <w:pPr>
              <w:spacing w:after="0"/>
              <w:rPr>
                <w:sz w:val="23"/>
                <w:szCs w:val="23"/>
                <w:color w:val="auto"/>
              </w:rPr>
            </w:pPr>
          </w:p>
        </w:tc>
        <w:tc>
          <w:tcPr>
            <w:tcW w:w="2000" w:type="dxa"/>
            <w:vAlign w:val="bottom"/>
            <w:shd w:val="clear" w:color="auto" w:fill="CCEEFF"/>
          </w:tcPr>
          <w:p>
            <w:pPr>
              <w:spacing w:after="0"/>
              <w:rPr>
                <w:sz w:val="23"/>
                <w:szCs w:val="23"/>
                <w:color w:val="auto"/>
              </w:rPr>
            </w:pPr>
          </w:p>
        </w:tc>
      </w:tr>
      <w:tr>
        <w:trPr>
          <w:trHeight w:val="270"/>
        </w:trPr>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Friendship Center</w:t>
            </w:r>
          </w:p>
        </w:tc>
        <w:tc>
          <w:tcPr>
            <w:tcW w:w="1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Washington, DC</w:t>
            </w:r>
          </w:p>
        </w:tc>
        <w:tc>
          <w:tcPr>
            <w:tcW w:w="2340" w:type="dxa"/>
            <w:vAlign w:val="bottom"/>
          </w:tcPr>
          <w:p>
            <w:pPr>
              <w:jc w:val="center"/>
              <w:ind w:right="18"/>
              <w:spacing w:after="0" w:line="221" w:lineRule="exact"/>
              <w:rPr>
                <w:sz w:val="20"/>
                <w:szCs w:val="20"/>
                <w:color w:val="auto"/>
              </w:rPr>
            </w:pPr>
            <w:r>
              <w:rPr>
                <w:rFonts w:ascii="MS PGothic" w:cs="MS PGothic" w:eastAsia="MS PGothic" w:hAnsi="MS PGothic"/>
                <w:sz w:val="22"/>
                <w:szCs w:val="22"/>
                <w:color w:val="auto"/>
                <w:highlight w:val="black"/>
                <w:w w:val="81"/>
              </w:rPr>
              <w:t>✔</w:t>
            </w:r>
          </w:p>
        </w:tc>
        <w:tc>
          <w:tcPr>
            <w:tcW w:w="192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27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Grossmont Center</w:t>
            </w:r>
          </w:p>
        </w:tc>
        <w:tc>
          <w:tcPr>
            <w:tcW w:w="1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La Mesa, CA</w:t>
            </w:r>
          </w:p>
        </w:tc>
        <w:tc>
          <w:tcPr>
            <w:tcW w:w="2340" w:type="dxa"/>
            <w:vAlign w:val="bottom"/>
            <w:shd w:val="clear" w:color="auto" w:fill="CCEEFF"/>
          </w:tcPr>
          <w:p>
            <w:pPr>
              <w:jc w:val="center"/>
              <w:ind w:right="18"/>
              <w:spacing w:after="0" w:line="221" w:lineRule="exact"/>
              <w:rPr>
                <w:sz w:val="20"/>
                <w:szCs w:val="20"/>
                <w:color w:val="auto"/>
              </w:rPr>
            </w:pPr>
            <w:r>
              <w:rPr>
                <w:rFonts w:ascii="MS PGothic" w:cs="MS PGothic" w:eastAsia="MS PGothic" w:hAnsi="MS PGothic"/>
                <w:sz w:val="22"/>
                <w:szCs w:val="22"/>
                <w:color w:val="auto"/>
                <w:highlight w:val="black"/>
                <w:w w:val="81"/>
              </w:rPr>
              <w:t>✔</w:t>
            </w:r>
          </w:p>
        </w:tc>
        <w:tc>
          <w:tcPr>
            <w:tcW w:w="1920" w:type="dxa"/>
            <w:vAlign w:val="bottom"/>
            <w:shd w:val="clear" w:color="auto" w:fill="CCEEFF"/>
          </w:tcPr>
          <w:p>
            <w:pPr>
              <w:spacing w:after="0"/>
              <w:rPr>
                <w:sz w:val="23"/>
                <w:szCs w:val="23"/>
                <w:color w:val="auto"/>
              </w:rPr>
            </w:pPr>
          </w:p>
        </w:tc>
        <w:tc>
          <w:tcPr>
            <w:tcW w:w="2000" w:type="dxa"/>
            <w:vAlign w:val="bottom"/>
            <w:shd w:val="clear" w:color="auto" w:fill="CCEEFF"/>
          </w:tcPr>
          <w:p>
            <w:pPr>
              <w:spacing w:after="0"/>
              <w:rPr>
                <w:sz w:val="23"/>
                <w:szCs w:val="23"/>
                <w:color w:val="auto"/>
              </w:rPr>
            </w:pPr>
          </w:p>
        </w:tc>
      </w:tr>
      <w:tr>
        <w:trPr>
          <w:trHeight w:val="270"/>
        </w:trPr>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Huntington</w:t>
            </w:r>
          </w:p>
        </w:tc>
        <w:tc>
          <w:tcPr>
            <w:tcW w:w="1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Huntington, NY</w:t>
            </w:r>
          </w:p>
        </w:tc>
        <w:tc>
          <w:tcPr>
            <w:tcW w:w="2340" w:type="dxa"/>
            <w:vAlign w:val="bottom"/>
          </w:tcPr>
          <w:p>
            <w:pPr>
              <w:jc w:val="center"/>
              <w:ind w:right="18"/>
              <w:spacing w:after="0" w:line="221" w:lineRule="exact"/>
              <w:rPr>
                <w:sz w:val="20"/>
                <w:szCs w:val="20"/>
                <w:color w:val="auto"/>
              </w:rPr>
            </w:pPr>
            <w:r>
              <w:rPr>
                <w:rFonts w:ascii="MS PGothic" w:cs="MS PGothic" w:eastAsia="MS PGothic" w:hAnsi="MS PGothic"/>
                <w:sz w:val="22"/>
                <w:szCs w:val="22"/>
                <w:color w:val="auto"/>
                <w:highlight w:val="black"/>
                <w:w w:val="81"/>
              </w:rPr>
              <w:t>✔</w:t>
            </w:r>
          </w:p>
        </w:tc>
        <w:tc>
          <w:tcPr>
            <w:tcW w:w="192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27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Mercer Mall</w:t>
            </w:r>
          </w:p>
        </w:tc>
        <w:tc>
          <w:tcPr>
            <w:tcW w:w="1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Lawrenceville, NJ</w:t>
            </w:r>
          </w:p>
        </w:tc>
        <w:tc>
          <w:tcPr>
            <w:tcW w:w="2340" w:type="dxa"/>
            <w:vAlign w:val="bottom"/>
            <w:shd w:val="clear" w:color="auto" w:fill="CCEEFF"/>
          </w:tcPr>
          <w:p>
            <w:pPr>
              <w:jc w:val="center"/>
              <w:ind w:right="18"/>
              <w:spacing w:after="0" w:line="221" w:lineRule="exact"/>
              <w:rPr>
                <w:sz w:val="20"/>
                <w:szCs w:val="20"/>
                <w:color w:val="auto"/>
              </w:rPr>
            </w:pPr>
            <w:r>
              <w:rPr>
                <w:rFonts w:ascii="MS PGothic" w:cs="MS PGothic" w:eastAsia="MS PGothic" w:hAnsi="MS PGothic"/>
                <w:sz w:val="22"/>
                <w:szCs w:val="22"/>
                <w:color w:val="auto"/>
                <w:highlight w:val="black"/>
                <w:w w:val="81"/>
              </w:rPr>
              <w:t>✔</w:t>
            </w:r>
          </w:p>
        </w:tc>
        <w:tc>
          <w:tcPr>
            <w:tcW w:w="1920" w:type="dxa"/>
            <w:vAlign w:val="bottom"/>
            <w:shd w:val="clear" w:color="auto" w:fill="CCEEFF"/>
          </w:tcPr>
          <w:p>
            <w:pPr>
              <w:spacing w:after="0"/>
              <w:rPr>
                <w:sz w:val="23"/>
                <w:szCs w:val="23"/>
                <w:color w:val="auto"/>
              </w:rPr>
            </w:pPr>
          </w:p>
        </w:tc>
        <w:tc>
          <w:tcPr>
            <w:tcW w:w="2000" w:type="dxa"/>
            <w:vAlign w:val="bottom"/>
            <w:shd w:val="clear" w:color="auto" w:fill="CCEEFF"/>
          </w:tcPr>
          <w:p>
            <w:pPr>
              <w:spacing w:after="0"/>
              <w:rPr>
                <w:sz w:val="23"/>
                <w:szCs w:val="23"/>
                <w:color w:val="auto"/>
              </w:rPr>
            </w:pPr>
          </w:p>
        </w:tc>
      </w:tr>
      <w:tr>
        <w:trPr>
          <w:trHeight w:val="270"/>
        </w:trPr>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Pan Am</w:t>
            </w:r>
          </w:p>
        </w:tc>
        <w:tc>
          <w:tcPr>
            <w:tcW w:w="1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Fairfax, VA</w:t>
            </w:r>
          </w:p>
        </w:tc>
        <w:tc>
          <w:tcPr>
            <w:tcW w:w="2340" w:type="dxa"/>
            <w:vAlign w:val="bottom"/>
          </w:tcPr>
          <w:p>
            <w:pPr>
              <w:jc w:val="center"/>
              <w:ind w:right="18"/>
              <w:spacing w:after="0" w:line="221" w:lineRule="exact"/>
              <w:rPr>
                <w:sz w:val="20"/>
                <w:szCs w:val="20"/>
                <w:color w:val="auto"/>
              </w:rPr>
            </w:pPr>
            <w:r>
              <w:rPr>
                <w:rFonts w:ascii="MS PGothic" w:cs="MS PGothic" w:eastAsia="MS PGothic" w:hAnsi="MS PGothic"/>
                <w:sz w:val="22"/>
                <w:szCs w:val="22"/>
                <w:color w:val="auto"/>
                <w:highlight w:val="black"/>
                <w:w w:val="81"/>
              </w:rPr>
              <w:t>✔</w:t>
            </w:r>
          </w:p>
        </w:tc>
        <w:tc>
          <w:tcPr>
            <w:tcW w:w="192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27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Pike &amp; Rose (2)</w:t>
            </w:r>
          </w:p>
        </w:tc>
        <w:tc>
          <w:tcPr>
            <w:tcW w:w="1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North Bethesda, MD</w:t>
            </w:r>
          </w:p>
        </w:tc>
        <w:tc>
          <w:tcPr>
            <w:tcW w:w="234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c>
          <w:tcPr>
            <w:tcW w:w="2000" w:type="dxa"/>
            <w:vAlign w:val="bottom"/>
            <w:shd w:val="clear" w:color="auto" w:fill="CCEEFF"/>
          </w:tcPr>
          <w:p>
            <w:pPr>
              <w:jc w:val="center"/>
              <w:ind w:right="42"/>
              <w:spacing w:after="0" w:line="221" w:lineRule="exact"/>
              <w:rPr>
                <w:sz w:val="20"/>
                <w:szCs w:val="20"/>
                <w:color w:val="auto"/>
              </w:rPr>
            </w:pPr>
            <w:r>
              <w:rPr>
                <w:rFonts w:ascii="MS PGothic" w:cs="MS PGothic" w:eastAsia="MS PGothic" w:hAnsi="MS PGothic"/>
                <w:sz w:val="22"/>
                <w:szCs w:val="22"/>
                <w:color w:val="auto"/>
                <w:highlight w:val="black"/>
                <w:w w:val="81"/>
              </w:rPr>
              <w:t>✔</w:t>
            </w:r>
          </w:p>
        </w:tc>
      </w:tr>
      <w:tr>
        <w:trPr>
          <w:trHeight w:val="270"/>
        </w:trPr>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Pike 7 Plaza</w:t>
            </w:r>
          </w:p>
        </w:tc>
        <w:tc>
          <w:tcPr>
            <w:tcW w:w="1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Vienna, VA</w:t>
            </w:r>
          </w:p>
        </w:tc>
        <w:tc>
          <w:tcPr>
            <w:tcW w:w="2340" w:type="dxa"/>
            <w:vAlign w:val="bottom"/>
          </w:tcPr>
          <w:p>
            <w:pPr>
              <w:jc w:val="center"/>
              <w:ind w:right="18"/>
              <w:spacing w:after="0" w:line="221" w:lineRule="exact"/>
              <w:rPr>
                <w:sz w:val="20"/>
                <w:szCs w:val="20"/>
                <w:color w:val="auto"/>
              </w:rPr>
            </w:pPr>
            <w:r>
              <w:rPr>
                <w:rFonts w:ascii="MS PGothic" w:cs="MS PGothic" w:eastAsia="MS PGothic" w:hAnsi="MS PGothic"/>
                <w:sz w:val="22"/>
                <w:szCs w:val="22"/>
                <w:color w:val="auto"/>
                <w:highlight w:val="black"/>
                <w:w w:val="81"/>
              </w:rPr>
              <w:t>✔</w:t>
            </w:r>
          </w:p>
        </w:tc>
        <w:tc>
          <w:tcPr>
            <w:tcW w:w="1920" w:type="dxa"/>
            <w:vAlign w:val="bottom"/>
          </w:tcPr>
          <w:p>
            <w:pPr>
              <w:spacing w:after="0"/>
              <w:rPr>
                <w:sz w:val="23"/>
                <w:szCs w:val="23"/>
                <w:color w:val="auto"/>
              </w:rPr>
            </w:pPr>
          </w:p>
        </w:tc>
        <w:tc>
          <w:tcPr>
            <w:tcW w:w="2000" w:type="dxa"/>
            <w:vAlign w:val="bottom"/>
          </w:tcPr>
          <w:p>
            <w:pPr>
              <w:jc w:val="center"/>
              <w:ind w:right="42"/>
              <w:spacing w:after="0" w:line="221" w:lineRule="exact"/>
              <w:rPr>
                <w:sz w:val="20"/>
                <w:szCs w:val="20"/>
                <w:color w:val="auto"/>
              </w:rPr>
            </w:pPr>
            <w:r>
              <w:rPr>
                <w:rFonts w:ascii="MS PGothic" w:cs="MS PGothic" w:eastAsia="MS PGothic" w:hAnsi="MS PGothic"/>
                <w:sz w:val="22"/>
                <w:szCs w:val="22"/>
                <w:color w:val="auto"/>
                <w:highlight w:val="black"/>
                <w:w w:val="81"/>
              </w:rPr>
              <w:t>✔</w:t>
            </w:r>
          </w:p>
        </w:tc>
      </w:tr>
      <w:tr>
        <w:trPr>
          <w:trHeight w:val="27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Riverpoint Center</w:t>
            </w:r>
          </w:p>
        </w:tc>
        <w:tc>
          <w:tcPr>
            <w:tcW w:w="1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Chicago, IL</w:t>
            </w:r>
          </w:p>
        </w:tc>
        <w:tc>
          <w:tcPr>
            <w:tcW w:w="2340" w:type="dxa"/>
            <w:vAlign w:val="bottom"/>
            <w:shd w:val="clear" w:color="auto" w:fill="CCEEFF"/>
          </w:tcPr>
          <w:p>
            <w:pPr>
              <w:jc w:val="center"/>
              <w:ind w:right="18"/>
              <w:spacing w:after="0" w:line="221" w:lineRule="exact"/>
              <w:rPr>
                <w:sz w:val="20"/>
                <w:szCs w:val="20"/>
                <w:color w:val="auto"/>
              </w:rPr>
            </w:pPr>
            <w:r>
              <w:rPr>
                <w:rFonts w:ascii="MS PGothic" w:cs="MS PGothic" w:eastAsia="MS PGothic" w:hAnsi="MS PGothic"/>
                <w:sz w:val="22"/>
                <w:szCs w:val="22"/>
                <w:color w:val="auto"/>
                <w:highlight w:val="black"/>
                <w:w w:val="81"/>
              </w:rPr>
              <w:t>✔</w:t>
            </w:r>
          </w:p>
        </w:tc>
        <w:tc>
          <w:tcPr>
            <w:tcW w:w="1920" w:type="dxa"/>
            <w:vAlign w:val="bottom"/>
            <w:shd w:val="clear" w:color="auto" w:fill="CCEEFF"/>
          </w:tcPr>
          <w:p>
            <w:pPr>
              <w:spacing w:after="0"/>
              <w:rPr>
                <w:sz w:val="23"/>
                <w:szCs w:val="23"/>
                <w:color w:val="auto"/>
              </w:rPr>
            </w:pPr>
          </w:p>
        </w:tc>
        <w:tc>
          <w:tcPr>
            <w:tcW w:w="2000" w:type="dxa"/>
            <w:vAlign w:val="bottom"/>
            <w:shd w:val="clear" w:color="auto" w:fill="CCEEFF"/>
          </w:tcPr>
          <w:p>
            <w:pPr>
              <w:spacing w:after="0"/>
              <w:rPr>
                <w:sz w:val="23"/>
                <w:szCs w:val="23"/>
                <w:color w:val="auto"/>
              </w:rPr>
            </w:pPr>
          </w:p>
        </w:tc>
      </w:tr>
      <w:tr>
        <w:trPr>
          <w:trHeight w:val="270"/>
        </w:trPr>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Santana Row (3)</w:t>
            </w:r>
          </w:p>
        </w:tc>
        <w:tc>
          <w:tcPr>
            <w:tcW w:w="1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San Jose, CA</w:t>
            </w:r>
          </w:p>
        </w:tc>
        <w:tc>
          <w:tcPr>
            <w:tcW w:w="234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2000" w:type="dxa"/>
            <w:vAlign w:val="bottom"/>
          </w:tcPr>
          <w:p>
            <w:pPr>
              <w:jc w:val="center"/>
              <w:ind w:right="42"/>
              <w:spacing w:after="0" w:line="221" w:lineRule="exact"/>
              <w:rPr>
                <w:sz w:val="20"/>
                <w:szCs w:val="20"/>
                <w:color w:val="auto"/>
              </w:rPr>
            </w:pPr>
            <w:r>
              <w:rPr>
                <w:rFonts w:ascii="MS PGothic" w:cs="MS PGothic" w:eastAsia="MS PGothic" w:hAnsi="MS PGothic"/>
                <w:sz w:val="22"/>
                <w:szCs w:val="22"/>
                <w:color w:val="auto"/>
                <w:highlight w:val="black"/>
                <w:w w:val="81"/>
              </w:rPr>
              <w:t>✔</w:t>
            </w:r>
          </w:p>
        </w:tc>
      </w:tr>
      <w:tr>
        <w:trPr>
          <w:trHeight w:val="27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Santana Row - Santana West (3)</w:t>
            </w:r>
          </w:p>
        </w:tc>
        <w:tc>
          <w:tcPr>
            <w:tcW w:w="1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San Jose, CA</w:t>
            </w:r>
          </w:p>
        </w:tc>
        <w:tc>
          <w:tcPr>
            <w:tcW w:w="234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c>
          <w:tcPr>
            <w:tcW w:w="2000" w:type="dxa"/>
            <w:vAlign w:val="bottom"/>
            <w:shd w:val="clear" w:color="auto" w:fill="CCEEFF"/>
          </w:tcPr>
          <w:p>
            <w:pPr>
              <w:jc w:val="center"/>
              <w:ind w:right="42"/>
              <w:spacing w:after="0" w:line="221" w:lineRule="exact"/>
              <w:rPr>
                <w:sz w:val="20"/>
                <w:szCs w:val="20"/>
                <w:color w:val="auto"/>
              </w:rPr>
            </w:pPr>
            <w:r>
              <w:rPr>
                <w:rFonts w:ascii="MS PGothic" w:cs="MS PGothic" w:eastAsia="MS PGothic" w:hAnsi="MS PGothic"/>
                <w:sz w:val="22"/>
                <w:szCs w:val="22"/>
                <w:color w:val="auto"/>
                <w:highlight w:val="black"/>
                <w:w w:val="81"/>
              </w:rPr>
              <w:t>✔</w:t>
            </w:r>
          </w:p>
        </w:tc>
      </w:tr>
      <w:tr>
        <w:trPr>
          <w:trHeight w:val="270"/>
        </w:trPr>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The AVENUE at White Marsh</w:t>
            </w:r>
          </w:p>
        </w:tc>
        <w:tc>
          <w:tcPr>
            <w:tcW w:w="1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White Marsh, MD</w:t>
            </w:r>
          </w:p>
        </w:tc>
        <w:tc>
          <w:tcPr>
            <w:tcW w:w="2340" w:type="dxa"/>
            <w:vAlign w:val="bottom"/>
          </w:tcPr>
          <w:p>
            <w:pPr>
              <w:spacing w:after="0"/>
              <w:rPr>
                <w:sz w:val="23"/>
                <w:szCs w:val="23"/>
                <w:color w:val="auto"/>
              </w:rPr>
            </w:pPr>
          </w:p>
        </w:tc>
        <w:tc>
          <w:tcPr>
            <w:tcW w:w="1920" w:type="dxa"/>
            <w:vAlign w:val="bottom"/>
          </w:tcPr>
          <w:p>
            <w:pPr>
              <w:jc w:val="center"/>
              <w:ind w:right="168"/>
              <w:spacing w:after="0" w:line="221" w:lineRule="exact"/>
              <w:rPr>
                <w:sz w:val="20"/>
                <w:szCs w:val="20"/>
                <w:color w:val="auto"/>
              </w:rPr>
            </w:pPr>
            <w:r>
              <w:rPr>
                <w:rFonts w:ascii="MS PGothic" w:cs="MS PGothic" w:eastAsia="MS PGothic" w:hAnsi="MS PGothic"/>
                <w:sz w:val="22"/>
                <w:szCs w:val="22"/>
                <w:color w:val="auto"/>
                <w:highlight w:val="black"/>
                <w:w w:val="81"/>
              </w:rPr>
              <w:t>✔</w:t>
            </w:r>
          </w:p>
        </w:tc>
        <w:tc>
          <w:tcPr>
            <w:tcW w:w="2000" w:type="dxa"/>
            <w:vAlign w:val="bottom"/>
          </w:tcPr>
          <w:p>
            <w:pPr>
              <w:spacing w:after="0"/>
              <w:rPr>
                <w:sz w:val="23"/>
                <w:szCs w:val="23"/>
                <w:color w:val="auto"/>
              </w:rPr>
            </w:pPr>
          </w:p>
        </w:tc>
      </w:tr>
      <w:tr>
        <w:trPr>
          <w:trHeight w:val="27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Village at Shirlington</w:t>
            </w:r>
          </w:p>
        </w:tc>
        <w:tc>
          <w:tcPr>
            <w:tcW w:w="1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Arlington, VA</w:t>
            </w:r>
          </w:p>
        </w:tc>
        <w:tc>
          <w:tcPr>
            <w:tcW w:w="2340" w:type="dxa"/>
            <w:vAlign w:val="bottom"/>
            <w:shd w:val="clear" w:color="auto" w:fill="CCEEFF"/>
          </w:tcPr>
          <w:p>
            <w:pPr>
              <w:spacing w:after="0"/>
              <w:rPr>
                <w:sz w:val="23"/>
                <w:szCs w:val="23"/>
                <w:color w:val="auto"/>
              </w:rPr>
            </w:pPr>
          </w:p>
        </w:tc>
        <w:tc>
          <w:tcPr>
            <w:tcW w:w="1920" w:type="dxa"/>
            <w:vAlign w:val="bottom"/>
            <w:shd w:val="clear" w:color="auto" w:fill="CCEEFF"/>
          </w:tcPr>
          <w:p>
            <w:pPr>
              <w:jc w:val="center"/>
              <w:ind w:right="168"/>
              <w:spacing w:after="0" w:line="221" w:lineRule="exact"/>
              <w:rPr>
                <w:sz w:val="20"/>
                <w:szCs w:val="20"/>
                <w:color w:val="auto"/>
              </w:rPr>
            </w:pPr>
            <w:r>
              <w:rPr>
                <w:rFonts w:ascii="MS PGothic" w:cs="MS PGothic" w:eastAsia="MS PGothic" w:hAnsi="MS PGothic"/>
                <w:sz w:val="22"/>
                <w:szCs w:val="22"/>
                <w:color w:val="auto"/>
                <w:highlight w:val="black"/>
                <w:w w:val="81"/>
              </w:rPr>
              <w:t>✔</w:t>
            </w:r>
          </w:p>
        </w:tc>
        <w:tc>
          <w:tcPr>
            <w:tcW w:w="2000" w:type="dxa"/>
            <w:vAlign w:val="bottom"/>
            <w:shd w:val="clear" w:color="auto" w:fill="CCEEFF"/>
          </w:tcPr>
          <w:p>
            <w:pPr>
              <w:spacing w:after="0"/>
              <w:rPr>
                <w:sz w:val="23"/>
                <w:szCs w:val="23"/>
                <w:color w:val="auto"/>
              </w:rPr>
            </w:pPr>
          </w:p>
        </w:tc>
      </w:tr>
      <w:tr>
        <w:trPr>
          <w:trHeight w:val="270"/>
        </w:trPr>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Wildwood</w:t>
            </w:r>
          </w:p>
        </w:tc>
        <w:tc>
          <w:tcPr>
            <w:tcW w:w="1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Bethesda, MD</w:t>
            </w:r>
          </w:p>
        </w:tc>
        <w:tc>
          <w:tcPr>
            <w:tcW w:w="2340" w:type="dxa"/>
            <w:vAlign w:val="bottom"/>
          </w:tcPr>
          <w:p>
            <w:pPr>
              <w:jc w:val="center"/>
              <w:ind w:right="18"/>
              <w:spacing w:after="0" w:line="221" w:lineRule="exact"/>
              <w:rPr>
                <w:sz w:val="20"/>
                <w:szCs w:val="20"/>
                <w:color w:val="auto"/>
              </w:rPr>
            </w:pPr>
            <w:r>
              <w:rPr>
                <w:rFonts w:ascii="MS PGothic" w:cs="MS PGothic" w:eastAsia="MS PGothic" w:hAnsi="MS PGothic"/>
                <w:sz w:val="22"/>
                <w:szCs w:val="22"/>
                <w:color w:val="auto"/>
                <w:highlight w:val="black"/>
                <w:w w:val="81"/>
              </w:rPr>
              <w:t>✔</w:t>
            </w:r>
          </w:p>
        </w:tc>
        <w:tc>
          <w:tcPr>
            <w:tcW w:w="192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27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Willow Grove</w:t>
            </w:r>
          </w:p>
        </w:tc>
        <w:tc>
          <w:tcPr>
            <w:tcW w:w="1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Willow Grove, PA</w:t>
            </w:r>
          </w:p>
        </w:tc>
        <w:tc>
          <w:tcPr>
            <w:tcW w:w="2340" w:type="dxa"/>
            <w:vAlign w:val="bottom"/>
            <w:shd w:val="clear" w:color="auto" w:fill="CCEEFF"/>
          </w:tcPr>
          <w:p>
            <w:pPr>
              <w:jc w:val="center"/>
              <w:ind w:right="18"/>
              <w:spacing w:after="0" w:line="221" w:lineRule="exact"/>
              <w:rPr>
                <w:sz w:val="20"/>
                <w:szCs w:val="20"/>
                <w:color w:val="auto"/>
              </w:rPr>
            </w:pPr>
            <w:r>
              <w:rPr>
                <w:rFonts w:ascii="MS PGothic" w:cs="MS PGothic" w:eastAsia="MS PGothic" w:hAnsi="MS PGothic"/>
                <w:sz w:val="22"/>
                <w:szCs w:val="22"/>
                <w:color w:val="auto"/>
                <w:highlight w:val="black"/>
                <w:w w:val="81"/>
              </w:rPr>
              <w:t>✔</w:t>
            </w:r>
          </w:p>
        </w:tc>
        <w:tc>
          <w:tcPr>
            <w:tcW w:w="1920" w:type="dxa"/>
            <w:vAlign w:val="bottom"/>
            <w:shd w:val="clear" w:color="auto" w:fill="CCEEFF"/>
          </w:tcPr>
          <w:p>
            <w:pPr>
              <w:spacing w:after="0"/>
              <w:rPr>
                <w:sz w:val="23"/>
                <w:szCs w:val="23"/>
                <w:color w:val="auto"/>
              </w:rPr>
            </w:pPr>
          </w:p>
        </w:tc>
        <w:tc>
          <w:tcPr>
            <w:tcW w:w="2000" w:type="dxa"/>
            <w:vAlign w:val="bottom"/>
            <w:shd w:val="clear" w:color="auto" w:fill="CCEEFF"/>
          </w:tcPr>
          <w:p>
            <w:pPr>
              <w:spacing w:after="0"/>
              <w:rPr>
                <w:sz w:val="23"/>
                <w:szCs w:val="23"/>
                <w:color w:val="auto"/>
              </w:rPr>
            </w:pPr>
          </w:p>
        </w:tc>
      </w:tr>
    </w:tbl>
    <w:p>
      <w:pPr>
        <w:spacing w:after="0" w:line="248" w:lineRule="exact"/>
        <w:rPr>
          <w:sz w:val="20"/>
          <w:szCs w:val="20"/>
          <w:color w:val="auto"/>
        </w:rPr>
      </w:pPr>
    </w:p>
    <w:p>
      <w:pPr>
        <w:ind w:left="320" w:right="620" w:hanging="303"/>
        <w:spacing w:after="0" w:line="235" w:lineRule="auto"/>
        <w:tabs>
          <w:tab w:leader="none" w:pos="3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Remaining entitlements at Assembly Row after Phase III include approximately 1.5 million square feet of commercial-use buildings and 326 residential units.</w:t>
      </w:r>
    </w:p>
    <w:p>
      <w:pPr>
        <w:spacing w:after="0" w:line="8" w:lineRule="exact"/>
        <w:rPr>
          <w:rFonts w:ascii="Times New Roman" w:cs="Times New Roman" w:eastAsia="Times New Roman" w:hAnsi="Times New Roman"/>
          <w:sz w:val="17"/>
          <w:szCs w:val="17"/>
          <w:color w:val="auto"/>
        </w:rPr>
      </w:pPr>
    </w:p>
    <w:p>
      <w:pPr>
        <w:ind w:left="320" w:right="180" w:hanging="303"/>
        <w:spacing w:after="0" w:line="235" w:lineRule="auto"/>
        <w:tabs>
          <w:tab w:leader="none" w:pos="3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Remaining entitlements at Pike &amp; Rose after Phase IV include approximately 530,000 square feet of commercial-use buildings, and 741 residential units.</w:t>
      </w:r>
    </w:p>
    <w:p>
      <w:pPr>
        <w:spacing w:after="0" w:line="8" w:lineRule="exact"/>
        <w:rPr>
          <w:rFonts w:ascii="Times New Roman" w:cs="Times New Roman" w:eastAsia="Times New Roman" w:hAnsi="Times New Roman"/>
          <w:sz w:val="17"/>
          <w:szCs w:val="17"/>
          <w:color w:val="auto"/>
        </w:rPr>
      </w:pPr>
    </w:p>
    <w:p>
      <w:pPr>
        <w:ind w:left="320" w:right="620" w:hanging="303"/>
        <w:spacing w:after="0" w:line="235" w:lineRule="auto"/>
        <w:tabs>
          <w:tab w:leader="none" w:pos="3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Remaining entitlements at Santana Row include approximately 321,000 square feet of commercial space and 395 residential units, as well as approximately 604,000 square feet of commercial space across from Santana Row.</w:t>
      </w:r>
    </w:p>
    <w:p>
      <w:pPr>
        <w:spacing w:after="0" w:line="8" w:lineRule="exact"/>
        <w:rPr>
          <w:rFonts w:ascii="Times New Roman" w:cs="Times New Roman" w:eastAsia="Times New Roman" w:hAnsi="Times New Roman"/>
          <w:sz w:val="17"/>
          <w:szCs w:val="17"/>
          <w:color w:val="auto"/>
        </w:rPr>
      </w:pPr>
    </w:p>
    <w:p>
      <w:pPr>
        <w:ind w:left="320" w:right="320" w:hanging="303"/>
        <w:spacing w:after="0" w:line="235" w:lineRule="auto"/>
        <w:tabs>
          <w:tab w:leader="none" w:pos="3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Property expansion/conversion includes opportunities at successful retail properties to convert previously underutilized land into new GLA, to convert other existing uses into more productive uses for the property, and/or to add both single tenant and muti-tenant stand alone pad buildings.</w:t>
      </w:r>
    </w:p>
    <w:p>
      <w:pPr>
        <w:spacing w:after="0" w:line="8" w:lineRule="exact"/>
        <w:rPr>
          <w:rFonts w:ascii="Times New Roman" w:cs="Times New Roman" w:eastAsia="Times New Roman" w:hAnsi="Times New Roman"/>
          <w:sz w:val="17"/>
          <w:szCs w:val="17"/>
          <w:color w:val="auto"/>
        </w:rPr>
      </w:pPr>
    </w:p>
    <w:p>
      <w:pPr>
        <w:ind w:left="320" w:hanging="303"/>
        <w:spacing w:after="0"/>
        <w:tabs>
          <w:tab w:leader="none" w:pos="3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Residential includes opportunities to add residential units to existing retail and mixed-use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580"/>
          </w:cols>
          <w:pgMar w:left="660" w:top="1018" w:right="659" w:bottom="1440" w:gutter="0" w:footer="0" w:header="0"/>
        </w:sectPr>
      </w:pPr>
    </w:p>
    <w:bookmarkStart w:id="22" w:name="page23"/>
    <w:bookmarkEnd w:id="22"/>
    <w:p>
      <w:pPr>
        <w:ind w:left="2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Property Acquisitions, Dispositions, &amp; Other</w:t>
      </w:r>
    </w:p>
    <w:p>
      <w:pPr>
        <w:ind w:left="20"/>
        <w:spacing w:after="0"/>
        <w:rPr>
          <w:sz w:val="20"/>
          <w:szCs w:val="20"/>
          <w:color w:val="auto"/>
        </w:rPr>
      </w:pPr>
      <w:r>
        <w:rPr>
          <w:rFonts w:ascii="Times New Roman" w:cs="Times New Roman" w:eastAsia="Times New Roman" w:hAnsi="Times New Roman"/>
          <w:sz w:val="18"/>
          <w:szCs w:val="18"/>
          <w:b w:val="1"/>
          <w:bCs w:val="1"/>
          <w:color w:val="auto"/>
        </w:rPr>
        <w:t>Transactions</w:t>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Property Acquisitions</w:t>
            </w:r>
          </w:p>
        </w:tc>
        <w:tc>
          <w:tcPr>
            <w:tcW w:w="1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vMerge w:val="restart"/>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w w:val="98"/>
              </w:rPr>
              <w:t>Purchase</w:t>
            </w:r>
          </w:p>
        </w:tc>
        <w:tc>
          <w:tcPr>
            <w:tcW w:w="3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18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Date</w:t>
            </w:r>
          </w:p>
        </w:tc>
        <w:tc>
          <w:tcPr>
            <w:tcW w:w="25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b w:val="1"/>
                <w:bCs w:val="1"/>
                <w:color w:val="auto"/>
              </w:rPr>
              <w:t>Property</w:t>
            </w:r>
          </w:p>
        </w:tc>
        <w:tc>
          <w:tcPr>
            <w:tcW w:w="1780" w:type="dxa"/>
            <w:vAlign w:val="bottom"/>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City/State</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GLA</w:t>
            </w:r>
          </w:p>
        </w:tc>
        <w:tc>
          <w:tcPr>
            <w:tcW w:w="16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3480" w:type="dxa"/>
            <w:vAlign w:val="bottom"/>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Principal Tenants</w:t>
            </w:r>
          </w:p>
        </w:tc>
        <w:tc>
          <w:tcPr>
            <w:tcW w:w="0" w:type="dxa"/>
            <w:vAlign w:val="bottom"/>
          </w:tcPr>
          <w:p>
            <w:pPr>
              <w:spacing w:after="0"/>
              <w:rPr>
                <w:sz w:val="1"/>
                <w:szCs w:val="1"/>
                <w:color w:val="auto"/>
              </w:rPr>
            </w:pPr>
          </w:p>
        </w:tc>
      </w:tr>
      <w:tr>
        <w:trPr>
          <w:trHeight w:val="227"/>
        </w:trPr>
        <w:tc>
          <w:tcPr>
            <w:tcW w:w="1180" w:type="dxa"/>
            <w:vAlign w:val="bottom"/>
            <w:tcBorders>
              <w:bottom w:val="single" w:sz="8" w:color="auto"/>
            </w:tcBorders>
            <w:vMerge w:val="continue"/>
          </w:tcPr>
          <w:p>
            <w:pPr>
              <w:spacing w:after="0"/>
              <w:rPr>
                <w:sz w:val="19"/>
                <w:szCs w:val="19"/>
                <w:color w:val="auto"/>
              </w:rPr>
            </w:pPr>
          </w:p>
        </w:tc>
        <w:tc>
          <w:tcPr>
            <w:tcW w:w="2580" w:type="dxa"/>
            <w:vAlign w:val="bottom"/>
            <w:tcBorders>
              <w:bottom w:val="single" w:sz="8" w:color="auto"/>
            </w:tcBorders>
            <w:gridSpan w:val="2"/>
            <w:vMerge w:val="continue"/>
          </w:tcPr>
          <w:p>
            <w:pPr>
              <w:spacing w:after="0"/>
              <w:rPr>
                <w:sz w:val="19"/>
                <w:szCs w:val="19"/>
                <w:color w:val="auto"/>
              </w:rPr>
            </w:pPr>
          </w:p>
        </w:tc>
        <w:tc>
          <w:tcPr>
            <w:tcW w:w="178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rPr>
              <w:t>Price</w:t>
            </w:r>
          </w:p>
        </w:tc>
        <w:tc>
          <w:tcPr>
            <w:tcW w:w="34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1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180" w:type="dxa"/>
            <w:vAlign w:val="bottom"/>
          </w:tcPr>
          <w:p>
            <w:pPr>
              <w:jc w:val="center"/>
              <w:spacing w:after="0" w:line="158" w:lineRule="exact"/>
              <w:rPr>
                <w:sz w:val="20"/>
                <w:szCs w:val="20"/>
                <w:color w:val="auto"/>
              </w:rPr>
            </w:pPr>
            <w:r>
              <w:rPr>
                <w:rFonts w:ascii="Times New Roman" w:cs="Times New Roman" w:eastAsia="Times New Roman" w:hAnsi="Times New Roman"/>
                <w:sz w:val="17"/>
                <w:szCs w:val="17"/>
                <w:b w:val="1"/>
                <w:bCs w:val="1"/>
                <w:color w:val="auto"/>
              </w:rPr>
              <w:t>(in square</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(in millions)</w:t>
            </w:r>
          </w:p>
        </w:tc>
        <w:tc>
          <w:tcPr>
            <w:tcW w:w="3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1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feet)</w:t>
            </w:r>
          </w:p>
        </w:tc>
        <w:tc>
          <w:tcPr>
            <w:tcW w:w="1040" w:type="dxa"/>
            <w:vAlign w:val="bottom"/>
            <w:gridSpan w:val="2"/>
            <w:vMerge w:val="continue"/>
          </w:tcPr>
          <w:p>
            <w:pPr>
              <w:spacing w:after="0"/>
              <w:rPr>
                <w:sz w:val="19"/>
                <w:szCs w:val="19"/>
                <w:color w:val="auto"/>
              </w:rPr>
            </w:pPr>
          </w:p>
        </w:tc>
        <w:tc>
          <w:tcPr>
            <w:tcW w:w="3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3760" w:type="dxa"/>
            <w:vAlign w:val="bottom"/>
            <w:gridSpan w:val="3"/>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April 20, 2022 &amp;   Kingstowne Towne Center</w:t>
            </w:r>
          </w:p>
        </w:tc>
        <w:tc>
          <w:tcPr>
            <w:tcW w:w="1780" w:type="dxa"/>
            <w:vAlign w:val="bottom"/>
            <w:shd w:val="clear" w:color="auto" w:fill="CCEEFF"/>
          </w:tcPr>
          <w:p>
            <w:pPr>
              <w:ind w:left="80"/>
              <w:spacing w:after="0" w:line="168" w:lineRule="exact"/>
              <w:rPr>
                <w:sz w:val="20"/>
                <w:szCs w:val="20"/>
                <w:color w:val="auto"/>
              </w:rPr>
            </w:pPr>
            <w:r>
              <w:rPr>
                <w:rFonts w:ascii="Times New Roman" w:cs="Times New Roman" w:eastAsia="Times New Roman" w:hAnsi="Times New Roman"/>
                <w:sz w:val="17"/>
                <w:szCs w:val="17"/>
                <w:color w:val="auto"/>
              </w:rPr>
              <w:t>Kingstowne, Virginia</w:t>
            </w:r>
          </w:p>
        </w:tc>
        <w:tc>
          <w:tcPr>
            <w:tcW w:w="118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7"/>
                <w:szCs w:val="17"/>
                <w:color w:val="auto"/>
              </w:rPr>
              <w:t>410,000</w:t>
            </w:r>
          </w:p>
        </w:tc>
        <w:tc>
          <w:tcPr>
            <w:tcW w:w="16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7"/>
                <w:szCs w:val="17"/>
                <w:color w:val="auto"/>
              </w:rPr>
              <w:t>200.0</w:t>
            </w:r>
          </w:p>
        </w:tc>
        <w:tc>
          <w:tcPr>
            <w:tcW w:w="3480" w:type="dxa"/>
            <w:vAlign w:val="bottom"/>
            <w:shd w:val="clear" w:color="auto" w:fill="CCEEFF"/>
          </w:tcPr>
          <w:p>
            <w:pPr>
              <w:ind w:left="80"/>
              <w:spacing w:after="0" w:line="168" w:lineRule="exact"/>
              <w:rPr>
                <w:sz w:val="20"/>
                <w:szCs w:val="20"/>
                <w:color w:val="auto"/>
              </w:rPr>
            </w:pPr>
            <w:r>
              <w:rPr>
                <w:rFonts w:ascii="Times New Roman" w:cs="Times New Roman" w:eastAsia="Times New Roman" w:hAnsi="Times New Roman"/>
                <w:sz w:val="17"/>
                <w:szCs w:val="17"/>
                <w:color w:val="auto"/>
              </w:rPr>
              <w:t>Safeway / Giant / TJ Maxx / Ross Dress for Less</w:t>
            </w:r>
          </w:p>
        </w:tc>
        <w:tc>
          <w:tcPr>
            <w:tcW w:w="0" w:type="dxa"/>
            <w:vAlign w:val="bottom"/>
          </w:tcPr>
          <w:p>
            <w:pPr>
              <w:spacing w:after="0"/>
              <w:rPr>
                <w:sz w:val="1"/>
                <w:szCs w:val="1"/>
                <w:color w:val="auto"/>
              </w:rPr>
            </w:pPr>
          </w:p>
        </w:tc>
      </w:tr>
      <w:tr>
        <w:trPr>
          <w:trHeight w:val="224"/>
        </w:trPr>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July 27, 2022</w:t>
            </w:r>
          </w:p>
        </w:tc>
        <w:tc>
          <w:tcPr>
            <w:tcW w:w="4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 Homegoods / Five Below</w:t>
            </w:r>
          </w:p>
        </w:tc>
        <w:tc>
          <w:tcPr>
            <w:tcW w:w="0" w:type="dxa"/>
            <w:vAlign w:val="bottom"/>
          </w:tcPr>
          <w:p>
            <w:pPr>
              <w:spacing w:after="0"/>
              <w:rPr>
                <w:sz w:val="1"/>
                <w:szCs w:val="1"/>
                <w:color w:val="auto"/>
              </w:rPr>
            </w:pPr>
          </w:p>
        </w:tc>
      </w:tr>
      <w:tr>
        <w:trPr>
          <w:trHeight w:val="167"/>
        </w:trPr>
        <w:tc>
          <w:tcPr>
            <w:tcW w:w="118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July 18, 2022</w:t>
            </w:r>
          </w:p>
        </w:tc>
        <w:tc>
          <w:tcPr>
            <w:tcW w:w="2580" w:type="dxa"/>
            <w:vAlign w:val="bottom"/>
            <w:gridSpan w:val="2"/>
          </w:tcPr>
          <w:p>
            <w:pPr>
              <w:ind w:left="240"/>
              <w:spacing w:after="0" w:line="167" w:lineRule="exact"/>
              <w:rPr>
                <w:sz w:val="20"/>
                <w:szCs w:val="20"/>
                <w:color w:val="auto"/>
              </w:rPr>
            </w:pPr>
            <w:r>
              <w:rPr>
                <w:rFonts w:ascii="Times New Roman" w:cs="Times New Roman" w:eastAsia="Times New Roman" w:hAnsi="Times New Roman"/>
                <w:sz w:val="17"/>
                <w:szCs w:val="17"/>
                <w:color w:val="auto"/>
              </w:rPr>
              <w:t>Hilton Village (office building)</w:t>
            </w:r>
          </w:p>
        </w:tc>
        <w:tc>
          <w:tcPr>
            <w:tcW w:w="1780" w:type="dxa"/>
            <w:vAlign w:val="bottom"/>
          </w:tcPr>
          <w:p>
            <w:pPr>
              <w:ind w:left="80"/>
              <w:spacing w:after="0" w:line="167" w:lineRule="exact"/>
              <w:rPr>
                <w:sz w:val="20"/>
                <w:szCs w:val="20"/>
                <w:color w:val="auto"/>
              </w:rPr>
            </w:pPr>
            <w:r>
              <w:rPr>
                <w:rFonts w:ascii="Times New Roman" w:cs="Times New Roman" w:eastAsia="Times New Roman" w:hAnsi="Times New Roman"/>
                <w:sz w:val="17"/>
                <w:szCs w:val="17"/>
                <w:color w:val="auto"/>
              </w:rPr>
              <w:t>Scottsdale, Arizona</w:t>
            </w:r>
          </w:p>
        </w:tc>
        <w:tc>
          <w:tcPr>
            <w:tcW w:w="118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color w:val="auto"/>
              </w:rPr>
              <w:t>214,000</w:t>
            </w:r>
          </w:p>
        </w:tc>
        <w:tc>
          <w:tcPr>
            <w:tcW w:w="16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color w:val="auto"/>
              </w:rPr>
              <w:t>53.6</w:t>
            </w:r>
          </w:p>
        </w:tc>
        <w:tc>
          <w:tcPr>
            <w:tcW w:w="3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80" w:type="dxa"/>
            <w:vAlign w:val="bottom"/>
          </w:tcPr>
          <w:p>
            <w:pPr>
              <w:spacing w:after="0"/>
              <w:rPr>
                <w:sz w:val="19"/>
                <w:szCs w:val="19"/>
                <w:color w:val="auto"/>
              </w:rPr>
            </w:pPr>
          </w:p>
        </w:tc>
        <w:tc>
          <w:tcPr>
            <w:tcW w:w="25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(1)</w:t>
            </w:r>
          </w:p>
        </w:tc>
        <w:tc>
          <w:tcPr>
            <w:tcW w:w="17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118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July 27, 2022</w:t>
            </w:r>
          </w:p>
        </w:tc>
        <w:tc>
          <w:tcPr>
            <w:tcW w:w="2580" w:type="dxa"/>
            <w:vAlign w:val="bottom"/>
            <w:gridSpan w:val="2"/>
            <w:shd w:val="clear" w:color="auto" w:fill="CCEEFF"/>
          </w:tcPr>
          <w:p>
            <w:pPr>
              <w:ind w:left="240"/>
              <w:spacing w:after="0" w:line="168" w:lineRule="exact"/>
              <w:rPr>
                <w:sz w:val="20"/>
                <w:szCs w:val="20"/>
                <w:color w:val="auto"/>
              </w:rPr>
            </w:pPr>
            <w:r>
              <w:rPr>
                <w:rFonts w:ascii="Times New Roman" w:cs="Times New Roman" w:eastAsia="Times New Roman" w:hAnsi="Times New Roman"/>
                <w:sz w:val="17"/>
                <w:szCs w:val="17"/>
                <w:color w:val="auto"/>
              </w:rPr>
              <w:t>The Shops at Pembroke Gardens</w:t>
            </w:r>
          </w:p>
        </w:tc>
        <w:tc>
          <w:tcPr>
            <w:tcW w:w="1780" w:type="dxa"/>
            <w:vAlign w:val="bottom"/>
            <w:shd w:val="clear" w:color="auto" w:fill="CCEEFF"/>
          </w:tcPr>
          <w:p>
            <w:pPr>
              <w:ind w:left="80"/>
              <w:spacing w:after="0" w:line="168" w:lineRule="exact"/>
              <w:rPr>
                <w:sz w:val="20"/>
                <w:szCs w:val="20"/>
                <w:color w:val="auto"/>
              </w:rPr>
            </w:pPr>
            <w:r>
              <w:rPr>
                <w:rFonts w:ascii="Times New Roman" w:cs="Times New Roman" w:eastAsia="Times New Roman" w:hAnsi="Times New Roman"/>
                <w:sz w:val="17"/>
                <w:szCs w:val="17"/>
                <w:color w:val="auto"/>
              </w:rPr>
              <w:t>Pembroke Pines,</w:t>
            </w:r>
          </w:p>
        </w:tc>
        <w:tc>
          <w:tcPr>
            <w:tcW w:w="118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7"/>
                <w:szCs w:val="17"/>
                <w:color w:val="auto"/>
              </w:rPr>
              <w:t>392,000</w:t>
            </w:r>
          </w:p>
        </w:tc>
        <w:tc>
          <w:tcPr>
            <w:tcW w:w="16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7"/>
                <w:szCs w:val="17"/>
                <w:color w:val="auto"/>
              </w:rPr>
              <w:t>180.5</w:t>
            </w:r>
          </w:p>
        </w:tc>
        <w:tc>
          <w:tcPr>
            <w:tcW w:w="3480" w:type="dxa"/>
            <w:vAlign w:val="bottom"/>
            <w:shd w:val="clear" w:color="auto" w:fill="CCEEFF"/>
          </w:tcPr>
          <w:p>
            <w:pPr>
              <w:ind w:left="80"/>
              <w:spacing w:after="0" w:line="168" w:lineRule="exact"/>
              <w:rPr>
                <w:sz w:val="20"/>
                <w:szCs w:val="20"/>
                <w:color w:val="auto"/>
              </w:rPr>
            </w:pPr>
            <w:r>
              <w:rPr>
                <w:rFonts w:ascii="Times New Roman" w:cs="Times New Roman" w:eastAsia="Times New Roman" w:hAnsi="Times New Roman"/>
                <w:sz w:val="17"/>
                <w:szCs w:val="17"/>
                <w:color w:val="auto"/>
              </w:rPr>
              <w:t>Nike / DSW / Old Navy / Barnes &amp; Noble</w:t>
            </w:r>
          </w:p>
        </w:tc>
        <w:tc>
          <w:tcPr>
            <w:tcW w:w="0" w:type="dxa"/>
            <w:vAlign w:val="bottom"/>
          </w:tcPr>
          <w:p>
            <w:pPr>
              <w:spacing w:after="0"/>
              <w:rPr>
                <w:sz w:val="1"/>
                <w:szCs w:val="1"/>
                <w:color w:val="auto"/>
              </w:rPr>
            </w:pPr>
          </w:p>
        </w:tc>
      </w:tr>
      <w:tr>
        <w:trPr>
          <w:trHeight w:val="224"/>
        </w:trPr>
        <w:tc>
          <w:tcPr>
            <w:tcW w:w="1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Florida</w:t>
            </w: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The land is controlled under a long-term ground lease that expires on September 30, 2075.</w:t>
      </w:r>
    </w:p>
    <w:p>
      <w:pPr>
        <w:spacing w:after="0" w:line="250" w:lineRule="exact"/>
        <w:rPr>
          <w:sz w:val="20"/>
          <w:szCs w:val="20"/>
          <w:color w:val="auto"/>
        </w:rPr>
      </w:pPr>
    </w:p>
    <w:p>
      <w:pPr>
        <w:jc w:val="both"/>
        <w:ind w:right="280"/>
        <w:spacing w:after="0" w:line="265" w:lineRule="auto"/>
        <w:rPr>
          <w:sz w:val="20"/>
          <w:szCs w:val="20"/>
          <w:color w:val="auto"/>
        </w:rPr>
      </w:pPr>
      <w:r>
        <w:rPr>
          <w:rFonts w:ascii="Times New Roman" w:cs="Times New Roman" w:eastAsia="Times New Roman" w:hAnsi="Times New Roman"/>
          <w:sz w:val="17"/>
          <w:szCs w:val="17"/>
          <w:color w:val="auto"/>
        </w:rPr>
        <w:t>On October 6, 2022, we acquired a 47.5% interest in an unconsolidated joint venture that owns two shopping centers for a combined price of $58.9 million. The properties have combined mortgage debt of $76.1 million, of which, our share is approximately $36.2 million. Additional information on the properties is listed below:</w:t>
      </w:r>
    </w:p>
    <w:tbl>
      <w:tblPr>
        <w:tblLayout w:type="fixed"/>
        <w:tblInd w:w="0" w:type="dxa"/>
        <w:tblCellMar>
          <w:top w:w="0" w:type="dxa"/>
          <w:left w:w="0" w:type="dxa"/>
          <w:bottom w:w="0" w:type="dxa"/>
          <w:right w:w="0" w:type="dxa"/>
        </w:tblCellMar>
      </w:tblPr>
      <w:tr>
        <w:trPr>
          <w:trHeight w:val="184"/>
        </w:trPr>
        <w:tc>
          <w:tcPr>
            <w:tcW w:w="26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center"/>
              <w:ind w:right="75"/>
              <w:spacing w:after="0" w:line="185" w:lineRule="exact"/>
              <w:rPr>
                <w:sz w:val="20"/>
                <w:szCs w:val="20"/>
                <w:color w:val="auto"/>
              </w:rPr>
            </w:pPr>
            <w:r>
              <w:rPr>
                <w:rFonts w:ascii="Times New Roman" w:cs="Times New Roman" w:eastAsia="Times New Roman" w:hAnsi="Times New Roman"/>
                <w:sz w:val="17"/>
                <w:szCs w:val="17"/>
                <w:b w:val="1"/>
                <w:bCs w:val="1"/>
                <w:color w:val="auto"/>
              </w:rPr>
              <w:t>Purchase</w:t>
            </w:r>
          </w:p>
        </w:tc>
        <w:tc>
          <w:tcPr>
            <w:tcW w:w="3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Property</w:t>
            </w:r>
          </w:p>
        </w:tc>
        <w:tc>
          <w:tcPr>
            <w:tcW w:w="2680" w:type="dxa"/>
            <w:vAlign w:val="bottom"/>
            <w:vMerge w:val="restart"/>
          </w:tcPr>
          <w:p>
            <w:pPr>
              <w:ind w:left="1100"/>
              <w:spacing w:after="0"/>
              <w:rPr>
                <w:sz w:val="20"/>
                <w:szCs w:val="20"/>
                <w:color w:val="auto"/>
              </w:rPr>
            </w:pPr>
            <w:r>
              <w:rPr>
                <w:rFonts w:ascii="Times New Roman" w:cs="Times New Roman" w:eastAsia="Times New Roman" w:hAnsi="Times New Roman"/>
                <w:sz w:val="17"/>
                <w:szCs w:val="17"/>
                <w:b w:val="1"/>
                <w:bCs w:val="1"/>
                <w:color w:val="auto"/>
              </w:rPr>
              <w:t>City/State</w:t>
            </w:r>
          </w:p>
        </w:tc>
        <w:tc>
          <w:tcPr>
            <w:tcW w:w="1260" w:type="dxa"/>
            <w:vAlign w:val="bottom"/>
            <w:vMerge w:val="restart"/>
          </w:tcPr>
          <w:p>
            <w:pPr>
              <w:jc w:val="center"/>
              <w:ind w:left="15"/>
              <w:spacing w:after="0"/>
              <w:rPr>
                <w:sz w:val="20"/>
                <w:szCs w:val="20"/>
                <w:color w:val="auto"/>
              </w:rPr>
            </w:pPr>
            <w:r>
              <w:rPr>
                <w:rFonts w:ascii="Times New Roman" w:cs="Times New Roman" w:eastAsia="Times New Roman" w:hAnsi="Times New Roman"/>
                <w:sz w:val="17"/>
                <w:szCs w:val="17"/>
                <w:b w:val="1"/>
                <w:bCs w:val="1"/>
                <w:color w:val="auto"/>
                <w:w w:val="97"/>
              </w:rPr>
              <w:t>GLA</w:t>
            </w:r>
          </w:p>
        </w:tc>
        <w:tc>
          <w:tcPr>
            <w:tcW w:w="160" w:type="dxa"/>
            <w:vAlign w:val="bottom"/>
          </w:tcPr>
          <w:p>
            <w:pPr>
              <w:spacing w:after="0"/>
              <w:rPr>
                <w:sz w:val="14"/>
                <w:szCs w:val="14"/>
                <w:color w:val="auto"/>
              </w:rPr>
            </w:pPr>
          </w:p>
        </w:tc>
        <w:tc>
          <w:tcPr>
            <w:tcW w:w="880" w:type="dxa"/>
            <w:vAlign w:val="bottom"/>
          </w:tcPr>
          <w:p>
            <w:pPr>
              <w:jc w:val="center"/>
              <w:ind w:right="95"/>
              <w:spacing w:after="0" w:line="163" w:lineRule="exact"/>
              <w:rPr>
                <w:sz w:val="20"/>
                <w:szCs w:val="20"/>
                <w:color w:val="auto"/>
              </w:rPr>
            </w:pPr>
            <w:r>
              <w:rPr>
                <w:rFonts w:ascii="Times New Roman" w:cs="Times New Roman" w:eastAsia="Times New Roman" w:hAnsi="Times New Roman"/>
                <w:sz w:val="17"/>
                <w:szCs w:val="17"/>
                <w:b w:val="1"/>
                <w:bCs w:val="1"/>
                <w:color w:val="auto"/>
              </w:rPr>
              <w:t>Price</w:t>
            </w:r>
          </w:p>
        </w:tc>
        <w:tc>
          <w:tcPr>
            <w:tcW w:w="3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Principal Tenants</w:t>
            </w:r>
          </w:p>
        </w:tc>
        <w:tc>
          <w:tcPr>
            <w:tcW w:w="0" w:type="dxa"/>
            <w:vAlign w:val="bottom"/>
          </w:tcPr>
          <w:p>
            <w:pPr>
              <w:spacing w:after="0"/>
              <w:rPr>
                <w:sz w:val="1"/>
                <w:szCs w:val="1"/>
                <w:color w:val="auto"/>
              </w:rPr>
            </w:pPr>
          </w:p>
        </w:tc>
      </w:tr>
      <w:tr>
        <w:trPr>
          <w:trHeight w:val="235"/>
        </w:trPr>
        <w:tc>
          <w:tcPr>
            <w:tcW w:w="2620" w:type="dxa"/>
            <w:vAlign w:val="bottom"/>
            <w:tcBorders>
              <w:bottom w:val="single" w:sz="8" w:color="auto"/>
            </w:tcBorders>
            <w:vMerge w:val="continue"/>
          </w:tcPr>
          <w:p>
            <w:pPr>
              <w:spacing w:after="0"/>
              <w:rPr>
                <w:sz w:val="20"/>
                <w:szCs w:val="20"/>
                <w:color w:val="auto"/>
              </w:rPr>
            </w:pPr>
          </w:p>
        </w:tc>
        <w:tc>
          <w:tcPr>
            <w:tcW w:w="268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(our share)</w:t>
            </w:r>
          </w:p>
        </w:tc>
        <w:tc>
          <w:tcPr>
            <w:tcW w:w="34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60" w:type="dxa"/>
            <w:vAlign w:val="bottom"/>
          </w:tcPr>
          <w:p>
            <w:pPr>
              <w:jc w:val="center"/>
              <w:ind w:left="15"/>
              <w:spacing w:after="0" w:line="162" w:lineRule="exact"/>
              <w:rPr>
                <w:sz w:val="20"/>
                <w:szCs w:val="20"/>
                <w:color w:val="auto"/>
              </w:rPr>
            </w:pPr>
            <w:r>
              <w:rPr>
                <w:rFonts w:ascii="Times New Roman" w:cs="Times New Roman" w:eastAsia="Times New Roman" w:hAnsi="Times New Roman"/>
                <w:sz w:val="17"/>
                <w:szCs w:val="17"/>
                <w:b w:val="1"/>
                <w:bCs w:val="1"/>
                <w:color w:val="auto"/>
                <w:w w:val="98"/>
              </w:rPr>
              <w:t>(in square</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3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6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260" w:type="dxa"/>
            <w:vAlign w:val="bottom"/>
          </w:tcPr>
          <w:p>
            <w:pPr>
              <w:jc w:val="center"/>
              <w:ind w:left="15"/>
              <w:spacing w:after="0"/>
              <w:rPr>
                <w:sz w:val="20"/>
                <w:szCs w:val="20"/>
                <w:color w:val="auto"/>
              </w:rPr>
            </w:pPr>
            <w:r>
              <w:rPr>
                <w:rFonts w:ascii="Times New Roman" w:cs="Times New Roman" w:eastAsia="Times New Roman" w:hAnsi="Times New Roman"/>
                <w:sz w:val="17"/>
                <w:szCs w:val="17"/>
                <w:b w:val="1"/>
                <w:bCs w:val="1"/>
                <w:color w:val="auto"/>
                <w:w w:val="99"/>
              </w:rPr>
              <w:t>feet)</w:t>
            </w:r>
          </w:p>
        </w:tc>
        <w:tc>
          <w:tcPr>
            <w:tcW w:w="1040" w:type="dxa"/>
            <w:vAlign w:val="bottom"/>
            <w:gridSpan w:val="2"/>
            <w:vMerge w:val="continue"/>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62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color w:val="auto"/>
              </w:rPr>
              <w:t>Chandler Festival (2)</w:t>
            </w:r>
          </w:p>
        </w:tc>
        <w:tc>
          <w:tcPr>
            <w:tcW w:w="2680" w:type="dxa"/>
            <w:vAlign w:val="bottom"/>
            <w:shd w:val="clear" w:color="auto" w:fill="CCEEFF"/>
          </w:tcPr>
          <w:p>
            <w:pPr>
              <w:ind w:left="1100"/>
              <w:spacing w:after="0" w:line="163" w:lineRule="exact"/>
              <w:rPr>
                <w:sz w:val="20"/>
                <w:szCs w:val="20"/>
                <w:color w:val="auto"/>
              </w:rPr>
            </w:pPr>
            <w:r>
              <w:rPr>
                <w:rFonts w:ascii="Times New Roman" w:cs="Times New Roman" w:eastAsia="Times New Roman" w:hAnsi="Times New Roman"/>
                <w:sz w:val="17"/>
                <w:szCs w:val="17"/>
                <w:color w:val="auto"/>
              </w:rPr>
              <w:t>Chandler, Arizona</w:t>
            </w:r>
          </w:p>
        </w:tc>
        <w:tc>
          <w:tcPr>
            <w:tcW w:w="1260" w:type="dxa"/>
            <w:vAlign w:val="bottom"/>
            <w:shd w:val="clear" w:color="auto" w:fill="CCEEFF"/>
          </w:tcPr>
          <w:p>
            <w:pPr>
              <w:jc w:val="right"/>
              <w:spacing w:after="0" w:line="163" w:lineRule="exact"/>
              <w:rPr>
                <w:sz w:val="20"/>
                <w:szCs w:val="20"/>
                <w:color w:val="auto"/>
              </w:rPr>
            </w:pPr>
            <w:r>
              <w:rPr>
                <w:rFonts w:ascii="Times New Roman" w:cs="Times New Roman" w:eastAsia="Times New Roman" w:hAnsi="Times New Roman"/>
                <w:sz w:val="17"/>
                <w:szCs w:val="17"/>
                <w:color w:val="auto"/>
              </w:rPr>
              <w:t>355,000</w:t>
            </w:r>
          </w:p>
        </w:tc>
        <w:tc>
          <w:tcPr>
            <w:tcW w:w="160" w:type="dxa"/>
            <w:vAlign w:val="bottom"/>
            <w:shd w:val="clear" w:color="auto" w:fill="CCEEFF"/>
          </w:tcPr>
          <w:p>
            <w:pPr>
              <w:jc w:val="right"/>
              <w:spacing w:after="0" w:line="163" w:lineRule="exact"/>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ind w:right="15"/>
              <w:spacing w:after="0" w:line="163" w:lineRule="exact"/>
              <w:rPr>
                <w:sz w:val="20"/>
                <w:szCs w:val="20"/>
                <w:color w:val="auto"/>
              </w:rPr>
            </w:pPr>
            <w:r>
              <w:rPr>
                <w:rFonts w:ascii="Times New Roman" w:cs="Times New Roman" w:eastAsia="Times New Roman" w:hAnsi="Times New Roman"/>
                <w:sz w:val="17"/>
                <w:szCs w:val="17"/>
                <w:color w:val="auto"/>
              </w:rPr>
              <w:t>40.8</w:t>
            </w:r>
          </w:p>
        </w:tc>
        <w:tc>
          <w:tcPr>
            <w:tcW w:w="3400" w:type="dxa"/>
            <w:vAlign w:val="bottom"/>
            <w:shd w:val="clear" w:color="auto" w:fill="CCEEFF"/>
          </w:tcPr>
          <w:p>
            <w:pPr>
              <w:ind w:left="60"/>
              <w:spacing w:after="0" w:line="163" w:lineRule="exact"/>
              <w:rPr>
                <w:sz w:val="20"/>
                <w:szCs w:val="20"/>
                <w:color w:val="auto"/>
              </w:rPr>
            </w:pPr>
            <w:r>
              <w:rPr>
                <w:rFonts w:ascii="Times New Roman" w:cs="Times New Roman" w:eastAsia="Times New Roman" w:hAnsi="Times New Roman"/>
                <w:sz w:val="17"/>
                <w:szCs w:val="17"/>
                <w:color w:val="auto"/>
              </w:rPr>
              <w:t>Ross Dress for Less / Nordstrom Rack / TJ</w:t>
            </w: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spacing w:after="0"/>
              <w:rPr>
                <w:sz w:val="19"/>
                <w:szCs w:val="19"/>
                <w:color w:val="auto"/>
              </w:rPr>
            </w:pPr>
          </w:p>
        </w:tc>
        <w:tc>
          <w:tcPr>
            <w:tcW w:w="26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Maxx / ULTA / Buy Buy Baby / Petsmart</w:t>
            </w:r>
          </w:p>
        </w:tc>
        <w:tc>
          <w:tcPr>
            <w:tcW w:w="0" w:type="dxa"/>
            <w:vAlign w:val="bottom"/>
          </w:tcPr>
          <w:p>
            <w:pPr>
              <w:spacing w:after="0"/>
              <w:rPr>
                <w:sz w:val="1"/>
                <w:szCs w:val="1"/>
                <w:color w:val="auto"/>
              </w:rPr>
            </w:pPr>
          </w:p>
        </w:tc>
      </w:tr>
      <w:tr>
        <w:trPr>
          <w:trHeight w:val="222"/>
        </w:trPr>
        <w:tc>
          <w:tcPr>
            <w:tcW w:w="2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Chandler Gateway (3)</w:t>
            </w:r>
          </w:p>
        </w:tc>
        <w:tc>
          <w:tcPr>
            <w:tcW w:w="268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Chandler, Arizona</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262,000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18.1</w:t>
            </w:r>
          </w:p>
        </w:tc>
        <w:tc>
          <w:tcPr>
            <w:tcW w:w="34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Walmart / Hobby Lobby / Petco</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260" w:hanging="252"/>
        <w:spacing w:after="0"/>
        <w:tabs>
          <w:tab w:leader="none" w:pos="2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mortgage loan on this property bears interest at 3.90% and matures on October 1, 2025.</w:t>
      </w:r>
    </w:p>
    <w:p>
      <w:pPr>
        <w:spacing w:after="0" w:line="25" w:lineRule="exact"/>
        <w:rPr>
          <w:rFonts w:ascii="Times New Roman" w:cs="Times New Roman" w:eastAsia="Times New Roman" w:hAnsi="Times New Roman"/>
          <w:sz w:val="17"/>
          <w:szCs w:val="17"/>
          <w:color w:val="auto"/>
        </w:rPr>
      </w:pPr>
    </w:p>
    <w:p>
      <w:pPr>
        <w:ind w:left="260" w:hanging="252"/>
        <w:spacing w:after="0"/>
        <w:tabs>
          <w:tab w:leader="none" w:pos="2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mortgage loan on this property bears interest at 3.84% and matures on October 5, 2025.</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Property Dispositions</w:t>
            </w:r>
          </w:p>
        </w:tc>
        <w:tc>
          <w:tcPr>
            <w:tcW w:w="1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60" w:type="dxa"/>
            <w:vAlign w:val="bottom"/>
          </w:tcPr>
          <w:p>
            <w:pPr>
              <w:spacing w:after="0"/>
              <w:rPr>
                <w:sz w:val="16"/>
                <w:szCs w:val="16"/>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400" w:type="dxa"/>
            <w:vAlign w:val="bottom"/>
            <w:gridSpan w:val="2"/>
          </w:tcPr>
          <w:p>
            <w:pPr>
              <w:spacing w:after="0" w:line="20" w:lineRule="exact"/>
              <w:rPr>
                <w:sz w:val="1"/>
                <w:szCs w:val="1"/>
                <w:color w:val="auto"/>
              </w:rPr>
            </w:pPr>
          </w:p>
        </w:tc>
      </w:tr>
      <w:tr>
        <w:trPr>
          <w:trHeight w:val="270"/>
        </w:trPr>
        <w:tc>
          <w:tcPr>
            <w:tcW w:w="1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Date</w:t>
            </w:r>
          </w:p>
        </w:tc>
        <w:tc>
          <w:tcPr>
            <w:tcW w:w="28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7"/>
                <w:szCs w:val="17"/>
                <w:b w:val="1"/>
                <w:bCs w:val="1"/>
                <w:color w:val="auto"/>
              </w:rPr>
              <w:t>Property</w:t>
            </w:r>
          </w:p>
        </w:tc>
        <w:tc>
          <w:tcPr>
            <w:tcW w:w="17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City/State</w:t>
            </w:r>
          </w:p>
        </w:tc>
        <w:tc>
          <w:tcPr>
            <w:tcW w:w="5400" w:type="dxa"/>
            <w:vAlign w:val="bottom"/>
            <w:tcBorders>
              <w:bottom w:val="single" w:sz="8" w:color="auto"/>
            </w:tcBorders>
            <w:gridSpan w:val="2"/>
          </w:tcPr>
          <w:p>
            <w:pPr>
              <w:jc w:val="right"/>
              <w:ind w:right="4255"/>
              <w:spacing w:after="0"/>
              <w:rPr>
                <w:sz w:val="20"/>
                <w:szCs w:val="20"/>
                <w:color w:val="auto"/>
              </w:rPr>
            </w:pPr>
            <w:r>
              <w:rPr>
                <w:rFonts w:ascii="Times New Roman" w:cs="Times New Roman" w:eastAsia="Times New Roman" w:hAnsi="Times New Roman"/>
                <w:sz w:val="17"/>
                <w:szCs w:val="17"/>
                <w:b w:val="1"/>
                <w:bCs w:val="1"/>
                <w:color w:val="auto"/>
              </w:rPr>
              <w:t>Sales Price</w:t>
            </w:r>
          </w:p>
        </w:tc>
      </w:tr>
      <w:tr>
        <w:trPr>
          <w:trHeight w:val="228"/>
        </w:trPr>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400" w:type="dxa"/>
            <w:vAlign w:val="bottom"/>
            <w:gridSpan w:val="2"/>
          </w:tcPr>
          <w:p>
            <w:pPr>
              <w:jc w:val="right"/>
              <w:ind w:right="4215"/>
              <w:spacing w:after="0"/>
              <w:rPr>
                <w:sz w:val="20"/>
                <w:szCs w:val="20"/>
                <w:color w:val="auto"/>
              </w:rPr>
            </w:pPr>
            <w:r>
              <w:rPr>
                <w:rFonts w:ascii="Times New Roman" w:cs="Times New Roman" w:eastAsia="Times New Roman" w:hAnsi="Times New Roman"/>
                <w:sz w:val="17"/>
                <w:szCs w:val="17"/>
                <w:b w:val="1"/>
                <w:bCs w:val="1"/>
                <w:color w:val="auto"/>
              </w:rPr>
              <w:t>(in millions)</w:t>
            </w:r>
          </w:p>
        </w:tc>
      </w:tr>
      <w:tr>
        <w:trPr>
          <w:trHeight w:val="164"/>
        </w:trPr>
        <w:tc>
          <w:tcPr>
            <w:tcW w:w="122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color w:val="auto"/>
              </w:rPr>
              <w:t>September 20,</w:t>
            </w:r>
          </w:p>
        </w:tc>
        <w:tc>
          <w:tcPr>
            <w:tcW w:w="2840" w:type="dxa"/>
            <w:vAlign w:val="bottom"/>
            <w:gridSpan w:val="2"/>
            <w:shd w:val="clear" w:color="auto" w:fill="CCEEFF"/>
          </w:tcPr>
          <w:p>
            <w:pPr>
              <w:ind w:left="220"/>
              <w:spacing w:after="0" w:line="163" w:lineRule="exact"/>
              <w:rPr>
                <w:sz w:val="20"/>
                <w:szCs w:val="20"/>
                <w:color w:val="auto"/>
              </w:rPr>
            </w:pPr>
            <w:r>
              <w:rPr>
                <w:rFonts w:ascii="Times New Roman" w:cs="Times New Roman" w:eastAsia="Times New Roman" w:hAnsi="Times New Roman"/>
                <w:sz w:val="17"/>
                <w:szCs w:val="17"/>
                <w:color w:val="auto"/>
              </w:rPr>
              <w:t>Towson Residential (including retail</w:t>
            </w:r>
          </w:p>
        </w:tc>
        <w:tc>
          <w:tcPr>
            <w:tcW w:w="1700" w:type="dxa"/>
            <w:vAlign w:val="bottom"/>
            <w:shd w:val="clear" w:color="auto" w:fill="CCEEFF"/>
          </w:tcPr>
          <w:p>
            <w:pPr>
              <w:ind w:left="120"/>
              <w:spacing w:after="0" w:line="163" w:lineRule="exact"/>
              <w:rPr>
                <w:sz w:val="20"/>
                <w:szCs w:val="20"/>
                <w:color w:val="auto"/>
              </w:rPr>
            </w:pPr>
            <w:r>
              <w:rPr>
                <w:rFonts w:ascii="Times New Roman" w:cs="Times New Roman" w:eastAsia="Times New Roman" w:hAnsi="Times New Roman"/>
                <w:sz w:val="17"/>
                <w:szCs w:val="17"/>
                <w:color w:val="auto"/>
              </w:rPr>
              <w:t>Towson, Maryland</w:t>
            </w:r>
          </w:p>
        </w:tc>
        <w:tc>
          <w:tcPr>
            <w:tcW w:w="540" w:type="dxa"/>
            <w:vAlign w:val="bottom"/>
            <w:shd w:val="clear" w:color="auto" w:fill="CCEEFF"/>
          </w:tcPr>
          <w:p>
            <w:pPr>
              <w:jc w:val="right"/>
              <w:ind w:right="175"/>
              <w:spacing w:after="0" w:line="163" w:lineRule="exact"/>
              <w:rPr>
                <w:sz w:val="20"/>
                <w:szCs w:val="20"/>
                <w:color w:val="auto"/>
              </w:rPr>
            </w:pPr>
            <w:r>
              <w:rPr>
                <w:rFonts w:ascii="Times New Roman" w:cs="Times New Roman" w:eastAsia="Times New Roman" w:hAnsi="Times New Roman"/>
                <w:sz w:val="17"/>
                <w:szCs w:val="17"/>
                <w:color w:val="auto"/>
              </w:rPr>
              <w:t>$</w:t>
            </w:r>
          </w:p>
        </w:tc>
        <w:tc>
          <w:tcPr>
            <w:tcW w:w="4860" w:type="dxa"/>
            <w:vAlign w:val="bottom"/>
            <w:shd w:val="clear" w:color="auto" w:fill="CCEEFF"/>
          </w:tcPr>
          <w:p>
            <w:pPr>
              <w:jc w:val="right"/>
              <w:ind w:right="4215"/>
              <w:spacing w:after="0" w:line="163" w:lineRule="exact"/>
              <w:rPr>
                <w:sz w:val="20"/>
                <w:szCs w:val="20"/>
                <w:color w:val="auto"/>
              </w:rPr>
            </w:pPr>
            <w:r>
              <w:rPr>
                <w:rFonts w:ascii="Times New Roman" w:cs="Times New Roman" w:eastAsia="Times New Roman" w:hAnsi="Times New Roman"/>
                <w:sz w:val="17"/>
                <w:szCs w:val="17"/>
                <w:color w:val="auto"/>
              </w:rPr>
              <w:t>33.8</w:t>
            </w:r>
          </w:p>
        </w:tc>
      </w:tr>
      <w:tr>
        <w:trPr>
          <w:trHeight w:val="229"/>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2022</w:t>
            </w:r>
          </w:p>
        </w:tc>
        <w:tc>
          <w:tcPr>
            <w:tcW w:w="2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pad)</w:t>
            </w:r>
          </w:p>
        </w:tc>
        <w:tc>
          <w:tcPr>
            <w:tcW w:w="17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860" w:type="dxa"/>
            <w:vAlign w:val="bottom"/>
            <w:shd w:val="clear" w:color="auto" w:fill="CCEEFF"/>
          </w:tcPr>
          <w:p>
            <w:pPr>
              <w:spacing w:after="0"/>
              <w:rPr>
                <w:sz w:val="19"/>
                <w:szCs w:val="19"/>
                <w:color w:val="auto"/>
              </w:rPr>
            </w:pPr>
          </w:p>
        </w:tc>
      </w:tr>
      <w:tr>
        <w:trPr>
          <w:trHeight w:val="162"/>
        </w:trPr>
        <w:tc>
          <w:tcPr>
            <w:tcW w:w="1220" w:type="dxa"/>
            <w:vAlign w:val="bottom"/>
          </w:tcPr>
          <w:p>
            <w:pPr>
              <w:ind w:left="20"/>
              <w:spacing w:after="0" w:line="162" w:lineRule="exact"/>
              <w:rPr>
                <w:sz w:val="20"/>
                <w:szCs w:val="20"/>
                <w:color w:val="auto"/>
              </w:rPr>
            </w:pPr>
            <w:r>
              <w:rPr>
                <w:rFonts w:ascii="Times New Roman" w:cs="Times New Roman" w:eastAsia="Times New Roman" w:hAnsi="Times New Roman"/>
                <w:sz w:val="17"/>
                <w:szCs w:val="17"/>
                <w:color w:val="auto"/>
              </w:rPr>
              <w:t>September 26,</w:t>
            </w:r>
          </w:p>
        </w:tc>
        <w:tc>
          <w:tcPr>
            <w:tcW w:w="2840" w:type="dxa"/>
            <w:vAlign w:val="bottom"/>
            <w:gridSpan w:val="2"/>
          </w:tcPr>
          <w:p>
            <w:pPr>
              <w:ind w:left="220"/>
              <w:spacing w:after="0" w:line="162" w:lineRule="exact"/>
              <w:rPr>
                <w:sz w:val="20"/>
                <w:szCs w:val="20"/>
                <w:color w:val="auto"/>
              </w:rPr>
            </w:pPr>
            <w:r>
              <w:rPr>
                <w:rFonts w:ascii="Times New Roman" w:cs="Times New Roman" w:eastAsia="Times New Roman" w:hAnsi="Times New Roman"/>
                <w:sz w:val="17"/>
                <w:szCs w:val="17"/>
                <w:color w:val="auto"/>
              </w:rPr>
              <w:t>Rockville Town Square</w:t>
            </w:r>
          </w:p>
        </w:tc>
        <w:tc>
          <w:tcPr>
            <w:tcW w:w="1700" w:type="dxa"/>
            <w:vAlign w:val="bottom"/>
          </w:tcPr>
          <w:p>
            <w:pPr>
              <w:ind w:left="120"/>
              <w:spacing w:after="0" w:line="162" w:lineRule="exact"/>
              <w:rPr>
                <w:sz w:val="20"/>
                <w:szCs w:val="20"/>
                <w:color w:val="auto"/>
              </w:rPr>
            </w:pPr>
            <w:r>
              <w:rPr>
                <w:rFonts w:ascii="Times New Roman" w:cs="Times New Roman" w:eastAsia="Times New Roman" w:hAnsi="Times New Roman"/>
                <w:sz w:val="17"/>
                <w:szCs w:val="17"/>
                <w:color w:val="auto"/>
              </w:rPr>
              <w:t>Rockville, Maryland</w:t>
            </w:r>
          </w:p>
        </w:tc>
        <w:tc>
          <w:tcPr>
            <w:tcW w:w="540" w:type="dxa"/>
            <w:vAlign w:val="bottom"/>
          </w:tcPr>
          <w:p>
            <w:pPr>
              <w:jc w:val="right"/>
              <w:ind w:right="175"/>
              <w:spacing w:after="0" w:line="162" w:lineRule="exact"/>
              <w:rPr>
                <w:sz w:val="20"/>
                <w:szCs w:val="20"/>
                <w:color w:val="auto"/>
              </w:rPr>
            </w:pPr>
            <w:r>
              <w:rPr>
                <w:rFonts w:ascii="Times New Roman" w:cs="Times New Roman" w:eastAsia="Times New Roman" w:hAnsi="Times New Roman"/>
                <w:sz w:val="17"/>
                <w:szCs w:val="17"/>
                <w:color w:val="auto"/>
              </w:rPr>
              <w:t>$</w:t>
            </w:r>
          </w:p>
        </w:tc>
        <w:tc>
          <w:tcPr>
            <w:tcW w:w="4860" w:type="dxa"/>
            <w:vAlign w:val="bottom"/>
          </w:tcPr>
          <w:p>
            <w:pPr>
              <w:jc w:val="right"/>
              <w:ind w:right="4215"/>
              <w:spacing w:after="0" w:line="162" w:lineRule="exact"/>
              <w:rPr>
                <w:sz w:val="20"/>
                <w:szCs w:val="20"/>
                <w:color w:val="auto"/>
              </w:rPr>
            </w:pPr>
            <w:r>
              <w:rPr>
                <w:rFonts w:ascii="Times New Roman" w:cs="Times New Roman" w:eastAsia="Times New Roman" w:hAnsi="Times New Roman"/>
                <w:sz w:val="17"/>
                <w:szCs w:val="17"/>
                <w:color w:val="auto"/>
              </w:rPr>
              <w:t>33.0</w:t>
            </w:r>
          </w:p>
        </w:tc>
      </w:tr>
      <w:tr>
        <w:trPr>
          <w:trHeight w:val="222"/>
        </w:trPr>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2022</w:t>
            </w:r>
          </w:p>
        </w:tc>
        <w:tc>
          <w:tcPr>
            <w:tcW w:w="3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60" w:type="dxa"/>
            <w:vAlign w:val="bottom"/>
          </w:tcPr>
          <w:p>
            <w:pPr>
              <w:spacing w:after="0"/>
              <w:rPr>
                <w:sz w:val="19"/>
                <w:szCs w:val="19"/>
                <w:color w:val="auto"/>
              </w:rPr>
            </w:pPr>
          </w:p>
        </w:tc>
      </w:tr>
    </w:tbl>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Other Transactions</w:t>
      </w:r>
    </w:p>
    <w:p>
      <w:pPr>
        <w:spacing w:after="0" w:line="106" w:lineRule="exact"/>
        <w:rPr>
          <w:sz w:val="20"/>
          <w:szCs w:val="20"/>
          <w:color w:val="auto"/>
        </w:rPr>
      </w:pPr>
    </w:p>
    <w:p>
      <w:pPr>
        <w:jc w:val="both"/>
        <w:ind w:right="80"/>
        <w:spacing w:after="0" w:line="281" w:lineRule="auto"/>
        <w:rPr>
          <w:sz w:val="20"/>
          <w:szCs w:val="20"/>
          <w:color w:val="auto"/>
        </w:rPr>
      </w:pPr>
      <w:r>
        <w:rPr>
          <w:rFonts w:ascii="Times New Roman" w:cs="Times New Roman" w:eastAsia="Times New Roman" w:hAnsi="Times New Roman"/>
          <w:sz w:val="17"/>
          <w:szCs w:val="17"/>
          <w:color w:val="auto"/>
        </w:rPr>
        <w:t>On July 13, 2022, we acquired the 21.8% redeemable noncontrolling interest in the partnership that owns our Plaza El Segundo Shopping Center for $23.6 million, bringing our ownership interest to 100%.</w:t>
      </w:r>
    </w:p>
    <w:p>
      <w:pPr>
        <w:spacing w:after="0" w:line="4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On August 25, 2022, we entered into a tenancy in common ("TIC") agreement with our partner in the partnership that owned Escondido Promenade. As a result, the Company owns a 77.7% TIC interest, and our former partner owns the remaining 22.3% interest. While the Company controlled and consolidated Escondido Promenade under the previous partnership arrangement, control is shared under the TIC agreement. Accordingly, we deconsolidated the entity and recorded our TIC interest at fair value as an equity method investment resulting in a $70.4 million "gain on deconsolidation of VIE" on our consolidated statement of operations. In addition, we entered into a purchase option agreement to acquire the TIC interest from our co-owner, which was secured through an option payment of</w:t>
      </w:r>
    </w:p>
    <w:p>
      <w:pPr>
        <w:spacing w:after="0" w:line="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$1.5 million, and allows us to exercise our option at any time between February 1, 2023 and March 15, 2023. See Note 3 of our September 30, 2022 Form 10-Q for additional information.</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941" w:right="339" w:bottom="1440" w:gutter="0" w:footer="0" w:header="0"/>
        </w:sectPr>
      </w:pPr>
    </w:p>
    <w:bookmarkStart w:id="23" w:name="page24"/>
    <w:bookmarkEnd w:id="23"/>
    <w:p>
      <w:pPr>
        <w:ind w:left="2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Real Estate Status Report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2022</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Real Estate</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Mortgage/Finance</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Residential</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Grocery</w:t>
            </w:r>
          </w:p>
        </w:tc>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Grocery</w:t>
            </w: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104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Lease Liabilities</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b w:val="1"/>
                <w:bCs w:val="1"/>
                <w:color w:val="auto"/>
              </w:rPr>
              <w:t>Leased</w:t>
            </w:r>
          </w:p>
        </w:tc>
        <w:tc>
          <w:tcPr>
            <w:tcW w:w="660" w:type="dxa"/>
            <w:vAlign w:val="bottom"/>
            <w:vMerge w:val="continue"/>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Anchor</w:t>
            </w:r>
          </w:p>
        </w:tc>
        <w:tc>
          <w:tcPr>
            <w:tcW w:w="820" w:type="dxa"/>
            <w:vAlign w:val="bottom"/>
            <w:vMerge w:val="continue"/>
          </w:tcPr>
          <w:p>
            <w:pPr>
              <w:spacing w:after="0"/>
              <w:rPr>
                <w:sz w:val="10"/>
                <w:szCs w:val="10"/>
                <w:color w:val="auto"/>
              </w:rPr>
            </w:pPr>
          </w:p>
        </w:tc>
        <w:tc>
          <w:tcPr>
            <w:tcW w:w="2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Property Name</w:t>
            </w:r>
          </w:p>
        </w:tc>
        <w:tc>
          <w:tcPr>
            <w:tcW w:w="3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3"/>
                <w:szCs w:val="13"/>
                <w:b w:val="1"/>
                <w:bCs w:val="1"/>
                <w:color w:val="auto"/>
              </w:rPr>
              <w:t>MSA Description</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at Cost (1)</w:t>
            </w: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3"/>
                <w:szCs w:val="13"/>
                <w:b w:val="1"/>
                <w:bCs w:val="1"/>
                <w:color w:val="auto"/>
                <w:w w:val="92"/>
              </w:rPr>
              <w:t>(2)</w:t>
            </w:r>
          </w:p>
        </w:tc>
        <w:tc>
          <w:tcPr>
            <w:tcW w:w="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Acreage</w:t>
            </w:r>
          </w:p>
        </w:tc>
        <w:tc>
          <w:tcPr>
            <w:tcW w:w="7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GLA (3)</w:t>
            </w:r>
          </w:p>
        </w:tc>
        <w:tc>
          <w:tcPr>
            <w:tcW w:w="54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(3)</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Units</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GLA</w:t>
            </w:r>
          </w:p>
        </w:tc>
        <w:tc>
          <w:tcPr>
            <w:tcW w:w="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Anchor</w:t>
            </w:r>
          </w:p>
        </w:tc>
        <w:tc>
          <w:tcPr>
            <w:tcW w:w="2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Other Retail Tenants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 thousands)</w:t>
            </w:r>
          </w:p>
        </w:tc>
        <w:tc>
          <w:tcPr>
            <w:tcW w:w="160" w:type="dxa"/>
            <w:vAlign w:val="bottom"/>
          </w:tcPr>
          <w:p>
            <w:pPr>
              <w:spacing w:after="0"/>
              <w:rPr>
                <w:sz w:val="12"/>
                <w:szCs w:val="12"/>
                <w:color w:val="auto"/>
              </w:rPr>
            </w:pPr>
          </w:p>
        </w:tc>
        <w:tc>
          <w:tcPr>
            <w:tcW w:w="880" w:type="dxa"/>
            <w:vAlign w:val="bottom"/>
          </w:tcPr>
          <w:p>
            <w:pPr>
              <w:jc w:val="center"/>
              <w:ind w:right="79"/>
              <w:spacing w:after="0"/>
              <w:rPr>
                <w:sz w:val="20"/>
                <w:szCs w:val="20"/>
                <w:color w:val="auto"/>
              </w:rPr>
            </w:pPr>
            <w:r>
              <w:rPr>
                <w:rFonts w:ascii="Times New Roman" w:cs="Times New Roman" w:eastAsia="Times New Roman" w:hAnsi="Times New Roman"/>
                <w:sz w:val="11"/>
                <w:szCs w:val="11"/>
                <w:color w:val="auto"/>
                <w:w w:val="98"/>
              </w:rPr>
              <w:t>(in thousands)</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California</w:t>
            </w:r>
          </w:p>
        </w:tc>
        <w:tc>
          <w:tcPr>
            <w:tcW w:w="3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10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Azalea</w:t>
            </w:r>
          </w:p>
        </w:tc>
        <w:tc>
          <w:tcPr>
            <w:tcW w:w="30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(4)</w:t>
            </w:r>
          </w:p>
        </w:tc>
        <w:tc>
          <w:tcPr>
            <w:tcW w:w="228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3"/>
                <w:szCs w:val="13"/>
                <w:color w:val="auto"/>
              </w:rPr>
              <w:t>Los Angeles-Long Beach-Anaheim, CA</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109,208</w:t>
            </w:r>
          </w:p>
        </w:tc>
        <w:tc>
          <w:tcPr>
            <w:tcW w:w="16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ind w:right="19"/>
              <w:spacing w:after="0" w:line="122" w:lineRule="exact"/>
              <w:rPr>
                <w:sz w:val="20"/>
                <w:szCs w:val="20"/>
                <w:color w:val="auto"/>
              </w:rPr>
            </w:pPr>
            <w:r>
              <w:rPr>
                <w:rFonts w:ascii="Times New Roman" w:cs="Times New Roman" w:eastAsia="Times New Roman" w:hAnsi="Times New Roman"/>
                <w:sz w:val="13"/>
                <w:szCs w:val="13"/>
                <w:color w:val="auto"/>
              </w:rPr>
              <w:t>40,000</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22</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223,000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2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w w:val="99"/>
              </w:rPr>
              <w:t>Marshalls / Ross Dress for Less / Ulta</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Michaels</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10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Bell Gardens</w:t>
            </w:r>
          </w:p>
        </w:tc>
        <w:tc>
          <w:tcPr>
            <w:tcW w:w="30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(4)</w:t>
            </w:r>
          </w:p>
        </w:tc>
        <w:tc>
          <w:tcPr>
            <w:tcW w:w="2280" w:type="dxa"/>
            <w:vAlign w:val="bottom"/>
            <w:gridSpan w:val="2"/>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Los Angeles-Long Beach-Anaheim, CA</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117,874</w:t>
            </w: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jc w:val="right"/>
              <w:ind w:right="19"/>
              <w:spacing w:after="0" w:line="122" w:lineRule="exact"/>
              <w:rPr>
                <w:sz w:val="20"/>
                <w:szCs w:val="20"/>
                <w:color w:val="auto"/>
              </w:rPr>
            </w:pPr>
            <w:r>
              <w:rPr>
                <w:rFonts w:ascii="Times New Roman" w:cs="Times New Roman" w:eastAsia="Times New Roman" w:hAnsi="Times New Roman"/>
                <w:sz w:val="13"/>
                <w:szCs w:val="13"/>
                <w:color w:val="auto"/>
              </w:rPr>
              <w:t>11,910</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32</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330,000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67,000</w:t>
            </w:r>
          </w:p>
        </w:tc>
        <w:tc>
          <w:tcPr>
            <w:tcW w:w="82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Food 4 Less</w:t>
            </w:r>
          </w:p>
        </w:tc>
        <w:tc>
          <w:tcPr>
            <w:tcW w:w="202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Marshalls / Ross Dress for Less /</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9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2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Bob's Discount Furniture</w:t>
            </w:r>
          </w:p>
        </w:tc>
        <w:tc>
          <w:tcPr>
            <w:tcW w:w="0" w:type="dxa"/>
            <w:vAlign w:val="bottom"/>
          </w:tcPr>
          <w:p>
            <w:pPr>
              <w:spacing w:after="0"/>
              <w:rPr>
                <w:sz w:val="1"/>
                <w:szCs w:val="1"/>
                <w:color w:val="auto"/>
              </w:rPr>
            </w:pPr>
          </w:p>
        </w:tc>
      </w:tr>
      <w:tr>
        <w:trPr>
          <w:trHeight w:val="170"/>
        </w:trPr>
        <w:tc>
          <w:tcPr>
            <w:tcW w:w="11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Colorado Blvd</w:t>
            </w:r>
          </w:p>
        </w:tc>
        <w:tc>
          <w:tcPr>
            <w:tcW w:w="300" w:type="dxa"/>
            <w:vAlign w:val="bottom"/>
          </w:tcPr>
          <w:p>
            <w:pPr>
              <w:spacing w:after="0"/>
              <w:rPr>
                <w:sz w:val="14"/>
                <w:szCs w:val="14"/>
                <w:color w:val="auto"/>
              </w:rPr>
            </w:pPr>
          </w:p>
        </w:tc>
        <w:tc>
          <w:tcPr>
            <w:tcW w:w="22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Los Angeles-Long Beach-Anaheim, CA</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13,901</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42,000</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88 %</w:t>
            </w: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8"/>
              </w:rPr>
              <w:t>Banana Republic / True Food Kitchen</w:t>
            </w:r>
          </w:p>
        </w:tc>
        <w:tc>
          <w:tcPr>
            <w:tcW w:w="0" w:type="dxa"/>
            <w:vAlign w:val="bottom"/>
          </w:tcPr>
          <w:p>
            <w:pPr>
              <w:spacing w:after="0"/>
              <w:rPr>
                <w:sz w:val="1"/>
                <w:szCs w:val="1"/>
                <w:color w:val="auto"/>
              </w:rPr>
            </w:pPr>
          </w:p>
        </w:tc>
      </w:tr>
      <w:tr>
        <w:trPr>
          <w:trHeight w:val="127"/>
        </w:trPr>
        <w:tc>
          <w:tcPr>
            <w:tcW w:w="1100" w:type="dxa"/>
            <w:vAlign w:val="bottom"/>
            <w:gridSpan w:val="3"/>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Crow Canyon</w:t>
            </w:r>
          </w:p>
        </w:tc>
        <w:tc>
          <w:tcPr>
            <w:tcW w:w="300" w:type="dxa"/>
            <w:vAlign w:val="bottom"/>
            <w:shd w:val="clear" w:color="auto" w:fill="CCEEFF"/>
          </w:tcPr>
          <w:p>
            <w:pPr>
              <w:spacing w:after="0"/>
              <w:rPr>
                <w:sz w:val="11"/>
                <w:szCs w:val="11"/>
                <w:color w:val="auto"/>
              </w:rPr>
            </w:pPr>
          </w:p>
        </w:tc>
        <w:tc>
          <w:tcPr>
            <w:tcW w:w="2280" w:type="dxa"/>
            <w:vAlign w:val="bottom"/>
            <w:gridSpan w:val="2"/>
            <w:shd w:val="clear" w:color="auto" w:fill="CCEEFF"/>
          </w:tcPr>
          <w:p>
            <w:pPr>
              <w:ind w:left="80"/>
              <w:spacing w:after="0" w:line="128" w:lineRule="exact"/>
              <w:rPr>
                <w:sz w:val="20"/>
                <w:szCs w:val="20"/>
                <w:color w:val="auto"/>
              </w:rPr>
            </w:pPr>
            <w:r>
              <w:rPr>
                <w:rFonts w:ascii="Times New Roman" w:cs="Times New Roman" w:eastAsia="Times New Roman" w:hAnsi="Times New Roman"/>
                <w:sz w:val="13"/>
                <w:szCs w:val="13"/>
                <w:color w:val="auto"/>
              </w:rPr>
              <w:t>San Francisco-Oakland-Hayward, CA</w:t>
            </w:r>
          </w:p>
        </w:tc>
        <w:tc>
          <w:tcPr>
            <w:tcW w:w="6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90,849</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22</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243,000</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100 %</w:t>
            </w:r>
          </w:p>
        </w:tc>
        <w:tc>
          <w:tcPr>
            <w:tcW w:w="6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line="128" w:lineRule="exact"/>
              <w:rPr>
                <w:sz w:val="20"/>
                <w:szCs w:val="20"/>
                <w:color w:val="auto"/>
              </w:rPr>
            </w:pPr>
            <w:r>
              <w:rPr>
                <w:rFonts w:ascii="Times New Roman" w:cs="Times New Roman" w:eastAsia="Times New Roman" w:hAnsi="Times New Roman"/>
                <w:sz w:val="13"/>
                <w:szCs w:val="13"/>
                <w:color w:val="auto"/>
                <w:w w:val="94"/>
              </w:rPr>
              <w:t>32,000</w:t>
            </w:r>
          </w:p>
        </w:tc>
        <w:tc>
          <w:tcPr>
            <w:tcW w:w="820" w:type="dxa"/>
            <w:vAlign w:val="bottom"/>
            <w:shd w:val="clear" w:color="auto" w:fill="CCEEFF"/>
          </w:tcPr>
          <w:p>
            <w:pPr>
              <w:ind w:left="60"/>
              <w:spacing w:after="0" w:line="128" w:lineRule="exact"/>
              <w:rPr>
                <w:sz w:val="20"/>
                <w:szCs w:val="20"/>
                <w:color w:val="auto"/>
              </w:rPr>
            </w:pPr>
            <w:r>
              <w:rPr>
                <w:rFonts w:ascii="Times New Roman" w:cs="Times New Roman" w:eastAsia="Times New Roman" w:hAnsi="Times New Roman"/>
                <w:sz w:val="13"/>
                <w:szCs w:val="13"/>
                <w:color w:val="auto"/>
              </w:rPr>
              <w:t>Sprouts</w:t>
            </w:r>
          </w:p>
        </w:tc>
        <w:tc>
          <w:tcPr>
            <w:tcW w:w="2020" w:type="dxa"/>
            <w:vAlign w:val="bottom"/>
            <w:shd w:val="clear" w:color="auto" w:fill="CCEEFF"/>
          </w:tcPr>
          <w:p>
            <w:pPr>
              <w:ind w:left="40"/>
              <w:spacing w:after="0" w:line="128" w:lineRule="exact"/>
              <w:rPr>
                <w:sz w:val="20"/>
                <w:szCs w:val="20"/>
                <w:color w:val="auto"/>
              </w:rPr>
            </w:pPr>
            <w:r>
              <w:rPr>
                <w:rFonts w:ascii="Times New Roman" w:cs="Times New Roman" w:eastAsia="Times New Roman" w:hAnsi="Times New Roman"/>
                <w:sz w:val="13"/>
                <w:szCs w:val="13"/>
                <w:color w:val="auto"/>
                <w:w w:val="96"/>
              </w:rPr>
              <w:t>Total Wine &amp; More / Rite Aid / Alamo</w:t>
            </w:r>
          </w:p>
        </w:tc>
        <w:tc>
          <w:tcPr>
            <w:tcW w:w="0" w:type="dxa"/>
            <w:vAlign w:val="bottom"/>
          </w:tcPr>
          <w:p>
            <w:pPr>
              <w:spacing w:after="0"/>
              <w:rPr>
                <w:sz w:val="1"/>
                <w:szCs w:val="1"/>
                <w:color w:val="auto"/>
              </w:rPr>
            </w:pPr>
          </w:p>
        </w:tc>
      </w:tr>
      <w:tr>
        <w:trPr>
          <w:trHeight w:val="169"/>
        </w:trPr>
        <w:tc>
          <w:tcPr>
            <w:tcW w:w="11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Commons</w:t>
            </w:r>
          </w:p>
        </w:tc>
        <w:tc>
          <w:tcPr>
            <w:tcW w:w="3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9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2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Ace Hardware</w:t>
            </w:r>
          </w:p>
        </w:tc>
        <w:tc>
          <w:tcPr>
            <w:tcW w:w="0" w:type="dxa"/>
            <w:vAlign w:val="bottom"/>
          </w:tcPr>
          <w:p>
            <w:pPr>
              <w:spacing w:after="0"/>
              <w:rPr>
                <w:sz w:val="1"/>
                <w:szCs w:val="1"/>
                <w:color w:val="auto"/>
              </w:rPr>
            </w:pPr>
          </w:p>
        </w:tc>
      </w:tr>
      <w:tr>
        <w:trPr>
          <w:trHeight w:val="122"/>
        </w:trPr>
        <w:tc>
          <w:tcPr>
            <w:tcW w:w="110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East Bay Bridge</w:t>
            </w:r>
          </w:p>
        </w:tc>
        <w:tc>
          <w:tcPr>
            <w:tcW w:w="300" w:type="dxa"/>
            <w:vAlign w:val="bottom"/>
          </w:tcPr>
          <w:p>
            <w:pPr>
              <w:spacing w:after="0"/>
              <w:rPr>
                <w:sz w:val="10"/>
                <w:szCs w:val="10"/>
                <w:color w:val="auto"/>
              </w:rPr>
            </w:pPr>
          </w:p>
        </w:tc>
        <w:tc>
          <w:tcPr>
            <w:tcW w:w="228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3"/>
                <w:szCs w:val="13"/>
                <w:color w:val="auto"/>
              </w:rPr>
              <w:t>San Francisco-Oakland-Hayward, CA</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179,624</w:t>
            </w: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32</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440,000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66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59,000</w:t>
            </w:r>
          </w:p>
        </w:tc>
        <w:tc>
          <w:tcPr>
            <w:tcW w:w="8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Pak-N-Save</w:t>
            </w:r>
          </w:p>
        </w:tc>
        <w:tc>
          <w:tcPr>
            <w:tcW w:w="202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Home Depot / Target / Nordstrom</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Rack</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10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Escondido</w:t>
            </w:r>
          </w:p>
        </w:tc>
        <w:tc>
          <w:tcPr>
            <w:tcW w:w="30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(8)</w:t>
            </w:r>
          </w:p>
        </w:tc>
        <w:tc>
          <w:tcPr>
            <w:tcW w:w="2280" w:type="dxa"/>
            <w:vAlign w:val="bottom"/>
            <w:gridSpan w:val="2"/>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San Diego-Carlsbad, CA</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133,407</w:t>
            </w: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18</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298,000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95 %</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2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TJ Maxx / Dick’s Sporting Goods /</w:t>
            </w:r>
          </w:p>
        </w:tc>
        <w:tc>
          <w:tcPr>
            <w:tcW w:w="0" w:type="dxa"/>
            <w:vAlign w:val="bottom"/>
          </w:tcPr>
          <w:p>
            <w:pPr>
              <w:spacing w:after="0"/>
              <w:rPr>
                <w:sz w:val="1"/>
                <w:szCs w:val="1"/>
                <w:color w:val="auto"/>
              </w:rPr>
            </w:pPr>
          </w:p>
        </w:tc>
      </w:tr>
      <w:tr>
        <w:trPr>
          <w:trHeight w:val="121"/>
        </w:trPr>
        <w:tc>
          <w:tcPr>
            <w:tcW w:w="110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Promenade</w:t>
            </w:r>
          </w:p>
        </w:tc>
        <w:tc>
          <w:tcPr>
            <w:tcW w:w="3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9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2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Ross Dress For Less / Bob's Discount</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9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2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Furniture</w:t>
            </w:r>
          </w:p>
        </w:tc>
        <w:tc>
          <w:tcPr>
            <w:tcW w:w="0" w:type="dxa"/>
            <w:vAlign w:val="bottom"/>
          </w:tcPr>
          <w:p>
            <w:pPr>
              <w:spacing w:after="0"/>
              <w:rPr>
                <w:sz w:val="1"/>
                <w:szCs w:val="1"/>
                <w:color w:val="auto"/>
              </w:rPr>
            </w:pPr>
          </w:p>
        </w:tc>
      </w:tr>
      <w:tr>
        <w:trPr>
          <w:trHeight w:val="170"/>
        </w:trPr>
        <w:tc>
          <w:tcPr>
            <w:tcW w:w="11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Fourth Street</w:t>
            </w:r>
          </w:p>
        </w:tc>
        <w:tc>
          <w:tcPr>
            <w:tcW w:w="3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w:t>
            </w:r>
          </w:p>
        </w:tc>
        <w:tc>
          <w:tcPr>
            <w:tcW w:w="22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San Francisco-Oakland-Hayward, CA</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27,526</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71,000</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81 %</w:t>
            </w: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CB2</w:t>
            </w:r>
          </w:p>
        </w:tc>
        <w:tc>
          <w:tcPr>
            <w:tcW w:w="0" w:type="dxa"/>
            <w:vAlign w:val="bottom"/>
          </w:tcPr>
          <w:p>
            <w:pPr>
              <w:spacing w:after="0"/>
              <w:rPr>
                <w:sz w:val="1"/>
                <w:szCs w:val="1"/>
                <w:color w:val="auto"/>
              </w:rPr>
            </w:pPr>
          </w:p>
        </w:tc>
      </w:tr>
      <w:tr>
        <w:trPr>
          <w:trHeight w:val="127"/>
        </w:trPr>
        <w:tc>
          <w:tcPr>
            <w:tcW w:w="1100" w:type="dxa"/>
            <w:vAlign w:val="bottom"/>
            <w:gridSpan w:val="3"/>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Freedom Plaza</w:t>
            </w:r>
          </w:p>
        </w:tc>
        <w:tc>
          <w:tcPr>
            <w:tcW w:w="300" w:type="dxa"/>
            <w:vAlign w:val="bottom"/>
            <w:shd w:val="clear" w:color="auto" w:fill="CCEEFF"/>
          </w:tcPr>
          <w:p>
            <w:pPr>
              <w:jc w:val="right"/>
              <w:ind w:right="17"/>
              <w:spacing w:after="0" w:line="128" w:lineRule="exact"/>
              <w:rPr>
                <w:sz w:val="20"/>
                <w:szCs w:val="20"/>
                <w:color w:val="auto"/>
              </w:rPr>
            </w:pPr>
            <w:r>
              <w:rPr>
                <w:rFonts w:ascii="Times New Roman" w:cs="Times New Roman" w:eastAsia="Times New Roman" w:hAnsi="Times New Roman"/>
                <w:sz w:val="13"/>
                <w:szCs w:val="13"/>
                <w:color w:val="auto"/>
              </w:rPr>
              <w:t>(4)</w:t>
            </w:r>
          </w:p>
        </w:tc>
        <w:tc>
          <w:tcPr>
            <w:tcW w:w="2280" w:type="dxa"/>
            <w:vAlign w:val="bottom"/>
            <w:gridSpan w:val="2"/>
            <w:shd w:val="clear" w:color="auto" w:fill="CCEEFF"/>
          </w:tcPr>
          <w:p>
            <w:pPr>
              <w:ind w:left="80"/>
              <w:spacing w:after="0" w:line="128" w:lineRule="exact"/>
              <w:rPr>
                <w:sz w:val="20"/>
                <w:szCs w:val="20"/>
                <w:color w:val="auto"/>
              </w:rPr>
            </w:pPr>
            <w:r>
              <w:rPr>
                <w:rFonts w:ascii="Times New Roman" w:cs="Times New Roman" w:eastAsia="Times New Roman" w:hAnsi="Times New Roman"/>
                <w:sz w:val="13"/>
                <w:szCs w:val="13"/>
                <w:color w:val="auto"/>
              </w:rPr>
              <w:t>Los Angeles-Long Beach-Anaheim, CA</w:t>
            </w:r>
          </w:p>
        </w:tc>
        <w:tc>
          <w:tcPr>
            <w:tcW w:w="6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44,146</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114,000</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96 %</w:t>
            </w:r>
          </w:p>
        </w:tc>
        <w:tc>
          <w:tcPr>
            <w:tcW w:w="6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line="128" w:lineRule="exact"/>
              <w:rPr>
                <w:sz w:val="20"/>
                <w:szCs w:val="20"/>
                <w:color w:val="auto"/>
              </w:rPr>
            </w:pPr>
            <w:r>
              <w:rPr>
                <w:rFonts w:ascii="Times New Roman" w:cs="Times New Roman" w:eastAsia="Times New Roman" w:hAnsi="Times New Roman"/>
                <w:sz w:val="13"/>
                <w:szCs w:val="13"/>
                <w:color w:val="auto"/>
                <w:w w:val="94"/>
              </w:rPr>
              <w:t>31,000</w:t>
            </w:r>
          </w:p>
        </w:tc>
        <w:tc>
          <w:tcPr>
            <w:tcW w:w="820" w:type="dxa"/>
            <w:vAlign w:val="bottom"/>
            <w:shd w:val="clear" w:color="auto" w:fill="CCEEFF"/>
          </w:tcPr>
          <w:p>
            <w:pPr>
              <w:ind w:left="60"/>
              <w:spacing w:after="0" w:line="128" w:lineRule="exact"/>
              <w:rPr>
                <w:sz w:val="20"/>
                <w:szCs w:val="20"/>
                <w:color w:val="auto"/>
              </w:rPr>
            </w:pPr>
            <w:r>
              <w:rPr>
                <w:rFonts w:ascii="Times New Roman" w:cs="Times New Roman" w:eastAsia="Times New Roman" w:hAnsi="Times New Roman"/>
                <w:sz w:val="13"/>
                <w:szCs w:val="13"/>
                <w:color w:val="auto"/>
                <w:w w:val="99"/>
              </w:rPr>
              <w:t>Smart &amp; Final</w:t>
            </w:r>
          </w:p>
        </w:tc>
        <w:tc>
          <w:tcPr>
            <w:tcW w:w="2020" w:type="dxa"/>
            <w:vAlign w:val="bottom"/>
            <w:shd w:val="clear" w:color="auto" w:fill="CCEEFF"/>
          </w:tcPr>
          <w:p>
            <w:pPr>
              <w:ind w:left="40"/>
              <w:spacing w:after="0" w:line="128" w:lineRule="exact"/>
              <w:rPr>
                <w:sz w:val="20"/>
                <w:szCs w:val="20"/>
                <w:color w:val="auto"/>
              </w:rPr>
            </w:pPr>
            <w:r>
              <w:rPr>
                <w:rFonts w:ascii="Times New Roman" w:cs="Times New Roman" w:eastAsia="Times New Roman" w:hAnsi="Times New Roman"/>
                <w:sz w:val="13"/>
                <w:szCs w:val="13"/>
                <w:color w:val="auto"/>
              </w:rPr>
              <w:t>Nike / Blink Fitness / Ross Dress For</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9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2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Less</w:t>
            </w:r>
          </w:p>
        </w:tc>
        <w:tc>
          <w:tcPr>
            <w:tcW w:w="0" w:type="dxa"/>
            <w:vAlign w:val="bottom"/>
          </w:tcPr>
          <w:p>
            <w:pPr>
              <w:spacing w:after="0"/>
              <w:rPr>
                <w:sz w:val="1"/>
                <w:szCs w:val="1"/>
                <w:color w:val="auto"/>
              </w:rPr>
            </w:pPr>
          </w:p>
        </w:tc>
      </w:tr>
      <w:tr>
        <w:trPr>
          <w:trHeight w:val="164"/>
        </w:trPr>
        <w:tc>
          <w:tcPr>
            <w:tcW w:w="11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Grossmont Center</w:t>
            </w:r>
          </w:p>
        </w:tc>
        <w:tc>
          <w:tcPr>
            <w:tcW w:w="3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w:t>
            </w:r>
          </w:p>
        </w:tc>
        <w:tc>
          <w:tcPr>
            <w:tcW w:w="22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San Diego-Carlsbad, CA</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176,361</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932,000</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99 %</w:t>
            </w: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Target / Walmart / Macy's / CVS</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10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Hastings Ranch</w:t>
            </w:r>
          </w:p>
        </w:tc>
        <w:tc>
          <w:tcPr>
            <w:tcW w:w="300" w:type="dxa"/>
            <w:vAlign w:val="bottom"/>
            <w:shd w:val="clear" w:color="auto" w:fill="CCEEFF"/>
          </w:tcPr>
          <w:p>
            <w:pPr>
              <w:spacing w:after="0"/>
              <w:rPr>
                <w:sz w:val="10"/>
                <w:szCs w:val="10"/>
                <w:color w:val="auto"/>
              </w:rPr>
            </w:pPr>
          </w:p>
        </w:tc>
        <w:tc>
          <w:tcPr>
            <w:tcW w:w="2280" w:type="dxa"/>
            <w:vAlign w:val="bottom"/>
            <w:gridSpan w:val="2"/>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Los Angeles-Long Beach-Anaheim, CA</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25,714</w:t>
            </w: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273,000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2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7"/>
              </w:rPr>
              <w:t>Marshalls / HomeGoods / CVS / Sears</w:t>
            </w:r>
          </w:p>
        </w:tc>
        <w:tc>
          <w:tcPr>
            <w:tcW w:w="0" w:type="dxa"/>
            <w:vAlign w:val="bottom"/>
          </w:tcPr>
          <w:p>
            <w:pPr>
              <w:spacing w:after="0"/>
              <w:rPr>
                <w:sz w:val="1"/>
                <w:szCs w:val="1"/>
                <w:color w:val="auto"/>
              </w:rPr>
            </w:pPr>
          </w:p>
        </w:tc>
      </w:tr>
      <w:tr>
        <w:trPr>
          <w:trHeight w:val="169"/>
        </w:trPr>
        <w:tc>
          <w:tcPr>
            <w:tcW w:w="11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Plaza</w:t>
            </w:r>
          </w:p>
        </w:tc>
        <w:tc>
          <w:tcPr>
            <w:tcW w:w="3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9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20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1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Hollywood Blvd</w:t>
            </w:r>
          </w:p>
        </w:tc>
        <w:tc>
          <w:tcPr>
            <w:tcW w:w="300" w:type="dxa"/>
            <w:vAlign w:val="bottom"/>
          </w:tcPr>
          <w:p>
            <w:pPr>
              <w:spacing w:after="0"/>
              <w:rPr>
                <w:sz w:val="14"/>
                <w:szCs w:val="14"/>
                <w:color w:val="auto"/>
              </w:rPr>
            </w:pPr>
          </w:p>
        </w:tc>
        <w:tc>
          <w:tcPr>
            <w:tcW w:w="22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Los Angeles-Long Beach-Anaheim, CA</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61,885</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181,000</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86 %</w:t>
            </w: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Target / Marshalls / L.A. Fitness</w:t>
            </w:r>
          </w:p>
        </w:tc>
        <w:tc>
          <w:tcPr>
            <w:tcW w:w="0" w:type="dxa"/>
            <w:vAlign w:val="bottom"/>
          </w:tcPr>
          <w:p>
            <w:pPr>
              <w:spacing w:after="0"/>
              <w:rPr>
                <w:sz w:val="1"/>
                <w:szCs w:val="1"/>
                <w:color w:val="auto"/>
              </w:rPr>
            </w:pPr>
          </w:p>
        </w:tc>
      </w:tr>
      <w:tr>
        <w:trPr>
          <w:trHeight w:val="181"/>
        </w:trPr>
        <w:tc>
          <w:tcPr>
            <w:tcW w:w="1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Kings Court</w:t>
            </w:r>
          </w:p>
        </w:tc>
        <w:tc>
          <w:tcPr>
            <w:tcW w:w="3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w:t>
            </w:r>
          </w:p>
        </w:tc>
        <w:tc>
          <w:tcPr>
            <w:tcW w:w="2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San Jose-Sunnyvale-Santa Clara, CA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11,631</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81,000</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31,000</w:t>
            </w:r>
          </w:p>
        </w:tc>
        <w:tc>
          <w:tcPr>
            <w:tcW w:w="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Lunardi's</w:t>
            </w:r>
          </w:p>
        </w:tc>
        <w:tc>
          <w:tcPr>
            <w:tcW w:w="2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CVS</w:t>
            </w:r>
          </w:p>
        </w:tc>
        <w:tc>
          <w:tcPr>
            <w:tcW w:w="0" w:type="dxa"/>
            <w:vAlign w:val="bottom"/>
          </w:tcPr>
          <w:p>
            <w:pPr>
              <w:spacing w:after="0"/>
              <w:rPr>
                <w:sz w:val="1"/>
                <w:szCs w:val="1"/>
                <w:color w:val="auto"/>
              </w:rPr>
            </w:pPr>
          </w:p>
        </w:tc>
      </w:tr>
      <w:tr>
        <w:trPr>
          <w:trHeight w:val="122"/>
        </w:trPr>
        <w:tc>
          <w:tcPr>
            <w:tcW w:w="110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Old Town Center</w:t>
            </w:r>
          </w:p>
        </w:tc>
        <w:tc>
          <w:tcPr>
            <w:tcW w:w="300" w:type="dxa"/>
            <w:vAlign w:val="bottom"/>
          </w:tcPr>
          <w:p>
            <w:pPr>
              <w:spacing w:after="0"/>
              <w:rPr>
                <w:sz w:val="10"/>
                <w:szCs w:val="10"/>
                <w:color w:val="auto"/>
              </w:rPr>
            </w:pPr>
          </w:p>
        </w:tc>
        <w:tc>
          <w:tcPr>
            <w:tcW w:w="228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3"/>
                <w:szCs w:val="13"/>
                <w:color w:val="auto"/>
              </w:rPr>
              <w:t>San Jose-Sunnyvale-Santa Clara, CA</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40,417</w:t>
            </w: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97,000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95 %</w:t>
            </w: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2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Anthropologie / Sephora / Teleferic</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Barcelona</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10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Olivo at Mission</w:t>
            </w:r>
          </w:p>
        </w:tc>
        <w:tc>
          <w:tcPr>
            <w:tcW w:w="30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(4)</w:t>
            </w:r>
          </w:p>
        </w:tc>
        <w:tc>
          <w:tcPr>
            <w:tcW w:w="2280" w:type="dxa"/>
            <w:vAlign w:val="bottom"/>
            <w:gridSpan w:val="2"/>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Los Angeles-Long Beach-Anaheim, CA</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82,494</w:t>
            </w: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155,000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2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Target / 24 Hour Fitness / Ross Dress</w:t>
            </w:r>
          </w:p>
        </w:tc>
        <w:tc>
          <w:tcPr>
            <w:tcW w:w="0" w:type="dxa"/>
            <w:vAlign w:val="bottom"/>
          </w:tcPr>
          <w:p>
            <w:pPr>
              <w:spacing w:after="0"/>
              <w:rPr>
                <w:sz w:val="1"/>
                <w:szCs w:val="1"/>
                <w:color w:val="auto"/>
              </w:rPr>
            </w:pPr>
          </w:p>
        </w:tc>
      </w:tr>
      <w:tr>
        <w:trPr>
          <w:trHeight w:val="169"/>
        </w:trPr>
        <w:tc>
          <w:tcPr>
            <w:tcW w:w="11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Hills</w:t>
            </w:r>
          </w:p>
        </w:tc>
        <w:tc>
          <w:tcPr>
            <w:tcW w:w="3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9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2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For Less</w:t>
            </w:r>
          </w:p>
        </w:tc>
        <w:tc>
          <w:tcPr>
            <w:tcW w:w="0" w:type="dxa"/>
            <w:vAlign w:val="bottom"/>
          </w:tcPr>
          <w:p>
            <w:pPr>
              <w:spacing w:after="0"/>
              <w:rPr>
                <w:sz w:val="1"/>
                <w:szCs w:val="1"/>
                <w:color w:val="auto"/>
              </w:rPr>
            </w:pPr>
          </w:p>
        </w:tc>
      </w:tr>
      <w:tr>
        <w:trPr>
          <w:trHeight w:val="170"/>
        </w:trPr>
        <w:tc>
          <w:tcPr>
            <w:tcW w:w="11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Plaza Del Sol</w:t>
            </w:r>
          </w:p>
        </w:tc>
        <w:tc>
          <w:tcPr>
            <w:tcW w:w="3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w:t>
            </w:r>
          </w:p>
        </w:tc>
        <w:tc>
          <w:tcPr>
            <w:tcW w:w="22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Los Angeles-Long Beach-Anaheim, CA</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17,954</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48,000</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96 %</w:t>
            </w: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Marshalls</w:t>
            </w:r>
          </w:p>
        </w:tc>
        <w:tc>
          <w:tcPr>
            <w:tcW w:w="0" w:type="dxa"/>
            <w:vAlign w:val="bottom"/>
          </w:tcPr>
          <w:p>
            <w:pPr>
              <w:spacing w:after="0"/>
              <w:rPr>
                <w:sz w:val="1"/>
                <w:szCs w:val="1"/>
                <w:color w:val="auto"/>
              </w:rPr>
            </w:pPr>
          </w:p>
        </w:tc>
      </w:tr>
      <w:tr>
        <w:trPr>
          <w:trHeight w:val="127"/>
        </w:trPr>
        <w:tc>
          <w:tcPr>
            <w:tcW w:w="1100" w:type="dxa"/>
            <w:vAlign w:val="bottom"/>
            <w:gridSpan w:val="3"/>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Plaza El Segundo /</w:t>
            </w:r>
          </w:p>
        </w:tc>
        <w:tc>
          <w:tcPr>
            <w:tcW w:w="300" w:type="dxa"/>
            <w:vAlign w:val="bottom"/>
            <w:shd w:val="clear" w:color="auto" w:fill="CCEEFF"/>
          </w:tcPr>
          <w:p>
            <w:pPr>
              <w:spacing w:after="0"/>
              <w:rPr>
                <w:sz w:val="11"/>
                <w:szCs w:val="11"/>
                <w:color w:val="auto"/>
              </w:rPr>
            </w:pPr>
          </w:p>
        </w:tc>
        <w:tc>
          <w:tcPr>
            <w:tcW w:w="2280" w:type="dxa"/>
            <w:vAlign w:val="bottom"/>
            <w:gridSpan w:val="2"/>
            <w:shd w:val="clear" w:color="auto" w:fill="CCEEFF"/>
          </w:tcPr>
          <w:p>
            <w:pPr>
              <w:ind w:left="80"/>
              <w:spacing w:after="0" w:line="128" w:lineRule="exact"/>
              <w:rPr>
                <w:sz w:val="20"/>
                <w:szCs w:val="20"/>
                <w:color w:val="auto"/>
              </w:rPr>
            </w:pPr>
            <w:r>
              <w:rPr>
                <w:rFonts w:ascii="Times New Roman" w:cs="Times New Roman" w:eastAsia="Times New Roman" w:hAnsi="Times New Roman"/>
                <w:sz w:val="13"/>
                <w:szCs w:val="13"/>
                <w:color w:val="auto"/>
              </w:rPr>
              <w:t>Los Angeles-Long Beach-Anaheim, CA</w:t>
            </w:r>
          </w:p>
        </w:tc>
        <w:tc>
          <w:tcPr>
            <w:tcW w:w="6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302,666</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9"/>
              <w:spacing w:after="0" w:line="128" w:lineRule="exact"/>
              <w:rPr>
                <w:sz w:val="20"/>
                <w:szCs w:val="20"/>
                <w:color w:val="auto"/>
              </w:rPr>
            </w:pPr>
            <w:r>
              <w:rPr>
                <w:rFonts w:ascii="Times New Roman" w:cs="Times New Roman" w:eastAsia="Times New Roman" w:hAnsi="Times New Roman"/>
                <w:sz w:val="13"/>
                <w:szCs w:val="13"/>
                <w:color w:val="auto"/>
              </w:rPr>
              <w:t>125,000</w:t>
            </w:r>
          </w:p>
        </w:tc>
        <w:tc>
          <w:tcPr>
            <w:tcW w:w="4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50</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501,000</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85 %</w:t>
            </w:r>
          </w:p>
        </w:tc>
        <w:tc>
          <w:tcPr>
            <w:tcW w:w="6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line="128" w:lineRule="exact"/>
              <w:rPr>
                <w:sz w:val="20"/>
                <w:szCs w:val="20"/>
                <w:color w:val="auto"/>
              </w:rPr>
            </w:pPr>
            <w:r>
              <w:rPr>
                <w:rFonts w:ascii="Times New Roman" w:cs="Times New Roman" w:eastAsia="Times New Roman" w:hAnsi="Times New Roman"/>
                <w:sz w:val="13"/>
                <w:szCs w:val="13"/>
                <w:color w:val="auto"/>
                <w:w w:val="94"/>
              </w:rPr>
              <w:t>66,000</w:t>
            </w:r>
          </w:p>
        </w:tc>
        <w:tc>
          <w:tcPr>
            <w:tcW w:w="820" w:type="dxa"/>
            <w:vAlign w:val="bottom"/>
            <w:shd w:val="clear" w:color="auto" w:fill="CCEEFF"/>
          </w:tcPr>
          <w:p>
            <w:pPr>
              <w:ind w:left="60"/>
              <w:spacing w:after="0" w:line="128" w:lineRule="exact"/>
              <w:rPr>
                <w:sz w:val="20"/>
                <w:szCs w:val="20"/>
                <w:color w:val="auto"/>
              </w:rPr>
            </w:pPr>
            <w:r>
              <w:rPr>
                <w:rFonts w:ascii="Times New Roman" w:cs="Times New Roman" w:eastAsia="Times New Roman" w:hAnsi="Times New Roman"/>
                <w:sz w:val="13"/>
                <w:szCs w:val="13"/>
                <w:color w:val="auto"/>
              </w:rPr>
              <w:t>Whole Foods</w:t>
            </w:r>
          </w:p>
        </w:tc>
        <w:tc>
          <w:tcPr>
            <w:tcW w:w="2020" w:type="dxa"/>
            <w:vAlign w:val="bottom"/>
            <w:shd w:val="clear" w:color="auto" w:fill="CCEEFF"/>
          </w:tcPr>
          <w:p>
            <w:pPr>
              <w:ind w:left="40"/>
              <w:spacing w:after="0" w:line="128" w:lineRule="exact"/>
              <w:rPr>
                <w:sz w:val="20"/>
                <w:szCs w:val="20"/>
                <w:color w:val="auto"/>
              </w:rPr>
            </w:pPr>
            <w:r>
              <w:rPr>
                <w:rFonts w:ascii="Times New Roman" w:cs="Times New Roman" w:eastAsia="Times New Roman" w:hAnsi="Times New Roman"/>
                <w:sz w:val="13"/>
                <w:szCs w:val="13"/>
                <w:color w:val="auto"/>
              </w:rPr>
              <w:t>Nordstrom Rack / HomeGoods /</w:t>
            </w:r>
          </w:p>
        </w:tc>
        <w:tc>
          <w:tcPr>
            <w:tcW w:w="0" w:type="dxa"/>
            <w:vAlign w:val="bottom"/>
          </w:tcPr>
          <w:p>
            <w:pPr>
              <w:spacing w:after="0"/>
              <w:rPr>
                <w:sz w:val="1"/>
                <w:szCs w:val="1"/>
                <w:color w:val="auto"/>
              </w:rPr>
            </w:pPr>
          </w:p>
        </w:tc>
      </w:tr>
      <w:tr>
        <w:trPr>
          <w:trHeight w:val="122"/>
        </w:trPr>
        <w:tc>
          <w:tcPr>
            <w:tcW w:w="110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The Point</w:t>
            </w:r>
          </w:p>
        </w:tc>
        <w:tc>
          <w:tcPr>
            <w:tcW w:w="3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9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2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Dick's Sporting Goods / Multiple</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9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2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Restaurants</w:t>
            </w:r>
          </w:p>
        </w:tc>
        <w:tc>
          <w:tcPr>
            <w:tcW w:w="0" w:type="dxa"/>
            <w:vAlign w:val="bottom"/>
          </w:tcPr>
          <w:p>
            <w:pPr>
              <w:spacing w:after="0"/>
              <w:rPr>
                <w:sz w:val="1"/>
                <w:szCs w:val="1"/>
                <w:color w:val="auto"/>
              </w:rPr>
            </w:pPr>
          </w:p>
        </w:tc>
      </w:tr>
      <w:tr>
        <w:trPr>
          <w:trHeight w:val="170"/>
        </w:trPr>
        <w:tc>
          <w:tcPr>
            <w:tcW w:w="11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San Antonio Center</w:t>
            </w:r>
          </w:p>
        </w:tc>
        <w:tc>
          <w:tcPr>
            <w:tcW w:w="3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w:t>
            </w:r>
          </w:p>
        </w:tc>
        <w:tc>
          <w:tcPr>
            <w:tcW w:w="22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San Jose-Sunnyvale-Santa Clara, CA</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50,035</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212,000</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99 %</w:t>
            </w:r>
          </w:p>
        </w:tc>
        <w:tc>
          <w:tcPr>
            <w:tcW w:w="6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14,000</w:t>
            </w:r>
          </w:p>
        </w:tc>
        <w:tc>
          <w:tcPr>
            <w:tcW w:w="8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Trader Joe's</w:t>
            </w:r>
          </w:p>
        </w:tc>
        <w:tc>
          <w:tcPr>
            <w:tcW w:w="20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Walmart / 24 Hour Fitness</w:t>
            </w:r>
          </w:p>
        </w:tc>
        <w:tc>
          <w:tcPr>
            <w:tcW w:w="0" w:type="dxa"/>
            <w:vAlign w:val="bottom"/>
          </w:tcPr>
          <w:p>
            <w:pPr>
              <w:spacing w:after="0"/>
              <w:rPr>
                <w:sz w:val="1"/>
                <w:szCs w:val="1"/>
                <w:color w:val="auto"/>
              </w:rPr>
            </w:pPr>
          </w:p>
        </w:tc>
      </w:tr>
      <w:tr>
        <w:trPr>
          <w:trHeight w:val="127"/>
        </w:trPr>
        <w:tc>
          <w:tcPr>
            <w:tcW w:w="1100" w:type="dxa"/>
            <w:vAlign w:val="bottom"/>
            <w:gridSpan w:val="3"/>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Santana Row</w:t>
            </w:r>
          </w:p>
        </w:tc>
        <w:tc>
          <w:tcPr>
            <w:tcW w:w="300" w:type="dxa"/>
            <w:vAlign w:val="bottom"/>
            <w:shd w:val="clear" w:color="auto" w:fill="CCEEFF"/>
          </w:tcPr>
          <w:p>
            <w:pPr>
              <w:spacing w:after="0"/>
              <w:rPr>
                <w:sz w:val="11"/>
                <w:szCs w:val="11"/>
                <w:color w:val="auto"/>
              </w:rPr>
            </w:pPr>
          </w:p>
        </w:tc>
        <w:tc>
          <w:tcPr>
            <w:tcW w:w="2280" w:type="dxa"/>
            <w:vAlign w:val="bottom"/>
            <w:gridSpan w:val="2"/>
            <w:shd w:val="clear" w:color="auto" w:fill="CCEEFF"/>
          </w:tcPr>
          <w:p>
            <w:pPr>
              <w:ind w:left="80"/>
              <w:spacing w:after="0" w:line="128" w:lineRule="exact"/>
              <w:rPr>
                <w:sz w:val="20"/>
                <w:szCs w:val="20"/>
                <w:color w:val="auto"/>
              </w:rPr>
            </w:pPr>
            <w:r>
              <w:rPr>
                <w:rFonts w:ascii="Times New Roman" w:cs="Times New Roman" w:eastAsia="Times New Roman" w:hAnsi="Times New Roman"/>
                <w:sz w:val="13"/>
                <w:szCs w:val="13"/>
                <w:color w:val="auto"/>
              </w:rPr>
              <w:t>San Jose-Sunnyvale-Santa Clara, CA</w:t>
            </w:r>
          </w:p>
        </w:tc>
        <w:tc>
          <w:tcPr>
            <w:tcW w:w="6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1,267,987</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45</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1,205,000</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98 %</w:t>
            </w:r>
          </w:p>
        </w:tc>
        <w:tc>
          <w:tcPr>
            <w:tcW w:w="660" w:type="dxa"/>
            <w:vAlign w:val="bottom"/>
            <w:shd w:val="clear" w:color="auto" w:fill="CCEEFF"/>
          </w:tcPr>
          <w:p>
            <w:pPr>
              <w:jc w:val="center"/>
              <w:spacing w:after="0" w:line="128" w:lineRule="exact"/>
              <w:rPr>
                <w:sz w:val="20"/>
                <w:szCs w:val="20"/>
                <w:color w:val="auto"/>
              </w:rPr>
            </w:pPr>
            <w:r>
              <w:rPr>
                <w:rFonts w:ascii="Times New Roman" w:cs="Times New Roman" w:eastAsia="Times New Roman" w:hAnsi="Times New Roman"/>
                <w:sz w:val="13"/>
                <w:szCs w:val="13"/>
                <w:color w:val="auto"/>
                <w:w w:val="92"/>
              </w:rPr>
              <w:t>662</w:t>
            </w:r>
          </w:p>
        </w:tc>
        <w:tc>
          <w:tcPr>
            <w:tcW w:w="5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20" w:type="dxa"/>
            <w:vAlign w:val="bottom"/>
            <w:shd w:val="clear" w:color="auto" w:fill="CCEEFF"/>
          </w:tcPr>
          <w:p>
            <w:pPr>
              <w:ind w:left="40"/>
              <w:spacing w:after="0" w:line="128" w:lineRule="exact"/>
              <w:rPr>
                <w:sz w:val="20"/>
                <w:szCs w:val="20"/>
                <w:color w:val="auto"/>
              </w:rPr>
            </w:pPr>
            <w:r>
              <w:rPr>
                <w:rFonts w:ascii="Times New Roman" w:cs="Times New Roman" w:eastAsia="Times New Roman" w:hAnsi="Times New Roman"/>
                <w:sz w:val="13"/>
                <w:szCs w:val="13"/>
                <w:color w:val="auto"/>
              </w:rPr>
              <w:t>Crate &amp; Barrel / CB2 / H&amp;M / Best</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9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2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Buy / Multiple Restaurants</w:t>
            </w:r>
          </w:p>
        </w:tc>
        <w:tc>
          <w:tcPr>
            <w:tcW w:w="0" w:type="dxa"/>
            <w:vAlign w:val="bottom"/>
          </w:tcPr>
          <w:p>
            <w:pPr>
              <w:spacing w:after="0"/>
              <w:rPr>
                <w:sz w:val="1"/>
                <w:szCs w:val="1"/>
                <w:color w:val="auto"/>
              </w:rPr>
            </w:pPr>
          </w:p>
        </w:tc>
      </w:tr>
      <w:tr>
        <w:trPr>
          <w:trHeight w:val="122"/>
        </w:trPr>
        <w:tc>
          <w:tcPr>
            <w:tcW w:w="110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Sylmar Towne</w:t>
            </w:r>
          </w:p>
        </w:tc>
        <w:tc>
          <w:tcPr>
            <w:tcW w:w="30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(4)</w:t>
            </w:r>
          </w:p>
        </w:tc>
        <w:tc>
          <w:tcPr>
            <w:tcW w:w="228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3"/>
                <w:szCs w:val="13"/>
                <w:color w:val="auto"/>
              </w:rPr>
              <w:t>Los Angeles-Long Beach-Anaheim, CA</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46,314</w:t>
            </w: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148,000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93 %</w:t>
            </w:r>
          </w:p>
        </w:tc>
        <w:tc>
          <w:tcPr>
            <w:tcW w:w="66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43,000</w:t>
            </w:r>
          </w:p>
        </w:tc>
        <w:tc>
          <w:tcPr>
            <w:tcW w:w="8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Food 4 Less</w:t>
            </w:r>
          </w:p>
        </w:tc>
        <w:tc>
          <w:tcPr>
            <w:tcW w:w="202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CVS</w:t>
            </w:r>
          </w:p>
        </w:tc>
        <w:tc>
          <w:tcPr>
            <w:tcW w:w="0" w:type="dxa"/>
            <w:vAlign w:val="bottom"/>
          </w:tcPr>
          <w:p>
            <w:pPr>
              <w:spacing w:after="0"/>
              <w:rPr>
                <w:sz w:val="1"/>
                <w:szCs w:val="1"/>
                <w:color w:val="auto"/>
              </w:rPr>
            </w:pPr>
          </w:p>
        </w:tc>
      </w:tr>
      <w:tr>
        <w:trPr>
          <w:trHeight w:val="164"/>
        </w:trPr>
        <w:tc>
          <w:tcPr>
            <w:tcW w:w="11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Center</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10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Third Street</w:t>
            </w:r>
          </w:p>
        </w:tc>
        <w:tc>
          <w:tcPr>
            <w:tcW w:w="300" w:type="dxa"/>
            <w:vAlign w:val="bottom"/>
            <w:shd w:val="clear" w:color="auto" w:fill="CCEEFF"/>
          </w:tcPr>
          <w:p>
            <w:pPr>
              <w:spacing w:after="0"/>
              <w:rPr>
                <w:sz w:val="10"/>
                <w:szCs w:val="10"/>
                <w:color w:val="auto"/>
              </w:rPr>
            </w:pPr>
          </w:p>
        </w:tc>
        <w:tc>
          <w:tcPr>
            <w:tcW w:w="2280" w:type="dxa"/>
            <w:vAlign w:val="bottom"/>
            <w:gridSpan w:val="2"/>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Los Angeles-Long Beach-Anaheim, CA</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88,979</w:t>
            </w: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207,000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74 %</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2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adidas / Madewell / Patagonia /</w:t>
            </w:r>
          </w:p>
        </w:tc>
        <w:tc>
          <w:tcPr>
            <w:tcW w:w="0" w:type="dxa"/>
            <w:vAlign w:val="bottom"/>
          </w:tcPr>
          <w:p>
            <w:pPr>
              <w:spacing w:after="0"/>
              <w:rPr>
                <w:sz w:val="1"/>
                <w:szCs w:val="1"/>
                <w:color w:val="auto"/>
              </w:rPr>
            </w:pPr>
          </w:p>
        </w:tc>
      </w:tr>
      <w:tr>
        <w:trPr>
          <w:trHeight w:val="169"/>
        </w:trPr>
        <w:tc>
          <w:tcPr>
            <w:tcW w:w="11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Promenade</w:t>
            </w:r>
          </w:p>
        </w:tc>
        <w:tc>
          <w:tcPr>
            <w:tcW w:w="3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9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2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Multiple Restaurants</w:t>
            </w:r>
          </w:p>
        </w:tc>
        <w:tc>
          <w:tcPr>
            <w:tcW w:w="0" w:type="dxa"/>
            <w:vAlign w:val="bottom"/>
          </w:tcPr>
          <w:p>
            <w:pPr>
              <w:spacing w:after="0"/>
              <w:rPr>
                <w:sz w:val="1"/>
                <w:szCs w:val="1"/>
                <w:color w:val="auto"/>
              </w:rPr>
            </w:pPr>
          </w:p>
        </w:tc>
      </w:tr>
      <w:tr>
        <w:trPr>
          <w:trHeight w:val="121"/>
        </w:trPr>
        <w:tc>
          <w:tcPr>
            <w:tcW w:w="110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Westgate Center</w:t>
            </w:r>
          </w:p>
        </w:tc>
        <w:tc>
          <w:tcPr>
            <w:tcW w:w="300" w:type="dxa"/>
            <w:vAlign w:val="bottom"/>
          </w:tcPr>
          <w:p>
            <w:pPr>
              <w:spacing w:after="0"/>
              <w:rPr>
                <w:sz w:val="10"/>
                <w:szCs w:val="10"/>
                <w:color w:val="auto"/>
              </w:rPr>
            </w:pPr>
          </w:p>
        </w:tc>
        <w:tc>
          <w:tcPr>
            <w:tcW w:w="228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3"/>
                <w:szCs w:val="13"/>
                <w:color w:val="auto"/>
              </w:rPr>
              <w:t>San Jose-Sunnyvale-Santa Clara, CA</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157,206</w:t>
            </w: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44</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648,000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91 %</w:t>
            </w: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2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Target / Nordstrom Rack / Nike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Factory / TJ Maxx</w:t>
            </w: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280" w:type="dxa"/>
            <w:vAlign w:val="bottom"/>
            <w:gridSpan w:val="2"/>
            <w:shd w:val="clear" w:color="auto" w:fill="CCEEFF"/>
          </w:tcPr>
          <w:p>
            <w:pPr>
              <w:ind w:left="80"/>
              <w:spacing w:after="0" w:line="146" w:lineRule="exact"/>
              <w:rPr>
                <w:sz w:val="20"/>
                <w:szCs w:val="20"/>
                <w:color w:val="auto"/>
              </w:rPr>
            </w:pPr>
            <w:r>
              <w:rPr>
                <w:rFonts w:ascii="Times New Roman" w:cs="Times New Roman" w:eastAsia="Times New Roman" w:hAnsi="Times New Roman"/>
                <w:sz w:val="13"/>
                <w:szCs w:val="13"/>
                <w:b w:val="1"/>
                <w:bCs w:val="1"/>
                <w:color w:val="auto"/>
              </w:rPr>
              <w:t>Total California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3,046,178</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6,449,000</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95 %</w:t>
            </w:r>
          </w:p>
        </w:tc>
        <w:tc>
          <w:tcPr>
            <w:tcW w:w="6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Borders>
              <w:bottom w:val="single" w:sz="8" w:color="CCEEFF"/>
            </w:tcBorders>
            <w:shd w:val="clear" w:color="auto" w:fill="CCEEFF"/>
          </w:tcPr>
          <w:p>
            <w:pPr>
              <w:spacing w:after="0"/>
              <w:rPr>
                <w:sz w:val="14"/>
                <w:szCs w:val="14"/>
                <w:color w:val="auto"/>
              </w:rPr>
            </w:pPr>
          </w:p>
        </w:tc>
        <w:tc>
          <w:tcPr>
            <w:tcW w:w="1740" w:type="dxa"/>
            <w:vAlign w:val="bottom"/>
            <w:tcBorders>
              <w:bottom w:val="single" w:sz="8" w:color="auto"/>
            </w:tcBorders>
            <w:gridSpan w:val="4"/>
            <w:shd w:val="clear" w:color="auto" w:fill="CCEEFF"/>
          </w:tcPr>
          <w:p>
            <w:pPr>
              <w:ind w:left="60"/>
              <w:spacing w:after="0" w:line="146" w:lineRule="exact"/>
              <w:rPr>
                <w:sz w:val="20"/>
                <w:szCs w:val="20"/>
                <w:color w:val="auto"/>
              </w:rPr>
            </w:pPr>
            <w:r>
              <w:rPr>
                <w:rFonts w:ascii="Times New Roman" w:cs="Times New Roman" w:eastAsia="Times New Roman" w:hAnsi="Times New Roman"/>
                <w:sz w:val="13"/>
                <w:szCs w:val="13"/>
                <w:b w:val="1"/>
                <w:bCs w:val="1"/>
                <w:color w:val="auto"/>
                <w:w w:val="94"/>
              </w:rPr>
              <w:t>Washington Metropolitan Area</w:t>
            </w:r>
          </w:p>
        </w:tc>
        <w:tc>
          <w:tcPr>
            <w:tcW w:w="19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20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10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Barcroft Plaza</w:t>
            </w:r>
          </w:p>
        </w:tc>
        <w:tc>
          <w:tcPr>
            <w:tcW w:w="300" w:type="dxa"/>
            <w:vAlign w:val="bottom"/>
          </w:tcPr>
          <w:p>
            <w:pPr>
              <w:spacing w:after="0"/>
              <w:rPr>
                <w:sz w:val="10"/>
                <w:szCs w:val="10"/>
                <w:color w:val="auto"/>
              </w:rPr>
            </w:pPr>
          </w:p>
        </w:tc>
        <w:tc>
          <w:tcPr>
            <w:tcW w:w="228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50,509</w:t>
            </w: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113,000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66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46,000</w:t>
            </w:r>
          </w:p>
        </w:tc>
        <w:tc>
          <w:tcPr>
            <w:tcW w:w="8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Harris Teeter</w:t>
            </w:r>
          </w:p>
        </w:tc>
        <w:tc>
          <w:tcPr>
            <w:tcW w:w="2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VA-MD-WV</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10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Bethesda Row</w:t>
            </w:r>
          </w:p>
        </w:tc>
        <w:tc>
          <w:tcPr>
            <w:tcW w:w="300" w:type="dxa"/>
            <w:vAlign w:val="bottom"/>
            <w:shd w:val="clear" w:color="auto" w:fill="CCEEFF"/>
          </w:tcPr>
          <w:p>
            <w:pPr>
              <w:spacing w:after="0"/>
              <w:rPr>
                <w:sz w:val="10"/>
                <w:szCs w:val="10"/>
                <w:color w:val="auto"/>
              </w:rPr>
            </w:pPr>
          </w:p>
        </w:tc>
        <w:tc>
          <w:tcPr>
            <w:tcW w:w="2280" w:type="dxa"/>
            <w:vAlign w:val="bottom"/>
            <w:gridSpan w:val="2"/>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252,533</w:t>
            </w: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529,000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95 %</w:t>
            </w:r>
          </w:p>
        </w:tc>
        <w:tc>
          <w:tcPr>
            <w:tcW w:w="6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180</w:t>
            </w:r>
          </w:p>
        </w:tc>
        <w:tc>
          <w:tcPr>
            <w:tcW w:w="5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40,000</w:t>
            </w:r>
          </w:p>
        </w:tc>
        <w:tc>
          <w:tcPr>
            <w:tcW w:w="82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Giant Food</w:t>
            </w:r>
          </w:p>
        </w:tc>
        <w:tc>
          <w:tcPr>
            <w:tcW w:w="202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Apple / Equinox / Anthropologie /</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22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VA-MD-WV</w:t>
            </w:r>
          </w:p>
        </w:tc>
        <w:tc>
          <w:tcPr>
            <w:tcW w:w="6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2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Multiple Restaurants</w:t>
            </w:r>
          </w:p>
        </w:tc>
        <w:tc>
          <w:tcPr>
            <w:tcW w:w="0" w:type="dxa"/>
            <w:vAlign w:val="bottom"/>
          </w:tcPr>
          <w:p>
            <w:pPr>
              <w:spacing w:after="0"/>
              <w:rPr>
                <w:sz w:val="1"/>
                <w:szCs w:val="1"/>
                <w:color w:val="auto"/>
              </w:rPr>
            </w:pPr>
          </w:p>
        </w:tc>
      </w:tr>
      <w:tr>
        <w:trPr>
          <w:trHeight w:val="121"/>
        </w:trPr>
        <w:tc>
          <w:tcPr>
            <w:tcW w:w="110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Birch &amp; Broad</w:t>
            </w:r>
          </w:p>
        </w:tc>
        <w:tc>
          <w:tcPr>
            <w:tcW w:w="300" w:type="dxa"/>
            <w:vAlign w:val="bottom"/>
          </w:tcPr>
          <w:p>
            <w:pPr>
              <w:spacing w:after="0"/>
              <w:rPr>
                <w:sz w:val="10"/>
                <w:szCs w:val="10"/>
                <w:color w:val="auto"/>
              </w:rPr>
            </w:pPr>
          </w:p>
        </w:tc>
        <w:tc>
          <w:tcPr>
            <w:tcW w:w="228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25,417</w:t>
            </w: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144,000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66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51,000</w:t>
            </w:r>
          </w:p>
        </w:tc>
        <w:tc>
          <w:tcPr>
            <w:tcW w:w="8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Giant Food</w:t>
            </w:r>
          </w:p>
        </w:tc>
        <w:tc>
          <w:tcPr>
            <w:tcW w:w="202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CVS / Staples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VA-MD-WV</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10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Chesterbrook</w:t>
            </w:r>
          </w:p>
        </w:tc>
        <w:tc>
          <w:tcPr>
            <w:tcW w:w="30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(4)</w:t>
            </w:r>
          </w:p>
        </w:tc>
        <w:tc>
          <w:tcPr>
            <w:tcW w:w="2280" w:type="dxa"/>
            <w:vAlign w:val="bottom"/>
            <w:gridSpan w:val="2"/>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39,193</w:t>
            </w: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90,000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76 %</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35,000</w:t>
            </w:r>
          </w:p>
        </w:tc>
        <w:tc>
          <w:tcPr>
            <w:tcW w:w="82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Safeway</w:t>
            </w:r>
          </w:p>
        </w:tc>
        <w:tc>
          <w:tcPr>
            <w:tcW w:w="202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Starbucks</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22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VA-MD-WV</w:t>
            </w:r>
          </w:p>
        </w:tc>
        <w:tc>
          <w:tcPr>
            <w:tcW w:w="6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20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10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Congressional</w:t>
            </w:r>
          </w:p>
        </w:tc>
        <w:tc>
          <w:tcPr>
            <w:tcW w:w="30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(4)</w:t>
            </w:r>
          </w:p>
        </w:tc>
        <w:tc>
          <w:tcPr>
            <w:tcW w:w="228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109,971</w:t>
            </w: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324,000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91 %</w:t>
            </w:r>
          </w:p>
        </w:tc>
        <w:tc>
          <w:tcPr>
            <w:tcW w:w="6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194</w:t>
            </w: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25,000</w:t>
            </w:r>
          </w:p>
        </w:tc>
        <w:tc>
          <w:tcPr>
            <w:tcW w:w="8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The Fresh</w:t>
            </w:r>
          </w:p>
        </w:tc>
        <w:tc>
          <w:tcPr>
            <w:tcW w:w="202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Buy Buy Baby / Ulta / Barnes &amp;</w:t>
            </w:r>
          </w:p>
        </w:tc>
        <w:tc>
          <w:tcPr>
            <w:tcW w:w="0" w:type="dxa"/>
            <w:vAlign w:val="bottom"/>
          </w:tcPr>
          <w:p>
            <w:pPr>
              <w:spacing w:after="0"/>
              <w:rPr>
                <w:sz w:val="1"/>
                <w:szCs w:val="1"/>
                <w:color w:val="auto"/>
              </w:rPr>
            </w:pPr>
          </w:p>
        </w:tc>
      </w:tr>
      <w:tr>
        <w:trPr>
          <w:trHeight w:val="164"/>
        </w:trPr>
        <w:tc>
          <w:tcPr>
            <w:tcW w:w="11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Plaza</w:t>
            </w:r>
          </w:p>
        </w:tc>
        <w:tc>
          <w:tcPr>
            <w:tcW w:w="300" w:type="dxa"/>
            <w:vAlign w:val="bottom"/>
          </w:tcPr>
          <w:p>
            <w:pPr>
              <w:spacing w:after="0"/>
              <w:rPr>
                <w:sz w:val="14"/>
                <w:szCs w:val="14"/>
                <w:color w:val="auto"/>
              </w:rPr>
            </w:pPr>
          </w:p>
        </w:tc>
        <w:tc>
          <w:tcPr>
            <w:tcW w:w="22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VA-MD-WV</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Market</w:t>
            </w:r>
          </w:p>
        </w:tc>
        <w:tc>
          <w:tcPr>
            <w:tcW w:w="20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Noble / Container Store</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10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Courthouse Center</w:t>
            </w:r>
          </w:p>
        </w:tc>
        <w:tc>
          <w:tcPr>
            <w:tcW w:w="300" w:type="dxa"/>
            <w:vAlign w:val="bottom"/>
            <w:shd w:val="clear" w:color="auto" w:fill="CCEEFF"/>
          </w:tcPr>
          <w:p>
            <w:pPr>
              <w:spacing w:after="0"/>
              <w:rPr>
                <w:sz w:val="10"/>
                <w:szCs w:val="10"/>
                <w:color w:val="auto"/>
              </w:rPr>
            </w:pPr>
          </w:p>
        </w:tc>
        <w:tc>
          <w:tcPr>
            <w:tcW w:w="2280" w:type="dxa"/>
            <w:vAlign w:val="bottom"/>
            <w:gridSpan w:val="2"/>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7,076</w:t>
            </w: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37,000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69 %</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22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VA-MD-WV</w:t>
            </w:r>
          </w:p>
        </w:tc>
        <w:tc>
          <w:tcPr>
            <w:tcW w:w="6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20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10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Fairfax Junction</w:t>
            </w:r>
          </w:p>
        </w:tc>
        <w:tc>
          <w:tcPr>
            <w:tcW w:w="30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(5)</w:t>
            </w:r>
          </w:p>
        </w:tc>
        <w:tc>
          <w:tcPr>
            <w:tcW w:w="228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42,702</w:t>
            </w: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124,000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95 %</w:t>
            </w:r>
          </w:p>
        </w:tc>
        <w:tc>
          <w:tcPr>
            <w:tcW w:w="66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23,000</w:t>
            </w:r>
          </w:p>
        </w:tc>
        <w:tc>
          <w:tcPr>
            <w:tcW w:w="8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Aldi</w:t>
            </w:r>
          </w:p>
        </w:tc>
        <w:tc>
          <w:tcPr>
            <w:tcW w:w="202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CVS / Planet Fitness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VA-MD-WV</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10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Federal Plaza</w:t>
            </w:r>
          </w:p>
        </w:tc>
        <w:tc>
          <w:tcPr>
            <w:tcW w:w="300" w:type="dxa"/>
            <w:vAlign w:val="bottom"/>
            <w:shd w:val="clear" w:color="auto" w:fill="CCEEFF"/>
          </w:tcPr>
          <w:p>
            <w:pPr>
              <w:spacing w:after="0"/>
              <w:rPr>
                <w:sz w:val="10"/>
                <w:szCs w:val="10"/>
                <w:color w:val="auto"/>
              </w:rPr>
            </w:pPr>
          </w:p>
        </w:tc>
        <w:tc>
          <w:tcPr>
            <w:tcW w:w="2280" w:type="dxa"/>
            <w:vAlign w:val="bottom"/>
            <w:gridSpan w:val="2"/>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73,079</w:t>
            </w: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18</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249,000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93 %</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14,000</w:t>
            </w:r>
          </w:p>
        </w:tc>
        <w:tc>
          <w:tcPr>
            <w:tcW w:w="82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Trader Joe's</w:t>
            </w:r>
          </w:p>
        </w:tc>
        <w:tc>
          <w:tcPr>
            <w:tcW w:w="202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TJ Maxx / Micro Center / Ross Dress</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22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VA-MD-WV</w:t>
            </w:r>
          </w:p>
        </w:tc>
        <w:tc>
          <w:tcPr>
            <w:tcW w:w="6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2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For Less</w:t>
            </w:r>
          </w:p>
        </w:tc>
        <w:tc>
          <w:tcPr>
            <w:tcW w:w="0" w:type="dxa"/>
            <w:vAlign w:val="bottom"/>
          </w:tcPr>
          <w:p>
            <w:pPr>
              <w:spacing w:after="0"/>
              <w:rPr>
                <w:sz w:val="1"/>
                <w:szCs w:val="1"/>
                <w:color w:val="auto"/>
              </w:rPr>
            </w:pPr>
          </w:p>
        </w:tc>
      </w:tr>
      <w:tr>
        <w:trPr>
          <w:trHeight w:val="121"/>
        </w:trPr>
        <w:tc>
          <w:tcPr>
            <w:tcW w:w="110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Friendship Center</w:t>
            </w:r>
          </w:p>
        </w:tc>
        <w:tc>
          <w:tcPr>
            <w:tcW w:w="300" w:type="dxa"/>
            <w:vAlign w:val="bottom"/>
          </w:tcPr>
          <w:p>
            <w:pPr>
              <w:spacing w:after="0"/>
              <w:rPr>
                <w:sz w:val="10"/>
                <w:szCs w:val="10"/>
                <w:color w:val="auto"/>
              </w:rPr>
            </w:pPr>
          </w:p>
        </w:tc>
        <w:tc>
          <w:tcPr>
            <w:tcW w:w="228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36,930</w:t>
            </w: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78,000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2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Marshalls / DSW / Maggiano's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VA-MD-WV</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10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Gaithersburg</w:t>
            </w:r>
          </w:p>
        </w:tc>
        <w:tc>
          <w:tcPr>
            <w:tcW w:w="300" w:type="dxa"/>
            <w:vAlign w:val="bottom"/>
            <w:shd w:val="clear" w:color="auto" w:fill="CCEEFF"/>
          </w:tcPr>
          <w:p>
            <w:pPr>
              <w:spacing w:after="0"/>
              <w:rPr>
                <w:sz w:val="10"/>
                <w:szCs w:val="10"/>
                <w:color w:val="auto"/>
              </w:rPr>
            </w:pPr>
          </w:p>
        </w:tc>
        <w:tc>
          <w:tcPr>
            <w:tcW w:w="2280" w:type="dxa"/>
            <w:vAlign w:val="bottom"/>
            <w:gridSpan w:val="2"/>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38,713</w:t>
            </w: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16</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208,000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95 %</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2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Marshalls / Ross Dress For Less /</w:t>
            </w:r>
          </w:p>
        </w:tc>
        <w:tc>
          <w:tcPr>
            <w:tcW w:w="0" w:type="dxa"/>
            <w:vAlign w:val="bottom"/>
          </w:tcPr>
          <w:p>
            <w:pPr>
              <w:spacing w:after="0"/>
              <w:rPr>
                <w:sz w:val="1"/>
                <w:szCs w:val="1"/>
                <w:color w:val="auto"/>
              </w:rPr>
            </w:pPr>
          </w:p>
        </w:tc>
      </w:tr>
      <w:tr>
        <w:trPr>
          <w:trHeight w:val="164"/>
        </w:trPr>
        <w:tc>
          <w:tcPr>
            <w:tcW w:w="1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Square</w:t>
            </w:r>
          </w:p>
        </w:tc>
        <w:tc>
          <w:tcPr>
            <w:tcW w:w="300" w:type="dxa"/>
            <w:vAlign w:val="bottom"/>
            <w:shd w:val="clear" w:color="auto" w:fill="CCEEFF"/>
          </w:tcPr>
          <w:p>
            <w:pPr>
              <w:spacing w:after="0"/>
              <w:rPr>
                <w:sz w:val="14"/>
                <w:szCs w:val="14"/>
                <w:color w:val="auto"/>
              </w:rPr>
            </w:pPr>
          </w:p>
        </w:tc>
        <w:tc>
          <w:tcPr>
            <w:tcW w:w="2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VA-MD-WV</w:t>
            </w: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Ashley Furniture HomeStore / CVS</w:t>
            </w:r>
          </w:p>
        </w:tc>
        <w:tc>
          <w:tcPr>
            <w:tcW w:w="0" w:type="dxa"/>
            <w:vAlign w:val="bottom"/>
          </w:tcPr>
          <w:p>
            <w:pPr>
              <w:spacing w:after="0"/>
              <w:rPr>
                <w:sz w:val="1"/>
                <w:szCs w:val="1"/>
                <w:color w:val="auto"/>
              </w:rPr>
            </w:pPr>
          </w:p>
        </w:tc>
      </w:tr>
      <w:tr>
        <w:trPr>
          <w:trHeight w:val="25"/>
        </w:trPr>
        <w:tc>
          <w:tcPr>
            <w:tcW w:w="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20"/>
          </w:cols>
          <w:pgMar w:left="340" w:top="1028" w:right="339" w:bottom="1440" w:gutter="0" w:footer="0" w:header="0"/>
        </w:sectPr>
      </w:pPr>
    </w:p>
    <w:bookmarkStart w:id="24" w:name="page25"/>
    <w:bookmarkEnd w:id="24"/>
    <w:p>
      <w:pPr>
        <w:ind w:left="2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Real Estate Status Report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2022</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Real Estate</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Mortgage/Finance</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Residential</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Grocery</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Grocery</w:t>
            </w:r>
          </w:p>
        </w:tc>
        <w:tc>
          <w:tcPr>
            <w:tcW w:w="2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10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Lease Liabilities</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b w:val="1"/>
                <w:bCs w:val="1"/>
                <w:color w:val="auto"/>
              </w:rPr>
              <w:t>Leased</w:t>
            </w:r>
          </w:p>
        </w:tc>
        <w:tc>
          <w:tcPr>
            <w:tcW w:w="660" w:type="dxa"/>
            <w:vAlign w:val="bottom"/>
            <w:vMerge w:val="continue"/>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Anchor</w:t>
            </w:r>
          </w:p>
        </w:tc>
        <w:tc>
          <w:tcPr>
            <w:tcW w:w="840" w:type="dxa"/>
            <w:vAlign w:val="bottom"/>
            <w:vMerge w:val="continue"/>
          </w:tcPr>
          <w:p>
            <w:pPr>
              <w:spacing w:after="0"/>
              <w:rPr>
                <w:sz w:val="10"/>
                <w:szCs w:val="10"/>
                <w:color w:val="auto"/>
              </w:rPr>
            </w:pPr>
          </w:p>
        </w:tc>
        <w:tc>
          <w:tcPr>
            <w:tcW w:w="2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Property Name</w:t>
            </w: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3"/>
                <w:szCs w:val="13"/>
                <w:b w:val="1"/>
                <w:bCs w:val="1"/>
                <w:color w:val="auto"/>
              </w:rPr>
              <w:t>MSA Description</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at Cost (1)</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w:t>
            </w:r>
          </w:p>
        </w:tc>
        <w:tc>
          <w:tcPr>
            <w:tcW w:w="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Acreage</w:t>
            </w:r>
          </w:p>
        </w:tc>
        <w:tc>
          <w:tcPr>
            <w:tcW w:w="7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GLA (3)</w:t>
            </w:r>
          </w:p>
        </w:tc>
        <w:tc>
          <w:tcPr>
            <w:tcW w:w="54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(3)</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Units</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GLA</w:t>
            </w:r>
          </w:p>
        </w:tc>
        <w:tc>
          <w:tcPr>
            <w:tcW w:w="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Anchor</w:t>
            </w:r>
          </w:p>
        </w:tc>
        <w:tc>
          <w:tcPr>
            <w:tcW w:w="20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Other Retail Tenants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 thousands)</w:t>
            </w: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 thousands)</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gridSpan w:val="2"/>
          </w:tcPr>
          <w:p>
            <w:pPr>
              <w:ind w:left="20"/>
              <w:spacing w:after="0" w:line="144" w:lineRule="exact"/>
              <w:rPr>
                <w:sz w:val="20"/>
                <w:szCs w:val="20"/>
                <w:color w:val="auto"/>
              </w:rPr>
            </w:pPr>
            <w:r>
              <w:rPr>
                <w:rFonts w:ascii="Times New Roman" w:cs="Times New Roman" w:eastAsia="Times New Roman" w:hAnsi="Times New Roman"/>
                <w:sz w:val="13"/>
                <w:szCs w:val="13"/>
                <w:color w:val="auto"/>
                <w:w w:val="99"/>
              </w:rPr>
              <w:t>Graham Park Plaza</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4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Washington-Arlington-Alexandria, DC-</w:t>
            </w:r>
          </w:p>
        </w:tc>
        <w:tc>
          <w:tcPr>
            <w:tcW w:w="6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24,860</w:t>
            </w:r>
          </w:p>
        </w:tc>
        <w:tc>
          <w:tcPr>
            <w:tcW w:w="1040" w:type="dxa"/>
            <w:vAlign w:val="bottom"/>
          </w:tcPr>
          <w:p>
            <w:pPr>
              <w:spacing w:after="0"/>
              <w:rPr>
                <w:sz w:val="12"/>
                <w:szCs w:val="12"/>
                <w:color w:val="auto"/>
              </w:rPr>
            </w:pPr>
          </w:p>
        </w:tc>
        <w:tc>
          <w:tcPr>
            <w:tcW w:w="4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2"/>
                <w:szCs w:val="12"/>
                <w:color w:val="auto"/>
              </w:rPr>
            </w:pPr>
          </w:p>
        </w:tc>
        <w:tc>
          <w:tcPr>
            <w:tcW w:w="6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132,000</w:t>
            </w:r>
          </w:p>
        </w:tc>
        <w:tc>
          <w:tcPr>
            <w:tcW w:w="80" w:type="dxa"/>
            <w:vAlign w:val="bottom"/>
          </w:tcPr>
          <w:p>
            <w:pPr>
              <w:spacing w:after="0"/>
              <w:rPr>
                <w:sz w:val="12"/>
                <w:szCs w:val="12"/>
                <w:color w:val="auto"/>
              </w:rPr>
            </w:pPr>
          </w:p>
        </w:tc>
        <w:tc>
          <w:tcPr>
            <w:tcW w:w="5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90 %</w:t>
            </w:r>
          </w:p>
        </w:tc>
        <w:tc>
          <w:tcPr>
            <w:tcW w:w="660" w:type="dxa"/>
            <w:vAlign w:val="bottom"/>
          </w:tcPr>
          <w:p>
            <w:pPr>
              <w:spacing w:after="0"/>
              <w:rPr>
                <w:sz w:val="12"/>
                <w:szCs w:val="12"/>
                <w:color w:val="auto"/>
              </w:rPr>
            </w:pPr>
          </w:p>
        </w:tc>
        <w:tc>
          <w:tcPr>
            <w:tcW w:w="5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w w:val="94"/>
              </w:rPr>
              <w:t>58,000</w:t>
            </w:r>
          </w:p>
        </w:tc>
        <w:tc>
          <w:tcPr>
            <w:tcW w:w="84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Giant Food</w:t>
            </w:r>
          </w:p>
        </w:tc>
        <w:tc>
          <w:tcPr>
            <w:tcW w:w="2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VA-MD-WV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4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Idylwood Plaza</w:t>
            </w: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4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17,867</w:t>
            </w:r>
          </w:p>
        </w:tc>
        <w:tc>
          <w:tcPr>
            <w:tcW w:w="104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73,000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95 %</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30,000</w:t>
            </w:r>
          </w:p>
        </w:tc>
        <w:tc>
          <w:tcPr>
            <w:tcW w:w="8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Whole Foods</w:t>
            </w:r>
          </w:p>
        </w:tc>
        <w:tc>
          <w:tcPr>
            <w:tcW w:w="20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2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VA-MD-WV</w:t>
            </w:r>
          </w:p>
        </w:tc>
        <w:tc>
          <w:tcPr>
            <w:tcW w:w="66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20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w w:val="97"/>
              </w:rPr>
              <w:t>Kingstowne Towne</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209,660</w:t>
            </w:r>
          </w:p>
        </w:tc>
        <w:tc>
          <w:tcPr>
            <w:tcW w:w="104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45</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410,000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66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66,000</w:t>
            </w:r>
          </w:p>
        </w:tc>
        <w:tc>
          <w:tcPr>
            <w:tcW w:w="8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Giant Food /</w:t>
            </w:r>
          </w:p>
        </w:tc>
        <w:tc>
          <w:tcPr>
            <w:tcW w:w="200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w w:val="97"/>
              </w:rPr>
              <w:t>TJ Maxx / HomeGoods / Five Below /</w:t>
            </w:r>
          </w:p>
        </w:tc>
        <w:tc>
          <w:tcPr>
            <w:tcW w:w="0" w:type="dxa"/>
            <w:vAlign w:val="bottom"/>
          </w:tcPr>
          <w:p>
            <w:pPr>
              <w:spacing w:after="0"/>
              <w:rPr>
                <w:sz w:val="1"/>
                <w:szCs w:val="1"/>
                <w:color w:val="auto"/>
              </w:rPr>
            </w:pPr>
          </w:p>
        </w:tc>
      </w:tr>
      <w:tr>
        <w:trPr>
          <w:trHeight w:val="164"/>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Center</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VA-MD-WV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Safeway</w:t>
            </w:r>
          </w:p>
        </w:tc>
        <w:tc>
          <w:tcPr>
            <w:tcW w:w="20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Ross Dress For Less</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4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Laurel</w:t>
            </w: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4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61,313</w:t>
            </w:r>
          </w:p>
        </w:tc>
        <w:tc>
          <w:tcPr>
            <w:tcW w:w="104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26</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364,000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61,000</w:t>
            </w:r>
          </w:p>
        </w:tc>
        <w:tc>
          <w:tcPr>
            <w:tcW w:w="8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Giant Food</w:t>
            </w:r>
          </w:p>
        </w:tc>
        <w:tc>
          <w:tcPr>
            <w:tcW w:w="200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Marshalls / L.A. Fitness /</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2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VA-MD-WV</w:t>
            </w:r>
          </w:p>
        </w:tc>
        <w:tc>
          <w:tcPr>
            <w:tcW w:w="66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2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HomeGoods</w:t>
            </w:r>
          </w:p>
        </w:tc>
        <w:tc>
          <w:tcPr>
            <w:tcW w:w="0" w:type="dxa"/>
            <w:vAlign w:val="bottom"/>
          </w:tcPr>
          <w:p>
            <w:pPr>
              <w:spacing w:after="0"/>
              <w:rPr>
                <w:sz w:val="1"/>
                <w:szCs w:val="1"/>
                <w:color w:val="auto"/>
              </w:rPr>
            </w:pPr>
          </w:p>
        </w:tc>
      </w:tr>
      <w:tr>
        <w:trPr>
          <w:trHeight w:val="122"/>
        </w:trPr>
        <w:tc>
          <w:tcPr>
            <w:tcW w:w="10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Montrose Crossing</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172,372</w:t>
            </w:r>
          </w:p>
        </w:tc>
        <w:tc>
          <w:tcPr>
            <w:tcW w:w="104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36</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368,000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66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73,000</w:t>
            </w:r>
          </w:p>
        </w:tc>
        <w:tc>
          <w:tcPr>
            <w:tcW w:w="8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Giant Food</w:t>
            </w:r>
          </w:p>
        </w:tc>
        <w:tc>
          <w:tcPr>
            <w:tcW w:w="200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Marshalls / Home Depot Design</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VA-MD-WV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Center / Old Navy / Burlington</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4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Mount</w:t>
            </w:r>
          </w:p>
        </w:tc>
        <w:tc>
          <w:tcPr>
            <w:tcW w:w="400" w:type="dxa"/>
            <w:vAlign w:val="bottom"/>
            <w:gridSpan w:val="2"/>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(5)</w:t>
            </w:r>
          </w:p>
        </w:tc>
        <w:tc>
          <w:tcPr>
            <w:tcW w:w="224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94,519</w:t>
            </w:r>
          </w:p>
        </w:tc>
        <w:tc>
          <w:tcPr>
            <w:tcW w:w="104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29</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565,000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97 %</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62,000</w:t>
            </w:r>
          </w:p>
        </w:tc>
        <w:tc>
          <w:tcPr>
            <w:tcW w:w="8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w w:val="96"/>
              </w:rPr>
              <w:t>Shoppers Food</w:t>
            </w:r>
          </w:p>
        </w:tc>
        <w:tc>
          <w:tcPr>
            <w:tcW w:w="200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7"/>
              </w:rPr>
              <w:t>TJ Maxx / Home Depot / Bed, Bath &amp;</w:t>
            </w:r>
          </w:p>
        </w:tc>
        <w:tc>
          <w:tcPr>
            <w:tcW w:w="0" w:type="dxa"/>
            <w:vAlign w:val="bottom"/>
          </w:tcPr>
          <w:p>
            <w:pPr>
              <w:spacing w:after="0"/>
              <w:rPr>
                <w:sz w:val="1"/>
                <w:szCs w:val="1"/>
                <w:color w:val="auto"/>
              </w:rPr>
            </w:pPr>
          </w:p>
        </w:tc>
      </w:tr>
      <w:tr>
        <w:trPr>
          <w:trHeight w:val="122"/>
        </w:trPr>
        <w:tc>
          <w:tcPr>
            <w:tcW w:w="104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Vernon/South</w:t>
            </w: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4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VA-MD-WV</w:t>
            </w:r>
          </w:p>
        </w:tc>
        <w:tc>
          <w:tcPr>
            <w:tcW w:w="6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Warehouse</w:t>
            </w:r>
          </w:p>
        </w:tc>
        <w:tc>
          <w:tcPr>
            <w:tcW w:w="200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Beyond / Results Fitness</w:t>
            </w:r>
          </w:p>
        </w:tc>
        <w:tc>
          <w:tcPr>
            <w:tcW w:w="0" w:type="dxa"/>
            <w:vAlign w:val="bottom"/>
          </w:tcPr>
          <w:p>
            <w:pPr>
              <w:spacing w:after="0"/>
              <w:rPr>
                <w:sz w:val="1"/>
                <w:szCs w:val="1"/>
                <w:color w:val="auto"/>
              </w:rPr>
            </w:pPr>
          </w:p>
        </w:tc>
      </w:tr>
      <w:tr>
        <w:trPr>
          <w:trHeight w:val="130"/>
        </w:trPr>
        <w:tc>
          <w:tcPr>
            <w:tcW w:w="104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Valley/7770</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Richmond Hwy</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0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Old Keene Mill</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13,439</w:t>
            </w:r>
          </w:p>
        </w:tc>
        <w:tc>
          <w:tcPr>
            <w:tcW w:w="104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91,000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95 %</w:t>
            </w:r>
          </w:p>
        </w:tc>
        <w:tc>
          <w:tcPr>
            <w:tcW w:w="66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24,000</w:t>
            </w:r>
          </w:p>
        </w:tc>
        <w:tc>
          <w:tcPr>
            <w:tcW w:w="8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Whole Foods</w:t>
            </w:r>
          </w:p>
        </w:tc>
        <w:tc>
          <w:tcPr>
            <w:tcW w:w="200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Walgreens / Planet Fitness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VA-MD-WV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4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Pan Am</w:t>
            </w: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4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31,379</w:t>
            </w:r>
          </w:p>
        </w:tc>
        <w:tc>
          <w:tcPr>
            <w:tcW w:w="104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25</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228,000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95 %</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65,000</w:t>
            </w:r>
          </w:p>
        </w:tc>
        <w:tc>
          <w:tcPr>
            <w:tcW w:w="8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Safeway</w:t>
            </w:r>
          </w:p>
        </w:tc>
        <w:tc>
          <w:tcPr>
            <w:tcW w:w="200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Micro Center / CVS / Michaels</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2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VA-MD-WV</w:t>
            </w:r>
          </w:p>
        </w:tc>
        <w:tc>
          <w:tcPr>
            <w:tcW w:w="66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20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Pike &amp; Rose</w:t>
            </w:r>
          </w:p>
        </w:tc>
        <w:tc>
          <w:tcPr>
            <w:tcW w:w="40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(6)</w:t>
            </w:r>
          </w:p>
        </w:tc>
        <w:tc>
          <w:tcPr>
            <w:tcW w:w="22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778,822</w:t>
            </w:r>
          </w:p>
        </w:tc>
        <w:tc>
          <w:tcPr>
            <w:tcW w:w="104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657,000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6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765</w:t>
            </w: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Porsche / Uniqlo / REI / H&amp;M / L.L</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VA-MD-WV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Bean / Multiple Restaurants</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4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Pike 7 Plaza</w:t>
            </w: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4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51,653</w:t>
            </w:r>
          </w:p>
        </w:tc>
        <w:tc>
          <w:tcPr>
            <w:tcW w:w="104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13</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172,000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TJ Maxx / DSW / Crunch Fitness</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2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VA-MD-WV</w:t>
            </w:r>
          </w:p>
        </w:tc>
        <w:tc>
          <w:tcPr>
            <w:tcW w:w="66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20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Plaza del Mercado</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46,944</w:t>
            </w:r>
          </w:p>
        </w:tc>
        <w:tc>
          <w:tcPr>
            <w:tcW w:w="104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116,000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96 %</w:t>
            </w:r>
          </w:p>
        </w:tc>
        <w:tc>
          <w:tcPr>
            <w:tcW w:w="66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18,000</w:t>
            </w:r>
          </w:p>
        </w:tc>
        <w:tc>
          <w:tcPr>
            <w:tcW w:w="8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Aldi</w:t>
            </w:r>
          </w:p>
        </w:tc>
        <w:tc>
          <w:tcPr>
            <w:tcW w:w="200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CVS / L.A. Fitness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VA-MD-WV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4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Quince Orchard</w:t>
            </w: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4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40,043</w:t>
            </w:r>
          </w:p>
        </w:tc>
        <w:tc>
          <w:tcPr>
            <w:tcW w:w="104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16</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271,000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83 %</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19,000</w:t>
            </w:r>
          </w:p>
        </w:tc>
        <w:tc>
          <w:tcPr>
            <w:tcW w:w="8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Aldi</w:t>
            </w:r>
          </w:p>
        </w:tc>
        <w:tc>
          <w:tcPr>
            <w:tcW w:w="200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HomeGoods / L.A. Fitness / Staples</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2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VA-MD-WV</w:t>
            </w:r>
          </w:p>
        </w:tc>
        <w:tc>
          <w:tcPr>
            <w:tcW w:w="66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20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Rollingwood</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14,054</w:t>
            </w:r>
          </w:p>
        </w:tc>
        <w:tc>
          <w:tcPr>
            <w:tcW w:w="104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0"/>
                <w:szCs w:val="10"/>
                <w:color w:val="auto"/>
              </w:rPr>
            </w:pPr>
          </w:p>
        </w:tc>
        <w:tc>
          <w:tcPr>
            <w:tcW w:w="720" w:type="dxa"/>
            <w:vAlign w:val="bottom"/>
            <w:gridSpan w:val="2"/>
          </w:tcPr>
          <w:p>
            <w:pPr>
              <w:ind w:left="400"/>
              <w:spacing w:after="0" w:line="122" w:lineRule="exact"/>
              <w:rPr>
                <w:sz w:val="20"/>
                <w:szCs w:val="20"/>
                <w:color w:val="auto"/>
              </w:rPr>
            </w:pPr>
            <w:r>
              <w:rPr>
                <w:rFonts w:ascii="Times New Roman" w:cs="Times New Roman" w:eastAsia="Times New Roman" w:hAnsi="Times New Roman"/>
                <w:sz w:val="13"/>
                <w:szCs w:val="13"/>
                <w:color w:val="auto"/>
              </w:rPr>
              <w:t>N/A</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6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282</w:t>
            </w: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Apartments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VA-MD-WV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4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Tower Shopping</w:t>
            </w: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4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22,996</w:t>
            </w:r>
          </w:p>
        </w:tc>
        <w:tc>
          <w:tcPr>
            <w:tcW w:w="104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111,000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87 %</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26,000</w:t>
            </w:r>
          </w:p>
        </w:tc>
        <w:tc>
          <w:tcPr>
            <w:tcW w:w="8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L.A. Mart</w:t>
            </w:r>
          </w:p>
        </w:tc>
        <w:tc>
          <w:tcPr>
            <w:tcW w:w="200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Talbots / Total Wine &amp; More</w:t>
            </w:r>
          </w:p>
        </w:tc>
        <w:tc>
          <w:tcPr>
            <w:tcW w:w="0" w:type="dxa"/>
            <w:vAlign w:val="bottom"/>
          </w:tcPr>
          <w:p>
            <w:pPr>
              <w:spacing w:after="0"/>
              <w:rPr>
                <w:sz w:val="1"/>
                <w:szCs w:val="1"/>
                <w:color w:val="auto"/>
              </w:rPr>
            </w:pPr>
          </w:p>
        </w:tc>
      </w:tr>
      <w:tr>
        <w:trPr>
          <w:trHeight w:val="169"/>
        </w:trPr>
        <w:tc>
          <w:tcPr>
            <w:tcW w:w="1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Center</w:t>
            </w:r>
          </w:p>
        </w:tc>
        <w:tc>
          <w:tcPr>
            <w:tcW w:w="2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2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VA-MD-WV</w:t>
            </w:r>
          </w:p>
        </w:tc>
        <w:tc>
          <w:tcPr>
            <w:tcW w:w="66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20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Twinbrooke</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35,632</w:t>
            </w:r>
          </w:p>
        </w:tc>
        <w:tc>
          <w:tcPr>
            <w:tcW w:w="104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106,000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88 %</w:t>
            </w:r>
          </w:p>
        </w:tc>
        <w:tc>
          <w:tcPr>
            <w:tcW w:w="66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35,000</w:t>
            </w:r>
          </w:p>
        </w:tc>
        <w:tc>
          <w:tcPr>
            <w:tcW w:w="8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Safeway</w:t>
            </w:r>
          </w:p>
        </w:tc>
        <w:tc>
          <w:tcPr>
            <w:tcW w:w="200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Walgreens</w:t>
            </w:r>
          </w:p>
        </w:tc>
        <w:tc>
          <w:tcPr>
            <w:tcW w:w="0" w:type="dxa"/>
            <w:vAlign w:val="bottom"/>
          </w:tcPr>
          <w:p>
            <w:pPr>
              <w:spacing w:after="0"/>
              <w:rPr>
                <w:sz w:val="1"/>
                <w:szCs w:val="1"/>
                <w:color w:val="auto"/>
              </w:rPr>
            </w:pPr>
          </w:p>
        </w:tc>
      </w:tr>
      <w:tr>
        <w:trPr>
          <w:trHeight w:val="164"/>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Shopping Centre</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VA-MD-WV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4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Tyson's Station</w:t>
            </w: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4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6,178</w:t>
            </w:r>
          </w:p>
        </w:tc>
        <w:tc>
          <w:tcPr>
            <w:tcW w:w="104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50,000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84 %</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15,000</w:t>
            </w:r>
          </w:p>
        </w:tc>
        <w:tc>
          <w:tcPr>
            <w:tcW w:w="8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Trader Joe's</w:t>
            </w:r>
          </w:p>
        </w:tc>
        <w:tc>
          <w:tcPr>
            <w:tcW w:w="20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2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VA-MD-WV</w:t>
            </w:r>
          </w:p>
        </w:tc>
        <w:tc>
          <w:tcPr>
            <w:tcW w:w="66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20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Village at</w:t>
            </w:r>
          </w:p>
        </w:tc>
        <w:tc>
          <w:tcPr>
            <w:tcW w:w="40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(7)</w:t>
            </w:r>
          </w:p>
        </w:tc>
        <w:tc>
          <w:tcPr>
            <w:tcW w:w="22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74,349</w:t>
            </w:r>
          </w:p>
        </w:tc>
        <w:tc>
          <w:tcPr>
            <w:tcW w:w="1040" w:type="dxa"/>
            <w:vAlign w:val="bottom"/>
          </w:tcPr>
          <w:p>
            <w:pPr>
              <w:jc w:val="right"/>
              <w:ind w:right="18"/>
              <w:spacing w:after="0" w:line="122" w:lineRule="exact"/>
              <w:rPr>
                <w:sz w:val="20"/>
                <w:szCs w:val="20"/>
                <w:color w:val="auto"/>
              </w:rPr>
            </w:pPr>
            <w:r>
              <w:rPr>
                <w:rFonts w:ascii="Times New Roman" w:cs="Times New Roman" w:eastAsia="Times New Roman" w:hAnsi="Times New Roman"/>
                <w:sz w:val="13"/>
                <w:szCs w:val="13"/>
                <w:color w:val="auto"/>
              </w:rPr>
              <w:t>6,961</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16</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266,000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84 %</w:t>
            </w:r>
          </w:p>
        </w:tc>
        <w:tc>
          <w:tcPr>
            <w:tcW w:w="66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28,000</w:t>
            </w:r>
          </w:p>
        </w:tc>
        <w:tc>
          <w:tcPr>
            <w:tcW w:w="8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Harris Teeter</w:t>
            </w:r>
          </w:p>
        </w:tc>
        <w:tc>
          <w:tcPr>
            <w:tcW w:w="200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CVS / AMC / Carlyle Grand Café</w:t>
            </w:r>
          </w:p>
        </w:tc>
        <w:tc>
          <w:tcPr>
            <w:tcW w:w="0" w:type="dxa"/>
            <w:vAlign w:val="bottom"/>
          </w:tcPr>
          <w:p>
            <w:pPr>
              <w:spacing w:after="0"/>
              <w:rPr>
                <w:sz w:val="1"/>
                <w:szCs w:val="1"/>
                <w:color w:val="auto"/>
              </w:rPr>
            </w:pPr>
          </w:p>
        </w:tc>
      </w:tr>
      <w:tr>
        <w:trPr>
          <w:trHeight w:val="164"/>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Shirlington</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VA-MD-WV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4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w w:val="98"/>
              </w:rPr>
              <w:t>Westpost (formerly</w:t>
            </w: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4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111,304</w:t>
            </w:r>
          </w:p>
        </w:tc>
        <w:tc>
          <w:tcPr>
            <w:tcW w:w="104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14</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297,000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45,000</w:t>
            </w:r>
          </w:p>
        </w:tc>
        <w:tc>
          <w:tcPr>
            <w:tcW w:w="8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Harris Teeter</w:t>
            </w:r>
          </w:p>
        </w:tc>
        <w:tc>
          <w:tcPr>
            <w:tcW w:w="200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TJ Maxx / DSW / Ulta</w:t>
            </w:r>
          </w:p>
        </w:tc>
        <w:tc>
          <w:tcPr>
            <w:tcW w:w="0" w:type="dxa"/>
            <w:vAlign w:val="bottom"/>
          </w:tcPr>
          <w:p>
            <w:pPr>
              <w:spacing w:after="0"/>
              <w:rPr>
                <w:sz w:val="1"/>
                <w:szCs w:val="1"/>
                <w:color w:val="auto"/>
              </w:rPr>
            </w:pPr>
          </w:p>
        </w:tc>
      </w:tr>
      <w:tr>
        <w:trPr>
          <w:trHeight w:val="169"/>
        </w:trPr>
        <w:tc>
          <w:tcPr>
            <w:tcW w:w="1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Pentagon Row)</w:t>
            </w:r>
          </w:p>
        </w:tc>
        <w:tc>
          <w:tcPr>
            <w:tcW w:w="2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2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VA-MD-WV</w:t>
            </w:r>
          </w:p>
        </w:tc>
        <w:tc>
          <w:tcPr>
            <w:tcW w:w="66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20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Wildwood</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27,650</w:t>
            </w:r>
          </w:p>
        </w:tc>
        <w:tc>
          <w:tcPr>
            <w:tcW w:w="104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88,000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66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20,000</w:t>
            </w:r>
          </w:p>
        </w:tc>
        <w:tc>
          <w:tcPr>
            <w:tcW w:w="8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Balducci's</w:t>
            </w:r>
          </w:p>
        </w:tc>
        <w:tc>
          <w:tcPr>
            <w:tcW w:w="200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CVS / Multiple Restaurants</w:t>
            </w:r>
          </w:p>
        </w:tc>
        <w:tc>
          <w:tcPr>
            <w:tcW w:w="0" w:type="dxa"/>
            <w:vAlign w:val="bottom"/>
          </w:tcPr>
          <w:p>
            <w:pPr>
              <w:spacing w:after="0"/>
              <w:rPr>
                <w:sz w:val="1"/>
                <w:szCs w:val="1"/>
                <w:color w:val="auto"/>
              </w:rPr>
            </w:pPr>
          </w:p>
        </w:tc>
      </w:tr>
      <w:tr>
        <w:trPr>
          <w:trHeight w:val="164"/>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Shopping Center</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VA-MD-WV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4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Total Washington Metropolitan Area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2,511,157</w:t>
            </w:r>
          </w:p>
        </w:tc>
        <w:tc>
          <w:tcPr>
            <w:tcW w:w="10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449</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6,261,000</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95 %</w:t>
            </w:r>
          </w:p>
        </w:tc>
        <w:tc>
          <w:tcPr>
            <w:tcW w:w="6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4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2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1420" w:type="dxa"/>
            <w:vAlign w:val="bottom"/>
            <w:gridSpan w:val="3"/>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NY Metro/New Jersey</w:t>
            </w:r>
          </w:p>
        </w:tc>
        <w:tc>
          <w:tcPr>
            <w:tcW w:w="2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10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Brick Plaza</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w w:val="96"/>
              </w:rPr>
              <w:t>New York-Newark-Jersey City, NY-NJ-PA</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105,732</w:t>
            </w:r>
          </w:p>
        </w:tc>
        <w:tc>
          <w:tcPr>
            <w:tcW w:w="104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46</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408,000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95 %</w:t>
            </w:r>
          </w:p>
        </w:tc>
        <w:tc>
          <w:tcPr>
            <w:tcW w:w="66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14,000</w:t>
            </w:r>
          </w:p>
        </w:tc>
        <w:tc>
          <w:tcPr>
            <w:tcW w:w="8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Trader Joe's</w:t>
            </w:r>
          </w:p>
        </w:tc>
        <w:tc>
          <w:tcPr>
            <w:tcW w:w="200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AMC / HomeGoods / Ulta /</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Burlington</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04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Brook 35</w:t>
            </w:r>
          </w:p>
        </w:tc>
        <w:tc>
          <w:tcPr>
            <w:tcW w:w="400" w:type="dxa"/>
            <w:vAlign w:val="bottom"/>
            <w:gridSpan w:val="2"/>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5"/>
              </w:rPr>
              <w:t>(4) (5)</w:t>
            </w:r>
          </w:p>
        </w:tc>
        <w:tc>
          <w:tcPr>
            <w:tcW w:w="224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w w:val="96"/>
              </w:rPr>
              <w:t>New York-Newark-Jersey City, NY-NJ-PA</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50,967</w:t>
            </w:r>
          </w:p>
        </w:tc>
        <w:tc>
          <w:tcPr>
            <w:tcW w:w="1040" w:type="dxa"/>
            <w:vAlign w:val="bottom"/>
            <w:shd w:val="clear" w:color="auto" w:fill="CCEEFF"/>
          </w:tcPr>
          <w:p>
            <w:pPr>
              <w:jc w:val="right"/>
              <w:ind w:right="18"/>
              <w:spacing w:after="0" w:line="122" w:lineRule="exact"/>
              <w:rPr>
                <w:sz w:val="20"/>
                <w:szCs w:val="20"/>
                <w:color w:val="auto"/>
              </w:rPr>
            </w:pPr>
            <w:r>
              <w:rPr>
                <w:rFonts w:ascii="Times New Roman" w:cs="Times New Roman" w:eastAsia="Times New Roman" w:hAnsi="Times New Roman"/>
                <w:sz w:val="13"/>
                <w:szCs w:val="13"/>
                <w:color w:val="auto"/>
              </w:rPr>
              <w:t>11,500</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11</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98,000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92 %</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Banana Republic / Gap / Williams-</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22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2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Sonoma</w:t>
            </w:r>
          </w:p>
        </w:tc>
        <w:tc>
          <w:tcPr>
            <w:tcW w:w="0" w:type="dxa"/>
            <w:vAlign w:val="bottom"/>
          </w:tcPr>
          <w:p>
            <w:pPr>
              <w:spacing w:after="0"/>
              <w:rPr>
                <w:sz w:val="1"/>
                <w:szCs w:val="1"/>
                <w:color w:val="auto"/>
              </w:rPr>
            </w:pPr>
          </w:p>
        </w:tc>
      </w:tr>
      <w:tr>
        <w:trPr>
          <w:trHeight w:val="170"/>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Darien Commons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Bridgeport-Stamford-Norwalk, CT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129,743</w:t>
            </w:r>
          </w:p>
        </w:tc>
        <w:tc>
          <w:tcPr>
            <w:tcW w:w="10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59,000</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89 %</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2</w:t>
            </w: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Equinox / Walgreens</w:t>
            </w:r>
          </w:p>
        </w:tc>
        <w:tc>
          <w:tcPr>
            <w:tcW w:w="0" w:type="dxa"/>
            <w:vAlign w:val="bottom"/>
          </w:tcPr>
          <w:p>
            <w:pPr>
              <w:spacing w:after="0"/>
              <w:rPr>
                <w:sz w:val="1"/>
                <w:szCs w:val="1"/>
                <w:color w:val="auto"/>
              </w:rPr>
            </w:pPr>
          </w:p>
        </w:tc>
      </w:tr>
      <w:tr>
        <w:trPr>
          <w:trHeight w:val="181"/>
        </w:trPr>
        <w:tc>
          <w:tcPr>
            <w:tcW w:w="1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Fresh Meadows</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6"/>
              </w:rPr>
              <w:t>New York-Newark-Jersey City, NY-NJ-PA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93,624</w:t>
            </w: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408,000</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96 %</w:t>
            </w: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15,000</w:t>
            </w:r>
          </w:p>
        </w:tc>
        <w:tc>
          <w:tcPr>
            <w:tcW w:w="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Island of Gold</w:t>
            </w:r>
          </w:p>
        </w:tc>
        <w:tc>
          <w:tcPr>
            <w:tcW w:w="2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AMC / Kohl's / Michaels</w:t>
            </w:r>
          </w:p>
        </w:tc>
        <w:tc>
          <w:tcPr>
            <w:tcW w:w="0" w:type="dxa"/>
            <w:vAlign w:val="bottom"/>
          </w:tcPr>
          <w:p>
            <w:pPr>
              <w:spacing w:after="0"/>
              <w:rPr>
                <w:sz w:val="1"/>
                <w:szCs w:val="1"/>
                <w:color w:val="auto"/>
              </w:rPr>
            </w:pPr>
          </w:p>
        </w:tc>
      </w:tr>
      <w:tr>
        <w:trPr>
          <w:trHeight w:val="122"/>
        </w:trPr>
        <w:tc>
          <w:tcPr>
            <w:tcW w:w="10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Georgetowne</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w w:val="96"/>
              </w:rPr>
              <w:t>New York-Newark-Jersey City, NY-NJ-PA</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84,522</w:t>
            </w:r>
          </w:p>
        </w:tc>
        <w:tc>
          <w:tcPr>
            <w:tcW w:w="104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147,000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87 %</w:t>
            </w:r>
          </w:p>
        </w:tc>
        <w:tc>
          <w:tcPr>
            <w:tcW w:w="66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43,000</w:t>
            </w:r>
          </w:p>
        </w:tc>
        <w:tc>
          <w:tcPr>
            <w:tcW w:w="8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Foodway</w:t>
            </w:r>
          </w:p>
        </w:tc>
        <w:tc>
          <w:tcPr>
            <w:tcW w:w="200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Five Below / IHOP</w:t>
            </w:r>
          </w:p>
        </w:tc>
        <w:tc>
          <w:tcPr>
            <w:tcW w:w="0" w:type="dxa"/>
            <w:vAlign w:val="bottom"/>
          </w:tcPr>
          <w:p>
            <w:pPr>
              <w:spacing w:after="0"/>
              <w:rPr>
                <w:sz w:val="1"/>
                <w:szCs w:val="1"/>
                <w:color w:val="auto"/>
              </w:rPr>
            </w:pPr>
          </w:p>
        </w:tc>
      </w:tr>
      <w:tr>
        <w:trPr>
          <w:trHeight w:val="164"/>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Shopping Center</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4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Greenlawn Plaza</w:t>
            </w: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4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w w:val="96"/>
              </w:rPr>
              <w:t>New York-Newark-Jersey City, NY-NJ-PA</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33,550</w:t>
            </w:r>
          </w:p>
        </w:tc>
        <w:tc>
          <w:tcPr>
            <w:tcW w:w="104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13</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103,000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92 %</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46,000</w:t>
            </w:r>
          </w:p>
        </w:tc>
        <w:tc>
          <w:tcPr>
            <w:tcW w:w="8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Greenlawn</w:t>
            </w:r>
          </w:p>
        </w:tc>
        <w:tc>
          <w:tcPr>
            <w:tcW w:w="200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Tuesday Morning / Planet Fitness</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22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Farms</w:t>
            </w:r>
          </w:p>
        </w:tc>
        <w:tc>
          <w:tcPr>
            <w:tcW w:w="20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w w:val="99"/>
              </w:rPr>
              <w:t>Greenwich Avenue</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Bridgeport-Stamford-Norwalk, CT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23,748</w:t>
            </w:r>
          </w:p>
        </w:tc>
        <w:tc>
          <w:tcPr>
            <w:tcW w:w="10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35,000</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Saks Fifth Avenue</w:t>
            </w:r>
          </w:p>
        </w:tc>
        <w:tc>
          <w:tcPr>
            <w:tcW w:w="0" w:type="dxa"/>
            <w:vAlign w:val="bottom"/>
          </w:tcPr>
          <w:p>
            <w:pPr>
              <w:spacing w:after="0"/>
              <w:rPr>
                <w:sz w:val="1"/>
                <w:szCs w:val="1"/>
                <w:color w:val="auto"/>
              </w:rPr>
            </w:pPr>
          </w:p>
        </w:tc>
      </w:tr>
      <w:tr>
        <w:trPr>
          <w:trHeight w:val="181"/>
        </w:trPr>
        <w:tc>
          <w:tcPr>
            <w:tcW w:w="1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Hauppauge</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6"/>
              </w:rPr>
              <w:t>New York-Newark-Jersey City, NY-NJ-PA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35,354</w:t>
            </w: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133,000</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69 %</w:t>
            </w: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61,000</w:t>
            </w:r>
          </w:p>
        </w:tc>
        <w:tc>
          <w:tcPr>
            <w:tcW w:w="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Shop Rite</w:t>
            </w:r>
          </w:p>
        </w:tc>
        <w:tc>
          <w:tcPr>
            <w:tcW w:w="2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0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Hoboken</w:t>
            </w:r>
          </w:p>
        </w:tc>
        <w:tc>
          <w:tcPr>
            <w:tcW w:w="40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color w:val="auto"/>
                <w:w w:val="95"/>
              </w:rPr>
              <w:t>(4) (9)</w:t>
            </w:r>
          </w:p>
        </w:tc>
        <w:tc>
          <w:tcPr>
            <w:tcW w:w="22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w w:val="96"/>
              </w:rPr>
              <w:t>New York-Newark-Jersey City, NY-NJ-PA</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217,893</w:t>
            </w:r>
          </w:p>
        </w:tc>
        <w:tc>
          <w:tcPr>
            <w:tcW w:w="1040" w:type="dxa"/>
            <w:vAlign w:val="bottom"/>
          </w:tcPr>
          <w:p>
            <w:pPr>
              <w:jc w:val="right"/>
              <w:ind w:right="18"/>
              <w:spacing w:after="0" w:line="122" w:lineRule="exact"/>
              <w:rPr>
                <w:sz w:val="20"/>
                <w:szCs w:val="20"/>
                <w:color w:val="auto"/>
              </w:rPr>
            </w:pPr>
            <w:r>
              <w:rPr>
                <w:rFonts w:ascii="Times New Roman" w:cs="Times New Roman" w:eastAsia="Times New Roman" w:hAnsi="Times New Roman"/>
                <w:sz w:val="13"/>
                <w:szCs w:val="13"/>
                <w:color w:val="auto"/>
              </w:rPr>
              <w:t>86,526</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171,000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97 %</w:t>
            </w:r>
          </w:p>
        </w:tc>
        <w:tc>
          <w:tcPr>
            <w:tcW w:w="6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129</w:t>
            </w: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CVS / New York Sports Club /</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Sephora / Multiple Restaurants</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Huntington</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6"/>
              </w:rPr>
              <w:t>New York-Newark-Jersey City, NY-NJ-PA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73,191</w:t>
            </w: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110,000</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89 %</w:t>
            </w: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Petsmart / Michaels / Ulta</w:t>
            </w:r>
          </w:p>
        </w:tc>
        <w:tc>
          <w:tcPr>
            <w:tcW w:w="0" w:type="dxa"/>
            <w:vAlign w:val="bottom"/>
          </w:tcPr>
          <w:p>
            <w:pPr>
              <w:spacing w:after="0"/>
              <w:rPr>
                <w:sz w:val="1"/>
                <w:szCs w:val="1"/>
                <w:color w:val="auto"/>
              </w:rPr>
            </w:pPr>
          </w:p>
        </w:tc>
      </w:tr>
      <w:tr>
        <w:trPr>
          <w:trHeight w:val="170"/>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Huntington Square</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6"/>
              </w:rPr>
              <w:t>New York-Newark-Jersey City, NY-NJ-PA</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13,866</w:t>
            </w:r>
          </w:p>
        </w:tc>
        <w:tc>
          <w:tcPr>
            <w:tcW w:w="10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75,000</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91 %</w:t>
            </w: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Barnes &amp; Noble</w:t>
            </w:r>
          </w:p>
        </w:tc>
        <w:tc>
          <w:tcPr>
            <w:tcW w:w="0" w:type="dxa"/>
            <w:vAlign w:val="bottom"/>
          </w:tcPr>
          <w:p>
            <w:pPr>
              <w:spacing w:after="0"/>
              <w:rPr>
                <w:sz w:val="1"/>
                <w:szCs w:val="1"/>
                <w:color w:val="auto"/>
              </w:rPr>
            </w:pPr>
          </w:p>
        </w:tc>
      </w:tr>
      <w:tr>
        <w:trPr>
          <w:trHeight w:val="127"/>
        </w:trPr>
        <w:tc>
          <w:tcPr>
            <w:tcW w:w="104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Melville Mall</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4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w w:val="96"/>
              </w:rPr>
              <w:t>New York-Newark-Jersey City, NY-NJ-PA</w:t>
            </w:r>
          </w:p>
        </w:tc>
        <w:tc>
          <w:tcPr>
            <w:tcW w:w="6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104,923</w:t>
            </w:r>
          </w:p>
        </w:tc>
        <w:tc>
          <w:tcPr>
            <w:tcW w:w="10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21</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253,000</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100 %</w:t>
            </w:r>
          </w:p>
        </w:tc>
        <w:tc>
          <w:tcPr>
            <w:tcW w:w="6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line="128" w:lineRule="exact"/>
              <w:rPr>
                <w:sz w:val="20"/>
                <w:szCs w:val="20"/>
                <w:color w:val="auto"/>
              </w:rPr>
            </w:pPr>
            <w:r>
              <w:rPr>
                <w:rFonts w:ascii="Times New Roman" w:cs="Times New Roman" w:eastAsia="Times New Roman" w:hAnsi="Times New Roman"/>
                <w:sz w:val="13"/>
                <w:szCs w:val="13"/>
                <w:color w:val="auto"/>
                <w:w w:val="94"/>
              </w:rPr>
              <w:t>53,000</w:t>
            </w:r>
          </w:p>
        </w:tc>
        <w:tc>
          <w:tcPr>
            <w:tcW w:w="840" w:type="dxa"/>
            <w:vAlign w:val="bottom"/>
            <w:shd w:val="clear" w:color="auto" w:fill="CCEEFF"/>
          </w:tcPr>
          <w:p>
            <w:pPr>
              <w:ind w:left="60"/>
              <w:spacing w:after="0" w:line="128" w:lineRule="exact"/>
              <w:rPr>
                <w:sz w:val="20"/>
                <w:szCs w:val="20"/>
                <w:color w:val="auto"/>
              </w:rPr>
            </w:pPr>
            <w:r>
              <w:rPr>
                <w:rFonts w:ascii="Times New Roman" w:cs="Times New Roman" w:eastAsia="Times New Roman" w:hAnsi="Times New Roman"/>
                <w:sz w:val="13"/>
                <w:szCs w:val="13"/>
                <w:color w:val="auto"/>
              </w:rPr>
              <w:t>Uncle</w:t>
            </w:r>
          </w:p>
        </w:tc>
        <w:tc>
          <w:tcPr>
            <w:tcW w:w="2000" w:type="dxa"/>
            <w:vAlign w:val="bottom"/>
            <w:shd w:val="clear" w:color="auto" w:fill="CCEEFF"/>
          </w:tcPr>
          <w:p>
            <w:pPr>
              <w:ind w:left="40"/>
              <w:spacing w:after="0" w:line="128" w:lineRule="exact"/>
              <w:rPr>
                <w:sz w:val="20"/>
                <w:szCs w:val="20"/>
                <w:color w:val="auto"/>
              </w:rPr>
            </w:pPr>
            <w:r>
              <w:rPr>
                <w:rFonts w:ascii="Times New Roman" w:cs="Times New Roman" w:eastAsia="Times New Roman" w:hAnsi="Times New Roman"/>
                <w:sz w:val="13"/>
                <w:szCs w:val="13"/>
                <w:color w:val="auto"/>
              </w:rPr>
              <w:t>Marshalls / Dick's Sporting Goods /</w:t>
            </w:r>
          </w:p>
        </w:tc>
        <w:tc>
          <w:tcPr>
            <w:tcW w:w="0" w:type="dxa"/>
            <w:vAlign w:val="bottom"/>
          </w:tcPr>
          <w:p>
            <w:pPr>
              <w:spacing w:after="0"/>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Giuseppe's</w:t>
            </w:r>
          </w:p>
        </w:tc>
        <w:tc>
          <w:tcPr>
            <w:tcW w:w="200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Macy's Backstage / Public Lands</w:t>
            </w: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Marketplace</w:t>
            </w:r>
          </w:p>
        </w:tc>
        <w:tc>
          <w:tcPr>
            <w:tcW w:w="2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20"/>
          </w:cols>
          <w:pgMar w:left="340" w:top="1028" w:right="339" w:bottom="1440" w:gutter="0" w:footer="0" w:header="0"/>
        </w:sectPr>
      </w:pPr>
    </w:p>
    <w:bookmarkStart w:id="25" w:name="page26"/>
    <w:bookmarkEnd w:id="25"/>
    <w:p>
      <w:pPr>
        <w:ind w:left="2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Real Estate Status Report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2022</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Real Estate</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Mortgage/Finance</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Residential</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Grocery</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Grocery</w:t>
            </w:r>
          </w:p>
        </w:tc>
        <w:tc>
          <w:tcPr>
            <w:tcW w:w="2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10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Lease Liabilities</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b w:val="1"/>
                <w:bCs w:val="1"/>
                <w:color w:val="auto"/>
              </w:rPr>
              <w:t>Leased</w:t>
            </w:r>
          </w:p>
        </w:tc>
        <w:tc>
          <w:tcPr>
            <w:tcW w:w="660" w:type="dxa"/>
            <w:vAlign w:val="bottom"/>
            <w:vMerge w:val="continue"/>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Anchor</w:t>
            </w:r>
          </w:p>
        </w:tc>
        <w:tc>
          <w:tcPr>
            <w:tcW w:w="840" w:type="dxa"/>
            <w:vAlign w:val="bottom"/>
            <w:vMerge w:val="continue"/>
          </w:tcPr>
          <w:p>
            <w:pPr>
              <w:spacing w:after="0"/>
              <w:rPr>
                <w:sz w:val="10"/>
                <w:szCs w:val="10"/>
                <w:color w:val="auto"/>
              </w:rPr>
            </w:pPr>
          </w:p>
        </w:tc>
        <w:tc>
          <w:tcPr>
            <w:tcW w:w="2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Property Name</w:t>
            </w:r>
          </w:p>
        </w:tc>
        <w:tc>
          <w:tcPr>
            <w:tcW w:w="4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3"/>
                <w:szCs w:val="13"/>
                <w:b w:val="1"/>
                <w:bCs w:val="1"/>
                <w:color w:val="auto"/>
              </w:rPr>
              <w:t>MSA Description</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at Cost (1)</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w:t>
            </w:r>
          </w:p>
        </w:tc>
        <w:tc>
          <w:tcPr>
            <w:tcW w:w="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Acreage</w:t>
            </w:r>
          </w:p>
        </w:tc>
        <w:tc>
          <w:tcPr>
            <w:tcW w:w="7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GLA (3)</w:t>
            </w:r>
          </w:p>
        </w:tc>
        <w:tc>
          <w:tcPr>
            <w:tcW w:w="54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(3)</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Units</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GLA</w:t>
            </w:r>
          </w:p>
        </w:tc>
        <w:tc>
          <w:tcPr>
            <w:tcW w:w="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Anchor</w:t>
            </w:r>
          </w:p>
        </w:tc>
        <w:tc>
          <w:tcPr>
            <w:tcW w:w="2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Other Retail Tenants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 thousands)</w:t>
            </w: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 thousands)</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20" w:type="dxa"/>
            <w:vAlign w:val="bottom"/>
            <w:gridSpan w:val="5"/>
          </w:tcPr>
          <w:p>
            <w:pPr>
              <w:ind w:left="20"/>
              <w:spacing w:after="0" w:line="144" w:lineRule="exact"/>
              <w:rPr>
                <w:sz w:val="20"/>
                <w:szCs w:val="20"/>
                <w:color w:val="auto"/>
              </w:rPr>
            </w:pPr>
            <w:r>
              <w:rPr>
                <w:rFonts w:ascii="Times New Roman" w:cs="Times New Roman" w:eastAsia="Times New Roman" w:hAnsi="Times New Roman"/>
                <w:sz w:val="13"/>
                <w:szCs w:val="13"/>
                <w:color w:val="auto"/>
              </w:rPr>
              <w:t>Mercer Mall</w:t>
            </w:r>
          </w:p>
        </w:tc>
        <w:tc>
          <w:tcPr>
            <w:tcW w:w="42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w w:val="92"/>
              </w:rPr>
              <w:t>(7)</w:t>
            </w:r>
          </w:p>
        </w:tc>
        <w:tc>
          <w:tcPr>
            <w:tcW w:w="224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rPr>
              <w:t>Trenton, NJ</w:t>
            </w:r>
          </w:p>
        </w:tc>
        <w:tc>
          <w:tcPr>
            <w:tcW w:w="6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131,625</w:t>
            </w:r>
          </w:p>
        </w:tc>
        <w:tc>
          <w:tcPr>
            <w:tcW w:w="1040" w:type="dxa"/>
            <w:vAlign w:val="bottom"/>
          </w:tcPr>
          <w:p>
            <w:pPr>
              <w:jc w:val="right"/>
              <w:ind w:right="18"/>
              <w:spacing w:after="0" w:line="144" w:lineRule="exact"/>
              <w:rPr>
                <w:sz w:val="20"/>
                <w:szCs w:val="20"/>
                <w:color w:val="auto"/>
              </w:rPr>
            </w:pPr>
            <w:r>
              <w:rPr>
                <w:rFonts w:ascii="Times New Roman" w:cs="Times New Roman" w:eastAsia="Times New Roman" w:hAnsi="Times New Roman"/>
                <w:sz w:val="13"/>
                <w:szCs w:val="13"/>
                <w:color w:val="auto"/>
              </w:rPr>
              <w:t>55,123</w:t>
            </w:r>
          </w:p>
        </w:tc>
        <w:tc>
          <w:tcPr>
            <w:tcW w:w="4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50</w:t>
            </w:r>
          </w:p>
        </w:tc>
        <w:tc>
          <w:tcPr>
            <w:tcW w:w="80" w:type="dxa"/>
            <w:vAlign w:val="bottom"/>
          </w:tcPr>
          <w:p>
            <w:pPr>
              <w:spacing w:after="0"/>
              <w:rPr>
                <w:sz w:val="12"/>
                <w:szCs w:val="12"/>
                <w:color w:val="auto"/>
              </w:rPr>
            </w:pPr>
          </w:p>
        </w:tc>
        <w:tc>
          <w:tcPr>
            <w:tcW w:w="6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551,000</w:t>
            </w:r>
          </w:p>
        </w:tc>
        <w:tc>
          <w:tcPr>
            <w:tcW w:w="80" w:type="dxa"/>
            <w:vAlign w:val="bottom"/>
          </w:tcPr>
          <w:p>
            <w:pPr>
              <w:spacing w:after="0"/>
              <w:rPr>
                <w:sz w:val="12"/>
                <w:szCs w:val="12"/>
                <w:color w:val="auto"/>
              </w:rPr>
            </w:pPr>
          </w:p>
        </w:tc>
        <w:tc>
          <w:tcPr>
            <w:tcW w:w="5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89 %</w:t>
            </w:r>
          </w:p>
        </w:tc>
        <w:tc>
          <w:tcPr>
            <w:tcW w:w="660" w:type="dxa"/>
            <w:vAlign w:val="bottom"/>
          </w:tcPr>
          <w:p>
            <w:pPr>
              <w:spacing w:after="0"/>
              <w:rPr>
                <w:sz w:val="12"/>
                <w:szCs w:val="12"/>
                <w:color w:val="auto"/>
              </w:rPr>
            </w:pPr>
          </w:p>
        </w:tc>
        <w:tc>
          <w:tcPr>
            <w:tcW w:w="5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w w:val="94"/>
              </w:rPr>
              <w:t>75,000</w:t>
            </w:r>
          </w:p>
        </w:tc>
        <w:tc>
          <w:tcPr>
            <w:tcW w:w="84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Shop Rite</w:t>
            </w:r>
          </w:p>
        </w:tc>
        <w:tc>
          <w:tcPr>
            <w:tcW w:w="200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Ferguson Bath, Kitchen, &amp; Lighting /</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w w:val="97"/>
              </w:rPr>
              <w:t>Ross Dress for Less / Nordstrom Rack</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REI / Tesla</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20" w:type="dxa"/>
            <w:vAlign w:val="bottom"/>
            <w:gridSpan w:val="5"/>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The Grove at</w:t>
            </w:r>
          </w:p>
        </w:tc>
        <w:tc>
          <w:tcPr>
            <w:tcW w:w="42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5"/>
              </w:rPr>
              <w:t>(4) (5)</w:t>
            </w:r>
          </w:p>
        </w:tc>
        <w:tc>
          <w:tcPr>
            <w:tcW w:w="224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5"/>
              </w:rPr>
              <w:t>New York-Newark-Jersey City, NY-NJ-PA</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129,917</w:t>
            </w:r>
          </w:p>
        </w:tc>
        <w:tc>
          <w:tcPr>
            <w:tcW w:w="1040" w:type="dxa"/>
            <w:vAlign w:val="bottom"/>
            <w:shd w:val="clear" w:color="auto" w:fill="CCEEFF"/>
          </w:tcPr>
          <w:p>
            <w:pPr>
              <w:jc w:val="right"/>
              <w:ind w:right="18"/>
              <w:spacing w:after="0" w:line="122" w:lineRule="exact"/>
              <w:rPr>
                <w:sz w:val="20"/>
                <w:szCs w:val="20"/>
                <w:color w:val="auto"/>
              </w:rPr>
            </w:pPr>
            <w:r>
              <w:rPr>
                <w:rFonts w:ascii="Times New Roman" w:cs="Times New Roman" w:eastAsia="Times New Roman" w:hAnsi="Times New Roman"/>
                <w:sz w:val="13"/>
                <w:szCs w:val="13"/>
                <w:color w:val="auto"/>
              </w:rPr>
              <w:t>43,600</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21</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193,000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Lululemon / Anthropologie / Pottery</w:t>
            </w:r>
          </w:p>
        </w:tc>
        <w:tc>
          <w:tcPr>
            <w:tcW w:w="0" w:type="dxa"/>
            <w:vAlign w:val="bottom"/>
          </w:tcPr>
          <w:p>
            <w:pPr>
              <w:spacing w:after="0"/>
              <w:rPr>
                <w:sz w:val="1"/>
                <w:szCs w:val="1"/>
                <w:color w:val="auto"/>
              </w:rPr>
            </w:pPr>
          </w:p>
        </w:tc>
      </w:tr>
      <w:tr>
        <w:trPr>
          <w:trHeight w:val="169"/>
        </w:trPr>
        <w:tc>
          <w:tcPr>
            <w:tcW w:w="102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Shrewsbury</w:t>
            </w:r>
          </w:p>
        </w:tc>
        <w:tc>
          <w:tcPr>
            <w:tcW w:w="4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8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Barn / Williams-Sonoma</w:t>
            </w:r>
          </w:p>
        </w:tc>
        <w:tc>
          <w:tcPr>
            <w:tcW w:w="0" w:type="dxa"/>
            <w:vAlign w:val="bottom"/>
          </w:tcPr>
          <w:p>
            <w:pPr>
              <w:spacing w:after="0"/>
              <w:rPr>
                <w:sz w:val="1"/>
                <w:szCs w:val="1"/>
                <w:color w:val="auto"/>
              </w:rPr>
            </w:pPr>
          </w:p>
        </w:tc>
      </w:tr>
      <w:tr>
        <w:trPr>
          <w:trHeight w:val="170"/>
        </w:trPr>
        <w:tc>
          <w:tcPr>
            <w:tcW w:w="102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3"/>
                <w:szCs w:val="13"/>
                <w:color w:val="auto"/>
              </w:rPr>
              <w:t>Troy</w:t>
            </w:r>
          </w:p>
        </w:tc>
        <w:tc>
          <w:tcPr>
            <w:tcW w:w="4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3"/>
                <w:szCs w:val="13"/>
                <w:color w:val="auto"/>
                <w:w w:val="95"/>
              </w:rPr>
              <w:t>New York-Newark-Jersey City, NY-NJ-PA</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41,477</w:t>
            </w:r>
          </w:p>
        </w:tc>
        <w:tc>
          <w:tcPr>
            <w:tcW w:w="104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211,000</w:t>
            </w:r>
          </w:p>
        </w:tc>
        <w:tc>
          <w:tcPr>
            <w:tcW w:w="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99 %</w:t>
            </w:r>
          </w:p>
        </w:tc>
        <w:tc>
          <w:tcPr>
            <w:tcW w:w="66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2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Target / L.A. Fitness / Michaels</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Total NY Metro/New Jersey</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1,270,132</w:t>
            </w: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2,955,000</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93 %</w:t>
            </w: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020" w:type="dxa"/>
            <w:vAlign w:val="bottom"/>
            <w:gridSpan w:val="5"/>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New England</w:t>
            </w:r>
          </w:p>
        </w:tc>
        <w:tc>
          <w:tcPr>
            <w:tcW w:w="4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020" w:type="dxa"/>
            <w:vAlign w:val="bottom"/>
            <w:gridSpan w:val="5"/>
          </w:tcPr>
          <w:p>
            <w:pPr>
              <w:ind w:left="20"/>
              <w:spacing w:after="0" w:line="122" w:lineRule="exact"/>
              <w:rPr>
                <w:sz w:val="20"/>
                <w:szCs w:val="20"/>
                <w:color w:val="auto"/>
              </w:rPr>
            </w:pPr>
            <w:r>
              <w:rPr>
                <w:rFonts w:ascii="Times New Roman" w:cs="Times New Roman" w:eastAsia="Times New Roman" w:hAnsi="Times New Roman"/>
                <w:sz w:val="13"/>
                <w:szCs w:val="13"/>
                <w:color w:val="auto"/>
              </w:rPr>
              <w:t>Assembly Row /</w:t>
            </w:r>
          </w:p>
        </w:tc>
        <w:tc>
          <w:tcPr>
            <w:tcW w:w="42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(6)</w:t>
            </w:r>
          </w:p>
        </w:tc>
        <w:tc>
          <w:tcPr>
            <w:tcW w:w="224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rPr>
              <w:t>Boston-Cambridge-Newton, MA-NH</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1,115,138</w:t>
            </w:r>
          </w:p>
        </w:tc>
        <w:tc>
          <w:tcPr>
            <w:tcW w:w="104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65</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1,172,000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6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947</w:t>
            </w: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18,000</w:t>
            </w:r>
          </w:p>
        </w:tc>
        <w:tc>
          <w:tcPr>
            <w:tcW w:w="8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Trader Joe's</w:t>
            </w:r>
          </w:p>
        </w:tc>
        <w:tc>
          <w:tcPr>
            <w:tcW w:w="20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TJ Maxx / AMC / Nike / Multiple</w:t>
            </w:r>
          </w:p>
        </w:tc>
        <w:tc>
          <w:tcPr>
            <w:tcW w:w="0" w:type="dxa"/>
            <w:vAlign w:val="bottom"/>
          </w:tcPr>
          <w:p>
            <w:pPr>
              <w:spacing w:after="0"/>
              <w:rPr>
                <w:sz w:val="1"/>
                <w:szCs w:val="1"/>
                <w:color w:val="auto"/>
              </w:rPr>
            </w:pPr>
          </w:p>
        </w:tc>
      </w:tr>
      <w:tr>
        <w:trPr>
          <w:trHeight w:val="122"/>
        </w:trPr>
        <w:tc>
          <w:tcPr>
            <w:tcW w:w="1020" w:type="dxa"/>
            <w:vAlign w:val="bottom"/>
            <w:gridSpan w:val="5"/>
          </w:tcPr>
          <w:p>
            <w:pPr>
              <w:ind w:left="20"/>
              <w:spacing w:after="0" w:line="122" w:lineRule="exact"/>
              <w:rPr>
                <w:sz w:val="20"/>
                <w:szCs w:val="20"/>
                <w:color w:val="auto"/>
              </w:rPr>
            </w:pPr>
            <w:r>
              <w:rPr>
                <w:rFonts w:ascii="Times New Roman" w:cs="Times New Roman" w:eastAsia="Times New Roman" w:hAnsi="Times New Roman"/>
                <w:sz w:val="13"/>
                <w:szCs w:val="13"/>
                <w:color w:val="auto"/>
              </w:rPr>
              <w:t>Assembly Square</w:t>
            </w: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Restaurants</w:t>
            </w:r>
          </w:p>
        </w:tc>
        <w:tc>
          <w:tcPr>
            <w:tcW w:w="0" w:type="dxa"/>
            <w:vAlign w:val="bottom"/>
          </w:tcPr>
          <w:p>
            <w:pPr>
              <w:spacing w:after="0"/>
              <w:rPr>
                <w:sz w:val="1"/>
                <w:szCs w:val="1"/>
                <w:color w:val="auto"/>
              </w:rPr>
            </w:pPr>
          </w:p>
        </w:tc>
      </w:tr>
      <w:tr>
        <w:trPr>
          <w:trHeight w:val="164"/>
        </w:trPr>
        <w:tc>
          <w:tcPr>
            <w:tcW w:w="1020" w:type="dxa"/>
            <w:vAlign w:val="bottom"/>
            <w:gridSpan w:val="5"/>
          </w:tcPr>
          <w:p>
            <w:pPr>
              <w:ind w:left="20"/>
              <w:spacing w:after="0"/>
              <w:rPr>
                <w:sz w:val="20"/>
                <w:szCs w:val="20"/>
                <w:color w:val="auto"/>
              </w:rPr>
            </w:pPr>
            <w:r>
              <w:rPr>
                <w:rFonts w:ascii="Times New Roman" w:cs="Times New Roman" w:eastAsia="Times New Roman" w:hAnsi="Times New Roman"/>
                <w:sz w:val="13"/>
                <w:szCs w:val="13"/>
                <w:color w:val="auto"/>
              </w:rPr>
              <w:t>Marketplace</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Campus Plaza</w:t>
            </w:r>
          </w:p>
        </w:tc>
        <w:tc>
          <w:tcPr>
            <w:tcW w:w="420" w:type="dxa"/>
            <w:vAlign w:val="bottom"/>
            <w:shd w:val="clear" w:color="auto" w:fill="CCEEFF"/>
          </w:tcPr>
          <w:p>
            <w:pPr>
              <w:spacing w:after="0"/>
              <w:rPr>
                <w:sz w:val="15"/>
                <w:szCs w:val="15"/>
                <w:color w:val="auto"/>
              </w:rPr>
            </w:pPr>
          </w:p>
        </w:tc>
        <w:tc>
          <w:tcPr>
            <w:tcW w:w="2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Boston-Cambridge-Newton, MA-NH</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30,746</w:t>
            </w: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114,000</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89 %</w:t>
            </w: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46,000</w:t>
            </w:r>
          </w:p>
        </w:tc>
        <w:tc>
          <w:tcPr>
            <w:tcW w:w="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Roche Bros.</w:t>
            </w:r>
          </w:p>
        </w:tc>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Burlington</w:t>
            </w:r>
          </w:p>
        </w:tc>
        <w:tc>
          <w:tcPr>
            <w:tcW w:w="0" w:type="dxa"/>
            <w:vAlign w:val="bottom"/>
          </w:tcPr>
          <w:p>
            <w:pPr>
              <w:spacing w:after="0"/>
              <w:rPr>
                <w:sz w:val="1"/>
                <w:szCs w:val="1"/>
                <w:color w:val="auto"/>
              </w:rPr>
            </w:pPr>
          </w:p>
        </w:tc>
      </w:tr>
      <w:tr>
        <w:trPr>
          <w:trHeight w:val="170"/>
        </w:trPr>
        <w:tc>
          <w:tcPr>
            <w:tcW w:w="1020" w:type="dxa"/>
            <w:vAlign w:val="bottom"/>
            <w:gridSpan w:val="5"/>
          </w:tcPr>
          <w:p>
            <w:pPr>
              <w:ind w:left="20"/>
              <w:spacing w:after="0"/>
              <w:rPr>
                <w:sz w:val="20"/>
                <w:szCs w:val="20"/>
                <w:color w:val="auto"/>
              </w:rPr>
            </w:pPr>
            <w:r>
              <w:rPr>
                <w:rFonts w:ascii="Times New Roman" w:cs="Times New Roman" w:eastAsia="Times New Roman" w:hAnsi="Times New Roman"/>
                <w:sz w:val="13"/>
                <w:szCs w:val="13"/>
                <w:color w:val="auto"/>
              </w:rPr>
              <w:t>Chelsea Commons</w:t>
            </w:r>
          </w:p>
        </w:tc>
        <w:tc>
          <w:tcPr>
            <w:tcW w:w="420" w:type="dxa"/>
            <w:vAlign w:val="bottom"/>
          </w:tcPr>
          <w:p>
            <w:pPr>
              <w:spacing w:after="0"/>
              <w:rPr>
                <w:sz w:val="14"/>
                <w:szCs w:val="14"/>
                <w:color w:val="auto"/>
              </w:rPr>
            </w:pPr>
          </w:p>
        </w:tc>
        <w:tc>
          <w:tcPr>
            <w:tcW w:w="22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Boston-Cambridge-Newton, MA-NH</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31,129</w:t>
            </w:r>
          </w:p>
        </w:tc>
        <w:tc>
          <w:tcPr>
            <w:tcW w:w="104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4,549</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222,000</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Home Depot / Planet Fitness / CVS</w:t>
            </w:r>
          </w:p>
        </w:tc>
        <w:tc>
          <w:tcPr>
            <w:tcW w:w="0" w:type="dxa"/>
            <w:vAlign w:val="bottom"/>
          </w:tcPr>
          <w:p>
            <w:pPr>
              <w:spacing w:after="0"/>
              <w:rPr>
                <w:sz w:val="1"/>
                <w:szCs w:val="1"/>
                <w:color w:val="auto"/>
              </w:rPr>
            </w:pPr>
          </w:p>
        </w:tc>
      </w:tr>
      <w:tr>
        <w:trPr>
          <w:trHeight w:val="181"/>
        </w:trPr>
        <w:tc>
          <w:tcPr>
            <w:tcW w:w="10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Dedham Plaza</w:t>
            </w:r>
          </w:p>
        </w:tc>
        <w:tc>
          <w:tcPr>
            <w:tcW w:w="420" w:type="dxa"/>
            <w:vAlign w:val="bottom"/>
            <w:shd w:val="clear" w:color="auto" w:fill="CCEEFF"/>
          </w:tcPr>
          <w:p>
            <w:pPr>
              <w:spacing w:after="0"/>
              <w:rPr>
                <w:sz w:val="15"/>
                <w:szCs w:val="15"/>
                <w:color w:val="auto"/>
              </w:rPr>
            </w:pPr>
          </w:p>
        </w:tc>
        <w:tc>
          <w:tcPr>
            <w:tcW w:w="2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Boston-Cambridge-Newton, MA-NH</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47,847</w:t>
            </w: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249,000</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92 %</w:t>
            </w: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80,000</w:t>
            </w:r>
          </w:p>
        </w:tc>
        <w:tc>
          <w:tcPr>
            <w:tcW w:w="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Star Market</w:t>
            </w:r>
          </w:p>
        </w:tc>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Planet Fitness</w:t>
            </w:r>
          </w:p>
        </w:tc>
        <w:tc>
          <w:tcPr>
            <w:tcW w:w="0" w:type="dxa"/>
            <w:vAlign w:val="bottom"/>
          </w:tcPr>
          <w:p>
            <w:pPr>
              <w:spacing w:after="0"/>
              <w:rPr>
                <w:sz w:val="1"/>
                <w:szCs w:val="1"/>
                <w:color w:val="auto"/>
              </w:rPr>
            </w:pPr>
          </w:p>
        </w:tc>
      </w:tr>
      <w:tr>
        <w:trPr>
          <w:trHeight w:val="170"/>
        </w:trPr>
        <w:tc>
          <w:tcPr>
            <w:tcW w:w="1020" w:type="dxa"/>
            <w:vAlign w:val="bottom"/>
            <w:gridSpan w:val="5"/>
          </w:tcPr>
          <w:p>
            <w:pPr>
              <w:ind w:left="20"/>
              <w:spacing w:after="0"/>
              <w:rPr>
                <w:sz w:val="20"/>
                <w:szCs w:val="20"/>
                <w:color w:val="auto"/>
              </w:rPr>
            </w:pPr>
            <w:r>
              <w:rPr>
                <w:rFonts w:ascii="Times New Roman" w:cs="Times New Roman" w:eastAsia="Times New Roman" w:hAnsi="Times New Roman"/>
                <w:sz w:val="13"/>
                <w:szCs w:val="13"/>
                <w:color w:val="auto"/>
              </w:rPr>
              <w:t>Linden Square</w:t>
            </w:r>
          </w:p>
        </w:tc>
        <w:tc>
          <w:tcPr>
            <w:tcW w:w="420" w:type="dxa"/>
            <w:vAlign w:val="bottom"/>
          </w:tcPr>
          <w:p>
            <w:pPr>
              <w:spacing w:after="0"/>
              <w:rPr>
                <w:sz w:val="14"/>
                <w:szCs w:val="14"/>
                <w:color w:val="auto"/>
              </w:rPr>
            </w:pPr>
          </w:p>
        </w:tc>
        <w:tc>
          <w:tcPr>
            <w:tcW w:w="22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Boston-Cambridge-Newton, MA-NH</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156,956</w:t>
            </w:r>
          </w:p>
        </w:tc>
        <w:tc>
          <w:tcPr>
            <w:tcW w:w="10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223,000</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99 %</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7</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50,000</w:t>
            </w:r>
          </w:p>
        </w:tc>
        <w:tc>
          <w:tcPr>
            <w:tcW w:w="8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Roche Bros.</w:t>
            </w:r>
          </w:p>
        </w:tc>
        <w:tc>
          <w:tcPr>
            <w:tcW w:w="2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CVS</w:t>
            </w:r>
          </w:p>
        </w:tc>
        <w:tc>
          <w:tcPr>
            <w:tcW w:w="0" w:type="dxa"/>
            <w:vAlign w:val="bottom"/>
          </w:tcPr>
          <w:p>
            <w:pPr>
              <w:spacing w:after="0"/>
              <w:rPr>
                <w:sz w:val="1"/>
                <w:szCs w:val="1"/>
                <w:color w:val="auto"/>
              </w:rPr>
            </w:pPr>
          </w:p>
        </w:tc>
      </w:tr>
      <w:tr>
        <w:trPr>
          <w:trHeight w:val="181"/>
        </w:trPr>
        <w:tc>
          <w:tcPr>
            <w:tcW w:w="10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North Dartmouth</w:t>
            </w:r>
          </w:p>
        </w:tc>
        <w:tc>
          <w:tcPr>
            <w:tcW w:w="420" w:type="dxa"/>
            <w:vAlign w:val="bottom"/>
            <w:shd w:val="clear" w:color="auto" w:fill="CCEEFF"/>
          </w:tcPr>
          <w:p>
            <w:pPr>
              <w:spacing w:after="0"/>
              <w:rPr>
                <w:sz w:val="15"/>
                <w:szCs w:val="15"/>
                <w:color w:val="auto"/>
              </w:rPr>
            </w:pPr>
          </w:p>
        </w:tc>
        <w:tc>
          <w:tcPr>
            <w:tcW w:w="2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Providence-Warwick, RI-MA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9,369</w:t>
            </w: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48,000</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48,000</w:t>
            </w:r>
          </w:p>
        </w:tc>
        <w:tc>
          <w:tcPr>
            <w:tcW w:w="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Stop &amp; Shop</w:t>
            </w:r>
          </w:p>
        </w:tc>
        <w:tc>
          <w:tcPr>
            <w:tcW w:w="2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02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3"/>
                <w:szCs w:val="13"/>
                <w:color w:val="auto"/>
              </w:rPr>
              <w:t>Queen Anne Plaza</w:t>
            </w:r>
          </w:p>
        </w:tc>
        <w:tc>
          <w:tcPr>
            <w:tcW w:w="4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3"/>
                <w:szCs w:val="13"/>
                <w:color w:val="auto"/>
              </w:rPr>
              <w:t>Boston-Cambridge-Newton, MA-NH</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19,124</w:t>
            </w:r>
          </w:p>
        </w:tc>
        <w:tc>
          <w:tcPr>
            <w:tcW w:w="104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149,000</w:t>
            </w:r>
          </w:p>
        </w:tc>
        <w:tc>
          <w:tcPr>
            <w:tcW w:w="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99 %</w:t>
            </w:r>
          </w:p>
        </w:tc>
        <w:tc>
          <w:tcPr>
            <w:tcW w:w="66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w w:val="94"/>
              </w:rPr>
              <w:t>50,000</w:t>
            </w:r>
          </w:p>
        </w:tc>
        <w:tc>
          <w:tcPr>
            <w:tcW w:w="8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3"/>
                <w:szCs w:val="13"/>
                <w:color w:val="auto"/>
              </w:rPr>
              <w:t>Big Y Foods</w:t>
            </w:r>
          </w:p>
        </w:tc>
        <w:tc>
          <w:tcPr>
            <w:tcW w:w="2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TJ Maxx / HomeGoods</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Total New England</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1,410,309</w:t>
            </w: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2,177,000</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98 %</w:t>
            </w: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gridSpan w:val="3"/>
          </w:tcPr>
          <w:p>
            <w:pPr>
              <w:spacing w:after="0"/>
              <w:rPr>
                <w:sz w:val="8"/>
                <w:szCs w:val="8"/>
                <w:color w:val="auto"/>
              </w:rPr>
            </w:pPr>
          </w:p>
        </w:tc>
        <w:tc>
          <w:tcPr>
            <w:tcW w:w="18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20" w:type="dxa"/>
            <w:vAlign w:val="bottom"/>
            <w:tcBorders>
              <w:bottom w:val="single" w:sz="8" w:color="CCEEFF"/>
            </w:tcBorders>
            <w:shd w:val="clear" w:color="auto" w:fill="CCEEFF"/>
          </w:tcPr>
          <w:p>
            <w:pPr>
              <w:spacing w:after="0"/>
              <w:rPr>
                <w:sz w:val="13"/>
                <w:szCs w:val="13"/>
                <w:color w:val="auto"/>
              </w:rPr>
            </w:pPr>
          </w:p>
        </w:tc>
        <w:tc>
          <w:tcPr>
            <w:tcW w:w="1780" w:type="dxa"/>
            <w:vAlign w:val="bottom"/>
            <w:tcBorders>
              <w:bottom w:val="single" w:sz="8" w:color="auto"/>
            </w:tcBorders>
            <w:gridSpan w:val="6"/>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Philadelphia Metropolitan Area</w:t>
            </w:r>
          </w:p>
        </w:tc>
        <w:tc>
          <w:tcPr>
            <w:tcW w:w="18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20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020" w:type="dxa"/>
            <w:vAlign w:val="bottom"/>
            <w:gridSpan w:val="5"/>
          </w:tcPr>
          <w:p>
            <w:pPr>
              <w:ind w:left="20"/>
              <w:spacing w:after="0" w:line="122" w:lineRule="exact"/>
              <w:rPr>
                <w:sz w:val="20"/>
                <w:szCs w:val="20"/>
                <w:color w:val="auto"/>
              </w:rPr>
            </w:pPr>
            <w:r>
              <w:rPr>
                <w:rFonts w:ascii="Times New Roman" w:cs="Times New Roman" w:eastAsia="Times New Roman" w:hAnsi="Times New Roman"/>
                <w:sz w:val="13"/>
                <w:szCs w:val="13"/>
                <w:color w:val="auto"/>
              </w:rPr>
              <w:t>Andorra</w:t>
            </w:r>
          </w:p>
        </w:tc>
        <w:tc>
          <w:tcPr>
            <w:tcW w:w="420" w:type="dxa"/>
            <w:vAlign w:val="bottom"/>
          </w:tcPr>
          <w:p>
            <w:pPr>
              <w:spacing w:after="0"/>
              <w:rPr>
                <w:sz w:val="10"/>
                <w:szCs w:val="10"/>
                <w:color w:val="auto"/>
              </w:rPr>
            </w:pPr>
          </w:p>
        </w:tc>
        <w:tc>
          <w:tcPr>
            <w:tcW w:w="224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w w:val="96"/>
              </w:rPr>
              <w:t>Philadelphia-Camden-Wilmington, PA-NJ-</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33,677</w:t>
            </w:r>
          </w:p>
        </w:tc>
        <w:tc>
          <w:tcPr>
            <w:tcW w:w="104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22</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270,000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87 %</w:t>
            </w:r>
          </w:p>
        </w:tc>
        <w:tc>
          <w:tcPr>
            <w:tcW w:w="66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24,000</w:t>
            </w:r>
          </w:p>
        </w:tc>
        <w:tc>
          <w:tcPr>
            <w:tcW w:w="8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w w:val="98"/>
              </w:rPr>
              <w:t>Acme Markets</w:t>
            </w:r>
          </w:p>
        </w:tc>
        <w:tc>
          <w:tcPr>
            <w:tcW w:w="20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w w:val="99"/>
              </w:rPr>
              <w:t>TJ Maxx / Kohl's / L.A. Fitness / Five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DE-MD</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Below</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20" w:type="dxa"/>
            <w:vAlign w:val="bottom"/>
            <w:gridSpan w:val="5"/>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Bala Cynwyd</w:t>
            </w:r>
          </w:p>
        </w:tc>
        <w:tc>
          <w:tcPr>
            <w:tcW w:w="420" w:type="dxa"/>
            <w:vAlign w:val="bottom"/>
            <w:shd w:val="clear" w:color="auto" w:fill="CCEEFF"/>
          </w:tcPr>
          <w:p>
            <w:pPr>
              <w:spacing w:after="0"/>
              <w:rPr>
                <w:sz w:val="10"/>
                <w:szCs w:val="10"/>
                <w:color w:val="auto"/>
              </w:rPr>
            </w:pPr>
          </w:p>
        </w:tc>
        <w:tc>
          <w:tcPr>
            <w:tcW w:w="224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6"/>
              </w:rPr>
              <w:t>Philadelphia-Camden-Wilmington, PA-NJ-</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71,218</w:t>
            </w:r>
          </w:p>
        </w:tc>
        <w:tc>
          <w:tcPr>
            <w:tcW w:w="104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23</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174,000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94 %</w:t>
            </w:r>
          </w:p>
        </w:tc>
        <w:tc>
          <w:tcPr>
            <w:tcW w:w="6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87</w:t>
            </w:r>
          </w:p>
        </w:tc>
        <w:tc>
          <w:tcPr>
            <w:tcW w:w="5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45,000</w:t>
            </w:r>
          </w:p>
        </w:tc>
        <w:tc>
          <w:tcPr>
            <w:tcW w:w="8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w w:val="98"/>
              </w:rPr>
              <w:t>Acme Markets</w:t>
            </w:r>
          </w:p>
        </w:tc>
        <w:tc>
          <w:tcPr>
            <w:tcW w:w="200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Michaels / L.A. Fitness</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2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DE-MD</w:t>
            </w:r>
          </w:p>
        </w:tc>
        <w:tc>
          <w:tcPr>
            <w:tcW w:w="66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20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20" w:type="dxa"/>
            <w:vAlign w:val="bottom"/>
            <w:gridSpan w:val="5"/>
          </w:tcPr>
          <w:p>
            <w:pPr>
              <w:ind w:left="20"/>
              <w:spacing w:after="0" w:line="122" w:lineRule="exact"/>
              <w:rPr>
                <w:sz w:val="20"/>
                <w:szCs w:val="20"/>
                <w:color w:val="auto"/>
              </w:rPr>
            </w:pPr>
            <w:r>
              <w:rPr>
                <w:rFonts w:ascii="Times New Roman" w:cs="Times New Roman" w:eastAsia="Times New Roman" w:hAnsi="Times New Roman"/>
                <w:sz w:val="13"/>
                <w:szCs w:val="13"/>
                <w:color w:val="auto"/>
              </w:rPr>
              <w:t>Ellisburg</w:t>
            </w:r>
          </w:p>
        </w:tc>
        <w:tc>
          <w:tcPr>
            <w:tcW w:w="420" w:type="dxa"/>
            <w:vAlign w:val="bottom"/>
          </w:tcPr>
          <w:p>
            <w:pPr>
              <w:spacing w:after="0"/>
              <w:rPr>
                <w:sz w:val="10"/>
                <w:szCs w:val="10"/>
                <w:color w:val="auto"/>
              </w:rPr>
            </w:pPr>
          </w:p>
        </w:tc>
        <w:tc>
          <w:tcPr>
            <w:tcW w:w="224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w w:val="96"/>
              </w:rPr>
              <w:t>Philadelphia-Camden-Wilmington, PA-NJ-</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36,709</w:t>
            </w:r>
          </w:p>
        </w:tc>
        <w:tc>
          <w:tcPr>
            <w:tcW w:w="104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28</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260,000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66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47,000</w:t>
            </w:r>
          </w:p>
        </w:tc>
        <w:tc>
          <w:tcPr>
            <w:tcW w:w="8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Whole Foods</w:t>
            </w:r>
          </w:p>
        </w:tc>
        <w:tc>
          <w:tcPr>
            <w:tcW w:w="20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Buy Buy Baby / RH Outlet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DE-MD</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20" w:type="dxa"/>
            <w:vAlign w:val="bottom"/>
            <w:gridSpan w:val="5"/>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Flourtown</w:t>
            </w:r>
          </w:p>
        </w:tc>
        <w:tc>
          <w:tcPr>
            <w:tcW w:w="420" w:type="dxa"/>
            <w:vAlign w:val="bottom"/>
            <w:shd w:val="clear" w:color="auto" w:fill="CCEEFF"/>
          </w:tcPr>
          <w:p>
            <w:pPr>
              <w:spacing w:after="0"/>
              <w:rPr>
                <w:sz w:val="10"/>
                <w:szCs w:val="10"/>
                <w:color w:val="auto"/>
              </w:rPr>
            </w:pPr>
          </w:p>
        </w:tc>
        <w:tc>
          <w:tcPr>
            <w:tcW w:w="224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6"/>
              </w:rPr>
              <w:t>Philadelphia-Camden-Wilmington, PA-NJ-</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17,687</w:t>
            </w:r>
          </w:p>
        </w:tc>
        <w:tc>
          <w:tcPr>
            <w:tcW w:w="104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24</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156,000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75,000</w:t>
            </w:r>
          </w:p>
        </w:tc>
        <w:tc>
          <w:tcPr>
            <w:tcW w:w="8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Giant Food</w:t>
            </w:r>
          </w:p>
        </w:tc>
        <w:tc>
          <w:tcPr>
            <w:tcW w:w="200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Movie Tavern</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2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DE-MD</w:t>
            </w:r>
          </w:p>
        </w:tc>
        <w:tc>
          <w:tcPr>
            <w:tcW w:w="66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20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20" w:type="dxa"/>
            <w:vAlign w:val="bottom"/>
            <w:gridSpan w:val="5"/>
          </w:tcPr>
          <w:p>
            <w:pPr>
              <w:ind w:left="20"/>
              <w:spacing w:after="0" w:line="122" w:lineRule="exact"/>
              <w:rPr>
                <w:sz w:val="20"/>
                <w:szCs w:val="20"/>
                <w:color w:val="auto"/>
              </w:rPr>
            </w:pPr>
            <w:r>
              <w:rPr>
                <w:rFonts w:ascii="Times New Roman" w:cs="Times New Roman" w:eastAsia="Times New Roman" w:hAnsi="Times New Roman"/>
                <w:sz w:val="13"/>
                <w:szCs w:val="13"/>
                <w:color w:val="auto"/>
              </w:rPr>
              <w:t>Langhorne Square</w:t>
            </w:r>
          </w:p>
        </w:tc>
        <w:tc>
          <w:tcPr>
            <w:tcW w:w="420" w:type="dxa"/>
            <w:vAlign w:val="bottom"/>
          </w:tcPr>
          <w:p>
            <w:pPr>
              <w:spacing w:after="0"/>
              <w:rPr>
                <w:sz w:val="10"/>
                <w:szCs w:val="10"/>
                <w:color w:val="auto"/>
              </w:rPr>
            </w:pPr>
          </w:p>
        </w:tc>
        <w:tc>
          <w:tcPr>
            <w:tcW w:w="224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w w:val="96"/>
              </w:rPr>
              <w:t>Philadelphia-Camden-Wilmington, PA-NJ-</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24,461</w:t>
            </w:r>
          </w:p>
        </w:tc>
        <w:tc>
          <w:tcPr>
            <w:tcW w:w="104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223,000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66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55,000</w:t>
            </w:r>
          </w:p>
        </w:tc>
        <w:tc>
          <w:tcPr>
            <w:tcW w:w="8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Redner's</w:t>
            </w:r>
          </w:p>
        </w:tc>
        <w:tc>
          <w:tcPr>
            <w:tcW w:w="20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Marshalls / Planet Fitness</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4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rPr>
              <w:t>DE-MD</w:t>
            </w:r>
          </w:p>
        </w:tc>
        <w:tc>
          <w:tcPr>
            <w:tcW w:w="6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Warehouse</w:t>
            </w:r>
          </w:p>
        </w:tc>
        <w:tc>
          <w:tcPr>
            <w:tcW w:w="2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Markets</w:t>
            </w: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020" w:type="dxa"/>
            <w:vAlign w:val="bottom"/>
            <w:gridSpan w:val="5"/>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Lawrence Park</w:t>
            </w:r>
          </w:p>
        </w:tc>
        <w:tc>
          <w:tcPr>
            <w:tcW w:w="420" w:type="dxa"/>
            <w:vAlign w:val="bottom"/>
            <w:shd w:val="clear" w:color="auto" w:fill="CCEEFF"/>
          </w:tcPr>
          <w:p>
            <w:pPr>
              <w:spacing w:after="0"/>
              <w:rPr>
                <w:sz w:val="10"/>
                <w:szCs w:val="10"/>
                <w:color w:val="auto"/>
              </w:rPr>
            </w:pPr>
          </w:p>
        </w:tc>
        <w:tc>
          <w:tcPr>
            <w:tcW w:w="224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6"/>
              </w:rPr>
              <w:t>Philadelphia-Camden-Wilmington, PA-NJ-</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58,972</w:t>
            </w:r>
          </w:p>
        </w:tc>
        <w:tc>
          <w:tcPr>
            <w:tcW w:w="104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29</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356,000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96 %</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53,000</w:t>
            </w:r>
          </w:p>
        </w:tc>
        <w:tc>
          <w:tcPr>
            <w:tcW w:w="8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w w:val="98"/>
              </w:rPr>
              <w:t>Acme Markets</w:t>
            </w:r>
          </w:p>
        </w:tc>
        <w:tc>
          <w:tcPr>
            <w:tcW w:w="200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TJ Maxx / HomeGoods / Barnes &amp;</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2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DE-MD</w:t>
            </w:r>
          </w:p>
        </w:tc>
        <w:tc>
          <w:tcPr>
            <w:tcW w:w="66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Noble</w:t>
            </w:r>
          </w:p>
        </w:tc>
        <w:tc>
          <w:tcPr>
            <w:tcW w:w="0" w:type="dxa"/>
            <w:vAlign w:val="bottom"/>
          </w:tcPr>
          <w:p>
            <w:pPr>
              <w:spacing w:after="0"/>
              <w:rPr>
                <w:sz w:val="1"/>
                <w:szCs w:val="1"/>
                <w:color w:val="auto"/>
              </w:rPr>
            </w:pPr>
          </w:p>
        </w:tc>
      </w:tr>
      <w:tr>
        <w:trPr>
          <w:trHeight w:val="122"/>
        </w:trPr>
        <w:tc>
          <w:tcPr>
            <w:tcW w:w="1020" w:type="dxa"/>
            <w:vAlign w:val="bottom"/>
            <w:gridSpan w:val="5"/>
          </w:tcPr>
          <w:p>
            <w:pPr>
              <w:ind w:left="20"/>
              <w:spacing w:after="0" w:line="122" w:lineRule="exact"/>
              <w:rPr>
                <w:sz w:val="20"/>
                <w:szCs w:val="20"/>
                <w:color w:val="auto"/>
              </w:rPr>
            </w:pPr>
            <w:r>
              <w:rPr>
                <w:rFonts w:ascii="Times New Roman" w:cs="Times New Roman" w:eastAsia="Times New Roman" w:hAnsi="Times New Roman"/>
                <w:sz w:val="13"/>
                <w:szCs w:val="13"/>
                <w:color w:val="auto"/>
              </w:rPr>
              <w:t>Northeast</w:t>
            </w:r>
          </w:p>
        </w:tc>
        <w:tc>
          <w:tcPr>
            <w:tcW w:w="420" w:type="dxa"/>
            <w:vAlign w:val="bottom"/>
          </w:tcPr>
          <w:p>
            <w:pPr>
              <w:spacing w:after="0"/>
              <w:rPr>
                <w:sz w:val="10"/>
                <w:szCs w:val="10"/>
                <w:color w:val="auto"/>
              </w:rPr>
            </w:pPr>
          </w:p>
        </w:tc>
        <w:tc>
          <w:tcPr>
            <w:tcW w:w="224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w w:val="96"/>
              </w:rPr>
              <w:t>Philadelphia-Camden-Wilmington, PA-NJ-</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35,257</w:t>
            </w:r>
          </w:p>
        </w:tc>
        <w:tc>
          <w:tcPr>
            <w:tcW w:w="104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214,000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81 %</w:t>
            </w: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Marshalls / Ulta / Skechers / Crunch</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DE-MD</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Fitness</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20" w:type="dxa"/>
            <w:vAlign w:val="bottom"/>
            <w:gridSpan w:val="5"/>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Town Center of</w:t>
            </w:r>
          </w:p>
        </w:tc>
        <w:tc>
          <w:tcPr>
            <w:tcW w:w="420" w:type="dxa"/>
            <w:vAlign w:val="bottom"/>
            <w:shd w:val="clear" w:color="auto" w:fill="CCEEFF"/>
          </w:tcPr>
          <w:p>
            <w:pPr>
              <w:spacing w:after="0"/>
              <w:rPr>
                <w:sz w:val="10"/>
                <w:szCs w:val="10"/>
                <w:color w:val="auto"/>
              </w:rPr>
            </w:pPr>
          </w:p>
        </w:tc>
        <w:tc>
          <w:tcPr>
            <w:tcW w:w="224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6"/>
              </w:rPr>
              <w:t>Philadelphia-Camden-Wilmington, PA-NJ-</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17,347</w:t>
            </w:r>
          </w:p>
        </w:tc>
        <w:tc>
          <w:tcPr>
            <w:tcW w:w="104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124,000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93 %</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36,000</w:t>
            </w:r>
          </w:p>
        </w:tc>
        <w:tc>
          <w:tcPr>
            <w:tcW w:w="8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Giant Food</w:t>
            </w:r>
          </w:p>
        </w:tc>
        <w:tc>
          <w:tcPr>
            <w:tcW w:w="200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Rite Aid / Dollar Tree</w:t>
            </w:r>
          </w:p>
        </w:tc>
        <w:tc>
          <w:tcPr>
            <w:tcW w:w="0" w:type="dxa"/>
            <w:vAlign w:val="bottom"/>
          </w:tcPr>
          <w:p>
            <w:pPr>
              <w:spacing w:after="0"/>
              <w:rPr>
                <w:sz w:val="1"/>
                <w:szCs w:val="1"/>
                <w:color w:val="auto"/>
              </w:rPr>
            </w:pPr>
          </w:p>
        </w:tc>
      </w:tr>
      <w:tr>
        <w:trPr>
          <w:trHeight w:val="169"/>
        </w:trPr>
        <w:tc>
          <w:tcPr>
            <w:tcW w:w="102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New Britain</w:t>
            </w:r>
          </w:p>
        </w:tc>
        <w:tc>
          <w:tcPr>
            <w:tcW w:w="420" w:type="dxa"/>
            <w:vAlign w:val="bottom"/>
            <w:tcBorders>
              <w:bottom w:val="single" w:sz="8" w:color="CCEEFF"/>
            </w:tcBorders>
            <w:shd w:val="clear" w:color="auto" w:fill="CCEEFF"/>
          </w:tcPr>
          <w:p>
            <w:pPr>
              <w:spacing w:after="0"/>
              <w:rPr>
                <w:sz w:val="14"/>
                <w:szCs w:val="14"/>
                <w:color w:val="auto"/>
              </w:rPr>
            </w:pPr>
          </w:p>
        </w:tc>
        <w:tc>
          <w:tcPr>
            <w:tcW w:w="2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DE-MD</w:t>
            </w:r>
          </w:p>
        </w:tc>
        <w:tc>
          <w:tcPr>
            <w:tcW w:w="66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20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20" w:type="dxa"/>
            <w:vAlign w:val="bottom"/>
            <w:gridSpan w:val="5"/>
          </w:tcPr>
          <w:p>
            <w:pPr>
              <w:ind w:left="20"/>
              <w:spacing w:after="0" w:line="122" w:lineRule="exact"/>
              <w:rPr>
                <w:sz w:val="20"/>
                <w:szCs w:val="20"/>
                <w:color w:val="auto"/>
              </w:rPr>
            </w:pPr>
            <w:r>
              <w:rPr>
                <w:rFonts w:ascii="Times New Roman" w:cs="Times New Roman" w:eastAsia="Times New Roman" w:hAnsi="Times New Roman"/>
                <w:sz w:val="13"/>
                <w:szCs w:val="13"/>
                <w:color w:val="auto"/>
              </w:rPr>
              <w:t>Willow Grove</w:t>
            </w:r>
          </w:p>
        </w:tc>
        <w:tc>
          <w:tcPr>
            <w:tcW w:w="420" w:type="dxa"/>
            <w:vAlign w:val="bottom"/>
          </w:tcPr>
          <w:p>
            <w:pPr>
              <w:spacing w:after="0"/>
              <w:rPr>
                <w:sz w:val="10"/>
                <w:szCs w:val="10"/>
                <w:color w:val="auto"/>
              </w:rPr>
            </w:pPr>
          </w:p>
        </w:tc>
        <w:tc>
          <w:tcPr>
            <w:tcW w:w="224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w w:val="96"/>
              </w:rPr>
              <w:t>Philadelphia-Camden-Wilmington, PA-NJ-</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35,517</w:t>
            </w:r>
          </w:p>
        </w:tc>
        <w:tc>
          <w:tcPr>
            <w:tcW w:w="104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105,000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Marshalls / Five Below</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DE-MD</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20" w:type="dxa"/>
            <w:vAlign w:val="bottom"/>
            <w:gridSpan w:val="5"/>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Wynnewood</w:t>
            </w:r>
          </w:p>
        </w:tc>
        <w:tc>
          <w:tcPr>
            <w:tcW w:w="420" w:type="dxa"/>
            <w:vAlign w:val="bottom"/>
            <w:shd w:val="clear" w:color="auto" w:fill="CCEEFF"/>
          </w:tcPr>
          <w:p>
            <w:pPr>
              <w:spacing w:after="0"/>
              <w:rPr>
                <w:sz w:val="10"/>
                <w:szCs w:val="10"/>
                <w:color w:val="auto"/>
              </w:rPr>
            </w:pPr>
          </w:p>
        </w:tc>
        <w:tc>
          <w:tcPr>
            <w:tcW w:w="224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6"/>
              </w:rPr>
              <w:t>Philadelphia-Camden-Wilmington, PA-NJ-</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43,694</w:t>
            </w:r>
          </w:p>
        </w:tc>
        <w:tc>
          <w:tcPr>
            <w:tcW w:w="104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14</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248,000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97 %</w:t>
            </w:r>
          </w:p>
        </w:tc>
        <w:tc>
          <w:tcPr>
            <w:tcW w:w="6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1"/>
              </w:rPr>
              <w:t>9</w:t>
            </w:r>
          </w:p>
        </w:tc>
        <w:tc>
          <w:tcPr>
            <w:tcW w:w="5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98,000</w:t>
            </w:r>
          </w:p>
        </w:tc>
        <w:tc>
          <w:tcPr>
            <w:tcW w:w="8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Giant Food</w:t>
            </w:r>
          </w:p>
        </w:tc>
        <w:tc>
          <w:tcPr>
            <w:tcW w:w="200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Bed, Bath &amp; Beyond / Old Navy /</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2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DE-MD</w:t>
            </w:r>
          </w:p>
        </w:tc>
        <w:tc>
          <w:tcPr>
            <w:tcW w:w="6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DSW</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40" w:type="dxa"/>
            <w:vAlign w:val="bottom"/>
            <w:gridSpan w:val="2"/>
          </w:tcPr>
          <w:p>
            <w:pPr>
              <w:ind w:left="40"/>
              <w:spacing w:after="0" w:line="146" w:lineRule="exact"/>
              <w:rPr>
                <w:sz w:val="20"/>
                <w:szCs w:val="20"/>
                <w:color w:val="auto"/>
              </w:rPr>
            </w:pPr>
            <w:r>
              <w:rPr>
                <w:rFonts w:ascii="Times New Roman" w:cs="Times New Roman" w:eastAsia="Times New Roman" w:hAnsi="Times New Roman"/>
                <w:sz w:val="13"/>
                <w:szCs w:val="13"/>
                <w:b w:val="1"/>
                <w:bCs w:val="1"/>
                <w:color w:val="auto"/>
              </w:rPr>
              <w:t>Total Philadelphia Metropolitan Area</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374,539</w:t>
            </w:r>
          </w:p>
        </w:tc>
        <w:tc>
          <w:tcPr>
            <w:tcW w:w="1040" w:type="dxa"/>
            <w:vAlign w:val="bottom"/>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206</w:t>
            </w:r>
          </w:p>
        </w:tc>
        <w:tc>
          <w:tcPr>
            <w:tcW w:w="80" w:type="dxa"/>
            <w:vAlign w:val="bottom"/>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2,130,000</w:t>
            </w:r>
          </w:p>
        </w:tc>
        <w:tc>
          <w:tcPr>
            <w:tcW w:w="80" w:type="dxa"/>
            <w:vAlign w:val="bottom"/>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94 %</w:t>
            </w: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8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0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0" w:type="dxa"/>
            <w:vAlign w:val="bottom"/>
            <w:gridSpan w:val="4"/>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South Florida</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020" w:type="dxa"/>
            <w:vAlign w:val="bottom"/>
            <w:gridSpan w:val="5"/>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CocoWalk</w:t>
            </w:r>
          </w:p>
        </w:tc>
        <w:tc>
          <w:tcPr>
            <w:tcW w:w="42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(4)</w:t>
            </w:r>
          </w:p>
        </w:tc>
        <w:tc>
          <w:tcPr>
            <w:tcW w:w="224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7"/>
              </w:rPr>
              <w:t>Miami-Fort Lauderdale-West Palm Beach,</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198,799</w:t>
            </w:r>
          </w:p>
        </w:tc>
        <w:tc>
          <w:tcPr>
            <w:tcW w:w="104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272,000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Cinepolis Theaters / Youfit Health</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(10)</w:t>
            </w:r>
          </w:p>
        </w:tc>
        <w:tc>
          <w:tcPr>
            <w:tcW w:w="2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FL</w:t>
            </w:r>
          </w:p>
        </w:tc>
        <w:tc>
          <w:tcPr>
            <w:tcW w:w="66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Club / Multiple Restaurants</w:t>
            </w:r>
          </w:p>
        </w:tc>
        <w:tc>
          <w:tcPr>
            <w:tcW w:w="0" w:type="dxa"/>
            <w:vAlign w:val="bottom"/>
          </w:tcPr>
          <w:p>
            <w:pPr>
              <w:spacing w:after="0"/>
              <w:rPr>
                <w:sz w:val="1"/>
                <w:szCs w:val="1"/>
                <w:color w:val="auto"/>
              </w:rPr>
            </w:pPr>
          </w:p>
        </w:tc>
      </w:tr>
      <w:tr>
        <w:trPr>
          <w:trHeight w:val="122"/>
        </w:trPr>
        <w:tc>
          <w:tcPr>
            <w:tcW w:w="1020" w:type="dxa"/>
            <w:vAlign w:val="bottom"/>
            <w:gridSpan w:val="5"/>
          </w:tcPr>
          <w:p>
            <w:pPr>
              <w:ind w:left="20"/>
              <w:spacing w:after="0" w:line="122" w:lineRule="exact"/>
              <w:rPr>
                <w:sz w:val="20"/>
                <w:szCs w:val="20"/>
                <w:color w:val="auto"/>
              </w:rPr>
            </w:pPr>
            <w:r>
              <w:rPr>
                <w:rFonts w:ascii="Times New Roman" w:cs="Times New Roman" w:eastAsia="Times New Roman" w:hAnsi="Times New Roman"/>
                <w:sz w:val="13"/>
                <w:szCs w:val="13"/>
                <w:color w:val="auto"/>
              </w:rPr>
              <w:t>Del Mar Village</w:t>
            </w:r>
          </w:p>
        </w:tc>
        <w:tc>
          <w:tcPr>
            <w:tcW w:w="420" w:type="dxa"/>
            <w:vAlign w:val="bottom"/>
          </w:tcPr>
          <w:p>
            <w:pPr>
              <w:spacing w:after="0"/>
              <w:rPr>
                <w:sz w:val="10"/>
                <w:szCs w:val="10"/>
                <w:color w:val="auto"/>
              </w:rPr>
            </w:pPr>
          </w:p>
        </w:tc>
        <w:tc>
          <w:tcPr>
            <w:tcW w:w="224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w w:val="97"/>
              </w:rPr>
              <w:t>Miami-Fort Lauderdale-West Palm Beach,</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74,692</w:t>
            </w:r>
          </w:p>
        </w:tc>
        <w:tc>
          <w:tcPr>
            <w:tcW w:w="104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17</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187,000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97 %</w:t>
            </w:r>
          </w:p>
        </w:tc>
        <w:tc>
          <w:tcPr>
            <w:tcW w:w="66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44,000</w:t>
            </w:r>
          </w:p>
        </w:tc>
        <w:tc>
          <w:tcPr>
            <w:tcW w:w="8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Winn Dixie</w:t>
            </w:r>
          </w:p>
        </w:tc>
        <w:tc>
          <w:tcPr>
            <w:tcW w:w="20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CVS / L.A. Fitness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FL</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20" w:type="dxa"/>
            <w:vAlign w:val="bottom"/>
            <w:gridSpan w:val="5"/>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The Shops at</w:t>
            </w:r>
          </w:p>
        </w:tc>
        <w:tc>
          <w:tcPr>
            <w:tcW w:w="420" w:type="dxa"/>
            <w:vAlign w:val="bottom"/>
            <w:shd w:val="clear" w:color="auto" w:fill="CCEEFF"/>
          </w:tcPr>
          <w:p>
            <w:pPr>
              <w:spacing w:after="0"/>
              <w:rPr>
                <w:sz w:val="10"/>
                <w:szCs w:val="10"/>
                <w:color w:val="auto"/>
              </w:rPr>
            </w:pPr>
          </w:p>
        </w:tc>
        <w:tc>
          <w:tcPr>
            <w:tcW w:w="224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7"/>
              </w:rPr>
              <w:t>Miami-Fort Lauderdale-West Palm Beach,</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180,927</w:t>
            </w:r>
          </w:p>
        </w:tc>
        <w:tc>
          <w:tcPr>
            <w:tcW w:w="104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41</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391,000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92 %</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DSW / Old Navy / Nike Factory /</w:t>
            </w:r>
          </w:p>
        </w:tc>
        <w:tc>
          <w:tcPr>
            <w:tcW w:w="0" w:type="dxa"/>
            <w:vAlign w:val="bottom"/>
          </w:tcPr>
          <w:p>
            <w:pPr>
              <w:spacing w:after="0"/>
              <w:rPr>
                <w:sz w:val="1"/>
                <w:szCs w:val="1"/>
                <w:color w:val="auto"/>
              </w:rPr>
            </w:pPr>
          </w:p>
        </w:tc>
      </w:tr>
      <w:tr>
        <w:trPr>
          <w:trHeight w:val="169"/>
        </w:trPr>
        <w:tc>
          <w:tcPr>
            <w:tcW w:w="102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8"/>
              </w:rPr>
              <w:t>Pembroke Gardens</w:t>
            </w:r>
          </w:p>
        </w:tc>
        <w:tc>
          <w:tcPr>
            <w:tcW w:w="420" w:type="dxa"/>
            <w:vAlign w:val="bottom"/>
            <w:tcBorders>
              <w:bottom w:val="single" w:sz="8" w:color="CCEEFF"/>
            </w:tcBorders>
            <w:shd w:val="clear" w:color="auto" w:fill="CCEEFF"/>
          </w:tcPr>
          <w:p>
            <w:pPr>
              <w:spacing w:after="0"/>
              <w:rPr>
                <w:sz w:val="14"/>
                <w:szCs w:val="14"/>
                <w:color w:val="auto"/>
              </w:rPr>
            </w:pPr>
          </w:p>
        </w:tc>
        <w:tc>
          <w:tcPr>
            <w:tcW w:w="2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FL</w:t>
            </w:r>
          </w:p>
        </w:tc>
        <w:tc>
          <w:tcPr>
            <w:tcW w:w="66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Barnes &amp; Noble</w:t>
            </w:r>
          </w:p>
        </w:tc>
        <w:tc>
          <w:tcPr>
            <w:tcW w:w="0" w:type="dxa"/>
            <w:vAlign w:val="bottom"/>
          </w:tcPr>
          <w:p>
            <w:pPr>
              <w:spacing w:after="0"/>
              <w:rPr>
                <w:sz w:val="1"/>
                <w:szCs w:val="1"/>
                <w:color w:val="auto"/>
              </w:rPr>
            </w:pPr>
          </w:p>
        </w:tc>
      </w:tr>
      <w:tr>
        <w:trPr>
          <w:trHeight w:val="122"/>
        </w:trPr>
        <w:tc>
          <w:tcPr>
            <w:tcW w:w="1020" w:type="dxa"/>
            <w:vAlign w:val="bottom"/>
            <w:gridSpan w:val="5"/>
          </w:tcPr>
          <w:p>
            <w:pPr>
              <w:ind w:left="20"/>
              <w:spacing w:after="0" w:line="122" w:lineRule="exact"/>
              <w:rPr>
                <w:sz w:val="20"/>
                <w:szCs w:val="20"/>
                <w:color w:val="auto"/>
              </w:rPr>
            </w:pPr>
            <w:r>
              <w:rPr>
                <w:rFonts w:ascii="Times New Roman" w:cs="Times New Roman" w:eastAsia="Times New Roman" w:hAnsi="Times New Roman"/>
                <w:sz w:val="13"/>
                <w:szCs w:val="13"/>
                <w:color w:val="auto"/>
              </w:rPr>
              <w:t>Tower Shops</w:t>
            </w:r>
          </w:p>
        </w:tc>
        <w:tc>
          <w:tcPr>
            <w:tcW w:w="420" w:type="dxa"/>
            <w:vAlign w:val="bottom"/>
          </w:tcPr>
          <w:p>
            <w:pPr>
              <w:spacing w:after="0"/>
              <w:rPr>
                <w:sz w:val="10"/>
                <w:szCs w:val="10"/>
                <w:color w:val="auto"/>
              </w:rPr>
            </w:pPr>
          </w:p>
        </w:tc>
        <w:tc>
          <w:tcPr>
            <w:tcW w:w="224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w w:val="97"/>
              </w:rPr>
              <w:t>Miami-Fort Lauderdale-West Palm Beach,</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102,270</w:t>
            </w:r>
          </w:p>
        </w:tc>
        <w:tc>
          <w:tcPr>
            <w:tcW w:w="104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67</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430,000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66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12,000</w:t>
            </w:r>
          </w:p>
        </w:tc>
        <w:tc>
          <w:tcPr>
            <w:tcW w:w="8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Trader Joe's</w:t>
            </w:r>
          </w:p>
        </w:tc>
        <w:tc>
          <w:tcPr>
            <w:tcW w:w="20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w w:val="99"/>
              </w:rPr>
              <w:t>TJ Maxx / Ross Dress For Less / Best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FL</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Buy / Ulta</w:t>
            </w: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40" w:type="dxa"/>
            <w:vAlign w:val="bottom"/>
            <w:gridSpan w:val="2"/>
            <w:shd w:val="clear" w:color="auto" w:fill="CCEEFF"/>
          </w:tcPr>
          <w:p>
            <w:pPr>
              <w:ind w:left="40"/>
              <w:spacing w:after="0" w:line="146" w:lineRule="exact"/>
              <w:rPr>
                <w:sz w:val="20"/>
                <w:szCs w:val="20"/>
                <w:color w:val="auto"/>
              </w:rPr>
            </w:pPr>
            <w:r>
              <w:rPr>
                <w:rFonts w:ascii="Times New Roman" w:cs="Times New Roman" w:eastAsia="Times New Roman" w:hAnsi="Times New Roman"/>
                <w:sz w:val="13"/>
                <w:szCs w:val="13"/>
                <w:b w:val="1"/>
                <w:bCs w:val="1"/>
                <w:color w:val="auto"/>
              </w:rPr>
              <w:t>Total South Florida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556,688</w:t>
            </w:r>
          </w:p>
        </w:tc>
        <w:tc>
          <w:tcPr>
            <w:tcW w:w="10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1,280,000</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97 %</w:t>
            </w:r>
          </w:p>
        </w:tc>
        <w:tc>
          <w:tcPr>
            <w:tcW w:w="6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w w:val="93"/>
              </w:rPr>
              <w:t>Baltimore</w:t>
            </w:r>
          </w:p>
        </w:tc>
        <w:tc>
          <w:tcPr>
            <w:tcW w:w="400" w:type="dxa"/>
            <w:vAlign w:val="bottom"/>
            <w:tcBorders>
              <w:bottom w:val="single" w:sz="8" w:color="CCEEFF"/>
            </w:tcBorders>
            <w:gridSpan w:val="3"/>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8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20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020" w:type="dxa"/>
            <w:vAlign w:val="bottom"/>
            <w:gridSpan w:val="5"/>
          </w:tcPr>
          <w:p>
            <w:pPr>
              <w:ind w:left="20"/>
              <w:spacing w:after="0" w:line="122" w:lineRule="exact"/>
              <w:rPr>
                <w:sz w:val="20"/>
                <w:szCs w:val="20"/>
                <w:color w:val="auto"/>
              </w:rPr>
            </w:pPr>
            <w:r>
              <w:rPr>
                <w:rFonts w:ascii="Times New Roman" w:cs="Times New Roman" w:eastAsia="Times New Roman" w:hAnsi="Times New Roman"/>
                <w:sz w:val="13"/>
                <w:szCs w:val="13"/>
                <w:color w:val="auto"/>
              </w:rPr>
              <w:t>Governor Plaza</w:t>
            </w:r>
          </w:p>
        </w:tc>
        <w:tc>
          <w:tcPr>
            <w:tcW w:w="420" w:type="dxa"/>
            <w:vAlign w:val="bottom"/>
          </w:tcPr>
          <w:p>
            <w:pPr>
              <w:spacing w:after="0"/>
              <w:rPr>
                <w:sz w:val="10"/>
                <w:szCs w:val="10"/>
                <w:color w:val="auto"/>
              </w:rPr>
            </w:pPr>
          </w:p>
        </w:tc>
        <w:tc>
          <w:tcPr>
            <w:tcW w:w="224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rPr>
              <w:t>Baltimore-Columbia-Towson, MD</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32,068</w:t>
            </w:r>
          </w:p>
        </w:tc>
        <w:tc>
          <w:tcPr>
            <w:tcW w:w="104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243,000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66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16,500</w:t>
            </w:r>
          </w:p>
        </w:tc>
        <w:tc>
          <w:tcPr>
            <w:tcW w:w="8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Aldi</w:t>
            </w:r>
          </w:p>
        </w:tc>
        <w:tc>
          <w:tcPr>
            <w:tcW w:w="20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Dick's Sporting Goods / Ross Dress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for Less / Petco</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20" w:type="dxa"/>
            <w:vAlign w:val="bottom"/>
            <w:gridSpan w:val="5"/>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Perring Plaza</w:t>
            </w:r>
          </w:p>
        </w:tc>
        <w:tc>
          <w:tcPr>
            <w:tcW w:w="420" w:type="dxa"/>
            <w:vAlign w:val="bottom"/>
            <w:shd w:val="clear" w:color="auto" w:fill="CCEEFF"/>
          </w:tcPr>
          <w:p>
            <w:pPr>
              <w:spacing w:after="0"/>
              <w:rPr>
                <w:sz w:val="10"/>
                <w:szCs w:val="10"/>
                <w:color w:val="auto"/>
              </w:rPr>
            </w:pPr>
          </w:p>
        </w:tc>
        <w:tc>
          <w:tcPr>
            <w:tcW w:w="224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Baltimore-Columbia-Towson, MD</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35,324</w:t>
            </w:r>
          </w:p>
        </w:tc>
        <w:tc>
          <w:tcPr>
            <w:tcW w:w="104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29</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398,000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71 %</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58,000</w:t>
            </w:r>
          </w:p>
        </w:tc>
        <w:tc>
          <w:tcPr>
            <w:tcW w:w="2840" w:type="dxa"/>
            <w:vAlign w:val="bottom"/>
            <w:gridSpan w:val="2"/>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Shoppers Food Home Depot / Micro Center</w:t>
            </w: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Warehouse</w:t>
            </w:r>
          </w:p>
        </w:tc>
        <w:tc>
          <w:tcPr>
            <w:tcW w:w="2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20"/>
          </w:cols>
          <w:pgMar w:left="340" w:top="1028" w:right="339" w:bottom="1440" w:gutter="0" w:footer="0" w:header="0"/>
        </w:sectPr>
      </w:pPr>
    </w:p>
    <w:bookmarkStart w:id="26" w:name="page27"/>
    <w:bookmarkEnd w:id="26"/>
    <w:p>
      <w:pPr>
        <w:ind w:left="2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Real Estate Status Report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2022</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Real Estate</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Mortgage/Finance</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2"/>
                <w:szCs w:val="12"/>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Residential</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Grocery</w:t>
            </w:r>
          </w:p>
        </w:tc>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Grocery</w:t>
            </w:r>
          </w:p>
        </w:tc>
        <w:tc>
          <w:tcPr>
            <w:tcW w:w="1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02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Lease Liabilities</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right"/>
              <w:ind w:right="57"/>
              <w:spacing w:after="0" w:line="122" w:lineRule="exact"/>
              <w:rPr>
                <w:sz w:val="20"/>
                <w:szCs w:val="20"/>
                <w:color w:val="auto"/>
              </w:rPr>
            </w:pPr>
            <w:r>
              <w:rPr>
                <w:rFonts w:ascii="Times New Roman" w:cs="Times New Roman" w:eastAsia="Times New Roman" w:hAnsi="Times New Roman"/>
                <w:sz w:val="13"/>
                <w:szCs w:val="13"/>
                <w:b w:val="1"/>
                <w:bCs w:val="1"/>
                <w:color w:val="auto"/>
              </w:rPr>
              <w:t>Leased</w:t>
            </w:r>
          </w:p>
        </w:tc>
        <w:tc>
          <w:tcPr>
            <w:tcW w:w="640" w:type="dxa"/>
            <w:vAlign w:val="bottom"/>
            <w:vMerge w:val="continue"/>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Anchor</w:t>
            </w:r>
          </w:p>
        </w:tc>
        <w:tc>
          <w:tcPr>
            <w:tcW w:w="820" w:type="dxa"/>
            <w:vAlign w:val="bottom"/>
            <w:vMerge w:val="continue"/>
          </w:tcPr>
          <w:p>
            <w:pPr>
              <w:spacing w:after="0"/>
              <w:rPr>
                <w:sz w:val="10"/>
                <w:szCs w:val="10"/>
                <w:color w:val="auto"/>
              </w:rPr>
            </w:pP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Property Name</w:t>
            </w:r>
          </w:p>
        </w:tc>
        <w:tc>
          <w:tcPr>
            <w:tcW w:w="30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3"/>
                <w:szCs w:val="13"/>
                <w:b w:val="1"/>
                <w:bCs w:val="1"/>
                <w:color w:val="auto"/>
              </w:rPr>
              <w:t>MSA Description</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at Cost (1)</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(2)</w:t>
            </w:r>
          </w:p>
        </w:tc>
        <w:tc>
          <w:tcPr>
            <w:tcW w:w="5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Acreage</w:t>
            </w:r>
          </w:p>
        </w:tc>
        <w:tc>
          <w:tcPr>
            <w:tcW w:w="7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GLA (3)</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w:t>
            </w: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Units</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GLA</w:t>
            </w:r>
          </w:p>
        </w:tc>
        <w:tc>
          <w:tcPr>
            <w:tcW w:w="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Anchor</w:t>
            </w:r>
          </w:p>
        </w:tc>
        <w:tc>
          <w:tcPr>
            <w:tcW w:w="1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Other Retail Tenants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(in thousands)</w:t>
            </w:r>
          </w:p>
        </w:tc>
        <w:tc>
          <w:tcPr>
            <w:tcW w:w="140" w:type="dxa"/>
            <w:vAlign w:val="bottom"/>
          </w:tcPr>
          <w:p>
            <w:pPr>
              <w:spacing w:after="0"/>
              <w:rPr>
                <w:sz w:val="12"/>
                <w:szCs w:val="12"/>
                <w:color w:val="auto"/>
              </w:rPr>
            </w:pPr>
          </w:p>
        </w:tc>
        <w:tc>
          <w:tcPr>
            <w:tcW w:w="880" w:type="dxa"/>
            <w:vAlign w:val="bottom"/>
          </w:tcPr>
          <w:p>
            <w:pPr>
              <w:jc w:val="center"/>
              <w:ind w:right="79"/>
              <w:spacing w:after="0"/>
              <w:rPr>
                <w:sz w:val="20"/>
                <w:szCs w:val="20"/>
                <w:color w:val="auto"/>
              </w:rPr>
            </w:pPr>
            <w:r>
              <w:rPr>
                <w:rFonts w:ascii="Times New Roman" w:cs="Times New Roman" w:eastAsia="Times New Roman" w:hAnsi="Times New Roman"/>
                <w:sz w:val="11"/>
                <w:szCs w:val="11"/>
                <w:color w:val="auto"/>
                <w:w w:val="98"/>
              </w:rPr>
              <w:t>(in thousands)</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60" w:type="dxa"/>
            <w:vAlign w:val="bottom"/>
            <w:gridSpan w:val="4"/>
          </w:tcPr>
          <w:p>
            <w:pPr>
              <w:ind w:left="20"/>
              <w:spacing w:after="0" w:line="144" w:lineRule="exact"/>
              <w:rPr>
                <w:sz w:val="20"/>
                <w:szCs w:val="20"/>
                <w:color w:val="auto"/>
              </w:rPr>
            </w:pPr>
            <w:r>
              <w:rPr>
                <w:rFonts w:ascii="Times New Roman" w:cs="Times New Roman" w:eastAsia="Times New Roman" w:hAnsi="Times New Roman"/>
                <w:sz w:val="13"/>
                <w:szCs w:val="13"/>
                <w:color w:val="auto"/>
              </w:rPr>
              <w:t>THE AVENUE at</w:t>
            </w:r>
          </w:p>
        </w:tc>
        <w:tc>
          <w:tcPr>
            <w:tcW w:w="3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(5)</w:t>
            </w:r>
          </w:p>
        </w:tc>
        <w:tc>
          <w:tcPr>
            <w:tcW w:w="228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Baltimore-Columbia-Towson, MD</w:t>
            </w:r>
          </w:p>
        </w:tc>
        <w:tc>
          <w:tcPr>
            <w:tcW w:w="7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125,085</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35</w:t>
            </w:r>
          </w:p>
        </w:tc>
        <w:tc>
          <w:tcPr>
            <w:tcW w:w="80" w:type="dxa"/>
            <w:vAlign w:val="bottom"/>
          </w:tcPr>
          <w:p>
            <w:pPr>
              <w:spacing w:after="0"/>
              <w:rPr>
                <w:sz w:val="12"/>
                <w:szCs w:val="12"/>
                <w:color w:val="auto"/>
              </w:rPr>
            </w:pPr>
          </w:p>
        </w:tc>
        <w:tc>
          <w:tcPr>
            <w:tcW w:w="6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315,000</w:t>
            </w:r>
          </w:p>
        </w:tc>
        <w:tc>
          <w:tcPr>
            <w:tcW w:w="80" w:type="dxa"/>
            <w:vAlign w:val="bottom"/>
          </w:tcPr>
          <w:p>
            <w:pPr>
              <w:spacing w:after="0"/>
              <w:rPr>
                <w:sz w:val="12"/>
                <w:szCs w:val="12"/>
                <w:color w:val="auto"/>
              </w:rPr>
            </w:pPr>
          </w:p>
        </w:tc>
        <w:tc>
          <w:tcPr>
            <w:tcW w:w="4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88</w:t>
            </w:r>
          </w:p>
        </w:tc>
        <w:tc>
          <w:tcPr>
            <w:tcW w:w="1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98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AMC / Ulta / Old Navy / Nike</w:t>
            </w:r>
          </w:p>
        </w:tc>
        <w:tc>
          <w:tcPr>
            <w:tcW w:w="0" w:type="dxa"/>
            <w:vAlign w:val="bottom"/>
          </w:tcPr>
          <w:p>
            <w:pPr>
              <w:spacing w:after="0"/>
              <w:rPr>
                <w:sz w:val="1"/>
                <w:szCs w:val="1"/>
                <w:color w:val="auto"/>
              </w:rPr>
            </w:pPr>
          </w:p>
        </w:tc>
      </w:tr>
      <w:tr>
        <w:trPr>
          <w:trHeight w:val="164"/>
        </w:trPr>
        <w:tc>
          <w:tcPr>
            <w:tcW w:w="106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White Marsh</w:t>
            </w:r>
          </w:p>
        </w:tc>
        <w:tc>
          <w:tcPr>
            <w:tcW w:w="3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60" w:type="dxa"/>
            <w:vAlign w:val="bottom"/>
            <w:gridSpan w:val="4"/>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The Shoppes at</w:t>
            </w:r>
          </w:p>
        </w:tc>
        <w:tc>
          <w:tcPr>
            <w:tcW w:w="300" w:type="dxa"/>
            <w:vAlign w:val="bottom"/>
            <w:shd w:val="clear" w:color="auto" w:fill="CCEEFF"/>
          </w:tcPr>
          <w:p>
            <w:pPr>
              <w:spacing w:after="0"/>
              <w:rPr>
                <w:sz w:val="10"/>
                <w:szCs w:val="10"/>
                <w:color w:val="auto"/>
              </w:rPr>
            </w:pPr>
          </w:p>
        </w:tc>
        <w:tc>
          <w:tcPr>
            <w:tcW w:w="228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Baltimore-Columbia-Towson, MD</w:t>
            </w:r>
          </w:p>
        </w:tc>
        <w:tc>
          <w:tcPr>
            <w:tcW w:w="7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19,489</w:t>
            </w: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33,000</w:t>
            </w: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w:t>
            </w:r>
          </w:p>
        </w:tc>
        <w:tc>
          <w:tcPr>
            <w:tcW w:w="1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0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Nottingham Square</w:t>
            </w:r>
          </w:p>
        </w:tc>
        <w:tc>
          <w:tcPr>
            <w:tcW w:w="300" w:type="dxa"/>
            <w:vAlign w:val="bottom"/>
            <w:tcBorders>
              <w:bottom w:val="single" w:sz="8" w:color="CCEEFF"/>
            </w:tcBorders>
            <w:shd w:val="clear" w:color="auto" w:fill="CCEEFF"/>
          </w:tcPr>
          <w:p>
            <w:pPr>
              <w:spacing w:after="0"/>
              <w:rPr>
                <w:sz w:val="14"/>
                <w:szCs w:val="14"/>
                <w:color w:val="auto"/>
              </w:rPr>
            </w:pPr>
          </w:p>
        </w:tc>
        <w:tc>
          <w:tcPr>
            <w:tcW w:w="22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9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6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White Marsh Plaza</w:t>
            </w:r>
          </w:p>
        </w:tc>
        <w:tc>
          <w:tcPr>
            <w:tcW w:w="30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Baltimore-Columbia-Towson, MD</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26,875</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80,000</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54,000</w:t>
            </w:r>
          </w:p>
        </w:tc>
        <w:tc>
          <w:tcPr>
            <w:tcW w:w="8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Giant Food</w:t>
            </w: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0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White Marsh Other</w:t>
            </w:r>
          </w:p>
        </w:tc>
        <w:tc>
          <w:tcPr>
            <w:tcW w:w="300" w:type="dxa"/>
            <w:vAlign w:val="bottom"/>
            <w:shd w:val="clear" w:color="auto" w:fill="CCEEFF"/>
          </w:tcPr>
          <w:p>
            <w:pPr>
              <w:spacing w:after="0"/>
              <w:rPr>
                <w:sz w:val="15"/>
                <w:szCs w:val="15"/>
                <w:color w:val="auto"/>
              </w:rPr>
            </w:pPr>
          </w:p>
        </w:tc>
        <w:tc>
          <w:tcPr>
            <w:tcW w:w="2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Baltimore-Columbia-Towson, MD</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27,915</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56,000</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tcPr>
          <w:p>
            <w:pPr>
              <w:ind w:left="80"/>
              <w:spacing w:after="0" w:line="146" w:lineRule="exact"/>
              <w:rPr>
                <w:sz w:val="20"/>
                <w:szCs w:val="20"/>
                <w:color w:val="auto"/>
              </w:rPr>
            </w:pPr>
            <w:r>
              <w:rPr>
                <w:rFonts w:ascii="Times New Roman" w:cs="Times New Roman" w:eastAsia="Times New Roman" w:hAnsi="Times New Roman"/>
                <w:sz w:val="13"/>
                <w:szCs w:val="13"/>
                <w:b w:val="1"/>
                <w:bCs w:val="1"/>
                <w:color w:val="auto"/>
              </w:rPr>
              <w:t>Total Baltimore</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266,756</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1,125,000</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2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9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40" w:type="dxa"/>
            <w:vAlign w:val="bottom"/>
            <w:gridSpan w:val="3"/>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Chicago</w:t>
            </w:r>
          </w:p>
        </w:tc>
        <w:tc>
          <w:tcPr>
            <w:tcW w:w="3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1060" w:type="dxa"/>
            <w:vAlign w:val="bottom"/>
            <w:gridSpan w:val="4"/>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Crossroads</w:t>
            </w:r>
          </w:p>
        </w:tc>
        <w:tc>
          <w:tcPr>
            <w:tcW w:w="300" w:type="dxa"/>
            <w:vAlign w:val="bottom"/>
            <w:shd w:val="clear" w:color="auto" w:fill="CCEEFF"/>
          </w:tcPr>
          <w:p>
            <w:pPr>
              <w:spacing w:after="0"/>
              <w:rPr>
                <w:sz w:val="10"/>
                <w:szCs w:val="10"/>
                <w:color w:val="auto"/>
              </w:rPr>
            </w:pPr>
          </w:p>
        </w:tc>
        <w:tc>
          <w:tcPr>
            <w:tcW w:w="228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Chicago-Naperville-Elgin, IL-IN-WI</w:t>
            </w:r>
          </w:p>
        </w:tc>
        <w:tc>
          <w:tcPr>
            <w:tcW w:w="7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36,200</w:t>
            </w: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14</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168,000</w:t>
            </w: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91</w:t>
            </w:r>
          </w:p>
        </w:tc>
        <w:tc>
          <w:tcPr>
            <w:tcW w:w="1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9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L.A. Fitness / Ulta / Binny's /</w:t>
            </w: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9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9"/>
              </w:rPr>
              <w:t>Ferguson's Bath, Kitchen &amp; Lighting</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22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Gallery</w:t>
            </w:r>
          </w:p>
        </w:tc>
        <w:tc>
          <w:tcPr>
            <w:tcW w:w="0" w:type="dxa"/>
            <w:vAlign w:val="bottom"/>
          </w:tcPr>
          <w:p>
            <w:pPr>
              <w:spacing w:after="0"/>
              <w:rPr>
                <w:sz w:val="1"/>
                <w:szCs w:val="1"/>
                <w:color w:val="auto"/>
              </w:rPr>
            </w:pPr>
          </w:p>
        </w:tc>
      </w:tr>
      <w:tr>
        <w:trPr>
          <w:trHeight w:val="122"/>
        </w:trPr>
        <w:tc>
          <w:tcPr>
            <w:tcW w:w="106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3"/>
                <w:szCs w:val="13"/>
                <w:color w:val="auto"/>
              </w:rPr>
              <w:t>Finley Square</w:t>
            </w:r>
          </w:p>
        </w:tc>
        <w:tc>
          <w:tcPr>
            <w:tcW w:w="300" w:type="dxa"/>
            <w:vAlign w:val="bottom"/>
          </w:tcPr>
          <w:p>
            <w:pPr>
              <w:spacing w:after="0"/>
              <w:rPr>
                <w:sz w:val="10"/>
                <w:szCs w:val="10"/>
                <w:color w:val="auto"/>
              </w:rPr>
            </w:pPr>
          </w:p>
        </w:tc>
        <w:tc>
          <w:tcPr>
            <w:tcW w:w="228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Chicago-Naperville-Elgin, IL-IN-WI</w:t>
            </w: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42,219</w:t>
            </w: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280,000</w:t>
            </w:r>
          </w:p>
        </w:tc>
        <w:tc>
          <w:tcPr>
            <w:tcW w:w="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92</w:t>
            </w:r>
          </w:p>
        </w:tc>
        <w:tc>
          <w:tcPr>
            <w:tcW w:w="1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98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w w:val="97"/>
              </w:rPr>
              <w:t>Bed, Bath &amp; Beyond / Buy Buy Baby</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Michaels / Portillo's</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060" w:type="dxa"/>
            <w:vAlign w:val="bottom"/>
            <w:gridSpan w:val="4"/>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Garden Market</w:t>
            </w:r>
          </w:p>
        </w:tc>
        <w:tc>
          <w:tcPr>
            <w:tcW w:w="300" w:type="dxa"/>
            <w:vAlign w:val="bottom"/>
            <w:shd w:val="clear" w:color="auto" w:fill="CCEEFF"/>
          </w:tcPr>
          <w:p>
            <w:pPr>
              <w:spacing w:after="0"/>
              <w:rPr>
                <w:sz w:val="10"/>
                <w:szCs w:val="10"/>
                <w:color w:val="auto"/>
              </w:rPr>
            </w:pPr>
          </w:p>
        </w:tc>
        <w:tc>
          <w:tcPr>
            <w:tcW w:w="228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Chicago-Naperville-Elgin, IL-IN-WI</w:t>
            </w:r>
          </w:p>
        </w:tc>
        <w:tc>
          <w:tcPr>
            <w:tcW w:w="7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15,200</w:t>
            </w: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11</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139,000</w:t>
            </w: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97</w:t>
            </w:r>
          </w:p>
        </w:tc>
        <w:tc>
          <w:tcPr>
            <w:tcW w:w="1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63,000</w:t>
            </w:r>
          </w:p>
        </w:tc>
        <w:tc>
          <w:tcPr>
            <w:tcW w:w="82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Mariano's</w:t>
            </w:r>
          </w:p>
        </w:tc>
        <w:tc>
          <w:tcPr>
            <w:tcW w:w="19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Walgreens</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22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Fresh Market</w:t>
            </w:r>
          </w:p>
        </w:tc>
        <w:tc>
          <w:tcPr>
            <w:tcW w:w="19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6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3"/>
                <w:szCs w:val="13"/>
                <w:color w:val="auto"/>
              </w:rPr>
              <w:t>Riverpoint Center</w:t>
            </w:r>
          </w:p>
        </w:tc>
        <w:tc>
          <w:tcPr>
            <w:tcW w:w="300" w:type="dxa"/>
            <w:vAlign w:val="bottom"/>
            <w:tcBorders>
              <w:bottom w:val="single" w:sz="8" w:color="CCEEFF"/>
            </w:tcBorders>
          </w:tcPr>
          <w:p>
            <w:pPr>
              <w:spacing w:after="0"/>
              <w:rPr>
                <w:sz w:val="14"/>
                <w:szCs w:val="14"/>
                <w:color w:val="auto"/>
              </w:rPr>
            </w:pPr>
          </w:p>
        </w:tc>
        <w:tc>
          <w:tcPr>
            <w:tcW w:w="22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Chicago-Naperville-Elgin, IL-IN-WI</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122,048</w:t>
            </w:r>
          </w:p>
        </w:tc>
        <w:tc>
          <w:tcPr>
            <w:tcW w:w="14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211,000</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w w:val="94"/>
              </w:rPr>
              <w:t>86,000</w:t>
            </w:r>
          </w:p>
        </w:tc>
        <w:tc>
          <w:tcPr>
            <w:tcW w:w="8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3"/>
                <w:szCs w:val="13"/>
                <w:color w:val="auto"/>
              </w:rPr>
              <w:t>Jewel Osco</w:t>
            </w:r>
          </w:p>
        </w:tc>
        <w:tc>
          <w:tcPr>
            <w:tcW w:w="19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3"/>
                <w:szCs w:val="13"/>
                <w:color w:val="auto"/>
              </w:rPr>
              <w:t>Marshalls / Old Navy</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Total Chicago</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215,667</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798,000</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w w:val="90"/>
              </w:rPr>
              <w:t>Other</w:t>
            </w:r>
          </w:p>
        </w:tc>
        <w:tc>
          <w:tcPr>
            <w:tcW w:w="660" w:type="dxa"/>
            <w:vAlign w:val="bottom"/>
            <w:tcBorders>
              <w:bottom w:val="single" w:sz="8" w:color="CCEEFF"/>
            </w:tcBorders>
            <w:gridSpan w:val="2"/>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228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19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06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3"/>
                <w:szCs w:val="13"/>
                <w:color w:val="auto"/>
              </w:rPr>
              <w:t>Barracks Road</w:t>
            </w:r>
          </w:p>
        </w:tc>
        <w:tc>
          <w:tcPr>
            <w:tcW w:w="300" w:type="dxa"/>
            <w:vAlign w:val="bottom"/>
          </w:tcPr>
          <w:p>
            <w:pPr>
              <w:spacing w:after="0"/>
              <w:rPr>
                <w:sz w:val="10"/>
                <w:szCs w:val="10"/>
                <w:color w:val="auto"/>
              </w:rPr>
            </w:pPr>
          </w:p>
        </w:tc>
        <w:tc>
          <w:tcPr>
            <w:tcW w:w="228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Charlottesville, VA</w:t>
            </w: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72,435</w:t>
            </w: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40</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498,000</w:t>
            </w:r>
          </w:p>
        </w:tc>
        <w:tc>
          <w:tcPr>
            <w:tcW w:w="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96</w:t>
            </w:r>
          </w:p>
        </w:tc>
        <w:tc>
          <w:tcPr>
            <w:tcW w:w="1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99,000</w:t>
            </w:r>
          </w:p>
        </w:tc>
        <w:tc>
          <w:tcPr>
            <w:tcW w:w="8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w w:val="97"/>
              </w:rPr>
              <w:t>Harris Teeter /</w:t>
            </w:r>
          </w:p>
        </w:tc>
        <w:tc>
          <w:tcPr>
            <w:tcW w:w="198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w w:val="98"/>
              </w:rPr>
              <w:t>Anthropologie / Bed, Bath &amp; Beyond</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Kroger</w:t>
            </w:r>
          </w:p>
        </w:tc>
        <w:tc>
          <w:tcPr>
            <w:tcW w:w="1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Old Navy / Ulta</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0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Bristol Plaza</w:t>
            </w:r>
          </w:p>
        </w:tc>
        <w:tc>
          <w:tcPr>
            <w:tcW w:w="300" w:type="dxa"/>
            <w:vAlign w:val="bottom"/>
            <w:shd w:val="clear" w:color="auto" w:fill="CCEEFF"/>
          </w:tcPr>
          <w:p>
            <w:pPr>
              <w:spacing w:after="0"/>
              <w:rPr>
                <w:sz w:val="15"/>
                <w:szCs w:val="15"/>
                <w:color w:val="auto"/>
              </w:rPr>
            </w:pPr>
          </w:p>
        </w:tc>
        <w:tc>
          <w:tcPr>
            <w:tcW w:w="2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8"/>
              </w:rPr>
              <w:t>Hartford-West Hartford-East Hartford, CT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35,585</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264,000</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74,000</w:t>
            </w:r>
          </w:p>
        </w:tc>
        <w:tc>
          <w:tcPr>
            <w:tcW w:w="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Stop &amp; Shop</w:t>
            </w:r>
          </w:p>
        </w:tc>
        <w:tc>
          <w:tcPr>
            <w:tcW w:w="1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TJ Maxx / Burlington</w:t>
            </w:r>
          </w:p>
        </w:tc>
        <w:tc>
          <w:tcPr>
            <w:tcW w:w="0" w:type="dxa"/>
            <w:vAlign w:val="bottom"/>
          </w:tcPr>
          <w:p>
            <w:pPr>
              <w:spacing w:after="0"/>
              <w:rPr>
                <w:sz w:val="1"/>
                <w:szCs w:val="1"/>
                <w:color w:val="auto"/>
              </w:rPr>
            </w:pPr>
          </w:p>
        </w:tc>
      </w:tr>
      <w:tr>
        <w:trPr>
          <w:trHeight w:val="121"/>
        </w:trPr>
        <w:tc>
          <w:tcPr>
            <w:tcW w:w="106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3"/>
                <w:szCs w:val="13"/>
                <w:color w:val="auto"/>
              </w:rPr>
              <w:t>Camelback</w:t>
            </w:r>
          </w:p>
        </w:tc>
        <w:tc>
          <w:tcPr>
            <w:tcW w:w="3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w:t>
            </w:r>
          </w:p>
        </w:tc>
        <w:tc>
          <w:tcPr>
            <w:tcW w:w="228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Phoenix-Mesa-Chandler, AZ</w:t>
            </w: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179,782</w:t>
            </w: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41</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642,000</w:t>
            </w:r>
          </w:p>
        </w:tc>
        <w:tc>
          <w:tcPr>
            <w:tcW w:w="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90</w:t>
            </w:r>
          </w:p>
        </w:tc>
        <w:tc>
          <w:tcPr>
            <w:tcW w:w="1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82,000</w:t>
            </w:r>
          </w:p>
        </w:tc>
        <w:tc>
          <w:tcPr>
            <w:tcW w:w="8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Fry's Food &amp;</w:t>
            </w:r>
          </w:p>
        </w:tc>
        <w:tc>
          <w:tcPr>
            <w:tcW w:w="198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Floor &amp; Décor / Marshalls /</w:t>
            </w:r>
          </w:p>
        </w:tc>
        <w:tc>
          <w:tcPr>
            <w:tcW w:w="0" w:type="dxa"/>
            <w:vAlign w:val="bottom"/>
          </w:tcPr>
          <w:p>
            <w:pPr>
              <w:spacing w:after="0"/>
              <w:rPr>
                <w:sz w:val="1"/>
                <w:szCs w:val="1"/>
                <w:color w:val="auto"/>
              </w:rPr>
            </w:pPr>
          </w:p>
        </w:tc>
      </w:tr>
      <w:tr>
        <w:trPr>
          <w:trHeight w:val="164"/>
        </w:trPr>
        <w:tc>
          <w:tcPr>
            <w:tcW w:w="106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Colonnade</w:t>
            </w:r>
          </w:p>
        </w:tc>
        <w:tc>
          <w:tcPr>
            <w:tcW w:w="3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Drug</w:t>
            </w:r>
          </w:p>
        </w:tc>
        <w:tc>
          <w:tcPr>
            <w:tcW w:w="1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Nordstrom Last Chance / Best Buy</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60" w:type="dxa"/>
            <w:vAlign w:val="bottom"/>
            <w:gridSpan w:val="4"/>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Gratiot Plaza</w:t>
            </w:r>
          </w:p>
        </w:tc>
        <w:tc>
          <w:tcPr>
            <w:tcW w:w="300" w:type="dxa"/>
            <w:vAlign w:val="bottom"/>
            <w:shd w:val="clear" w:color="auto" w:fill="CCEEFF"/>
          </w:tcPr>
          <w:p>
            <w:pPr>
              <w:spacing w:after="0"/>
              <w:rPr>
                <w:sz w:val="10"/>
                <w:szCs w:val="10"/>
                <w:color w:val="auto"/>
              </w:rPr>
            </w:pPr>
          </w:p>
        </w:tc>
        <w:tc>
          <w:tcPr>
            <w:tcW w:w="228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Detroit-Warren-Dearborn, MI</w:t>
            </w:r>
          </w:p>
        </w:tc>
        <w:tc>
          <w:tcPr>
            <w:tcW w:w="7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20,706</w:t>
            </w: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20</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215,000</w:t>
            </w: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w:t>
            </w:r>
          </w:p>
        </w:tc>
        <w:tc>
          <w:tcPr>
            <w:tcW w:w="1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69,000</w:t>
            </w:r>
          </w:p>
        </w:tc>
        <w:tc>
          <w:tcPr>
            <w:tcW w:w="82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Kroger</w:t>
            </w:r>
          </w:p>
        </w:tc>
        <w:tc>
          <w:tcPr>
            <w:tcW w:w="19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Bed, Bath &amp; Beyond / Best Buy /</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22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DSW</w:t>
            </w:r>
          </w:p>
        </w:tc>
        <w:tc>
          <w:tcPr>
            <w:tcW w:w="0" w:type="dxa"/>
            <w:vAlign w:val="bottom"/>
          </w:tcPr>
          <w:p>
            <w:pPr>
              <w:spacing w:after="0"/>
              <w:rPr>
                <w:sz w:val="1"/>
                <w:szCs w:val="1"/>
                <w:color w:val="auto"/>
              </w:rPr>
            </w:pPr>
          </w:p>
        </w:tc>
      </w:tr>
      <w:tr>
        <w:trPr>
          <w:trHeight w:val="170"/>
        </w:trPr>
        <w:tc>
          <w:tcPr>
            <w:tcW w:w="106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Hilton Village</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2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Phoenix-Mesa-Chandler, AZ</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85,562</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305,000</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CVS / Houston's</w:t>
            </w:r>
          </w:p>
        </w:tc>
        <w:tc>
          <w:tcPr>
            <w:tcW w:w="0" w:type="dxa"/>
            <w:vAlign w:val="bottom"/>
          </w:tcPr>
          <w:p>
            <w:pPr>
              <w:spacing w:after="0"/>
              <w:rPr>
                <w:sz w:val="1"/>
                <w:szCs w:val="1"/>
                <w:color w:val="auto"/>
              </w:rPr>
            </w:pPr>
          </w:p>
        </w:tc>
      </w:tr>
      <w:tr>
        <w:trPr>
          <w:trHeight w:val="181"/>
        </w:trPr>
        <w:tc>
          <w:tcPr>
            <w:tcW w:w="10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Lancaster</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2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Lancaster, PA</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13,622</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5,578</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126,000</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75,000</w:t>
            </w:r>
          </w:p>
        </w:tc>
        <w:tc>
          <w:tcPr>
            <w:tcW w:w="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Giant Food</w:t>
            </w:r>
          </w:p>
        </w:tc>
        <w:tc>
          <w:tcPr>
            <w:tcW w:w="1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AutoZone</w:t>
            </w:r>
          </w:p>
        </w:tc>
        <w:tc>
          <w:tcPr>
            <w:tcW w:w="0" w:type="dxa"/>
            <w:vAlign w:val="bottom"/>
          </w:tcPr>
          <w:p>
            <w:pPr>
              <w:spacing w:after="0"/>
              <w:rPr>
                <w:sz w:val="1"/>
                <w:szCs w:val="1"/>
                <w:color w:val="auto"/>
              </w:rPr>
            </w:pPr>
          </w:p>
        </w:tc>
      </w:tr>
      <w:tr>
        <w:trPr>
          <w:trHeight w:val="170"/>
        </w:trPr>
        <w:tc>
          <w:tcPr>
            <w:tcW w:w="106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29th Place</w:t>
            </w:r>
          </w:p>
        </w:tc>
        <w:tc>
          <w:tcPr>
            <w:tcW w:w="30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Charlottesville, VA</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40,674</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169,000</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32,000</w:t>
            </w:r>
          </w:p>
        </w:tc>
        <w:tc>
          <w:tcPr>
            <w:tcW w:w="8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Lidl</w:t>
            </w:r>
          </w:p>
        </w:tc>
        <w:tc>
          <w:tcPr>
            <w:tcW w:w="1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HomeGoods / DSW / Staples</w:t>
            </w:r>
          </w:p>
        </w:tc>
        <w:tc>
          <w:tcPr>
            <w:tcW w:w="0" w:type="dxa"/>
            <w:vAlign w:val="bottom"/>
          </w:tcPr>
          <w:p>
            <w:pPr>
              <w:spacing w:after="0"/>
              <w:rPr>
                <w:sz w:val="1"/>
                <w:szCs w:val="1"/>
                <w:color w:val="auto"/>
              </w:rPr>
            </w:pPr>
          </w:p>
        </w:tc>
      </w:tr>
      <w:tr>
        <w:trPr>
          <w:trHeight w:val="127"/>
        </w:trPr>
        <w:tc>
          <w:tcPr>
            <w:tcW w:w="1060" w:type="dxa"/>
            <w:vAlign w:val="bottom"/>
            <w:gridSpan w:val="4"/>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Willow Lawn</w:t>
            </w:r>
          </w:p>
        </w:tc>
        <w:tc>
          <w:tcPr>
            <w:tcW w:w="300" w:type="dxa"/>
            <w:vAlign w:val="bottom"/>
            <w:shd w:val="clear" w:color="auto" w:fill="CCEEFF"/>
          </w:tcPr>
          <w:p>
            <w:pPr>
              <w:spacing w:after="0"/>
              <w:rPr>
                <w:sz w:val="11"/>
                <w:szCs w:val="11"/>
                <w:color w:val="auto"/>
              </w:rPr>
            </w:pPr>
          </w:p>
        </w:tc>
        <w:tc>
          <w:tcPr>
            <w:tcW w:w="2280" w:type="dxa"/>
            <w:vAlign w:val="bottom"/>
            <w:shd w:val="clear" w:color="auto" w:fill="CCEEFF"/>
          </w:tcPr>
          <w:p>
            <w:pPr>
              <w:ind w:left="80"/>
              <w:spacing w:after="0" w:line="128" w:lineRule="exact"/>
              <w:rPr>
                <w:sz w:val="20"/>
                <w:szCs w:val="20"/>
                <w:color w:val="auto"/>
              </w:rPr>
            </w:pPr>
            <w:r>
              <w:rPr>
                <w:rFonts w:ascii="Times New Roman" w:cs="Times New Roman" w:eastAsia="Times New Roman" w:hAnsi="Times New Roman"/>
                <w:sz w:val="13"/>
                <w:szCs w:val="13"/>
                <w:color w:val="auto"/>
              </w:rPr>
              <w:t>Richmond, VA</w:t>
            </w:r>
          </w:p>
        </w:tc>
        <w:tc>
          <w:tcPr>
            <w:tcW w:w="7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105,918</w:t>
            </w: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37</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463,000</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96</w:t>
            </w:r>
          </w:p>
        </w:tc>
        <w:tc>
          <w:tcPr>
            <w:tcW w:w="1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line="128" w:lineRule="exact"/>
              <w:rPr>
                <w:sz w:val="20"/>
                <w:szCs w:val="20"/>
                <w:color w:val="auto"/>
              </w:rPr>
            </w:pPr>
            <w:r>
              <w:rPr>
                <w:rFonts w:ascii="Times New Roman" w:cs="Times New Roman" w:eastAsia="Times New Roman" w:hAnsi="Times New Roman"/>
                <w:sz w:val="13"/>
                <w:szCs w:val="13"/>
                <w:color w:val="auto"/>
                <w:w w:val="94"/>
              </w:rPr>
              <w:t>66,000</w:t>
            </w:r>
          </w:p>
        </w:tc>
        <w:tc>
          <w:tcPr>
            <w:tcW w:w="820" w:type="dxa"/>
            <w:vAlign w:val="bottom"/>
            <w:shd w:val="clear" w:color="auto" w:fill="CCEEFF"/>
          </w:tcPr>
          <w:p>
            <w:pPr>
              <w:ind w:left="60"/>
              <w:spacing w:after="0" w:line="128" w:lineRule="exact"/>
              <w:rPr>
                <w:sz w:val="20"/>
                <w:szCs w:val="20"/>
                <w:color w:val="auto"/>
              </w:rPr>
            </w:pPr>
            <w:r>
              <w:rPr>
                <w:rFonts w:ascii="Times New Roman" w:cs="Times New Roman" w:eastAsia="Times New Roman" w:hAnsi="Times New Roman"/>
                <w:sz w:val="13"/>
                <w:szCs w:val="13"/>
                <w:color w:val="auto"/>
              </w:rPr>
              <w:t>Kroger</w:t>
            </w:r>
          </w:p>
        </w:tc>
        <w:tc>
          <w:tcPr>
            <w:tcW w:w="1980" w:type="dxa"/>
            <w:vAlign w:val="bottom"/>
            <w:shd w:val="clear" w:color="auto" w:fill="CCEEFF"/>
          </w:tcPr>
          <w:p>
            <w:pPr>
              <w:ind w:left="40"/>
              <w:spacing w:after="0" w:line="128" w:lineRule="exact"/>
              <w:rPr>
                <w:sz w:val="20"/>
                <w:szCs w:val="20"/>
                <w:color w:val="auto"/>
              </w:rPr>
            </w:pPr>
            <w:r>
              <w:rPr>
                <w:rFonts w:ascii="Times New Roman" w:cs="Times New Roman" w:eastAsia="Times New Roman" w:hAnsi="Times New Roman"/>
                <w:sz w:val="13"/>
                <w:szCs w:val="13"/>
                <w:color w:val="auto"/>
              </w:rPr>
              <w:t>Old Navy / Ross Dress For Less /</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22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Gold's Gym / Dick's Sporting Goods</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tcPr>
          <w:p>
            <w:pPr>
              <w:ind w:left="80"/>
              <w:spacing w:after="0" w:line="146" w:lineRule="exact"/>
              <w:rPr>
                <w:sz w:val="20"/>
                <w:szCs w:val="20"/>
                <w:color w:val="auto"/>
              </w:rPr>
            </w:pPr>
            <w:r>
              <w:rPr>
                <w:rFonts w:ascii="Times New Roman" w:cs="Times New Roman" w:eastAsia="Times New Roman" w:hAnsi="Times New Roman"/>
                <w:sz w:val="13"/>
                <w:szCs w:val="13"/>
                <w:b w:val="1"/>
                <w:bCs w:val="1"/>
                <w:color w:val="auto"/>
              </w:rPr>
              <w:t>Total Other</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554,284</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80" w:type="dxa"/>
            <w:vAlign w:val="bottom"/>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2,682,000</w:t>
            </w:r>
          </w:p>
        </w:tc>
        <w:tc>
          <w:tcPr>
            <w:tcW w:w="80" w:type="dxa"/>
            <w:vAlign w:val="bottom"/>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auto"/>
            </w:tcBorders>
            <w:shd w:val="clear" w:color="auto" w:fill="CCEEFF"/>
          </w:tcPr>
          <w:p>
            <w:pPr>
              <w:spacing w:after="0"/>
              <w:rPr>
                <w:sz w:val="8"/>
                <w:szCs w:val="8"/>
                <w:color w:val="auto"/>
              </w:rPr>
            </w:pPr>
          </w:p>
        </w:tc>
        <w:tc>
          <w:tcPr>
            <w:tcW w:w="380" w:type="dxa"/>
            <w:vAlign w:val="bottom"/>
            <w:tcBorders>
              <w:bottom w:val="single" w:sz="8" w:color="auto"/>
            </w:tcBorders>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540" w:type="dxa"/>
            <w:vAlign w:val="bottom"/>
            <w:tcBorders>
              <w:bottom w:val="single" w:sz="8" w:color="auto"/>
            </w:tcBorders>
            <w:shd w:val="clear" w:color="auto" w:fill="CCEEFF"/>
          </w:tcPr>
          <w:p>
            <w:pPr>
              <w:spacing w:after="0"/>
              <w:rPr>
                <w:sz w:val="8"/>
                <w:szCs w:val="8"/>
                <w:color w:val="auto"/>
              </w:rPr>
            </w:pPr>
          </w:p>
        </w:tc>
        <w:tc>
          <w:tcPr>
            <w:tcW w:w="300" w:type="dxa"/>
            <w:vAlign w:val="bottom"/>
            <w:tcBorders>
              <w:bottom w:val="single" w:sz="8" w:color="auto"/>
            </w:tcBorders>
            <w:shd w:val="clear" w:color="auto" w:fill="CCEEFF"/>
          </w:tcPr>
          <w:p>
            <w:pPr>
              <w:spacing w:after="0"/>
              <w:rPr>
                <w:sz w:val="8"/>
                <w:szCs w:val="8"/>
                <w:color w:val="auto"/>
              </w:rPr>
            </w:pPr>
          </w:p>
        </w:tc>
        <w:tc>
          <w:tcPr>
            <w:tcW w:w="2280" w:type="dxa"/>
            <w:vAlign w:val="bottom"/>
            <w:tcBorders>
              <w:bottom w:val="single" w:sz="8" w:color="auto"/>
            </w:tcBorders>
            <w:shd w:val="clear" w:color="auto" w:fill="CCEEFF"/>
          </w:tcPr>
          <w:p>
            <w:pPr>
              <w:spacing w:after="0"/>
              <w:rPr>
                <w:sz w:val="8"/>
                <w:szCs w:val="8"/>
                <w:color w:val="auto"/>
              </w:rPr>
            </w:pPr>
          </w:p>
        </w:tc>
        <w:tc>
          <w:tcPr>
            <w:tcW w:w="740" w:type="dxa"/>
            <w:vAlign w:val="bottom"/>
            <w:tcBorders>
              <w:bottom w:val="single" w:sz="8" w:color="auto"/>
            </w:tcBorders>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880" w:type="dxa"/>
            <w:vAlign w:val="bottom"/>
            <w:tcBorders>
              <w:bottom w:val="single" w:sz="8" w:color="auto"/>
            </w:tcBorders>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640" w:type="dxa"/>
            <w:vAlign w:val="bottom"/>
            <w:tcBorders>
              <w:bottom w:val="single" w:sz="8" w:color="auto"/>
            </w:tcBorders>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gridSpan w:val="2"/>
            <w:shd w:val="clear" w:color="auto" w:fill="CCEEFF"/>
          </w:tcPr>
          <w:p>
            <w:pPr>
              <w:spacing w:after="0"/>
              <w:rPr>
                <w:sz w:val="8"/>
                <w:szCs w:val="8"/>
                <w:color w:val="auto"/>
              </w:rPr>
            </w:pPr>
          </w:p>
        </w:tc>
        <w:tc>
          <w:tcPr>
            <w:tcW w:w="640" w:type="dxa"/>
            <w:vAlign w:val="bottom"/>
            <w:tcBorders>
              <w:bottom w:val="single" w:sz="8" w:color="auto"/>
            </w:tcBorders>
            <w:shd w:val="clear" w:color="auto" w:fill="CCEEFF"/>
          </w:tcPr>
          <w:p>
            <w:pPr>
              <w:spacing w:after="0"/>
              <w:rPr>
                <w:sz w:val="8"/>
                <w:szCs w:val="8"/>
                <w:color w:val="auto"/>
              </w:rPr>
            </w:pPr>
          </w:p>
        </w:tc>
        <w:tc>
          <w:tcPr>
            <w:tcW w:w="560" w:type="dxa"/>
            <w:vAlign w:val="bottom"/>
            <w:tcBorders>
              <w:bottom w:val="single" w:sz="8" w:color="auto"/>
            </w:tcBorders>
            <w:shd w:val="clear" w:color="auto" w:fill="CCEEFF"/>
          </w:tcPr>
          <w:p>
            <w:pPr>
              <w:spacing w:after="0"/>
              <w:rPr>
                <w:sz w:val="8"/>
                <w:szCs w:val="8"/>
                <w:color w:val="auto"/>
              </w:rPr>
            </w:pPr>
          </w:p>
        </w:tc>
        <w:tc>
          <w:tcPr>
            <w:tcW w:w="820" w:type="dxa"/>
            <w:vAlign w:val="bottom"/>
            <w:tcBorders>
              <w:bottom w:val="single" w:sz="8" w:color="auto"/>
            </w:tcBorders>
            <w:shd w:val="clear" w:color="auto" w:fill="CCEEFF"/>
          </w:tcPr>
          <w:p>
            <w:pPr>
              <w:spacing w:after="0"/>
              <w:rPr>
                <w:sz w:val="8"/>
                <w:szCs w:val="8"/>
                <w:color w:val="auto"/>
              </w:rPr>
            </w:pPr>
          </w:p>
        </w:tc>
        <w:tc>
          <w:tcPr>
            <w:tcW w:w="198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10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Grand Total</w:t>
            </w:r>
          </w:p>
        </w:tc>
        <w:tc>
          <w:tcPr>
            <w:tcW w:w="3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$ 10,205,710</w:t>
            </w:r>
          </w:p>
        </w:tc>
        <w:tc>
          <w:tcPr>
            <w:tcW w:w="1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390,747</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2,068</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25,857,000</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94 %</w:t>
            </w: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3,264</w:t>
            </w:r>
          </w:p>
        </w:tc>
        <w:tc>
          <w:tcPr>
            <w:tcW w:w="5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auto"/>
        </w:rPr>
        <w:t>Notes:</w:t>
      </w:r>
    </w:p>
    <w:p>
      <w:pPr>
        <w:spacing w:after="0" w:line="51" w:lineRule="exact"/>
        <w:rPr>
          <w:sz w:val="20"/>
          <w:szCs w:val="20"/>
          <w:color w:val="auto"/>
        </w:rPr>
      </w:pPr>
    </w:p>
    <w:p>
      <w:pPr>
        <w:ind w:left="580" w:hanging="561"/>
        <w:spacing w:after="0"/>
        <w:tabs>
          <w:tab w:leader="none" w:pos="5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Includes "Finance lease right of use assets."</w:t>
      </w:r>
    </w:p>
    <w:p>
      <w:pPr>
        <w:spacing w:after="0" w:line="41" w:lineRule="exact"/>
        <w:rPr>
          <w:rFonts w:ascii="Times New Roman" w:cs="Times New Roman" w:eastAsia="Times New Roman" w:hAnsi="Times New Roman"/>
          <w:sz w:val="14"/>
          <w:szCs w:val="14"/>
          <w:color w:val="auto"/>
        </w:rPr>
      </w:pPr>
    </w:p>
    <w:p>
      <w:pPr>
        <w:ind w:left="580" w:right="80" w:hanging="561"/>
        <w:spacing w:after="0" w:line="239" w:lineRule="auto"/>
        <w:tabs>
          <w:tab w:leader="none" w:pos="5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The mortgage or finance lease liabilities differ from the total reported on the consolidated balance sheet due to the unamortized discount, premium, and/or debt issuance costs on certain mortgages payable.</w:t>
      </w:r>
    </w:p>
    <w:p>
      <w:pPr>
        <w:spacing w:after="0" w:line="14" w:lineRule="exact"/>
        <w:rPr>
          <w:rFonts w:ascii="Times New Roman" w:cs="Times New Roman" w:eastAsia="Times New Roman" w:hAnsi="Times New Roman"/>
          <w:sz w:val="14"/>
          <w:szCs w:val="14"/>
          <w:color w:val="auto"/>
        </w:rPr>
      </w:pPr>
    </w:p>
    <w:p>
      <w:pPr>
        <w:ind w:left="580" w:right="320" w:hanging="561"/>
        <w:spacing w:after="0" w:line="239" w:lineRule="auto"/>
        <w:tabs>
          <w:tab w:leader="none" w:pos="5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Represents the GLA and the percentage leased of the commercial portion of the property. Some of our properties include office space which is included in this square footage. Excludes newly created redevelopment square footage not yet in service, as well as residential and hotel square footage.</w:t>
      </w:r>
    </w:p>
    <w:p>
      <w:pPr>
        <w:spacing w:after="0" w:line="14" w:lineRule="exact"/>
        <w:rPr>
          <w:rFonts w:ascii="Times New Roman" w:cs="Times New Roman" w:eastAsia="Times New Roman" w:hAnsi="Times New Roman"/>
          <w:sz w:val="14"/>
          <w:szCs w:val="14"/>
          <w:color w:val="auto"/>
        </w:rPr>
      </w:pPr>
    </w:p>
    <w:p>
      <w:pPr>
        <w:ind w:left="580" w:hanging="561"/>
        <w:spacing w:after="0"/>
        <w:tabs>
          <w:tab w:leader="none" w:pos="5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The Trust has a controlling financial interest in this property.</w:t>
      </w:r>
    </w:p>
    <w:p>
      <w:pPr>
        <w:spacing w:after="0" w:line="41" w:lineRule="exact"/>
        <w:rPr>
          <w:rFonts w:ascii="Times New Roman" w:cs="Times New Roman" w:eastAsia="Times New Roman" w:hAnsi="Times New Roman"/>
          <w:sz w:val="14"/>
          <w:szCs w:val="14"/>
          <w:color w:val="auto"/>
        </w:rPr>
      </w:pPr>
    </w:p>
    <w:p>
      <w:pPr>
        <w:ind w:left="580" w:right="360" w:hanging="561"/>
        <w:spacing w:after="0" w:line="239" w:lineRule="auto"/>
        <w:tabs>
          <w:tab w:leader="none" w:pos="5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All or a portion of the property is owned in a "downREIT" partnership, of which a wholly owned subsidiary of the Trust is the sole general partner, with third party partners holding operating partnership units.</w:t>
      </w:r>
    </w:p>
    <w:p>
      <w:pPr>
        <w:spacing w:after="0" w:line="14" w:lineRule="exact"/>
        <w:rPr>
          <w:rFonts w:ascii="Times New Roman" w:cs="Times New Roman" w:eastAsia="Times New Roman" w:hAnsi="Times New Roman"/>
          <w:sz w:val="14"/>
          <w:szCs w:val="14"/>
          <w:color w:val="auto"/>
        </w:rPr>
      </w:pPr>
    </w:p>
    <w:p>
      <w:pPr>
        <w:ind w:left="580" w:hanging="561"/>
        <w:spacing w:after="0"/>
        <w:tabs>
          <w:tab w:leader="none" w:pos="5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Portion of property is currently under development. See further discussion in the Assembly Row and Pike &amp; Rose schedules.</w:t>
      </w:r>
    </w:p>
    <w:p>
      <w:pPr>
        <w:spacing w:after="0" w:line="41" w:lineRule="exact"/>
        <w:rPr>
          <w:rFonts w:ascii="Times New Roman" w:cs="Times New Roman" w:eastAsia="Times New Roman" w:hAnsi="Times New Roman"/>
          <w:sz w:val="14"/>
          <w:szCs w:val="14"/>
          <w:color w:val="auto"/>
        </w:rPr>
      </w:pPr>
    </w:p>
    <w:p>
      <w:pPr>
        <w:ind w:left="580" w:hanging="561"/>
        <w:spacing w:after="0"/>
        <w:tabs>
          <w:tab w:leader="none" w:pos="5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All or a portion of the property is subject to finance lease liabilities.</w:t>
      </w:r>
    </w:p>
    <w:p>
      <w:pPr>
        <w:spacing w:after="0" w:line="41" w:lineRule="exact"/>
        <w:rPr>
          <w:rFonts w:ascii="Times New Roman" w:cs="Times New Roman" w:eastAsia="Times New Roman" w:hAnsi="Times New Roman"/>
          <w:sz w:val="14"/>
          <w:szCs w:val="14"/>
          <w:color w:val="auto"/>
        </w:rPr>
      </w:pPr>
    </w:p>
    <w:p>
      <w:pPr>
        <w:ind w:left="580" w:right="140" w:hanging="561"/>
        <w:spacing w:after="0" w:line="239" w:lineRule="auto"/>
        <w:tabs>
          <w:tab w:leader="none" w:pos="5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Amounts represent 100% of the property - we own a 77.7% TIC interest. Real estate at cost represents the fair value of the property at the time of the TIC arrangement. See page 20 for additional information.</w:t>
      </w:r>
    </w:p>
    <w:p>
      <w:pPr>
        <w:spacing w:after="0" w:line="14" w:lineRule="exact"/>
        <w:rPr>
          <w:rFonts w:ascii="Times New Roman" w:cs="Times New Roman" w:eastAsia="Times New Roman" w:hAnsi="Times New Roman"/>
          <w:sz w:val="14"/>
          <w:szCs w:val="14"/>
          <w:color w:val="auto"/>
        </w:rPr>
      </w:pPr>
    </w:p>
    <w:p>
      <w:pPr>
        <w:ind w:left="580" w:hanging="561"/>
        <w:spacing w:after="0"/>
        <w:tabs>
          <w:tab w:leader="none" w:pos="5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This property includes 39 buildings primarily along Washington Street and 14th Street in Hoboken, New Jersey.</w:t>
      </w:r>
    </w:p>
    <w:p>
      <w:pPr>
        <w:spacing w:after="0" w:line="41" w:lineRule="exact"/>
        <w:rPr>
          <w:rFonts w:ascii="Times New Roman" w:cs="Times New Roman" w:eastAsia="Times New Roman" w:hAnsi="Times New Roman"/>
          <w:sz w:val="14"/>
          <w:szCs w:val="14"/>
          <w:color w:val="auto"/>
        </w:rPr>
      </w:pPr>
    </w:p>
    <w:p>
      <w:pPr>
        <w:ind w:left="580" w:hanging="561"/>
        <w:spacing w:after="0"/>
        <w:tabs>
          <w:tab w:leader="none" w:pos="5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This property includes interests in four buildings in addition to our initial acquisition.</w:t>
      </w: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20"/>
          </w:cols>
          <w:pgMar w:left="340" w:top="1028" w:right="339" w:bottom="1440" w:gutter="0" w:footer="0" w:header="0"/>
        </w:sectPr>
      </w:pPr>
    </w:p>
    <w:bookmarkStart w:id="27" w:name="page28"/>
    <w:bookmarkEnd w:id="27"/>
    <w:p>
      <w:pPr>
        <w:ind w:left="2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Retail Leasing Summary (1)</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2022</w:t>
      </w:r>
    </w:p>
    <w:p>
      <w:pPr>
        <w:spacing w:after="0" w:line="1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Total Lease Summary - Comparable (2)</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Contractual</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Cash Basis %</w:t>
            </w:r>
          </w:p>
        </w:tc>
        <w:tc>
          <w:tcPr>
            <w:tcW w:w="100" w:type="dxa"/>
            <w:vAlign w:val="bottom"/>
          </w:tcPr>
          <w:p>
            <w:pPr>
              <w:spacing w:after="0"/>
              <w:rPr>
                <w:sz w:val="11"/>
                <w:szCs w:val="11"/>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Straight-lined</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Weighted</w:t>
            </w:r>
          </w:p>
        </w:tc>
        <w:tc>
          <w:tcPr>
            <w:tcW w:w="140" w:type="dxa"/>
            <w:vAlign w:val="bottom"/>
          </w:tcPr>
          <w:p>
            <w:pPr>
              <w:spacing w:after="0"/>
              <w:rPr>
                <w:sz w:val="11"/>
                <w:szCs w:val="11"/>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100" w:type="dxa"/>
            <w:vAlign w:val="bottom"/>
          </w:tcPr>
          <w:p>
            <w:pPr>
              <w:spacing w:after="0"/>
              <w:rPr>
                <w:sz w:val="11"/>
                <w:szCs w:val="11"/>
                <w:color w:val="auto"/>
              </w:rPr>
            </w:pPr>
          </w:p>
        </w:tc>
        <w:tc>
          <w:tcPr>
            <w:tcW w:w="800" w:type="dxa"/>
            <w:vAlign w:val="bottom"/>
            <w:vMerge w:val="restart"/>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00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 of Comparable</w:t>
            </w: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8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Prior Rent (4)</w:t>
            </w:r>
          </w:p>
        </w:tc>
        <w:tc>
          <w:tcPr>
            <w:tcW w:w="9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Annual Increase</w:t>
            </w:r>
          </w:p>
        </w:tc>
        <w:tc>
          <w:tcPr>
            <w:tcW w:w="9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74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14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80" w:type="dxa"/>
            <w:vAlign w:val="bottom"/>
            <w:vMerge w:val="restart"/>
          </w:tcPr>
          <w:p>
            <w:pPr>
              <w:jc w:val="right"/>
              <w:ind w:right="331"/>
              <w:spacing w:after="0"/>
              <w:rPr>
                <w:sz w:val="20"/>
                <w:szCs w:val="20"/>
                <w:color w:val="auto"/>
              </w:rPr>
            </w:pPr>
            <w:r>
              <w:rPr>
                <w:rFonts w:ascii="Times New Roman" w:cs="Times New Roman" w:eastAsia="Times New Roman" w:hAnsi="Times New Roman"/>
                <w:sz w:val="11"/>
                <w:szCs w:val="11"/>
                <w:b w:val="1"/>
                <w:bCs w:val="1"/>
                <w:color w:val="auto"/>
              </w:rPr>
              <w:t>Quarter</w:t>
            </w:r>
          </w:p>
        </w:tc>
        <w:tc>
          <w:tcPr>
            <w:tcW w:w="100" w:type="dxa"/>
            <w:vAlign w:val="bottom"/>
          </w:tcPr>
          <w:p>
            <w:pPr>
              <w:spacing w:after="0"/>
              <w:rPr>
                <w:sz w:val="9"/>
                <w:szCs w:val="9"/>
                <w:color w:val="auto"/>
              </w:rPr>
            </w:pPr>
          </w:p>
        </w:tc>
        <w:tc>
          <w:tcPr>
            <w:tcW w:w="74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6"/>
              </w:rPr>
              <w:t>Leases</w:t>
            </w:r>
          </w:p>
        </w:tc>
        <w:tc>
          <w:tcPr>
            <w:tcW w:w="1000" w:type="dxa"/>
            <w:vAlign w:val="bottom"/>
            <w:gridSpan w:val="4"/>
            <w:vMerge w:val="continue"/>
          </w:tcPr>
          <w:p>
            <w:pPr>
              <w:spacing w:after="0"/>
              <w:rPr>
                <w:sz w:val="9"/>
                <w:szCs w:val="9"/>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GLA Signed</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rPr>
              <w:t>Rent (3) Per</w:t>
            </w:r>
          </w:p>
        </w:tc>
        <w:tc>
          <w:tcPr>
            <w:tcW w:w="840" w:type="dxa"/>
            <w:vAlign w:val="bottom"/>
            <w:gridSpan w:val="3"/>
            <w:vMerge w:val="continue"/>
          </w:tcPr>
          <w:p>
            <w:pPr>
              <w:spacing w:after="0"/>
              <w:rPr>
                <w:sz w:val="9"/>
                <w:szCs w:val="9"/>
                <w:color w:val="auto"/>
              </w:rPr>
            </w:pPr>
          </w:p>
        </w:tc>
        <w:tc>
          <w:tcPr>
            <w:tcW w:w="980" w:type="dxa"/>
            <w:vAlign w:val="bottom"/>
            <w:gridSpan w:val="3"/>
            <w:vMerge w:val="continue"/>
          </w:tcPr>
          <w:p>
            <w:pPr>
              <w:spacing w:after="0"/>
              <w:rPr>
                <w:sz w:val="9"/>
                <w:szCs w:val="9"/>
                <w:color w:val="auto"/>
              </w:rPr>
            </w:pPr>
          </w:p>
        </w:tc>
        <w:tc>
          <w:tcPr>
            <w:tcW w:w="94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6"/>
              </w:rPr>
              <w:t>Increase Over</w:t>
            </w:r>
          </w:p>
        </w:tc>
        <w:tc>
          <w:tcPr>
            <w:tcW w:w="960" w:type="dxa"/>
            <w:vAlign w:val="bottom"/>
            <w:gridSpan w:val="3"/>
          </w:tcPr>
          <w:p>
            <w:pPr>
              <w:ind w:left="40"/>
              <w:spacing w:after="0" w:line="108" w:lineRule="exact"/>
              <w:rPr>
                <w:sz w:val="20"/>
                <w:szCs w:val="20"/>
                <w:color w:val="auto"/>
              </w:rPr>
            </w:pPr>
            <w:r>
              <w:rPr>
                <w:rFonts w:ascii="Times New Roman" w:cs="Times New Roman" w:eastAsia="Times New Roman" w:hAnsi="Times New Roman"/>
                <w:sz w:val="11"/>
                <w:szCs w:val="11"/>
                <w:b w:val="1"/>
                <w:bCs w:val="1"/>
                <w:color w:val="auto"/>
              </w:rPr>
              <w:t>Basis % Increase</w:t>
            </w:r>
          </w:p>
        </w:tc>
        <w:tc>
          <w:tcPr>
            <w:tcW w:w="74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6"/>
              </w:rPr>
              <w:t>Lease Term</w:t>
            </w:r>
          </w:p>
        </w:tc>
        <w:tc>
          <w:tcPr>
            <w:tcW w:w="1060" w:type="dxa"/>
            <w:vAlign w:val="bottom"/>
            <w:gridSpan w:val="3"/>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9"/>
              </w:rPr>
              <w:t>Improvements &amp;</w:t>
            </w:r>
          </w:p>
        </w:tc>
        <w:tc>
          <w:tcPr>
            <w:tcW w:w="900" w:type="dxa"/>
            <w:vAlign w:val="bottom"/>
            <w:gridSpan w:val="2"/>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7"/>
              </w:rPr>
              <w:t>Improvements &amp;</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4"/>
              </w:rPr>
              <w:t>Signed</w:t>
            </w:r>
          </w:p>
        </w:tc>
        <w:tc>
          <w:tcPr>
            <w:tcW w:w="1000" w:type="dxa"/>
            <w:vAlign w:val="bottom"/>
            <w:gridSpan w:val="4"/>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Leases Signed</w:t>
            </w:r>
          </w:p>
        </w:tc>
        <w:tc>
          <w:tcPr>
            <w:tcW w:w="9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3"/>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5"/>
              </w:rPr>
              <w:t>Sq. Ft. (PSF)</w:t>
            </w:r>
          </w:p>
        </w:tc>
        <w:tc>
          <w:tcPr>
            <w:tcW w:w="100" w:type="dxa"/>
            <w:vAlign w:val="bottom"/>
          </w:tcPr>
          <w:p>
            <w:pPr>
              <w:spacing w:after="0"/>
              <w:rPr>
                <w:sz w:val="13"/>
                <w:szCs w:val="13"/>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PSF</w:t>
            </w:r>
          </w:p>
        </w:tc>
        <w:tc>
          <w:tcPr>
            <w:tcW w:w="160" w:type="dxa"/>
            <w:vAlign w:val="bottom"/>
          </w:tcPr>
          <w:p>
            <w:pPr>
              <w:spacing w:after="0"/>
              <w:rPr>
                <w:sz w:val="13"/>
                <w:szCs w:val="13"/>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8"/>
              </w:rPr>
              <w:t>in Rent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Prior Rent</w:t>
            </w: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Over Prior Rent</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Incentives (6)</w:t>
            </w:r>
          </w:p>
        </w:tc>
        <w:tc>
          <w:tcPr>
            <w:tcW w:w="100" w:type="dxa"/>
            <w:vAlign w:val="bottom"/>
          </w:tcPr>
          <w:p>
            <w:pPr>
              <w:spacing w:after="0"/>
              <w:rPr>
                <w:sz w:val="13"/>
                <w:szCs w:val="13"/>
                <w:color w:val="auto"/>
              </w:rPr>
            </w:pPr>
          </w:p>
        </w:tc>
        <w:tc>
          <w:tcPr>
            <w:tcW w:w="800" w:type="dxa"/>
            <w:vAlign w:val="bottom"/>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w w:val="97"/>
              </w:rPr>
              <w:t>Incentives PSF</w:t>
            </w:r>
          </w:p>
        </w:tc>
        <w:tc>
          <w:tcPr>
            <w:tcW w:w="0" w:type="dxa"/>
            <w:vAlign w:val="bottom"/>
          </w:tcPr>
          <w:p>
            <w:pPr>
              <w:spacing w:after="0"/>
              <w:rPr>
                <w:sz w:val="1"/>
                <w:szCs w:val="1"/>
                <w:color w:val="auto"/>
              </w:rPr>
            </w:pPr>
          </w:p>
        </w:tc>
      </w:tr>
      <w:tr>
        <w:trPr>
          <w:trHeight w:val="203"/>
        </w:trPr>
        <w:tc>
          <w:tcPr>
            <w:tcW w:w="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3rd Quarter 2022</w:t>
            </w:r>
          </w:p>
        </w:tc>
        <w:tc>
          <w:tcPr>
            <w:tcW w:w="720" w:type="dxa"/>
            <w:vAlign w:val="bottom"/>
            <w:tcBorders>
              <w:top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4"/>
                <w:szCs w:val="14"/>
                <w:color w:val="auto"/>
              </w:rPr>
              <w:t>119</w:t>
            </w: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562,859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34.57</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33.61</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540,007</w:t>
            </w: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14,564,905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2nd Quarter 2022</w:t>
            </w:r>
          </w:p>
        </w:tc>
        <w:tc>
          <w:tcPr>
            <w:tcW w:w="720" w:type="dxa"/>
            <w:vAlign w:val="bottom"/>
            <w:gridSpan w:val="2"/>
          </w:tcPr>
          <w:p>
            <w:pPr>
              <w:jc w:val="right"/>
              <w:ind w:right="2"/>
              <w:spacing w:after="0"/>
              <w:rPr>
                <w:sz w:val="20"/>
                <w:szCs w:val="20"/>
                <w:color w:val="auto"/>
              </w:rPr>
            </w:pPr>
            <w:r>
              <w:rPr>
                <w:rFonts w:ascii="Times New Roman" w:cs="Times New Roman" w:eastAsia="Times New Roman" w:hAnsi="Times New Roman"/>
                <w:sz w:val="14"/>
                <w:szCs w:val="14"/>
                <w:color w:val="auto"/>
              </w:rPr>
              <w:t>132</w:t>
            </w:r>
          </w:p>
        </w:tc>
        <w:tc>
          <w:tcPr>
            <w:tcW w:w="120" w:type="dxa"/>
            <w:vAlign w:val="bottom"/>
          </w:tcPr>
          <w:p>
            <w:pPr>
              <w:spacing w:after="0"/>
              <w:rPr>
                <w:sz w:val="16"/>
                <w:szCs w:val="16"/>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562,111</w:t>
            </w:r>
          </w:p>
        </w:tc>
        <w:tc>
          <w:tcPr>
            <w:tcW w:w="100" w:type="dxa"/>
            <w:vAlign w:val="bottom"/>
          </w:tcPr>
          <w:p>
            <w:pPr>
              <w:spacing w:after="0"/>
              <w:rPr>
                <w:sz w:val="16"/>
                <w:szCs w:val="16"/>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35.86</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34.29</w:t>
            </w:r>
          </w:p>
        </w:tc>
        <w:tc>
          <w:tcPr>
            <w:tcW w:w="12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885,669</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20,791,119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36.99</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1st Quarter 2022</w:t>
            </w:r>
          </w:p>
        </w:tc>
        <w:tc>
          <w:tcPr>
            <w:tcW w:w="7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4"/>
                <w:szCs w:val="14"/>
                <w:color w:val="auto"/>
              </w:rPr>
              <w:t>119</w:t>
            </w: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444,398</w:t>
            </w:r>
          </w:p>
        </w:tc>
        <w:tc>
          <w:tcPr>
            <w:tcW w:w="1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1,092,294</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14,464,187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4th Quarter 2021</w:t>
            </w:r>
          </w:p>
        </w:tc>
        <w:tc>
          <w:tcPr>
            <w:tcW w:w="720" w:type="dxa"/>
            <w:vAlign w:val="bottom"/>
            <w:gridSpan w:val="2"/>
          </w:tcPr>
          <w:p>
            <w:pPr>
              <w:jc w:val="right"/>
              <w:ind w:right="2"/>
              <w:spacing w:after="0"/>
              <w:rPr>
                <w:sz w:val="20"/>
                <w:szCs w:val="20"/>
                <w:color w:val="auto"/>
              </w:rPr>
            </w:pPr>
            <w:r>
              <w:rPr>
                <w:rFonts w:ascii="Times New Roman" w:cs="Times New Roman" w:eastAsia="Times New Roman" w:hAnsi="Times New Roman"/>
                <w:sz w:val="14"/>
                <w:szCs w:val="14"/>
                <w:color w:val="auto"/>
              </w:rPr>
              <w:t>116</w:t>
            </w:r>
          </w:p>
        </w:tc>
        <w:tc>
          <w:tcPr>
            <w:tcW w:w="120" w:type="dxa"/>
            <w:vAlign w:val="bottom"/>
          </w:tcPr>
          <w:p>
            <w:pPr>
              <w:spacing w:after="0"/>
              <w:rPr>
                <w:sz w:val="17"/>
                <w:szCs w:val="17"/>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597,673</w:t>
            </w:r>
          </w:p>
        </w:tc>
        <w:tc>
          <w:tcPr>
            <w:tcW w:w="10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34.34</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32.49</w:t>
            </w:r>
          </w:p>
        </w:tc>
        <w:tc>
          <w:tcPr>
            <w:tcW w:w="120" w:type="dxa"/>
            <w:vAlign w:val="bottom"/>
          </w:tcPr>
          <w:p>
            <w:pPr>
              <w:spacing w:after="0"/>
              <w:rPr>
                <w:sz w:val="17"/>
                <w:szCs w:val="17"/>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1,108,021</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18,492,134</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30.94</w:t>
            </w:r>
          </w:p>
        </w:tc>
        <w:tc>
          <w:tcPr>
            <w:tcW w:w="0" w:type="dxa"/>
            <w:vAlign w:val="bottom"/>
          </w:tcPr>
          <w:p>
            <w:pPr>
              <w:spacing w:after="0"/>
              <w:rPr>
                <w:sz w:val="1"/>
                <w:szCs w:val="1"/>
                <w:color w:val="auto"/>
              </w:rPr>
            </w:pPr>
          </w:p>
        </w:tc>
      </w:tr>
      <w:tr>
        <w:trPr>
          <w:trHeight w:val="228"/>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Total - 12 months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4"/>
                <w:szCs w:val="14"/>
                <w:color w:val="auto"/>
              </w:rPr>
              <w:t>486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2,167,041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3,625,991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68,312,345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New Lease Summary - Comparable (2)</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38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Cash Basis %</w:t>
            </w:r>
          </w:p>
        </w:tc>
        <w:tc>
          <w:tcPr>
            <w:tcW w:w="100" w:type="dxa"/>
            <w:vAlign w:val="bottom"/>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Straight-lined</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Weighted</w:t>
            </w:r>
          </w:p>
        </w:tc>
        <w:tc>
          <w:tcPr>
            <w:tcW w:w="140" w:type="dxa"/>
            <w:vAlign w:val="bottom"/>
          </w:tcPr>
          <w:p>
            <w:pPr>
              <w:spacing w:after="0"/>
              <w:rPr>
                <w:sz w:val="12"/>
                <w:szCs w:val="12"/>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100" w:type="dxa"/>
            <w:vAlign w:val="bottom"/>
          </w:tcPr>
          <w:p>
            <w:pPr>
              <w:spacing w:after="0"/>
              <w:rPr>
                <w:sz w:val="12"/>
                <w:szCs w:val="12"/>
                <w:color w:val="auto"/>
              </w:rPr>
            </w:pPr>
          </w:p>
        </w:tc>
        <w:tc>
          <w:tcPr>
            <w:tcW w:w="800" w:type="dxa"/>
            <w:vAlign w:val="bottom"/>
            <w:vMerge w:val="restart"/>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00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 of Comparable</w:t>
            </w: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Contractual</w:t>
            </w:r>
          </w:p>
        </w:tc>
        <w:tc>
          <w:tcPr>
            <w:tcW w:w="8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Prior Rent (4)</w:t>
            </w:r>
          </w:p>
        </w:tc>
        <w:tc>
          <w:tcPr>
            <w:tcW w:w="9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5"/>
              </w:rPr>
              <w:t>Annual Increase</w:t>
            </w:r>
          </w:p>
        </w:tc>
        <w:tc>
          <w:tcPr>
            <w:tcW w:w="9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74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14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80" w:type="dxa"/>
            <w:vAlign w:val="bottom"/>
            <w:vMerge w:val="restart"/>
          </w:tcPr>
          <w:p>
            <w:pPr>
              <w:jc w:val="right"/>
              <w:ind w:right="331"/>
              <w:spacing w:after="0"/>
              <w:rPr>
                <w:sz w:val="20"/>
                <w:szCs w:val="20"/>
                <w:color w:val="auto"/>
              </w:rPr>
            </w:pPr>
            <w:r>
              <w:rPr>
                <w:rFonts w:ascii="Times New Roman" w:cs="Times New Roman" w:eastAsia="Times New Roman" w:hAnsi="Times New Roman"/>
                <w:sz w:val="11"/>
                <w:szCs w:val="11"/>
                <w:b w:val="1"/>
                <w:bCs w:val="1"/>
                <w:color w:val="auto"/>
              </w:rPr>
              <w:t>Quarter</w:t>
            </w:r>
          </w:p>
        </w:tc>
        <w:tc>
          <w:tcPr>
            <w:tcW w:w="100" w:type="dxa"/>
            <w:vAlign w:val="bottom"/>
          </w:tcPr>
          <w:p>
            <w:pPr>
              <w:spacing w:after="0"/>
              <w:rPr>
                <w:sz w:val="9"/>
                <w:szCs w:val="9"/>
                <w:color w:val="auto"/>
              </w:rPr>
            </w:pPr>
          </w:p>
        </w:tc>
        <w:tc>
          <w:tcPr>
            <w:tcW w:w="74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6"/>
              </w:rPr>
              <w:t>Leases</w:t>
            </w:r>
          </w:p>
        </w:tc>
        <w:tc>
          <w:tcPr>
            <w:tcW w:w="1000" w:type="dxa"/>
            <w:vAlign w:val="bottom"/>
            <w:gridSpan w:val="4"/>
            <w:vMerge w:val="continue"/>
          </w:tcPr>
          <w:p>
            <w:pPr>
              <w:spacing w:after="0"/>
              <w:rPr>
                <w:sz w:val="9"/>
                <w:szCs w:val="9"/>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GLA Signed</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980" w:type="dxa"/>
            <w:vAlign w:val="bottom"/>
            <w:gridSpan w:val="3"/>
            <w:vMerge w:val="continue"/>
          </w:tcPr>
          <w:p>
            <w:pPr>
              <w:spacing w:after="0"/>
              <w:rPr>
                <w:sz w:val="9"/>
                <w:szCs w:val="9"/>
                <w:color w:val="auto"/>
              </w:rPr>
            </w:pPr>
          </w:p>
        </w:tc>
        <w:tc>
          <w:tcPr>
            <w:tcW w:w="94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6"/>
              </w:rPr>
              <w:t>Increase Over</w:t>
            </w:r>
          </w:p>
        </w:tc>
        <w:tc>
          <w:tcPr>
            <w:tcW w:w="960" w:type="dxa"/>
            <w:vAlign w:val="bottom"/>
            <w:gridSpan w:val="3"/>
          </w:tcPr>
          <w:p>
            <w:pPr>
              <w:ind w:left="40"/>
              <w:spacing w:after="0" w:line="108" w:lineRule="exact"/>
              <w:rPr>
                <w:sz w:val="20"/>
                <w:szCs w:val="20"/>
                <w:color w:val="auto"/>
              </w:rPr>
            </w:pPr>
            <w:r>
              <w:rPr>
                <w:rFonts w:ascii="Times New Roman" w:cs="Times New Roman" w:eastAsia="Times New Roman" w:hAnsi="Times New Roman"/>
                <w:sz w:val="11"/>
                <w:szCs w:val="11"/>
                <w:b w:val="1"/>
                <w:bCs w:val="1"/>
                <w:color w:val="auto"/>
              </w:rPr>
              <w:t>Basis % Increase</w:t>
            </w:r>
          </w:p>
        </w:tc>
        <w:tc>
          <w:tcPr>
            <w:tcW w:w="74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6"/>
              </w:rPr>
              <w:t>Lease Term</w:t>
            </w:r>
          </w:p>
        </w:tc>
        <w:tc>
          <w:tcPr>
            <w:tcW w:w="1060" w:type="dxa"/>
            <w:vAlign w:val="bottom"/>
            <w:gridSpan w:val="3"/>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9"/>
              </w:rPr>
              <w:t>Improvements &amp;</w:t>
            </w:r>
          </w:p>
        </w:tc>
        <w:tc>
          <w:tcPr>
            <w:tcW w:w="900" w:type="dxa"/>
            <w:vAlign w:val="bottom"/>
            <w:gridSpan w:val="2"/>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7"/>
              </w:rPr>
              <w:t>Improvements &amp;</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4"/>
              </w:rPr>
              <w:t>Signed</w:t>
            </w:r>
          </w:p>
        </w:tc>
        <w:tc>
          <w:tcPr>
            <w:tcW w:w="1000" w:type="dxa"/>
            <w:vAlign w:val="bottom"/>
            <w:gridSpan w:val="4"/>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Leases Signed</w:t>
            </w:r>
          </w:p>
        </w:tc>
        <w:tc>
          <w:tcPr>
            <w:tcW w:w="9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3"/>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5"/>
              </w:rPr>
              <w:t>Rent (3) PSF</w:t>
            </w:r>
          </w:p>
        </w:tc>
        <w:tc>
          <w:tcPr>
            <w:tcW w:w="100" w:type="dxa"/>
            <w:vAlign w:val="bottom"/>
          </w:tcPr>
          <w:p>
            <w:pPr>
              <w:spacing w:after="0"/>
              <w:rPr>
                <w:sz w:val="13"/>
                <w:szCs w:val="13"/>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PSF</w:t>
            </w:r>
          </w:p>
        </w:tc>
        <w:tc>
          <w:tcPr>
            <w:tcW w:w="160" w:type="dxa"/>
            <w:vAlign w:val="bottom"/>
          </w:tcPr>
          <w:p>
            <w:pPr>
              <w:spacing w:after="0"/>
              <w:rPr>
                <w:sz w:val="13"/>
                <w:szCs w:val="13"/>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8"/>
              </w:rPr>
              <w:t>in Rent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Prior Rent</w:t>
            </w: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Over Prior Rent</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Incentives (6)</w:t>
            </w:r>
          </w:p>
        </w:tc>
        <w:tc>
          <w:tcPr>
            <w:tcW w:w="100" w:type="dxa"/>
            <w:vAlign w:val="bottom"/>
          </w:tcPr>
          <w:p>
            <w:pPr>
              <w:spacing w:after="0"/>
              <w:rPr>
                <w:sz w:val="13"/>
                <w:szCs w:val="13"/>
                <w:color w:val="auto"/>
              </w:rPr>
            </w:pPr>
          </w:p>
        </w:tc>
        <w:tc>
          <w:tcPr>
            <w:tcW w:w="800" w:type="dxa"/>
            <w:vAlign w:val="bottom"/>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w w:val="97"/>
              </w:rPr>
              <w:t>Incentives PSF</w:t>
            </w:r>
          </w:p>
        </w:tc>
        <w:tc>
          <w:tcPr>
            <w:tcW w:w="0" w:type="dxa"/>
            <w:vAlign w:val="bottom"/>
          </w:tcPr>
          <w:p>
            <w:pPr>
              <w:spacing w:after="0"/>
              <w:rPr>
                <w:sz w:val="1"/>
                <w:szCs w:val="1"/>
                <w:color w:val="auto"/>
              </w:rPr>
            </w:pPr>
          </w:p>
        </w:tc>
      </w:tr>
      <w:tr>
        <w:trPr>
          <w:trHeight w:val="203"/>
        </w:trPr>
        <w:tc>
          <w:tcPr>
            <w:tcW w:w="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3rd Quarter 2022</w:t>
            </w:r>
          </w:p>
        </w:tc>
        <w:tc>
          <w:tcPr>
            <w:tcW w:w="720" w:type="dxa"/>
            <w:vAlign w:val="bottom"/>
            <w:tcBorders>
              <w:top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38 %</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215,351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35.81</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35.71</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21,602</w:t>
            </w:r>
          </w:p>
        </w:tc>
        <w:tc>
          <w:tcPr>
            <w:tcW w:w="1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13,415,915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2nd Quarter 2022</w:t>
            </w:r>
          </w:p>
        </w:tc>
        <w:tc>
          <w:tcPr>
            <w:tcW w:w="720" w:type="dxa"/>
            <w:vAlign w:val="bottom"/>
            <w:gridSpan w:val="2"/>
          </w:tcPr>
          <w:p>
            <w:pPr>
              <w:jc w:val="right"/>
              <w:ind w:right="2"/>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tcPr>
          <w:p>
            <w:pPr>
              <w:spacing w:after="0"/>
              <w:rPr>
                <w:sz w:val="16"/>
                <w:szCs w:val="16"/>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46 %</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218,493</w:t>
            </w:r>
          </w:p>
        </w:tc>
        <w:tc>
          <w:tcPr>
            <w:tcW w:w="100" w:type="dxa"/>
            <w:vAlign w:val="bottom"/>
          </w:tcPr>
          <w:p>
            <w:pPr>
              <w:spacing w:after="0"/>
              <w:rPr>
                <w:sz w:val="16"/>
                <w:szCs w:val="16"/>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44.90</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42.52</w:t>
            </w:r>
          </w:p>
        </w:tc>
        <w:tc>
          <w:tcPr>
            <w:tcW w:w="12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518,577</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18,658,319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85.40</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1st Quarter 2022</w:t>
            </w:r>
          </w:p>
        </w:tc>
        <w:tc>
          <w:tcPr>
            <w:tcW w:w="7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50 %</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176,322</w:t>
            </w:r>
          </w:p>
        </w:tc>
        <w:tc>
          <w:tcPr>
            <w:tcW w:w="1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946,526</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13,866,932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4th Quarter 2021</w:t>
            </w:r>
          </w:p>
        </w:tc>
        <w:tc>
          <w:tcPr>
            <w:tcW w:w="720" w:type="dxa"/>
            <w:vAlign w:val="bottom"/>
            <w:gridSpan w:val="2"/>
          </w:tcPr>
          <w:p>
            <w:pPr>
              <w:jc w:val="right"/>
              <w:ind w:right="2"/>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tcPr>
          <w:p>
            <w:pPr>
              <w:spacing w:after="0"/>
              <w:rPr>
                <w:sz w:val="17"/>
                <w:szCs w:val="17"/>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56 %</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289,287</w:t>
            </w:r>
          </w:p>
        </w:tc>
        <w:tc>
          <w:tcPr>
            <w:tcW w:w="10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39.72</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37.27</w:t>
            </w:r>
          </w:p>
        </w:tc>
        <w:tc>
          <w:tcPr>
            <w:tcW w:w="120" w:type="dxa"/>
            <w:vAlign w:val="bottom"/>
          </w:tcPr>
          <w:p>
            <w:pPr>
              <w:spacing w:after="0"/>
              <w:rPr>
                <w:sz w:val="17"/>
                <w:szCs w:val="17"/>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708,143</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18,142,674</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62.72</w:t>
            </w:r>
          </w:p>
        </w:tc>
        <w:tc>
          <w:tcPr>
            <w:tcW w:w="0" w:type="dxa"/>
            <w:vAlign w:val="bottom"/>
          </w:tcPr>
          <w:p>
            <w:pPr>
              <w:spacing w:after="0"/>
              <w:rPr>
                <w:sz w:val="1"/>
                <w:szCs w:val="1"/>
                <w:color w:val="auto"/>
              </w:rPr>
            </w:pPr>
          </w:p>
        </w:tc>
      </w:tr>
      <w:tr>
        <w:trPr>
          <w:trHeight w:val="228"/>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Total - 12 months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4"/>
                <w:szCs w:val="14"/>
                <w:color w:val="auto"/>
              </w:rPr>
              <w:t>231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48 %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899,453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2,194,848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64,083,840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Renewal Lease Summary - Comparable (2) (7)</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3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Cash Basis %</w:t>
            </w:r>
          </w:p>
        </w:tc>
        <w:tc>
          <w:tcPr>
            <w:tcW w:w="100" w:type="dxa"/>
            <w:vAlign w:val="bottom"/>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Straight-lined</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Weighted</w:t>
            </w:r>
          </w:p>
        </w:tc>
        <w:tc>
          <w:tcPr>
            <w:tcW w:w="140" w:type="dxa"/>
            <w:vAlign w:val="bottom"/>
          </w:tcPr>
          <w:p>
            <w:pPr>
              <w:spacing w:after="0"/>
              <w:rPr>
                <w:sz w:val="12"/>
                <w:szCs w:val="12"/>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100" w:type="dxa"/>
            <w:vAlign w:val="bottom"/>
          </w:tcPr>
          <w:p>
            <w:pPr>
              <w:spacing w:after="0"/>
              <w:rPr>
                <w:sz w:val="12"/>
                <w:szCs w:val="12"/>
                <w:color w:val="auto"/>
              </w:rPr>
            </w:pPr>
          </w:p>
        </w:tc>
        <w:tc>
          <w:tcPr>
            <w:tcW w:w="800" w:type="dxa"/>
            <w:vAlign w:val="bottom"/>
            <w:vMerge w:val="restart"/>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00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 of Comparable</w:t>
            </w: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Contractual</w:t>
            </w:r>
          </w:p>
        </w:tc>
        <w:tc>
          <w:tcPr>
            <w:tcW w:w="8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Prior Rent (4)</w:t>
            </w:r>
          </w:p>
        </w:tc>
        <w:tc>
          <w:tcPr>
            <w:tcW w:w="9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5"/>
              </w:rPr>
              <w:t>Annual Increase</w:t>
            </w:r>
          </w:p>
        </w:tc>
        <w:tc>
          <w:tcPr>
            <w:tcW w:w="9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74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14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80" w:type="dxa"/>
            <w:vAlign w:val="bottom"/>
            <w:vMerge w:val="restart"/>
          </w:tcPr>
          <w:p>
            <w:pPr>
              <w:jc w:val="right"/>
              <w:ind w:right="331"/>
              <w:spacing w:after="0"/>
              <w:rPr>
                <w:sz w:val="20"/>
                <w:szCs w:val="20"/>
                <w:color w:val="auto"/>
              </w:rPr>
            </w:pPr>
            <w:r>
              <w:rPr>
                <w:rFonts w:ascii="Times New Roman" w:cs="Times New Roman" w:eastAsia="Times New Roman" w:hAnsi="Times New Roman"/>
                <w:sz w:val="11"/>
                <w:szCs w:val="11"/>
                <w:b w:val="1"/>
                <w:bCs w:val="1"/>
                <w:color w:val="auto"/>
              </w:rPr>
              <w:t>Quarter</w:t>
            </w:r>
          </w:p>
        </w:tc>
        <w:tc>
          <w:tcPr>
            <w:tcW w:w="100" w:type="dxa"/>
            <w:vAlign w:val="bottom"/>
          </w:tcPr>
          <w:p>
            <w:pPr>
              <w:spacing w:after="0"/>
              <w:rPr>
                <w:sz w:val="9"/>
                <w:szCs w:val="9"/>
                <w:color w:val="auto"/>
              </w:rPr>
            </w:pPr>
          </w:p>
        </w:tc>
        <w:tc>
          <w:tcPr>
            <w:tcW w:w="74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6"/>
              </w:rPr>
              <w:t>Leases</w:t>
            </w:r>
          </w:p>
        </w:tc>
        <w:tc>
          <w:tcPr>
            <w:tcW w:w="1000" w:type="dxa"/>
            <w:vAlign w:val="bottom"/>
            <w:gridSpan w:val="4"/>
            <w:vMerge w:val="continue"/>
          </w:tcPr>
          <w:p>
            <w:pPr>
              <w:spacing w:after="0"/>
              <w:rPr>
                <w:sz w:val="9"/>
                <w:szCs w:val="9"/>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GLA Signed</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980" w:type="dxa"/>
            <w:vAlign w:val="bottom"/>
            <w:gridSpan w:val="3"/>
            <w:vMerge w:val="continue"/>
          </w:tcPr>
          <w:p>
            <w:pPr>
              <w:spacing w:after="0"/>
              <w:rPr>
                <w:sz w:val="9"/>
                <w:szCs w:val="9"/>
                <w:color w:val="auto"/>
              </w:rPr>
            </w:pPr>
          </w:p>
        </w:tc>
        <w:tc>
          <w:tcPr>
            <w:tcW w:w="94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6"/>
              </w:rPr>
              <w:t>Increase Over</w:t>
            </w:r>
          </w:p>
        </w:tc>
        <w:tc>
          <w:tcPr>
            <w:tcW w:w="960" w:type="dxa"/>
            <w:vAlign w:val="bottom"/>
            <w:gridSpan w:val="3"/>
          </w:tcPr>
          <w:p>
            <w:pPr>
              <w:ind w:left="40"/>
              <w:spacing w:after="0" w:line="108" w:lineRule="exact"/>
              <w:rPr>
                <w:sz w:val="20"/>
                <w:szCs w:val="20"/>
                <w:color w:val="auto"/>
              </w:rPr>
            </w:pPr>
            <w:r>
              <w:rPr>
                <w:rFonts w:ascii="Times New Roman" w:cs="Times New Roman" w:eastAsia="Times New Roman" w:hAnsi="Times New Roman"/>
                <w:sz w:val="11"/>
                <w:szCs w:val="11"/>
                <w:b w:val="1"/>
                <w:bCs w:val="1"/>
                <w:color w:val="auto"/>
              </w:rPr>
              <w:t>Basis % Increase</w:t>
            </w:r>
          </w:p>
        </w:tc>
        <w:tc>
          <w:tcPr>
            <w:tcW w:w="74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6"/>
              </w:rPr>
              <w:t>Lease Term</w:t>
            </w:r>
          </w:p>
        </w:tc>
        <w:tc>
          <w:tcPr>
            <w:tcW w:w="1060" w:type="dxa"/>
            <w:vAlign w:val="bottom"/>
            <w:gridSpan w:val="3"/>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9"/>
              </w:rPr>
              <w:t>Improvements &amp;</w:t>
            </w:r>
          </w:p>
        </w:tc>
        <w:tc>
          <w:tcPr>
            <w:tcW w:w="900" w:type="dxa"/>
            <w:vAlign w:val="bottom"/>
            <w:gridSpan w:val="2"/>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7"/>
              </w:rPr>
              <w:t>Improvements &amp;</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4"/>
              </w:rPr>
              <w:t>Signed</w:t>
            </w:r>
          </w:p>
        </w:tc>
        <w:tc>
          <w:tcPr>
            <w:tcW w:w="1000" w:type="dxa"/>
            <w:vAlign w:val="bottom"/>
            <w:gridSpan w:val="4"/>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Leases Signed</w:t>
            </w:r>
          </w:p>
        </w:tc>
        <w:tc>
          <w:tcPr>
            <w:tcW w:w="9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3"/>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5"/>
              </w:rPr>
              <w:t>Rent (3) PSF</w:t>
            </w:r>
          </w:p>
        </w:tc>
        <w:tc>
          <w:tcPr>
            <w:tcW w:w="100" w:type="dxa"/>
            <w:vAlign w:val="bottom"/>
          </w:tcPr>
          <w:p>
            <w:pPr>
              <w:spacing w:after="0"/>
              <w:rPr>
                <w:sz w:val="13"/>
                <w:szCs w:val="13"/>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PSF</w:t>
            </w:r>
          </w:p>
        </w:tc>
        <w:tc>
          <w:tcPr>
            <w:tcW w:w="160" w:type="dxa"/>
            <w:vAlign w:val="bottom"/>
          </w:tcPr>
          <w:p>
            <w:pPr>
              <w:spacing w:after="0"/>
              <w:rPr>
                <w:sz w:val="13"/>
                <w:szCs w:val="13"/>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8"/>
              </w:rPr>
              <w:t>in Rent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Prior Rent</w:t>
            </w: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Over Prior Rent</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Incentives (6)</w:t>
            </w:r>
          </w:p>
        </w:tc>
        <w:tc>
          <w:tcPr>
            <w:tcW w:w="100" w:type="dxa"/>
            <w:vAlign w:val="bottom"/>
          </w:tcPr>
          <w:p>
            <w:pPr>
              <w:spacing w:after="0"/>
              <w:rPr>
                <w:sz w:val="13"/>
                <w:szCs w:val="13"/>
                <w:color w:val="auto"/>
              </w:rPr>
            </w:pPr>
          </w:p>
        </w:tc>
        <w:tc>
          <w:tcPr>
            <w:tcW w:w="800" w:type="dxa"/>
            <w:vAlign w:val="bottom"/>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w w:val="97"/>
              </w:rPr>
              <w:t>Incentives PSF</w:t>
            </w:r>
          </w:p>
        </w:tc>
        <w:tc>
          <w:tcPr>
            <w:tcW w:w="0" w:type="dxa"/>
            <w:vAlign w:val="bottom"/>
          </w:tcPr>
          <w:p>
            <w:pPr>
              <w:spacing w:after="0"/>
              <w:rPr>
                <w:sz w:val="1"/>
                <w:szCs w:val="1"/>
                <w:color w:val="auto"/>
              </w:rPr>
            </w:pPr>
          </w:p>
        </w:tc>
      </w:tr>
      <w:tr>
        <w:trPr>
          <w:trHeight w:val="203"/>
        </w:trPr>
        <w:tc>
          <w:tcPr>
            <w:tcW w:w="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3rd Quarter 2022</w:t>
            </w:r>
          </w:p>
        </w:tc>
        <w:tc>
          <w:tcPr>
            <w:tcW w:w="720" w:type="dxa"/>
            <w:vAlign w:val="bottom"/>
            <w:tcBorders>
              <w:top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4"/>
                <w:szCs w:val="14"/>
                <w:color w:val="auto"/>
              </w:rPr>
              <w:t>74</w:t>
            </w: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62 %</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347,508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33.80</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32.31</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518,405</w:t>
            </w: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1,148,990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2nd Quarter 2022</w:t>
            </w:r>
          </w:p>
        </w:tc>
        <w:tc>
          <w:tcPr>
            <w:tcW w:w="720" w:type="dxa"/>
            <w:vAlign w:val="bottom"/>
            <w:gridSpan w:val="2"/>
          </w:tcPr>
          <w:p>
            <w:pPr>
              <w:jc w:val="right"/>
              <w:ind w:right="2"/>
              <w:spacing w:after="0"/>
              <w:rPr>
                <w:sz w:val="20"/>
                <w:szCs w:val="20"/>
                <w:color w:val="auto"/>
              </w:rPr>
            </w:pPr>
            <w:r>
              <w:rPr>
                <w:rFonts w:ascii="Times New Roman" w:cs="Times New Roman" w:eastAsia="Times New Roman" w:hAnsi="Times New Roman"/>
                <w:sz w:val="14"/>
                <w:szCs w:val="14"/>
                <w:color w:val="auto"/>
              </w:rPr>
              <w:t>71</w:t>
            </w:r>
          </w:p>
        </w:tc>
        <w:tc>
          <w:tcPr>
            <w:tcW w:w="120" w:type="dxa"/>
            <w:vAlign w:val="bottom"/>
          </w:tcPr>
          <w:p>
            <w:pPr>
              <w:spacing w:after="0"/>
              <w:rPr>
                <w:sz w:val="16"/>
                <w:szCs w:val="16"/>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54 %</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343,618</w:t>
            </w:r>
          </w:p>
        </w:tc>
        <w:tc>
          <w:tcPr>
            <w:tcW w:w="100" w:type="dxa"/>
            <w:vAlign w:val="bottom"/>
          </w:tcPr>
          <w:p>
            <w:pPr>
              <w:spacing w:after="0"/>
              <w:rPr>
                <w:sz w:val="16"/>
                <w:szCs w:val="16"/>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30.12</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29.05</w:t>
            </w:r>
          </w:p>
        </w:tc>
        <w:tc>
          <w:tcPr>
            <w:tcW w:w="12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367,092</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2,132,800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1st Quarter 2022</w:t>
            </w:r>
          </w:p>
        </w:tc>
        <w:tc>
          <w:tcPr>
            <w:tcW w:w="7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50 %</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268,076</w:t>
            </w:r>
          </w:p>
        </w:tc>
        <w:tc>
          <w:tcPr>
            <w:tcW w:w="1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145,768</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597,255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4th Quarter 2021</w:t>
            </w:r>
          </w:p>
        </w:tc>
        <w:tc>
          <w:tcPr>
            <w:tcW w:w="720" w:type="dxa"/>
            <w:vAlign w:val="bottom"/>
            <w:gridSpan w:val="2"/>
          </w:tcPr>
          <w:p>
            <w:pPr>
              <w:jc w:val="right"/>
              <w:ind w:right="2"/>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tcPr>
          <w:p>
            <w:pPr>
              <w:spacing w:after="0"/>
              <w:rPr>
                <w:sz w:val="17"/>
                <w:szCs w:val="17"/>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44 %</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308,386</w:t>
            </w:r>
          </w:p>
        </w:tc>
        <w:tc>
          <w:tcPr>
            <w:tcW w:w="10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29.30</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28.00</w:t>
            </w:r>
          </w:p>
        </w:tc>
        <w:tc>
          <w:tcPr>
            <w:tcW w:w="120" w:type="dxa"/>
            <w:vAlign w:val="bottom"/>
          </w:tcPr>
          <w:p>
            <w:pPr>
              <w:spacing w:after="0"/>
              <w:rPr>
                <w:sz w:val="17"/>
                <w:szCs w:val="17"/>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399,878</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349,460</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228"/>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Total - 12 months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4"/>
                <w:szCs w:val="14"/>
                <w:color w:val="auto"/>
              </w:rPr>
              <w:t>255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52 %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1,267,588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1,431,143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4,228,505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020" w:type="dxa"/>
            <w:vAlign w:val="bottom"/>
            <w:gridSpan w:val="12"/>
          </w:tcPr>
          <w:p>
            <w:pPr>
              <w:spacing w:after="0"/>
              <w:rPr>
                <w:sz w:val="20"/>
                <w:szCs w:val="20"/>
                <w:color w:val="auto"/>
              </w:rPr>
            </w:pPr>
            <w:r>
              <w:rPr>
                <w:rFonts w:ascii="Times New Roman" w:cs="Times New Roman" w:eastAsia="Times New Roman" w:hAnsi="Times New Roman"/>
                <w:sz w:val="14"/>
                <w:szCs w:val="14"/>
                <w:b w:val="1"/>
                <w:bCs w:val="1"/>
                <w:color w:val="auto"/>
              </w:rPr>
              <w:t>Total Lease Summary - Comparable and Non-comparable (2) (8)</w:t>
            </w: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Weighted</w:t>
            </w:r>
          </w:p>
        </w:tc>
        <w:tc>
          <w:tcPr>
            <w:tcW w:w="140" w:type="dxa"/>
            <w:vAlign w:val="bottom"/>
          </w:tcPr>
          <w:p>
            <w:pPr>
              <w:spacing w:after="0"/>
              <w:rPr>
                <w:sz w:val="12"/>
                <w:szCs w:val="12"/>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100" w:type="dxa"/>
            <w:vAlign w:val="bottom"/>
          </w:tcPr>
          <w:p>
            <w:pPr>
              <w:spacing w:after="0"/>
              <w:rPr>
                <w:sz w:val="12"/>
                <w:szCs w:val="12"/>
                <w:color w:val="auto"/>
              </w:rPr>
            </w:pPr>
          </w:p>
        </w:tc>
        <w:tc>
          <w:tcPr>
            <w:tcW w:w="800" w:type="dxa"/>
            <w:vAlign w:val="bottom"/>
            <w:vMerge w:val="restart"/>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Contractual Rent</w:t>
            </w:r>
          </w:p>
        </w:tc>
        <w:tc>
          <w:tcPr>
            <w:tcW w:w="74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14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80" w:type="dxa"/>
            <w:vAlign w:val="bottom"/>
            <w:vMerge w:val="restart"/>
          </w:tcPr>
          <w:p>
            <w:pPr>
              <w:jc w:val="right"/>
              <w:ind w:right="331"/>
              <w:spacing w:after="0"/>
              <w:rPr>
                <w:sz w:val="20"/>
                <w:szCs w:val="20"/>
                <w:color w:val="auto"/>
              </w:rPr>
            </w:pPr>
            <w:r>
              <w:rPr>
                <w:rFonts w:ascii="Times New Roman" w:cs="Times New Roman" w:eastAsia="Times New Roman" w:hAnsi="Times New Roman"/>
                <w:sz w:val="11"/>
                <w:szCs w:val="11"/>
                <w:b w:val="1"/>
                <w:bCs w:val="1"/>
                <w:color w:val="auto"/>
              </w:rPr>
              <w:t>Quarter</w:t>
            </w: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760" w:type="dxa"/>
            <w:vAlign w:val="bottom"/>
            <w:gridSpan w:val="4"/>
            <w:vMerge w:val="restart"/>
          </w:tcPr>
          <w:p>
            <w:pPr>
              <w:ind w:left="460"/>
              <w:spacing w:after="0"/>
              <w:rPr>
                <w:sz w:val="20"/>
                <w:szCs w:val="20"/>
                <w:color w:val="auto"/>
              </w:rPr>
            </w:pPr>
            <w:r>
              <w:rPr>
                <w:rFonts w:ascii="Times New Roman" w:cs="Times New Roman" w:eastAsia="Times New Roman" w:hAnsi="Times New Roman"/>
                <w:sz w:val="11"/>
                <w:szCs w:val="11"/>
                <w:b w:val="1"/>
                <w:bCs w:val="1"/>
                <w:color w:val="auto"/>
              </w:rPr>
              <w:t>GLA Signed</w:t>
            </w:r>
          </w:p>
        </w:tc>
        <w:tc>
          <w:tcPr>
            <w:tcW w:w="960" w:type="dxa"/>
            <w:vAlign w:val="bottom"/>
            <w:gridSpan w:val="3"/>
            <w:vMerge w:val="continue"/>
          </w:tcPr>
          <w:p>
            <w:pPr>
              <w:spacing w:after="0"/>
              <w:rPr>
                <w:sz w:val="9"/>
                <w:szCs w:val="9"/>
                <w:color w:val="auto"/>
              </w:rPr>
            </w:pPr>
          </w:p>
        </w:tc>
        <w:tc>
          <w:tcPr>
            <w:tcW w:w="74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6"/>
              </w:rPr>
              <w:t>Lease Term</w:t>
            </w:r>
          </w:p>
        </w:tc>
        <w:tc>
          <w:tcPr>
            <w:tcW w:w="1060" w:type="dxa"/>
            <w:vAlign w:val="bottom"/>
            <w:gridSpan w:val="3"/>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9"/>
              </w:rPr>
              <w:t>Improvements &amp;</w:t>
            </w:r>
          </w:p>
        </w:tc>
        <w:tc>
          <w:tcPr>
            <w:tcW w:w="900" w:type="dxa"/>
            <w:vAlign w:val="bottom"/>
            <w:gridSpan w:val="2"/>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7"/>
              </w:rPr>
              <w:t>Improvements &amp;</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Leases Signed</w:t>
            </w:r>
          </w:p>
        </w:tc>
        <w:tc>
          <w:tcPr>
            <w:tcW w:w="160" w:type="dxa"/>
            <w:vAlign w:val="bottom"/>
          </w:tcPr>
          <w:p>
            <w:pPr>
              <w:spacing w:after="0"/>
              <w:rPr>
                <w:sz w:val="13"/>
                <w:szCs w:val="13"/>
                <w:color w:val="auto"/>
              </w:rPr>
            </w:pPr>
          </w:p>
        </w:tc>
        <w:tc>
          <w:tcPr>
            <w:tcW w:w="1760" w:type="dxa"/>
            <w:vAlign w:val="bottom"/>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6"/>
              </w:rPr>
              <w:t>(3) PSF</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Incentives (6)</w:t>
            </w:r>
          </w:p>
        </w:tc>
        <w:tc>
          <w:tcPr>
            <w:tcW w:w="100" w:type="dxa"/>
            <w:vAlign w:val="bottom"/>
          </w:tcPr>
          <w:p>
            <w:pPr>
              <w:spacing w:after="0"/>
              <w:rPr>
                <w:sz w:val="13"/>
                <w:szCs w:val="13"/>
                <w:color w:val="auto"/>
              </w:rPr>
            </w:pPr>
          </w:p>
        </w:tc>
        <w:tc>
          <w:tcPr>
            <w:tcW w:w="800" w:type="dxa"/>
            <w:vAlign w:val="bottom"/>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w w:val="97"/>
              </w:rPr>
              <w:t>Incentives PSF</w:t>
            </w:r>
          </w:p>
        </w:tc>
        <w:tc>
          <w:tcPr>
            <w:tcW w:w="0" w:type="dxa"/>
            <w:vAlign w:val="bottom"/>
          </w:tcPr>
          <w:p>
            <w:pPr>
              <w:spacing w:after="0"/>
              <w:rPr>
                <w:sz w:val="1"/>
                <w:szCs w:val="1"/>
                <w:color w:val="auto"/>
              </w:rPr>
            </w:pPr>
          </w:p>
        </w:tc>
      </w:tr>
      <w:tr>
        <w:trPr>
          <w:trHeight w:val="203"/>
        </w:trPr>
        <w:tc>
          <w:tcPr>
            <w:tcW w:w="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3rd Quarter 2022</w:t>
            </w: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584,949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35.28</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16,825,343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2nd Quarter 2022</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577,338</w:t>
            </w:r>
          </w:p>
        </w:tc>
        <w:tc>
          <w:tcPr>
            <w:tcW w:w="10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35.97</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20,922,719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36.24</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1st Quarter 2022</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460,062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37.05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18,669,766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40.58</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4th Quarter 2021</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color w:val="auto"/>
              </w:rPr>
              <w:t>619,629</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color w:val="auto"/>
              </w:rPr>
              <w:t>34.67</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19,435,246</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31.37</w:t>
            </w:r>
          </w:p>
        </w:tc>
        <w:tc>
          <w:tcPr>
            <w:tcW w:w="0" w:type="dxa"/>
            <w:vAlign w:val="bottom"/>
          </w:tcPr>
          <w:p>
            <w:pPr>
              <w:spacing w:after="0"/>
              <w:rPr>
                <w:sz w:val="1"/>
                <w:szCs w:val="1"/>
                <w:color w:val="auto"/>
              </w:rPr>
            </w:pPr>
          </w:p>
        </w:tc>
      </w:tr>
      <w:tr>
        <w:trPr>
          <w:trHeight w:val="228"/>
        </w:trPr>
        <w:tc>
          <w:tcPr>
            <w:tcW w:w="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Total - 12 months</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2,241,978</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35.65</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75,853,074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u w:val="single" w:color="auto"/>
          <w:color w:val="auto"/>
        </w:rPr>
        <w:t>Notes:</w:t>
      </w:r>
    </w:p>
    <w:p>
      <w:pPr>
        <w:spacing w:after="0" w:line="42" w:lineRule="exact"/>
        <w:rPr>
          <w:sz w:val="20"/>
          <w:szCs w:val="20"/>
          <w:color w:val="auto"/>
        </w:rPr>
      </w:pPr>
    </w:p>
    <w:p>
      <w:pPr>
        <w:ind w:left="620" w:right="480" w:hanging="567"/>
        <w:spacing w:after="0" w:line="251" w:lineRule="auto"/>
        <w:tabs>
          <w:tab w:leader="none" w:pos="6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reflects activity in retail spaces only; office and residential spaces are not included. Contractual option exercises are not included. See Glossary of Terms for further discussion of information included above.</w:t>
      </w:r>
    </w:p>
    <w:p>
      <w:pPr>
        <w:ind w:left="620" w:hanging="567"/>
        <w:spacing w:after="0"/>
        <w:tabs>
          <w:tab w:leader="none" w:pos="6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Comparable leases represent those leases signed on spaces for which there was a former tenant.</w:t>
      </w:r>
    </w:p>
    <w:p>
      <w:pPr>
        <w:spacing w:after="0" w:line="41" w:lineRule="exact"/>
        <w:rPr>
          <w:rFonts w:ascii="Times New Roman" w:cs="Times New Roman" w:eastAsia="Times New Roman" w:hAnsi="Times New Roman"/>
          <w:sz w:val="14"/>
          <w:szCs w:val="14"/>
          <w:color w:val="auto"/>
        </w:rPr>
      </w:pPr>
    </w:p>
    <w:p>
      <w:pPr>
        <w:ind w:left="620" w:hanging="567"/>
        <w:spacing w:after="0"/>
        <w:tabs>
          <w:tab w:leader="none" w:pos="6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Contractual rent represents annual rent under the new lease.</w:t>
      </w:r>
    </w:p>
    <w:p>
      <w:pPr>
        <w:spacing w:after="0" w:line="41" w:lineRule="exact"/>
        <w:rPr>
          <w:rFonts w:ascii="Times New Roman" w:cs="Times New Roman" w:eastAsia="Times New Roman" w:hAnsi="Times New Roman"/>
          <w:sz w:val="14"/>
          <w:szCs w:val="14"/>
          <w:color w:val="auto"/>
        </w:rPr>
      </w:pPr>
    </w:p>
    <w:p>
      <w:pPr>
        <w:ind w:left="620" w:hanging="567"/>
        <w:spacing w:after="0"/>
        <w:tabs>
          <w:tab w:leader="none" w:pos="6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rent represents contractual rent, including percentage rent, from the prior tenant in the final 12 months of the term.</w:t>
      </w:r>
    </w:p>
    <w:p>
      <w:pPr>
        <w:spacing w:after="0" w:line="41" w:lineRule="exact"/>
        <w:rPr>
          <w:rFonts w:ascii="Times New Roman" w:cs="Times New Roman" w:eastAsia="Times New Roman" w:hAnsi="Times New Roman"/>
          <w:sz w:val="14"/>
          <w:szCs w:val="14"/>
          <w:color w:val="auto"/>
        </w:rPr>
      </w:pPr>
    </w:p>
    <w:p>
      <w:pPr>
        <w:ind w:left="620" w:hanging="567"/>
        <w:spacing w:after="0"/>
        <w:tabs>
          <w:tab w:leader="none" w:pos="6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Weighted average is determined on the basis of contractual rent for the lease.</w:t>
      </w:r>
    </w:p>
    <w:p>
      <w:pPr>
        <w:spacing w:after="0" w:line="41" w:lineRule="exact"/>
        <w:rPr>
          <w:rFonts w:ascii="Times New Roman" w:cs="Times New Roman" w:eastAsia="Times New Roman" w:hAnsi="Times New Roman"/>
          <w:sz w:val="14"/>
          <w:szCs w:val="14"/>
          <w:color w:val="auto"/>
        </w:rPr>
      </w:pPr>
    </w:p>
    <w:p>
      <w:pPr>
        <w:ind w:left="620" w:hanging="567"/>
        <w:spacing w:after="0"/>
        <w:tabs>
          <w:tab w:leader="none" w:pos="6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Glossary of Terms.</w:t>
      </w:r>
    </w:p>
    <w:p>
      <w:pPr>
        <w:spacing w:after="0" w:line="41" w:lineRule="exact"/>
        <w:rPr>
          <w:rFonts w:ascii="Times New Roman" w:cs="Times New Roman" w:eastAsia="Times New Roman" w:hAnsi="Times New Roman"/>
          <w:sz w:val="14"/>
          <w:szCs w:val="14"/>
          <w:color w:val="auto"/>
        </w:rPr>
      </w:pPr>
    </w:p>
    <w:p>
      <w:pPr>
        <w:ind w:left="620" w:hanging="567"/>
        <w:spacing w:after="0"/>
        <w:tabs>
          <w:tab w:leader="none" w:pos="6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Renewal leases represent expiring leases rolling over with the same tenant in the same location. All other leases are categorized as new.</w:t>
      </w:r>
    </w:p>
    <w:p>
      <w:pPr>
        <w:spacing w:after="0" w:line="41" w:lineRule="exact"/>
        <w:rPr>
          <w:rFonts w:ascii="Times New Roman" w:cs="Times New Roman" w:eastAsia="Times New Roman" w:hAnsi="Times New Roman"/>
          <w:sz w:val="14"/>
          <w:szCs w:val="14"/>
          <w:color w:val="auto"/>
        </w:rPr>
      </w:pPr>
    </w:p>
    <w:p>
      <w:pPr>
        <w:ind w:left="620" w:right="80" w:hanging="567"/>
        <w:spacing w:after="0" w:line="231" w:lineRule="auto"/>
        <w:tabs>
          <w:tab w:leader="none" w:pos="6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Leases Signed, GLA Signed, Contractual Rent Per Sq. Ft. and Weighted Average Lease Term columns include information for leases signed at Phase 3 of both of our Assembly Row and Pike &amp; Rose projects. The Tenant Improvements &amp; Incentives and Tenant Improvements &amp; Incentives Per Sq. Ft. columns do not include the tenant improvements and incentives on leases signed for those projects; these amounts for leases signed for Phase 3 of Assembly Row and Pike &amp; Rose are included in the Projected Cost column for those projects shown on the Assembly Row and Pike &amp; Rose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028" w:right="339" w:bottom="1440" w:gutter="0" w:footer="0" w:header="0"/>
        </w:sectPr>
      </w:pPr>
    </w:p>
    <w:bookmarkStart w:id="28" w:name="page29"/>
    <w:bookmarkEnd w:id="28"/>
    <w:p>
      <w:pPr>
        <w:ind w:left="1"/>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Lease Expirations</w:t>
      </w:r>
    </w:p>
    <w:p>
      <w:pPr>
        <w:spacing w:after="0" w:line="2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2682875"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82875" cy="154305"/>
                    </a:xfrm>
                    <a:prstGeom prst="rect">
                      <a:avLst/>
                    </a:prstGeom>
                    <a:noFill/>
                  </pic:spPr>
                </pic:pic>
              </a:graphicData>
            </a:graphic>
          </wp:anchor>
        </w:drawing>
      </w:r>
    </w:p>
    <w:p>
      <w:pPr>
        <w:spacing w:after="0" w:line="230" w:lineRule="exact"/>
        <w:rPr>
          <w:sz w:val="20"/>
          <w:szCs w:val="20"/>
          <w:color w:val="auto"/>
        </w:rPr>
      </w:pPr>
    </w:p>
    <w:p>
      <w:pPr>
        <w:ind w:left="21"/>
        <w:spacing w:after="0"/>
        <w:rPr>
          <w:sz w:val="20"/>
          <w:szCs w:val="20"/>
          <w:color w:val="auto"/>
        </w:rPr>
      </w:pPr>
      <w:r>
        <w:rPr>
          <w:rFonts w:ascii="Times New Roman" w:cs="Times New Roman" w:eastAsia="Times New Roman" w:hAnsi="Times New Roman"/>
          <w:sz w:val="16"/>
          <w:szCs w:val="16"/>
          <w:b w:val="1"/>
          <w:bCs w:val="1"/>
          <w:color w:val="auto"/>
        </w:rPr>
        <w:t>Assumes no exercise of lease options</w:t>
      </w:r>
    </w:p>
    <w:p>
      <w:pPr>
        <w:spacing w:after="0" w:line="118" w:lineRule="exact"/>
        <w:rPr>
          <w:sz w:val="20"/>
          <w:szCs w:val="20"/>
          <w:color w:val="auto"/>
        </w:rPr>
      </w:pPr>
    </w:p>
    <w:tbl>
      <w:tblPr>
        <w:tblLayout w:type="fixed"/>
        <w:tblInd w:w="11" w:type="dxa"/>
        <w:tblCellMar>
          <w:top w:w="0" w:type="dxa"/>
          <w:left w:w="0" w:type="dxa"/>
          <w:bottom w:w="0" w:type="dxa"/>
          <w:right w:w="0" w:type="dxa"/>
        </w:tblCellMar>
      </w:tblPr>
      <w:tr>
        <w:trPr>
          <w:trHeight w:val="190"/>
        </w:trPr>
        <w:tc>
          <w:tcPr>
            <w:tcW w:w="980" w:type="dxa"/>
            <w:vAlign w:val="bottom"/>
          </w:tcPr>
          <w:p>
            <w:pPr>
              <w:spacing w:after="0"/>
              <w:rPr>
                <w:sz w:val="16"/>
                <w:szCs w:val="16"/>
                <w:color w:val="auto"/>
              </w:rPr>
            </w:pPr>
          </w:p>
        </w:tc>
        <w:tc>
          <w:tcPr>
            <w:tcW w:w="2220" w:type="dxa"/>
            <w:vAlign w:val="bottom"/>
            <w:gridSpan w:val="2"/>
          </w:tcPr>
          <w:p>
            <w:pPr>
              <w:ind w:left="1020"/>
              <w:spacing w:after="0"/>
              <w:rPr>
                <w:sz w:val="20"/>
                <w:szCs w:val="20"/>
                <w:color w:val="auto"/>
              </w:rPr>
            </w:pPr>
            <w:r>
              <w:rPr>
                <w:rFonts w:ascii="Times New Roman" w:cs="Times New Roman" w:eastAsia="Times New Roman" w:hAnsi="Times New Roman"/>
                <w:sz w:val="14"/>
                <w:szCs w:val="14"/>
                <w:b w:val="1"/>
                <w:bCs w:val="1"/>
                <w:color w:val="auto"/>
              </w:rPr>
              <w:t>Anchor Tenants (1)</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gridSpan w:val="2"/>
          </w:tcPr>
          <w:p>
            <w:pPr>
              <w:ind w:left="1020"/>
              <w:spacing w:after="0"/>
              <w:rPr>
                <w:sz w:val="20"/>
                <w:szCs w:val="20"/>
                <w:color w:val="auto"/>
              </w:rPr>
            </w:pPr>
            <w:r>
              <w:rPr>
                <w:rFonts w:ascii="Times New Roman" w:cs="Times New Roman" w:eastAsia="Times New Roman" w:hAnsi="Times New Roman"/>
                <w:sz w:val="14"/>
                <w:szCs w:val="14"/>
                <w:b w:val="1"/>
                <w:bCs w:val="1"/>
                <w:color w:val="auto"/>
              </w:rPr>
              <w:t>Small Shop Tenants</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2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40" w:type="dxa"/>
            <w:vAlign w:val="bottom"/>
            <w:gridSpan w:val="3"/>
          </w:tcPr>
          <w:p>
            <w:pPr>
              <w:spacing w:after="0"/>
              <w:rPr>
                <w:sz w:val="2"/>
                <w:szCs w:val="2"/>
                <w:color w:val="auto"/>
              </w:rPr>
            </w:pPr>
          </w:p>
        </w:tc>
        <w:tc>
          <w:tcPr>
            <w:tcW w:w="1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60" w:type="dxa"/>
            <w:vAlign w:val="bottom"/>
            <w:gridSpan w:val="3"/>
          </w:tcPr>
          <w:p>
            <w:pPr>
              <w:spacing w:after="0"/>
              <w:rPr>
                <w:sz w:val="2"/>
                <w:szCs w:val="2"/>
                <w:color w:val="auto"/>
              </w:rPr>
            </w:pPr>
          </w:p>
        </w:tc>
        <w:tc>
          <w:tcPr>
            <w:tcW w:w="1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980" w:type="dxa"/>
            <w:vAlign w:val="bottom"/>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0" w:type="dxa"/>
            <w:vAlign w:val="bottom"/>
            <w:tcBorders>
              <w:top w:val="single" w:sz="8" w:color="auto"/>
            </w:tcBorders>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Expiring SF</w:t>
            </w:r>
          </w:p>
        </w:tc>
        <w:tc>
          <w:tcPr>
            <w:tcW w:w="10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 of Anchor</w:t>
            </w:r>
          </w:p>
        </w:tc>
        <w:tc>
          <w:tcPr>
            <w:tcW w:w="1020" w:type="dxa"/>
            <w:vAlign w:val="bottom"/>
            <w:tcBorders>
              <w:top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Minimum Rent</w:t>
            </w:r>
          </w:p>
        </w:tc>
        <w:tc>
          <w:tcPr>
            <w:tcW w:w="220" w:type="dxa"/>
            <w:vAlign w:val="bottom"/>
          </w:tcPr>
          <w:p>
            <w:pPr>
              <w:spacing w:after="0"/>
              <w:rPr>
                <w:sz w:val="11"/>
                <w:szCs w:val="11"/>
                <w:color w:val="auto"/>
              </w:rPr>
            </w:pPr>
          </w:p>
        </w:tc>
        <w:tc>
          <w:tcPr>
            <w:tcW w:w="1240" w:type="dxa"/>
            <w:vAlign w:val="bottom"/>
            <w:tcBorders>
              <w:top w:val="single" w:sz="8" w:color="auto"/>
            </w:tcBorders>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Expiring SF</w:t>
            </w:r>
          </w:p>
        </w:tc>
        <w:tc>
          <w:tcPr>
            <w:tcW w:w="10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 of Small</w:t>
            </w:r>
          </w:p>
        </w:tc>
        <w:tc>
          <w:tcPr>
            <w:tcW w:w="1020" w:type="dxa"/>
            <w:vAlign w:val="bottom"/>
            <w:tcBorders>
              <w:top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Minimum Rent</w:t>
            </w:r>
          </w:p>
        </w:tc>
        <w:tc>
          <w:tcPr>
            <w:tcW w:w="240" w:type="dxa"/>
            <w:vAlign w:val="bottom"/>
          </w:tcPr>
          <w:p>
            <w:pPr>
              <w:spacing w:after="0"/>
              <w:rPr>
                <w:sz w:val="11"/>
                <w:szCs w:val="11"/>
                <w:color w:val="auto"/>
              </w:rPr>
            </w:pPr>
          </w:p>
        </w:tc>
        <w:tc>
          <w:tcPr>
            <w:tcW w:w="1300" w:type="dxa"/>
            <w:vAlign w:val="bottom"/>
            <w:tcBorders>
              <w:top w:val="single" w:sz="8" w:color="auto"/>
            </w:tcBorders>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Expiring SF (4)</w:t>
            </w:r>
          </w:p>
        </w:tc>
        <w:tc>
          <w:tcPr>
            <w:tcW w:w="920" w:type="dxa"/>
            <w:vAlign w:val="bottom"/>
            <w:tcBorders>
              <w:top w:val="single" w:sz="8" w:color="auto"/>
            </w:tcBorders>
          </w:tcPr>
          <w:p>
            <w:pPr>
              <w:jc w:val="right"/>
              <w:ind w:right="101"/>
              <w:spacing w:after="0" w:line="129"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10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Minimum Rent</w:t>
            </w:r>
          </w:p>
        </w:tc>
        <w:tc>
          <w:tcPr>
            <w:tcW w:w="0" w:type="dxa"/>
            <w:vAlign w:val="bottom"/>
          </w:tcPr>
          <w:p>
            <w:pPr>
              <w:spacing w:after="0"/>
              <w:rPr>
                <w:sz w:val="1"/>
                <w:szCs w:val="1"/>
                <w:color w:val="auto"/>
              </w:rPr>
            </w:pPr>
          </w:p>
        </w:tc>
      </w:tr>
      <w:tr>
        <w:trPr>
          <w:trHeight w:val="196"/>
        </w:trPr>
        <w:tc>
          <w:tcPr>
            <w:tcW w:w="9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02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SF</w:t>
            </w:r>
          </w:p>
        </w:tc>
        <w:tc>
          <w:tcPr>
            <w:tcW w:w="120" w:type="dxa"/>
            <w:vAlign w:val="bottom"/>
          </w:tcPr>
          <w:p>
            <w:pPr>
              <w:spacing w:after="0"/>
              <w:rPr>
                <w:sz w:val="17"/>
                <w:szCs w:val="17"/>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PSF (2)</w:t>
            </w:r>
          </w:p>
        </w:tc>
        <w:tc>
          <w:tcPr>
            <w:tcW w:w="1240" w:type="dxa"/>
            <w:vAlign w:val="bottom"/>
            <w:vMerge w:val="continue"/>
          </w:tcPr>
          <w:p>
            <w:pPr>
              <w:spacing w:after="0"/>
              <w:rPr>
                <w:sz w:val="17"/>
                <w:szCs w:val="17"/>
                <w:color w:val="auto"/>
              </w:rPr>
            </w:pPr>
          </w:p>
        </w:tc>
        <w:tc>
          <w:tcPr>
            <w:tcW w:w="100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Shop SF</w:t>
            </w:r>
          </w:p>
        </w:tc>
        <w:tc>
          <w:tcPr>
            <w:tcW w:w="140" w:type="dxa"/>
            <w:vAlign w:val="bottom"/>
          </w:tcPr>
          <w:p>
            <w:pPr>
              <w:spacing w:after="0"/>
              <w:rPr>
                <w:sz w:val="17"/>
                <w:szCs w:val="17"/>
                <w:color w:val="auto"/>
              </w:rPr>
            </w:pPr>
          </w:p>
        </w:tc>
        <w:tc>
          <w:tcPr>
            <w:tcW w:w="11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PSF (2)</w:t>
            </w:r>
          </w:p>
        </w:tc>
        <w:tc>
          <w:tcPr>
            <w:tcW w:w="1300" w:type="dxa"/>
            <w:vAlign w:val="bottom"/>
            <w:vMerge w:val="continue"/>
          </w:tcPr>
          <w:p>
            <w:pPr>
              <w:spacing w:after="0"/>
              <w:rPr>
                <w:sz w:val="17"/>
                <w:szCs w:val="17"/>
                <w:color w:val="auto"/>
              </w:rPr>
            </w:pPr>
          </w:p>
        </w:tc>
        <w:tc>
          <w:tcPr>
            <w:tcW w:w="92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SF</w:t>
            </w:r>
          </w:p>
        </w:tc>
        <w:tc>
          <w:tcPr>
            <w:tcW w:w="102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PSF (2)</w:t>
            </w:r>
          </w:p>
        </w:tc>
        <w:tc>
          <w:tcPr>
            <w:tcW w:w="0" w:type="dxa"/>
            <w:vAlign w:val="bottom"/>
          </w:tcPr>
          <w:p>
            <w:pPr>
              <w:spacing w:after="0"/>
              <w:rPr>
                <w:sz w:val="1"/>
                <w:szCs w:val="1"/>
                <w:color w:val="auto"/>
              </w:rPr>
            </w:pPr>
          </w:p>
        </w:tc>
      </w:tr>
      <w:tr>
        <w:trPr>
          <w:trHeight w:val="216"/>
        </w:trPr>
        <w:tc>
          <w:tcPr>
            <w:tcW w:w="980" w:type="dxa"/>
            <w:vAlign w:val="bottom"/>
            <w:tcBorders>
              <w:top w:val="single" w:sz="8" w:color="auto"/>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114,000</w:t>
            </w:r>
          </w:p>
        </w:tc>
        <w:tc>
          <w:tcPr>
            <w:tcW w:w="1140" w:type="dxa"/>
            <w:vAlign w:val="bottom"/>
            <w:tcBorders>
              <w:top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1 % $</w:t>
            </w: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19.28</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252,000</w:t>
            </w:r>
          </w:p>
        </w:tc>
        <w:tc>
          <w:tcPr>
            <w:tcW w:w="1140" w:type="dxa"/>
            <w:vAlign w:val="bottom"/>
            <w:tcBorders>
              <w:top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3 % $</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32.00</w:t>
            </w: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366,000</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 $</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28.04</w:t>
            </w:r>
          </w:p>
        </w:tc>
        <w:tc>
          <w:tcPr>
            <w:tcW w:w="0" w:type="dxa"/>
            <w:vAlign w:val="bottom"/>
          </w:tcPr>
          <w:p>
            <w:pPr>
              <w:spacing w:after="0"/>
              <w:rPr>
                <w:sz w:val="1"/>
                <w:szCs w:val="1"/>
                <w:color w:val="auto"/>
              </w:rPr>
            </w:pPr>
          </w:p>
        </w:tc>
      </w:tr>
      <w:tr>
        <w:trPr>
          <w:trHeight w:val="214"/>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5 % $</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23.63</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786,000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10 % $</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41.85</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1,667,000</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32.23</w:t>
            </w:r>
          </w:p>
        </w:tc>
        <w:tc>
          <w:tcPr>
            <w:tcW w:w="0" w:type="dxa"/>
            <w:vAlign w:val="bottom"/>
          </w:tcPr>
          <w:p>
            <w:pPr>
              <w:spacing w:after="0"/>
              <w:rPr>
                <w:sz w:val="1"/>
                <w:szCs w:val="1"/>
                <w:color w:val="auto"/>
              </w:rPr>
            </w:pPr>
          </w:p>
        </w:tc>
      </w:tr>
      <w:tr>
        <w:trPr>
          <w:trHeight w:val="218"/>
        </w:trPr>
        <w:tc>
          <w:tcPr>
            <w:tcW w:w="9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2,272,000</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14 % $</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19.47</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1,111,000</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14 %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46.61</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3,382,000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28.38</w:t>
            </w:r>
          </w:p>
        </w:tc>
        <w:tc>
          <w:tcPr>
            <w:tcW w:w="0" w:type="dxa"/>
            <w:vAlign w:val="bottom"/>
          </w:tcPr>
          <w:p>
            <w:pPr>
              <w:spacing w:after="0"/>
              <w:rPr>
                <w:sz w:val="1"/>
                <w:szCs w:val="1"/>
                <w:color w:val="auto"/>
              </w:rPr>
            </w:pPr>
          </w:p>
        </w:tc>
      </w:tr>
      <w:tr>
        <w:trPr>
          <w:trHeight w:val="214"/>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2,248,000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14 % $</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18.78</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1,131,000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15 % $</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41.63</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3,379,000</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26.43</w:t>
            </w:r>
          </w:p>
        </w:tc>
        <w:tc>
          <w:tcPr>
            <w:tcW w:w="0" w:type="dxa"/>
            <w:vAlign w:val="bottom"/>
          </w:tcPr>
          <w:p>
            <w:pPr>
              <w:spacing w:after="0"/>
              <w:rPr>
                <w:sz w:val="1"/>
                <w:szCs w:val="1"/>
                <w:color w:val="auto"/>
              </w:rPr>
            </w:pPr>
          </w:p>
        </w:tc>
      </w:tr>
      <w:tr>
        <w:trPr>
          <w:trHeight w:val="218"/>
        </w:trPr>
        <w:tc>
          <w:tcPr>
            <w:tcW w:w="9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1,362,000</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9 % $</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21.30</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862,000</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11 %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48.95</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2,224,000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32.02</w:t>
            </w:r>
          </w:p>
        </w:tc>
        <w:tc>
          <w:tcPr>
            <w:tcW w:w="0" w:type="dxa"/>
            <w:vAlign w:val="bottom"/>
          </w:tcPr>
          <w:p>
            <w:pPr>
              <w:spacing w:after="0"/>
              <w:rPr>
                <w:sz w:val="1"/>
                <w:szCs w:val="1"/>
                <w:color w:val="auto"/>
              </w:rPr>
            </w:pPr>
          </w:p>
        </w:tc>
      </w:tr>
      <w:tr>
        <w:trPr>
          <w:trHeight w:val="214"/>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2027</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1,964,000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12 % $</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24.75</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953,000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12 % $</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50.40</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2,917,000</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33.13</w:t>
            </w:r>
          </w:p>
        </w:tc>
        <w:tc>
          <w:tcPr>
            <w:tcW w:w="0" w:type="dxa"/>
            <w:vAlign w:val="bottom"/>
          </w:tcPr>
          <w:p>
            <w:pPr>
              <w:spacing w:after="0"/>
              <w:rPr>
                <w:sz w:val="1"/>
                <w:szCs w:val="1"/>
                <w:color w:val="auto"/>
              </w:rPr>
            </w:pPr>
          </w:p>
        </w:tc>
      </w:tr>
      <w:tr>
        <w:trPr>
          <w:trHeight w:val="218"/>
        </w:trPr>
        <w:tc>
          <w:tcPr>
            <w:tcW w:w="9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2028</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1,593,000</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10 % $</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19.62</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721,000</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9 %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50.98</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2,314,000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29.39</w:t>
            </w:r>
          </w:p>
        </w:tc>
        <w:tc>
          <w:tcPr>
            <w:tcW w:w="0" w:type="dxa"/>
            <w:vAlign w:val="bottom"/>
          </w:tcPr>
          <w:p>
            <w:pPr>
              <w:spacing w:after="0"/>
              <w:rPr>
                <w:sz w:val="1"/>
                <w:szCs w:val="1"/>
                <w:color w:val="auto"/>
              </w:rPr>
            </w:pPr>
          </w:p>
        </w:tc>
      </w:tr>
      <w:tr>
        <w:trPr>
          <w:trHeight w:val="214"/>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2029</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1,132,000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7 % $</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29.23</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484,000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6 % $</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46.15</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1,616,000</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34.29</w:t>
            </w:r>
          </w:p>
        </w:tc>
        <w:tc>
          <w:tcPr>
            <w:tcW w:w="0" w:type="dxa"/>
            <w:vAlign w:val="bottom"/>
          </w:tcPr>
          <w:p>
            <w:pPr>
              <w:spacing w:after="0"/>
              <w:rPr>
                <w:sz w:val="1"/>
                <w:szCs w:val="1"/>
                <w:color w:val="auto"/>
              </w:rPr>
            </w:pPr>
          </w:p>
        </w:tc>
      </w:tr>
      <w:tr>
        <w:trPr>
          <w:trHeight w:val="218"/>
        </w:trPr>
        <w:tc>
          <w:tcPr>
            <w:tcW w:w="9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2030</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827,000</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5 % $</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18.06</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304,000</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4 %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50.22</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1,131,000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26.72</w:t>
            </w:r>
          </w:p>
        </w:tc>
        <w:tc>
          <w:tcPr>
            <w:tcW w:w="0" w:type="dxa"/>
            <w:vAlign w:val="bottom"/>
          </w:tcPr>
          <w:p>
            <w:pPr>
              <w:spacing w:after="0"/>
              <w:rPr>
                <w:sz w:val="1"/>
                <w:szCs w:val="1"/>
                <w:color w:val="auto"/>
              </w:rPr>
            </w:pPr>
          </w:p>
        </w:tc>
      </w:tr>
      <w:tr>
        <w:trPr>
          <w:trHeight w:val="214"/>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2031</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3 % $</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30.37</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424,000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6 % $</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44.32</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876,000</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4 %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37.12</w:t>
            </w:r>
          </w:p>
        </w:tc>
        <w:tc>
          <w:tcPr>
            <w:tcW w:w="0" w:type="dxa"/>
            <w:vAlign w:val="bottom"/>
          </w:tcPr>
          <w:p>
            <w:pPr>
              <w:spacing w:after="0"/>
              <w:rPr>
                <w:sz w:val="1"/>
                <w:szCs w:val="1"/>
                <w:color w:val="auto"/>
              </w:rPr>
            </w:pPr>
          </w:p>
        </w:tc>
      </w:tr>
      <w:tr>
        <w:trPr>
          <w:trHeight w:val="216"/>
        </w:trPr>
        <w:tc>
          <w:tcPr>
            <w:tcW w:w="9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3,152,000</w:t>
            </w:r>
          </w:p>
        </w:tc>
        <w:tc>
          <w:tcPr>
            <w:tcW w:w="1140" w:type="dxa"/>
            <w:vAlign w:val="bottom"/>
            <w:tcBorders>
              <w:bottom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20 % $</w:t>
            </w: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26.25</w:t>
            </w:r>
          </w:p>
        </w:tc>
        <w:tc>
          <w:tcPr>
            <w:tcW w:w="2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740,000</w:t>
            </w:r>
          </w:p>
        </w:tc>
        <w:tc>
          <w:tcPr>
            <w:tcW w:w="1140" w:type="dxa"/>
            <w:vAlign w:val="bottom"/>
            <w:tcBorders>
              <w:bottom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10 %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44.91</w:t>
            </w:r>
          </w:p>
        </w:tc>
        <w:tc>
          <w:tcPr>
            <w:tcW w:w="24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3,893,000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 $</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29.80</w:t>
            </w:r>
          </w:p>
        </w:tc>
        <w:tc>
          <w:tcPr>
            <w:tcW w:w="0" w:type="dxa"/>
            <w:vAlign w:val="bottom"/>
          </w:tcPr>
          <w:p>
            <w:pPr>
              <w:spacing w:after="0"/>
              <w:rPr>
                <w:sz w:val="1"/>
                <w:szCs w:val="1"/>
                <w:color w:val="auto"/>
              </w:rPr>
            </w:pPr>
          </w:p>
        </w:tc>
      </w:tr>
      <w:tr>
        <w:trPr>
          <w:trHeight w:val="211"/>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Total (3)</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15,997,000</w:t>
            </w:r>
          </w:p>
        </w:tc>
        <w:tc>
          <w:tcPr>
            <w:tcW w:w="1140" w:type="dxa"/>
            <w:vAlign w:val="bottom"/>
            <w:tcBorders>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100 % $</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22.68</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7,768,000</w:t>
            </w:r>
          </w:p>
        </w:tc>
        <w:tc>
          <w:tcPr>
            <w:tcW w:w="1140" w:type="dxa"/>
            <w:vAlign w:val="bottom"/>
            <w:tcBorders>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100 % $</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45.89</w:t>
            </w:r>
          </w:p>
        </w:tc>
        <w:tc>
          <w:tcPr>
            <w:tcW w:w="240" w:type="dxa"/>
            <w:vAlign w:val="bottom"/>
          </w:tcPr>
          <w:p>
            <w:pPr>
              <w:spacing w:after="0"/>
              <w:rPr>
                <w:sz w:val="18"/>
                <w:szCs w:val="18"/>
                <w:color w:val="auto"/>
              </w:rPr>
            </w:pPr>
          </w:p>
        </w:tc>
        <w:tc>
          <w:tcPr>
            <w:tcW w:w="13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23,765,000</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 $</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30.27</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9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200" w:type="dxa"/>
            <w:vAlign w:val="bottom"/>
            <w:tcBorders>
              <w:left w:val="single" w:sz="8" w:color="auto"/>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Assumes all lease options are exercised</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980" w:type="dxa"/>
            <w:vAlign w:val="bottom"/>
          </w:tcPr>
          <w:p>
            <w:pPr>
              <w:spacing w:after="0"/>
              <w:rPr>
                <w:sz w:val="22"/>
                <w:szCs w:val="22"/>
                <w:color w:val="auto"/>
              </w:rPr>
            </w:pPr>
          </w:p>
        </w:tc>
        <w:tc>
          <w:tcPr>
            <w:tcW w:w="2220" w:type="dxa"/>
            <w:vAlign w:val="bottom"/>
            <w:gridSpan w:val="2"/>
          </w:tcPr>
          <w:p>
            <w:pPr>
              <w:ind w:left="1020"/>
              <w:spacing w:after="0"/>
              <w:rPr>
                <w:sz w:val="20"/>
                <w:szCs w:val="20"/>
                <w:color w:val="auto"/>
              </w:rPr>
            </w:pPr>
            <w:r>
              <w:rPr>
                <w:rFonts w:ascii="Times New Roman" w:cs="Times New Roman" w:eastAsia="Times New Roman" w:hAnsi="Times New Roman"/>
                <w:sz w:val="14"/>
                <w:szCs w:val="14"/>
                <w:b w:val="1"/>
                <w:bCs w:val="1"/>
                <w:color w:val="auto"/>
              </w:rPr>
              <w:t>Anchor Tenants (1)</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40" w:type="dxa"/>
            <w:vAlign w:val="bottom"/>
            <w:gridSpan w:val="2"/>
          </w:tcPr>
          <w:p>
            <w:pPr>
              <w:ind w:left="1020"/>
              <w:spacing w:after="0"/>
              <w:rPr>
                <w:sz w:val="20"/>
                <w:szCs w:val="20"/>
                <w:color w:val="auto"/>
              </w:rPr>
            </w:pPr>
            <w:r>
              <w:rPr>
                <w:rFonts w:ascii="Times New Roman" w:cs="Times New Roman" w:eastAsia="Times New Roman" w:hAnsi="Times New Roman"/>
                <w:sz w:val="14"/>
                <w:szCs w:val="14"/>
                <w:b w:val="1"/>
                <w:bCs w:val="1"/>
                <w:color w:val="auto"/>
              </w:rPr>
              <w:t>Small Shop Tenants</w:t>
            </w: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92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60" w:type="dxa"/>
            <w:vAlign w:val="bottom"/>
            <w:gridSpan w:val="3"/>
          </w:tcPr>
          <w:p>
            <w:pPr>
              <w:spacing w:after="0"/>
              <w:rPr>
                <w:sz w:val="2"/>
                <w:szCs w:val="2"/>
                <w:color w:val="auto"/>
              </w:rPr>
            </w:pPr>
          </w:p>
        </w:tc>
        <w:tc>
          <w:tcPr>
            <w:tcW w:w="1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980" w:type="dxa"/>
            <w:vAlign w:val="bottom"/>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0" w:type="dxa"/>
            <w:vAlign w:val="bottom"/>
            <w:tcBorders>
              <w:top w:val="single" w:sz="8" w:color="auto"/>
            </w:tcBorders>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Expiring SF</w:t>
            </w:r>
          </w:p>
        </w:tc>
        <w:tc>
          <w:tcPr>
            <w:tcW w:w="10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 of Anchor</w:t>
            </w:r>
          </w:p>
        </w:tc>
        <w:tc>
          <w:tcPr>
            <w:tcW w:w="1020" w:type="dxa"/>
            <w:vAlign w:val="bottom"/>
            <w:tcBorders>
              <w:top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Minimum Rent</w:t>
            </w:r>
          </w:p>
        </w:tc>
        <w:tc>
          <w:tcPr>
            <w:tcW w:w="220" w:type="dxa"/>
            <w:vAlign w:val="bottom"/>
          </w:tcPr>
          <w:p>
            <w:pPr>
              <w:spacing w:after="0"/>
              <w:rPr>
                <w:sz w:val="11"/>
                <w:szCs w:val="11"/>
                <w:color w:val="auto"/>
              </w:rPr>
            </w:pPr>
          </w:p>
        </w:tc>
        <w:tc>
          <w:tcPr>
            <w:tcW w:w="1240" w:type="dxa"/>
            <w:vAlign w:val="bottom"/>
            <w:tcBorders>
              <w:top w:val="single" w:sz="8" w:color="auto"/>
            </w:tcBorders>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Expiring SF</w:t>
            </w:r>
          </w:p>
        </w:tc>
        <w:tc>
          <w:tcPr>
            <w:tcW w:w="10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 of Small</w:t>
            </w:r>
          </w:p>
        </w:tc>
        <w:tc>
          <w:tcPr>
            <w:tcW w:w="1020" w:type="dxa"/>
            <w:vAlign w:val="bottom"/>
            <w:tcBorders>
              <w:top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Minimum Rent</w:t>
            </w:r>
          </w:p>
        </w:tc>
        <w:tc>
          <w:tcPr>
            <w:tcW w:w="240" w:type="dxa"/>
            <w:vAlign w:val="bottom"/>
          </w:tcPr>
          <w:p>
            <w:pPr>
              <w:spacing w:after="0"/>
              <w:rPr>
                <w:sz w:val="11"/>
                <w:szCs w:val="11"/>
                <w:color w:val="auto"/>
              </w:rPr>
            </w:pPr>
          </w:p>
        </w:tc>
        <w:tc>
          <w:tcPr>
            <w:tcW w:w="1300" w:type="dxa"/>
            <w:vAlign w:val="bottom"/>
            <w:tcBorders>
              <w:top w:val="single" w:sz="8" w:color="auto"/>
            </w:tcBorders>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Expiring SF (4)</w:t>
            </w:r>
          </w:p>
        </w:tc>
        <w:tc>
          <w:tcPr>
            <w:tcW w:w="920" w:type="dxa"/>
            <w:vAlign w:val="bottom"/>
            <w:tcBorders>
              <w:top w:val="single" w:sz="8" w:color="auto"/>
            </w:tcBorders>
          </w:tcPr>
          <w:p>
            <w:pPr>
              <w:jc w:val="right"/>
              <w:ind w:right="101"/>
              <w:spacing w:after="0" w:line="129"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10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Minimum Rent</w:t>
            </w:r>
          </w:p>
        </w:tc>
        <w:tc>
          <w:tcPr>
            <w:tcW w:w="0" w:type="dxa"/>
            <w:vAlign w:val="bottom"/>
          </w:tcPr>
          <w:p>
            <w:pPr>
              <w:spacing w:after="0"/>
              <w:rPr>
                <w:sz w:val="1"/>
                <w:szCs w:val="1"/>
                <w:color w:val="auto"/>
              </w:rPr>
            </w:pPr>
          </w:p>
        </w:tc>
      </w:tr>
      <w:tr>
        <w:trPr>
          <w:trHeight w:val="196"/>
        </w:trPr>
        <w:tc>
          <w:tcPr>
            <w:tcW w:w="9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02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SF</w:t>
            </w:r>
          </w:p>
        </w:tc>
        <w:tc>
          <w:tcPr>
            <w:tcW w:w="120" w:type="dxa"/>
            <w:vAlign w:val="bottom"/>
          </w:tcPr>
          <w:p>
            <w:pPr>
              <w:spacing w:after="0"/>
              <w:rPr>
                <w:sz w:val="17"/>
                <w:szCs w:val="17"/>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PSF (2)</w:t>
            </w:r>
          </w:p>
        </w:tc>
        <w:tc>
          <w:tcPr>
            <w:tcW w:w="1240" w:type="dxa"/>
            <w:vAlign w:val="bottom"/>
            <w:vMerge w:val="continue"/>
          </w:tcPr>
          <w:p>
            <w:pPr>
              <w:spacing w:after="0"/>
              <w:rPr>
                <w:sz w:val="17"/>
                <w:szCs w:val="17"/>
                <w:color w:val="auto"/>
              </w:rPr>
            </w:pPr>
          </w:p>
        </w:tc>
        <w:tc>
          <w:tcPr>
            <w:tcW w:w="100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Shop SF</w:t>
            </w:r>
          </w:p>
        </w:tc>
        <w:tc>
          <w:tcPr>
            <w:tcW w:w="140" w:type="dxa"/>
            <w:vAlign w:val="bottom"/>
          </w:tcPr>
          <w:p>
            <w:pPr>
              <w:spacing w:after="0"/>
              <w:rPr>
                <w:sz w:val="17"/>
                <w:szCs w:val="17"/>
                <w:color w:val="auto"/>
              </w:rPr>
            </w:pPr>
          </w:p>
        </w:tc>
        <w:tc>
          <w:tcPr>
            <w:tcW w:w="11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PSF (2)</w:t>
            </w:r>
          </w:p>
        </w:tc>
        <w:tc>
          <w:tcPr>
            <w:tcW w:w="1300" w:type="dxa"/>
            <w:vAlign w:val="bottom"/>
            <w:vMerge w:val="continue"/>
          </w:tcPr>
          <w:p>
            <w:pPr>
              <w:spacing w:after="0"/>
              <w:rPr>
                <w:sz w:val="17"/>
                <w:szCs w:val="17"/>
                <w:color w:val="auto"/>
              </w:rPr>
            </w:pPr>
          </w:p>
        </w:tc>
        <w:tc>
          <w:tcPr>
            <w:tcW w:w="92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SF</w:t>
            </w:r>
          </w:p>
        </w:tc>
        <w:tc>
          <w:tcPr>
            <w:tcW w:w="102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PSF (2)</w:t>
            </w:r>
          </w:p>
        </w:tc>
        <w:tc>
          <w:tcPr>
            <w:tcW w:w="0" w:type="dxa"/>
            <w:vAlign w:val="bottom"/>
          </w:tcPr>
          <w:p>
            <w:pPr>
              <w:spacing w:after="0"/>
              <w:rPr>
                <w:sz w:val="1"/>
                <w:szCs w:val="1"/>
                <w:color w:val="auto"/>
              </w:rPr>
            </w:pPr>
          </w:p>
        </w:tc>
      </w:tr>
      <w:tr>
        <w:trPr>
          <w:trHeight w:val="216"/>
        </w:trPr>
        <w:tc>
          <w:tcPr>
            <w:tcW w:w="980" w:type="dxa"/>
            <w:vAlign w:val="bottom"/>
            <w:tcBorders>
              <w:top w:val="single" w:sz="8" w:color="auto"/>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114,000</w:t>
            </w:r>
          </w:p>
        </w:tc>
        <w:tc>
          <w:tcPr>
            <w:tcW w:w="1140" w:type="dxa"/>
            <w:vAlign w:val="bottom"/>
            <w:tcBorders>
              <w:top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1 % $</w:t>
            </w: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19.28</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251,000</w:t>
            </w:r>
          </w:p>
        </w:tc>
        <w:tc>
          <w:tcPr>
            <w:tcW w:w="1140" w:type="dxa"/>
            <w:vAlign w:val="bottom"/>
            <w:tcBorders>
              <w:top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3 % $</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32.14</w:t>
            </w: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365,000</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 $</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28.13</w:t>
            </w:r>
          </w:p>
        </w:tc>
        <w:tc>
          <w:tcPr>
            <w:tcW w:w="0" w:type="dxa"/>
            <w:vAlign w:val="bottom"/>
          </w:tcPr>
          <w:p>
            <w:pPr>
              <w:spacing w:after="0"/>
              <w:rPr>
                <w:sz w:val="1"/>
                <w:szCs w:val="1"/>
                <w:color w:val="auto"/>
              </w:rPr>
            </w:pPr>
          </w:p>
        </w:tc>
      </w:tr>
      <w:tr>
        <w:trPr>
          <w:trHeight w:val="214"/>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3 % $</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26.17</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643,000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8 % $</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42.78</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1,077,000</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5 %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36.07</w:t>
            </w:r>
          </w:p>
        </w:tc>
        <w:tc>
          <w:tcPr>
            <w:tcW w:w="0" w:type="dxa"/>
            <w:vAlign w:val="bottom"/>
          </w:tcPr>
          <w:p>
            <w:pPr>
              <w:spacing w:after="0"/>
              <w:rPr>
                <w:sz w:val="1"/>
                <w:szCs w:val="1"/>
                <w:color w:val="auto"/>
              </w:rPr>
            </w:pPr>
          </w:p>
        </w:tc>
      </w:tr>
      <w:tr>
        <w:trPr>
          <w:trHeight w:val="218"/>
        </w:trPr>
        <w:tc>
          <w:tcPr>
            <w:tcW w:w="9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635,000</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4 % $</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619,000</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8 %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45.71</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1,255,000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33.45</w:t>
            </w:r>
          </w:p>
        </w:tc>
        <w:tc>
          <w:tcPr>
            <w:tcW w:w="0" w:type="dxa"/>
            <w:vAlign w:val="bottom"/>
          </w:tcPr>
          <w:p>
            <w:pPr>
              <w:spacing w:after="0"/>
              <w:rPr>
                <w:sz w:val="1"/>
                <w:szCs w:val="1"/>
                <w:color w:val="auto"/>
              </w:rPr>
            </w:pPr>
          </w:p>
        </w:tc>
      </w:tr>
      <w:tr>
        <w:trPr>
          <w:trHeight w:val="214"/>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5 % $</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15.72</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740,000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10 % $</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39.05</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1,528,000</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6 %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27.02</w:t>
            </w:r>
          </w:p>
        </w:tc>
        <w:tc>
          <w:tcPr>
            <w:tcW w:w="0" w:type="dxa"/>
            <w:vAlign w:val="bottom"/>
          </w:tcPr>
          <w:p>
            <w:pPr>
              <w:spacing w:after="0"/>
              <w:rPr>
                <w:sz w:val="1"/>
                <w:szCs w:val="1"/>
                <w:color w:val="auto"/>
              </w:rPr>
            </w:pPr>
          </w:p>
        </w:tc>
      </w:tr>
      <w:tr>
        <w:trPr>
          <w:trHeight w:val="218"/>
        </w:trPr>
        <w:tc>
          <w:tcPr>
            <w:tcW w:w="9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418,000</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2 % $</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22.18</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476,000</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6 %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48.94</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894,000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36.44</w:t>
            </w:r>
          </w:p>
        </w:tc>
        <w:tc>
          <w:tcPr>
            <w:tcW w:w="0" w:type="dxa"/>
            <w:vAlign w:val="bottom"/>
          </w:tcPr>
          <w:p>
            <w:pPr>
              <w:spacing w:after="0"/>
              <w:rPr>
                <w:sz w:val="1"/>
                <w:szCs w:val="1"/>
                <w:color w:val="auto"/>
              </w:rPr>
            </w:pPr>
          </w:p>
        </w:tc>
      </w:tr>
      <w:tr>
        <w:trPr>
          <w:trHeight w:val="214"/>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2027</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3 % $</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20.92</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499,000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6 % $</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50.97</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963,000</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4 %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36.49</w:t>
            </w:r>
          </w:p>
        </w:tc>
        <w:tc>
          <w:tcPr>
            <w:tcW w:w="0" w:type="dxa"/>
            <w:vAlign w:val="bottom"/>
          </w:tcPr>
          <w:p>
            <w:pPr>
              <w:spacing w:after="0"/>
              <w:rPr>
                <w:sz w:val="1"/>
                <w:szCs w:val="1"/>
                <w:color w:val="auto"/>
              </w:rPr>
            </w:pPr>
          </w:p>
        </w:tc>
      </w:tr>
      <w:tr>
        <w:trPr>
          <w:trHeight w:val="218"/>
        </w:trPr>
        <w:tc>
          <w:tcPr>
            <w:tcW w:w="9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2028</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664,000</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4 % $</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416,000</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5 %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45.98</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1,080,000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27.79</w:t>
            </w:r>
          </w:p>
        </w:tc>
        <w:tc>
          <w:tcPr>
            <w:tcW w:w="0" w:type="dxa"/>
            <w:vAlign w:val="bottom"/>
          </w:tcPr>
          <w:p>
            <w:pPr>
              <w:spacing w:after="0"/>
              <w:rPr>
                <w:sz w:val="1"/>
                <w:szCs w:val="1"/>
                <w:color w:val="auto"/>
              </w:rPr>
            </w:pPr>
          </w:p>
        </w:tc>
      </w:tr>
      <w:tr>
        <w:trPr>
          <w:trHeight w:val="214"/>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2029</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5 % $</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24.10</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446,000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6 % $</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43.70</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1,261,000</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5 %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31.02</w:t>
            </w:r>
          </w:p>
        </w:tc>
        <w:tc>
          <w:tcPr>
            <w:tcW w:w="0" w:type="dxa"/>
            <w:vAlign w:val="bottom"/>
          </w:tcPr>
          <w:p>
            <w:pPr>
              <w:spacing w:after="0"/>
              <w:rPr>
                <w:sz w:val="1"/>
                <w:szCs w:val="1"/>
                <w:color w:val="auto"/>
              </w:rPr>
            </w:pPr>
          </w:p>
        </w:tc>
      </w:tr>
      <w:tr>
        <w:trPr>
          <w:trHeight w:val="218"/>
        </w:trPr>
        <w:tc>
          <w:tcPr>
            <w:tcW w:w="9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2030</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4 % $</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19.77</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388,000</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5 %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45.92</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989,000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30.03</w:t>
            </w:r>
          </w:p>
        </w:tc>
        <w:tc>
          <w:tcPr>
            <w:tcW w:w="0" w:type="dxa"/>
            <w:vAlign w:val="bottom"/>
          </w:tcPr>
          <w:p>
            <w:pPr>
              <w:spacing w:after="0"/>
              <w:rPr>
                <w:sz w:val="1"/>
                <w:szCs w:val="1"/>
                <w:color w:val="auto"/>
              </w:rPr>
            </w:pPr>
          </w:p>
        </w:tc>
      </w:tr>
      <w:tr>
        <w:trPr>
          <w:trHeight w:val="214"/>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2031</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1 % $</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28.26</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363,000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5 % $</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48.15</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587,000</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40.56</w:t>
            </w:r>
          </w:p>
        </w:tc>
        <w:tc>
          <w:tcPr>
            <w:tcW w:w="0" w:type="dxa"/>
            <w:vAlign w:val="bottom"/>
          </w:tcPr>
          <w:p>
            <w:pPr>
              <w:spacing w:after="0"/>
              <w:rPr>
                <w:sz w:val="1"/>
                <w:szCs w:val="1"/>
                <w:color w:val="auto"/>
              </w:rPr>
            </w:pPr>
          </w:p>
        </w:tc>
      </w:tr>
      <w:tr>
        <w:trPr>
          <w:trHeight w:val="216"/>
        </w:trPr>
        <w:tc>
          <w:tcPr>
            <w:tcW w:w="9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10,838,000</w:t>
            </w:r>
          </w:p>
        </w:tc>
        <w:tc>
          <w:tcPr>
            <w:tcW w:w="1140" w:type="dxa"/>
            <w:vAlign w:val="bottom"/>
            <w:tcBorders>
              <w:bottom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68 % $</w:t>
            </w: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23.57</w:t>
            </w:r>
          </w:p>
        </w:tc>
        <w:tc>
          <w:tcPr>
            <w:tcW w:w="2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2,927,000</w:t>
            </w:r>
          </w:p>
        </w:tc>
        <w:tc>
          <w:tcPr>
            <w:tcW w:w="1140" w:type="dxa"/>
            <w:vAlign w:val="bottom"/>
            <w:tcBorders>
              <w:bottom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38 %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48.18</w:t>
            </w:r>
          </w:p>
        </w:tc>
        <w:tc>
          <w:tcPr>
            <w:tcW w:w="24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13,766,000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58 % $</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28.81</w:t>
            </w:r>
          </w:p>
        </w:tc>
        <w:tc>
          <w:tcPr>
            <w:tcW w:w="0" w:type="dxa"/>
            <w:vAlign w:val="bottom"/>
          </w:tcPr>
          <w:p>
            <w:pPr>
              <w:spacing w:after="0"/>
              <w:rPr>
                <w:sz w:val="1"/>
                <w:szCs w:val="1"/>
                <w:color w:val="auto"/>
              </w:rPr>
            </w:pPr>
          </w:p>
        </w:tc>
      </w:tr>
      <w:tr>
        <w:trPr>
          <w:trHeight w:val="211"/>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Total (3)</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15,997,000</w:t>
            </w:r>
          </w:p>
        </w:tc>
        <w:tc>
          <w:tcPr>
            <w:tcW w:w="1140" w:type="dxa"/>
            <w:vAlign w:val="bottom"/>
            <w:tcBorders>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100 % $</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22.68</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7,768,000</w:t>
            </w:r>
          </w:p>
        </w:tc>
        <w:tc>
          <w:tcPr>
            <w:tcW w:w="1140" w:type="dxa"/>
            <w:vAlign w:val="bottom"/>
            <w:tcBorders>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100 % $</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45.89</w:t>
            </w:r>
          </w:p>
        </w:tc>
        <w:tc>
          <w:tcPr>
            <w:tcW w:w="240" w:type="dxa"/>
            <w:vAlign w:val="bottom"/>
          </w:tcPr>
          <w:p>
            <w:pPr>
              <w:spacing w:after="0"/>
              <w:rPr>
                <w:sz w:val="18"/>
                <w:szCs w:val="18"/>
                <w:color w:val="auto"/>
              </w:rPr>
            </w:pPr>
          </w:p>
        </w:tc>
        <w:tc>
          <w:tcPr>
            <w:tcW w:w="13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23,765,000</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 $</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30.27</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32" w:lineRule="exact"/>
        <w:rPr>
          <w:sz w:val="20"/>
          <w:szCs w:val="20"/>
          <w:color w:val="auto"/>
        </w:rPr>
      </w:pPr>
    </w:p>
    <w:p>
      <w:pPr>
        <w:ind w:left="781" w:hanging="781"/>
        <w:spacing w:after="0"/>
        <w:tabs>
          <w:tab w:leader="none" w:pos="781"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Anchor is defined as a commercial tenant leasing 10,000 square feet or more.</w:t>
      </w:r>
    </w:p>
    <w:p>
      <w:pPr>
        <w:spacing w:after="0" w:line="32" w:lineRule="exact"/>
        <w:rPr>
          <w:rFonts w:ascii="Times New Roman" w:cs="Times New Roman" w:eastAsia="Times New Roman" w:hAnsi="Times New Roman"/>
          <w:sz w:val="16"/>
          <w:szCs w:val="16"/>
          <w:color w:val="auto"/>
        </w:rPr>
      </w:pPr>
    </w:p>
    <w:p>
      <w:pPr>
        <w:ind w:left="781" w:right="160" w:hanging="781"/>
        <w:spacing w:after="0" w:line="245" w:lineRule="auto"/>
        <w:tabs>
          <w:tab w:leader="none" w:pos="781"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Minimum Rent reflects in-place contractual (defined as rents on a cash-basis without taking the impacts of rent abatements into account) rent as of September 30, 2022.</w:t>
      </w:r>
    </w:p>
    <w:p>
      <w:pPr>
        <w:spacing w:after="0" w:line="2" w:lineRule="exact"/>
        <w:rPr>
          <w:rFonts w:ascii="Times New Roman" w:cs="Times New Roman" w:eastAsia="Times New Roman" w:hAnsi="Times New Roman"/>
          <w:sz w:val="16"/>
          <w:szCs w:val="16"/>
          <w:color w:val="auto"/>
        </w:rPr>
      </w:pPr>
    </w:p>
    <w:p>
      <w:pPr>
        <w:ind w:left="781" w:right="200" w:hanging="781"/>
        <w:spacing w:after="0" w:line="245" w:lineRule="auto"/>
        <w:tabs>
          <w:tab w:leader="none" w:pos="781"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occupied square footage of the commercial portion of our portfolio as of September 30, 2022 and includes our 77.7% pro-rata share of Escondido Promenade.</w:t>
      </w:r>
    </w:p>
    <w:p>
      <w:pPr>
        <w:spacing w:after="0" w:line="2" w:lineRule="exact"/>
        <w:rPr>
          <w:rFonts w:ascii="Times New Roman" w:cs="Times New Roman" w:eastAsia="Times New Roman" w:hAnsi="Times New Roman"/>
          <w:sz w:val="16"/>
          <w:szCs w:val="16"/>
          <w:color w:val="auto"/>
        </w:rPr>
      </w:pPr>
    </w:p>
    <w:p>
      <w:pPr>
        <w:ind w:left="781" w:hanging="781"/>
        <w:spacing w:after="0"/>
        <w:tabs>
          <w:tab w:leader="none" w:pos="781"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Individual items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81"/>
          </w:cols>
          <w:pgMar w:left="359" w:top="1022" w:right="359"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Portfolio Leased Statistics</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22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Overall Portfolio Statistics (1)</w:t>
            </w:r>
          </w:p>
        </w:tc>
        <w:tc>
          <w:tcPr>
            <w:tcW w:w="840" w:type="dxa"/>
            <w:vAlign w:val="bottom"/>
          </w:tcPr>
          <w:p>
            <w:pPr>
              <w:spacing w:after="0"/>
              <w:rPr>
                <w:sz w:val="16"/>
                <w:szCs w:val="16"/>
                <w:color w:val="auto"/>
              </w:rPr>
            </w:pPr>
          </w:p>
        </w:tc>
        <w:tc>
          <w:tcPr>
            <w:tcW w:w="17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At September 30, 2022</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19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At September 30, 2021</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42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Type</w:t>
            </w:r>
          </w:p>
        </w:tc>
        <w:tc>
          <w:tcPr>
            <w:tcW w:w="1280" w:type="dxa"/>
            <w:vAlign w:val="bottom"/>
            <w:gridSpan w:val="3"/>
          </w:tcPr>
          <w:p>
            <w:pPr>
              <w:ind w:left="840"/>
              <w:spacing w:after="0"/>
              <w:rPr>
                <w:sz w:val="20"/>
                <w:szCs w:val="20"/>
                <w:color w:val="auto"/>
              </w:rPr>
            </w:pPr>
            <w:r>
              <w:rPr>
                <w:rFonts w:ascii="Times New Roman" w:cs="Times New Roman" w:eastAsia="Times New Roman" w:hAnsi="Times New Roman"/>
                <w:sz w:val="16"/>
                <w:szCs w:val="16"/>
                <w:color w:val="auto"/>
              </w:rPr>
              <w:t>Size</w:t>
            </w:r>
          </w:p>
        </w:tc>
        <w:tc>
          <w:tcPr>
            <w:tcW w:w="500" w:type="dxa"/>
            <w:vAlign w:val="bottom"/>
          </w:tcPr>
          <w:p>
            <w:pPr>
              <w:spacing w:after="0"/>
              <w:rPr>
                <w:sz w:val="24"/>
                <w:szCs w:val="24"/>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Leased</w:t>
            </w:r>
          </w:p>
        </w:tc>
        <w:tc>
          <w:tcPr>
            <w:tcW w:w="960" w:type="dxa"/>
            <w:vAlign w:val="bottom"/>
            <w:tcBorders>
              <w:right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Leased %</w:t>
            </w:r>
          </w:p>
        </w:tc>
        <w:tc>
          <w:tcPr>
            <w:tcW w:w="1260" w:type="dxa"/>
            <w:vAlign w:val="bottom"/>
            <w:gridSpan w:val="3"/>
          </w:tcPr>
          <w:p>
            <w:pPr>
              <w:ind w:left="800"/>
              <w:spacing w:after="0"/>
              <w:rPr>
                <w:sz w:val="20"/>
                <w:szCs w:val="20"/>
                <w:color w:val="auto"/>
              </w:rPr>
            </w:pPr>
            <w:r>
              <w:rPr>
                <w:rFonts w:ascii="Times New Roman" w:cs="Times New Roman" w:eastAsia="Times New Roman" w:hAnsi="Times New Roman"/>
                <w:sz w:val="16"/>
                <w:szCs w:val="16"/>
                <w:color w:val="auto"/>
              </w:rPr>
              <w:t>Size</w:t>
            </w:r>
          </w:p>
        </w:tc>
        <w:tc>
          <w:tcPr>
            <w:tcW w:w="48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Leased</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8"/>
              </w:rPr>
              <w:t>Leased %</w:t>
            </w:r>
          </w:p>
        </w:tc>
      </w:tr>
      <w:tr>
        <w:trPr>
          <w:trHeight w:val="237"/>
        </w:trPr>
        <w:tc>
          <w:tcPr>
            <w:tcW w:w="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Commercial Properties (2) (3) (4) (5) (SF)</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25,791,000</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24,325,000</w:t>
            </w:r>
          </w:p>
        </w:tc>
        <w:tc>
          <w:tcPr>
            <w:tcW w:w="340" w:type="dxa"/>
            <w:vAlign w:val="bottom"/>
            <w:shd w:val="clear" w:color="auto" w:fill="CCEEFF"/>
          </w:tcPr>
          <w:p>
            <w:pPr>
              <w:spacing w:after="0"/>
              <w:rPr>
                <w:sz w:val="18"/>
                <w:szCs w:val="18"/>
                <w:color w:val="auto"/>
              </w:rPr>
            </w:pPr>
          </w:p>
        </w:tc>
        <w:tc>
          <w:tcPr>
            <w:tcW w:w="960" w:type="dxa"/>
            <w:vAlign w:val="bottom"/>
            <w:tcBorders>
              <w:right w:val="single" w:sz="8" w:color="auto"/>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94.3 %</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25,434,000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23,608,000</w:t>
            </w:r>
          </w:p>
        </w:tc>
        <w:tc>
          <w:tcPr>
            <w:tcW w:w="5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92.8 %</w:t>
            </w: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Residential Properties (units)</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3,167</w:t>
            </w:r>
          </w:p>
        </w:tc>
        <w:tc>
          <w:tcPr>
            <w:tcW w:w="340" w:type="dxa"/>
            <w:vAlign w:val="bottom"/>
            <w:shd w:val="clear" w:color="auto" w:fill="CCEEFF"/>
          </w:tcPr>
          <w:p>
            <w:pPr>
              <w:spacing w:after="0"/>
              <w:rPr>
                <w:sz w:val="18"/>
                <w:szCs w:val="18"/>
                <w:color w:val="auto"/>
              </w:rPr>
            </w:pPr>
          </w:p>
        </w:tc>
        <w:tc>
          <w:tcPr>
            <w:tcW w:w="960" w:type="dxa"/>
            <w:vAlign w:val="bottom"/>
            <w:tcBorders>
              <w:right w:val="single" w:sz="8" w:color="auto"/>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97.0 %</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3,236</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3,031</w:t>
            </w:r>
          </w:p>
        </w:tc>
        <w:tc>
          <w:tcPr>
            <w:tcW w:w="5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93.7 %</w:t>
            </w:r>
          </w:p>
        </w:tc>
      </w:tr>
      <w:tr>
        <w:trPr>
          <w:trHeight w:val="648"/>
        </w:trPr>
        <w:tc>
          <w:tcPr>
            <w:tcW w:w="20" w:type="dxa"/>
            <w:vAlign w:val="bottom"/>
          </w:tcPr>
          <w:p>
            <w:pPr>
              <w:spacing w:after="0"/>
              <w:rPr>
                <w:sz w:val="24"/>
                <w:szCs w:val="24"/>
                <w:color w:val="auto"/>
              </w:rPr>
            </w:pPr>
          </w:p>
        </w:tc>
        <w:tc>
          <w:tcPr>
            <w:tcW w:w="422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Comparable Property Statistics (1)</w:t>
            </w:r>
          </w:p>
        </w:tc>
        <w:tc>
          <w:tcPr>
            <w:tcW w:w="840" w:type="dxa"/>
            <w:vAlign w:val="bottom"/>
          </w:tcPr>
          <w:p>
            <w:pPr>
              <w:spacing w:after="0"/>
              <w:rPr>
                <w:sz w:val="24"/>
                <w:szCs w:val="24"/>
                <w:color w:val="auto"/>
              </w:rPr>
            </w:pPr>
          </w:p>
        </w:tc>
        <w:tc>
          <w:tcPr>
            <w:tcW w:w="17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At September 30, 2022</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19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At September 30, 2021</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42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Type</w:t>
            </w:r>
          </w:p>
        </w:tc>
        <w:tc>
          <w:tcPr>
            <w:tcW w:w="1280" w:type="dxa"/>
            <w:vAlign w:val="bottom"/>
            <w:gridSpan w:val="3"/>
          </w:tcPr>
          <w:p>
            <w:pPr>
              <w:ind w:left="840"/>
              <w:spacing w:after="0"/>
              <w:rPr>
                <w:sz w:val="20"/>
                <w:szCs w:val="20"/>
                <w:color w:val="auto"/>
              </w:rPr>
            </w:pPr>
            <w:r>
              <w:rPr>
                <w:rFonts w:ascii="Times New Roman" w:cs="Times New Roman" w:eastAsia="Times New Roman" w:hAnsi="Times New Roman"/>
                <w:sz w:val="16"/>
                <w:szCs w:val="16"/>
                <w:color w:val="auto"/>
              </w:rPr>
              <w:t>Size</w:t>
            </w:r>
          </w:p>
        </w:tc>
        <w:tc>
          <w:tcPr>
            <w:tcW w:w="500" w:type="dxa"/>
            <w:vAlign w:val="bottom"/>
          </w:tcPr>
          <w:p>
            <w:pPr>
              <w:spacing w:after="0"/>
              <w:rPr>
                <w:sz w:val="24"/>
                <w:szCs w:val="24"/>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Leased</w:t>
            </w:r>
          </w:p>
        </w:tc>
        <w:tc>
          <w:tcPr>
            <w:tcW w:w="960" w:type="dxa"/>
            <w:vAlign w:val="bottom"/>
            <w:tcBorders>
              <w:right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Leased %</w:t>
            </w:r>
          </w:p>
        </w:tc>
        <w:tc>
          <w:tcPr>
            <w:tcW w:w="1260" w:type="dxa"/>
            <w:vAlign w:val="bottom"/>
            <w:gridSpan w:val="3"/>
          </w:tcPr>
          <w:p>
            <w:pPr>
              <w:ind w:left="800"/>
              <w:spacing w:after="0"/>
              <w:rPr>
                <w:sz w:val="20"/>
                <w:szCs w:val="20"/>
                <w:color w:val="auto"/>
              </w:rPr>
            </w:pPr>
            <w:r>
              <w:rPr>
                <w:rFonts w:ascii="Times New Roman" w:cs="Times New Roman" w:eastAsia="Times New Roman" w:hAnsi="Times New Roman"/>
                <w:sz w:val="16"/>
                <w:szCs w:val="16"/>
                <w:color w:val="auto"/>
              </w:rPr>
              <w:t>Size</w:t>
            </w:r>
          </w:p>
        </w:tc>
        <w:tc>
          <w:tcPr>
            <w:tcW w:w="48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Leased</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8"/>
              </w:rPr>
              <w:t>Leased %</w:t>
            </w:r>
          </w:p>
        </w:tc>
      </w:tr>
      <w:tr>
        <w:trPr>
          <w:trHeight w:val="236"/>
        </w:trPr>
        <w:tc>
          <w:tcPr>
            <w:tcW w:w="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Commercial Properties (3) (4) (SF)</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23,413,000</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22,063,000</w:t>
            </w:r>
          </w:p>
        </w:tc>
        <w:tc>
          <w:tcPr>
            <w:tcW w:w="340" w:type="dxa"/>
            <w:vAlign w:val="bottom"/>
            <w:shd w:val="clear" w:color="auto" w:fill="CCEEFF"/>
          </w:tcPr>
          <w:p>
            <w:pPr>
              <w:spacing w:after="0"/>
              <w:rPr>
                <w:sz w:val="18"/>
                <w:szCs w:val="18"/>
                <w:color w:val="auto"/>
              </w:rPr>
            </w:pPr>
          </w:p>
        </w:tc>
        <w:tc>
          <w:tcPr>
            <w:tcW w:w="960" w:type="dxa"/>
            <w:vAlign w:val="bottom"/>
            <w:tcBorders>
              <w:right w:val="single" w:sz="8" w:color="auto"/>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94.2 %</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23,450,000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21,832,000</w:t>
            </w:r>
          </w:p>
        </w:tc>
        <w:tc>
          <w:tcPr>
            <w:tcW w:w="5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93.1 %</w:t>
            </w: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Residential Properties (units)</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2,762</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2,687</w:t>
            </w:r>
          </w:p>
        </w:tc>
        <w:tc>
          <w:tcPr>
            <w:tcW w:w="340" w:type="dxa"/>
            <w:vAlign w:val="bottom"/>
            <w:shd w:val="clear" w:color="auto" w:fill="CCEEFF"/>
          </w:tcPr>
          <w:p>
            <w:pPr>
              <w:spacing w:after="0"/>
              <w:rPr>
                <w:sz w:val="18"/>
                <w:szCs w:val="18"/>
                <w:color w:val="auto"/>
              </w:rPr>
            </w:pPr>
          </w:p>
        </w:tc>
        <w:tc>
          <w:tcPr>
            <w:tcW w:w="960" w:type="dxa"/>
            <w:vAlign w:val="bottom"/>
            <w:tcBorders>
              <w:right w:val="single" w:sz="8" w:color="auto"/>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97.3 %</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2,762</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2,702</w:t>
            </w:r>
          </w:p>
        </w:tc>
        <w:tc>
          <w:tcPr>
            <w:tcW w:w="5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97.8 %</w:t>
            </w: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302" w:lineRule="exact"/>
        <w:rPr>
          <w:sz w:val="20"/>
          <w:szCs w:val="20"/>
          <w:color w:val="auto"/>
        </w:rPr>
      </w:pPr>
    </w:p>
    <w:p>
      <w:pPr>
        <w:ind w:left="600" w:hanging="574"/>
        <w:spacing w:after="0"/>
        <w:tabs>
          <w:tab w:leader="none" w:pos="6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Glossary of Terms.</w:t>
      </w:r>
    </w:p>
    <w:p>
      <w:pPr>
        <w:spacing w:after="0" w:line="32" w:lineRule="exact"/>
        <w:rPr>
          <w:rFonts w:ascii="Times New Roman" w:cs="Times New Roman" w:eastAsia="Times New Roman" w:hAnsi="Times New Roman"/>
          <w:sz w:val="16"/>
          <w:szCs w:val="16"/>
          <w:color w:val="auto"/>
        </w:rPr>
      </w:pPr>
    </w:p>
    <w:p>
      <w:pPr>
        <w:ind w:left="600" w:hanging="574"/>
        <w:spacing w:after="0"/>
        <w:tabs>
          <w:tab w:leader="none" w:pos="6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Overall commercial properties at September 30, 2022 includes our 77.7% pro-rata share of Escondido Promenade.</w:t>
      </w:r>
    </w:p>
    <w:p>
      <w:pPr>
        <w:spacing w:after="0" w:line="32" w:lineRule="exact"/>
        <w:rPr>
          <w:rFonts w:ascii="Times New Roman" w:cs="Times New Roman" w:eastAsia="Times New Roman" w:hAnsi="Times New Roman"/>
          <w:sz w:val="16"/>
          <w:szCs w:val="16"/>
          <w:color w:val="auto"/>
        </w:rPr>
      </w:pPr>
    </w:p>
    <w:p>
      <w:pPr>
        <w:ind w:left="600" w:right="80" w:hanging="574"/>
        <w:spacing w:after="0" w:line="245" w:lineRule="auto"/>
        <w:tabs>
          <w:tab w:leader="none" w:pos="6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Occupied percentage was 92.1% and 90.2% at September 30, 2022 and 2021, respectively, and comparable property occupied percentage was 92.0% and 90.7% at September 30, 2022 and 2021, respectively.</w:t>
      </w:r>
    </w:p>
    <w:p>
      <w:pPr>
        <w:spacing w:after="0" w:line="2" w:lineRule="exact"/>
        <w:rPr>
          <w:rFonts w:ascii="Times New Roman" w:cs="Times New Roman" w:eastAsia="Times New Roman" w:hAnsi="Times New Roman"/>
          <w:sz w:val="16"/>
          <w:szCs w:val="16"/>
          <w:color w:val="auto"/>
        </w:rPr>
      </w:pPr>
    </w:p>
    <w:p>
      <w:pPr>
        <w:ind w:left="600" w:hanging="574"/>
        <w:spacing w:after="0"/>
        <w:tabs>
          <w:tab w:leader="none" w:pos="6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Leasable square feet excludes redevelopment square footage not yet placed in service.</w:t>
      </w:r>
    </w:p>
    <w:p>
      <w:pPr>
        <w:spacing w:after="0" w:line="32" w:lineRule="exact"/>
        <w:rPr>
          <w:rFonts w:ascii="Times New Roman" w:cs="Times New Roman" w:eastAsia="Times New Roman" w:hAnsi="Times New Roman"/>
          <w:sz w:val="16"/>
          <w:szCs w:val="16"/>
          <w:color w:val="auto"/>
        </w:rPr>
      </w:pPr>
    </w:p>
    <w:p>
      <w:pPr>
        <w:ind w:left="600" w:hanging="574"/>
        <w:spacing w:after="0"/>
        <w:tabs>
          <w:tab w:leader="none" w:pos="6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September 30, 2022, leased percentage was 96.7% for anchor tenants and 89.9% for small shop tenants.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20"/>
          </w:cols>
          <w:pgMar w:left="320" w:top="1022" w:right="359" w:bottom="1440" w:gutter="0" w:footer="0" w:header="0"/>
        </w:sectPr>
      </w:pPr>
    </w:p>
    <w:bookmarkStart w:id="30" w:name="page31"/>
    <w:bookmarkEnd w:id="30"/>
    <w:p>
      <w:pPr>
        <w:ind w:left="2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Summary of Top 25 Tenants (1)</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080" w:type="dxa"/>
            <w:vAlign w:val="bottom"/>
            <w:vMerge w:val="restart"/>
          </w:tcPr>
          <w:p>
            <w:pPr>
              <w:jc w:val="center"/>
              <w:ind w:left="140"/>
              <w:spacing w:after="0"/>
              <w:rPr>
                <w:sz w:val="20"/>
                <w:szCs w:val="20"/>
                <w:color w:val="auto"/>
              </w:rPr>
            </w:pPr>
            <w:r>
              <w:rPr>
                <w:rFonts w:ascii="Times New Roman" w:cs="Times New Roman" w:eastAsia="Times New Roman" w:hAnsi="Times New Roman"/>
                <w:sz w:val="14"/>
                <w:szCs w:val="14"/>
                <w:b w:val="1"/>
                <w:bCs w:val="1"/>
                <w:color w:val="auto"/>
              </w:rPr>
              <w:t>Credit Ratings</w:t>
            </w:r>
          </w:p>
        </w:tc>
        <w:tc>
          <w:tcPr>
            <w:tcW w:w="16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Annualized Base</w:t>
            </w:r>
          </w:p>
        </w:tc>
        <w:tc>
          <w:tcPr>
            <w:tcW w:w="1640" w:type="dxa"/>
            <w:vAlign w:val="bottom"/>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Percentage of Total</w:t>
            </w:r>
          </w:p>
        </w:tc>
        <w:tc>
          <w:tcPr>
            <w:tcW w:w="920" w:type="dxa"/>
            <w:vAlign w:val="bottom"/>
          </w:tcPr>
          <w:p>
            <w:pPr>
              <w:spacing w:after="0"/>
              <w:rPr>
                <w:sz w:val="13"/>
                <w:szCs w:val="13"/>
                <w:color w:val="auto"/>
              </w:rPr>
            </w:pPr>
          </w:p>
        </w:tc>
        <w:tc>
          <w:tcPr>
            <w:tcW w:w="1180" w:type="dxa"/>
            <w:vAlign w:val="bottom"/>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Rank</w:t>
            </w:r>
          </w:p>
        </w:tc>
        <w:tc>
          <w:tcPr>
            <w:tcW w:w="28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Tenant Name</w:t>
            </w:r>
          </w:p>
        </w:tc>
        <w:tc>
          <w:tcPr>
            <w:tcW w:w="20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640" w:type="dxa"/>
            <w:vAlign w:val="bottom"/>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Annualized Base Rent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Tenant GLA</w:t>
            </w:r>
          </w:p>
        </w:tc>
        <w:tc>
          <w:tcPr>
            <w:tcW w:w="1180" w:type="dxa"/>
            <w:vAlign w:val="bottom"/>
            <w:vMerge w:val="continue"/>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Locations</w:t>
            </w:r>
          </w:p>
        </w:tc>
        <w:tc>
          <w:tcPr>
            <w:tcW w:w="0" w:type="dxa"/>
            <w:vAlign w:val="bottom"/>
          </w:tcPr>
          <w:p>
            <w:pPr>
              <w:spacing w:after="0"/>
              <w:rPr>
                <w:sz w:val="1"/>
                <w:szCs w:val="1"/>
                <w:color w:val="auto"/>
              </w:rPr>
            </w:pPr>
          </w:p>
        </w:tc>
      </w:tr>
      <w:tr>
        <w:trPr>
          <w:trHeight w:val="196"/>
        </w:trPr>
        <w:tc>
          <w:tcPr>
            <w:tcW w:w="560" w:type="dxa"/>
            <w:vAlign w:val="bottom"/>
            <w:tcBorders>
              <w:bottom w:val="single" w:sz="8" w:color="auto"/>
            </w:tcBorders>
            <w:vMerge w:val="continue"/>
          </w:tcPr>
          <w:p>
            <w:pPr>
              <w:spacing w:after="0"/>
              <w:rPr>
                <w:sz w:val="17"/>
                <w:szCs w:val="17"/>
                <w:color w:val="auto"/>
              </w:rPr>
            </w:pPr>
          </w:p>
        </w:tc>
        <w:tc>
          <w:tcPr>
            <w:tcW w:w="2800" w:type="dxa"/>
            <w:vAlign w:val="bottom"/>
            <w:tcBorders>
              <w:bottom w:val="single" w:sz="8" w:color="auto"/>
            </w:tcBorders>
            <w:vMerge w:val="continue"/>
          </w:tcPr>
          <w:p>
            <w:pPr>
              <w:spacing w:after="0"/>
              <w:rPr>
                <w:sz w:val="17"/>
                <w:szCs w:val="17"/>
                <w:color w:val="auto"/>
              </w:rPr>
            </w:pPr>
          </w:p>
        </w:tc>
        <w:tc>
          <w:tcPr>
            <w:tcW w:w="2080" w:type="dxa"/>
            <w:vAlign w:val="bottom"/>
            <w:tcBorders>
              <w:bottom w:val="single" w:sz="8" w:color="auto"/>
            </w:tcBorders>
          </w:tcPr>
          <w:p>
            <w:pPr>
              <w:jc w:val="center"/>
              <w:ind w:left="140"/>
              <w:spacing w:after="0"/>
              <w:rPr>
                <w:sz w:val="20"/>
                <w:szCs w:val="20"/>
                <w:color w:val="auto"/>
              </w:rPr>
            </w:pPr>
            <w:r>
              <w:rPr>
                <w:rFonts w:ascii="Times New Roman" w:cs="Times New Roman" w:eastAsia="Times New Roman" w:hAnsi="Times New Roman"/>
                <w:sz w:val="14"/>
                <w:szCs w:val="14"/>
                <w:b w:val="1"/>
                <w:bCs w:val="1"/>
                <w:color w:val="auto"/>
              </w:rPr>
              <w:t>(S&amp;P/Moody's/Fitch) (2)</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Rent</w:t>
            </w:r>
          </w:p>
        </w:tc>
        <w:tc>
          <w:tcPr>
            <w:tcW w:w="16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(4)</w:t>
            </w:r>
          </w:p>
        </w:tc>
        <w:tc>
          <w:tcPr>
            <w:tcW w:w="920" w:type="dxa"/>
            <w:vAlign w:val="bottom"/>
            <w:tcBorders>
              <w:bottom w:val="single" w:sz="8" w:color="auto"/>
            </w:tcBorders>
            <w:vMerge w:val="continue"/>
          </w:tcPr>
          <w:p>
            <w:pPr>
              <w:spacing w:after="0"/>
              <w:rPr>
                <w:sz w:val="17"/>
                <w:szCs w:val="17"/>
                <w:color w:val="auto"/>
              </w:rPr>
            </w:pPr>
          </w:p>
        </w:tc>
        <w:tc>
          <w:tcPr>
            <w:tcW w:w="1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Total GLA (4)</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Leased</w:t>
            </w: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2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TJX Companies, The</w:t>
            </w:r>
          </w:p>
        </w:tc>
        <w:tc>
          <w:tcPr>
            <w:tcW w:w="2080" w:type="dxa"/>
            <w:vAlign w:val="bottom"/>
            <w:shd w:val="clear" w:color="auto" w:fill="CCEEFF"/>
          </w:tcPr>
          <w:p>
            <w:pPr>
              <w:jc w:val="center"/>
              <w:ind w:left="140"/>
              <w:spacing w:after="0"/>
              <w:rPr>
                <w:sz w:val="20"/>
                <w:szCs w:val="20"/>
                <w:color w:val="auto"/>
              </w:rPr>
            </w:pPr>
            <w:r>
              <w:rPr>
                <w:rFonts w:ascii="Times New Roman" w:cs="Times New Roman" w:eastAsia="Times New Roman" w:hAnsi="Times New Roman"/>
                <w:sz w:val="16"/>
                <w:szCs w:val="16"/>
                <w:color w:val="auto"/>
                <w:w w:val="99"/>
              </w:rPr>
              <w:t>A / A2 / NR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22,705,000</w:t>
            </w:r>
          </w:p>
        </w:tc>
        <w:tc>
          <w:tcPr>
            <w:tcW w:w="16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2.76 %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1,125,000</w:t>
            </w:r>
          </w:p>
        </w:tc>
        <w:tc>
          <w:tcPr>
            <w:tcW w:w="1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3.91 %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2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Ahold Delhaize</w:t>
            </w:r>
          </w:p>
        </w:tc>
        <w:tc>
          <w:tcPr>
            <w:tcW w:w="2080" w:type="dxa"/>
            <w:vAlign w:val="bottom"/>
          </w:tcPr>
          <w:p>
            <w:pPr>
              <w:jc w:val="center"/>
              <w:ind w:left="140"/>
              <w:spacing w:after="0"/>
              <w:rPr>
                <w:sz w:val="20"/>
                <w:szCs w:val="20"/>
                <w:color w:val="auto"/>
              </w:rPr>
            </w:pPr>
            <w:r>
              <w:rPr>
                <w:rFonts w:ascii="Times New Roman" w:cs="Times New Roman" w:eastAsia="Times New Roman" w:hAnsi="Times New Roman"/>
                <w:sz w:val="16"/>
                <w:szCs w:val="16"/>
                <w:color w:val="auto"/>
              </w:rPr>
              <w:t>BBB / Baa1 / NR</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15,016,000</w:t>
            </w:r>
          </w:p>
        </w:tc>
        <w:tc>
          <w:tcPr>
            <w:tcW w:w="1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1.83 %</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816,000</w:t>
            </w: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2.83 %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2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NetApp, Inc.</w:t>
            </w:r>
          </w:p>
        </w:tc>
        <w:tc>
          <w:tcPr>
            <w:tcW w:w="2080" w:type="dxa"/>
            <w:vAlign w:val="bottom"/>
            <w:shd w:val="clear" w:color="auto" w:fill="CCEEFF"/>
          </w:tcPr>
          <w:p>
            <w:pPr>
              <w:jc w:val="center"/>
              <w:ind w:left="140"/>
              <w:spacing w:after="0"/>
              <w:rPr>
                <w:sz w:val="20"/>
                <w:szCs w:val="20"/>
                <w:color w:val="auto"/>
              </w:rPr>
            </w:pPr>
            <w:r>
              <w:rPr>
                <w:rFonts w:ascii="Times New Roman" w:cs="Times New Roman" w:eastAsia="Times New Roman" w:hAnsi="Times New Roman"/>
                <w:sz w:val="16"/>
                <w:szCs w:val="16"/>
                <w:color w:val="auto"/>
              </w:rPr>
              <w:t>BBB+ / Baa2 / NR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14,339,000</w:t>
            </w:r>
          </w:p>
        </w:tc>
        <w:tc>
          <w:tcPr>
            <w:tcW w:w="16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1.74 %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304,000</w:t>
            </w:r>
          </w:p>
        </w:tc>
        <w:tc>
          <w:tcPr>
            <w:tcW w:w="1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1.06 %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2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Splunk, Inc.</w:t>
            </w:r>
          </w:p>
        </w:tc>
        <w:tc>
          <w:tcPr>
            <w:tcW w:w="2080" w:type="dxa"/>
            <w:vAlign w:val="bottom"/>
          </w:tcPr>
          <w:p>
            <w:pPr>
              <w:jc w:val="center"/>
              <w:ind w:left="140"/>
              <w:spacing w:after="0"/>
              <w:rPr>
                <w:sz w:val="20"/>
                <w:szCs w:val="20"/>
                <w:color w:val="auto"/>
              </w:rPr>
            </w:pPr>
            <w:r>
              <w:rPr>
                <w:rFonts w:ascii="Times New Roman" w:cs="Times New Roman" w:eastAsia="Times New Roman" w:hAnsi="Times New Roman"/>
                <w:sz w:val="16"/>
                <w:szCs w:val="16"/>
                <w:color w:val="auto"/>
              </w:rPr>
              <w:t>NR / NR / NR</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11,913,000</w:t>
            </w:r>
          </w:p>
        </w:tc>
        <w:tc>
          <w:tcPr>
            <w:tcW w:w="1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1.45 %</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235,000</w:t>
            </w: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0.82 %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2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Gap, Inc., The</w:t>
            </w:r>
          </w:p>
        </w:tc>
        <w:tc>
          <w:tcPr>
            <w:tcW w:w="2080" w:type="dxa"/>
            <w:vAlign w:val="bottom"/>
            <w:shd w:val="clear" w:color="auto" w:fill="CCEEFF"/>
          </w:tcPr>
          <w:p>
            <w:pPr>
              <w:jc w:val="center"/>
              <w:ind w:left="140"/>
              <w:spacing w:after="0"/>
              <w:rPr>
                <w:sz w:val="20"/>
                <w:szCs w:val="20"/>
                <w:color w:val="auto"/>
              </w:rPr>
            </w:pPr>
            <w:r>
              <w:rPr>
                <w:rFonts w:ascii="Times New Roman" w:cs="Times New Roman" w:eastAsia="Times New Roman" w:hAnsi="Times New Roman"/>
                <w:sz w:val="16"/>
                <w:szCs w:val="16"/>
                <w:color w:val="auto"/>
                <w:w w:val="99"/>
              </w:rPr>
              <w:t>BB / Ba2 / NR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11,281,000</w:t>
            </w:r>
          </w:p>
        </w:tc>
        <w:tc>
          <w:tcPr>
            <w:tcW w:w="16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1.37 %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331,000</w:t>
            </w:r>
          </w:p>
        </w:tc>
        <w:tc>
          <w:tcPr>
            <w:tcW w:w="1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1.15 %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2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CVS Corporation</w:t>
            </w:r>
          </w:p>
        </w:tc>
        <w:tc>
          <w:tcPr>
            <w:tcW w:w="2080" w:type="dxa"/>
            <w:vAlign w:val="bottom"/>
          </w:tcPr>
          <w:p>
            <w:pPr>
              <w:jc w:val="center"/>
              <w:ind w:left="140"/>
              <w:spacing w:after="0"/>
              <w:rPr>
                <w:sz w:val="20"/>
                <w:szCs w:val="20"/>
                <w:color w:val="auto"/>
              </w:rPr>
            </w:pPr>
            <w:r>
              <w:rPr>
                <w:rFonts w:ascii="Times New Roman" w:cs="Times New Roman" w:eastAsia="Times New Roman" w:hAnsi="Times New Roman"/>
                <w:sz w:val="16"/>
                <w:szCs w:val="16"/>
                <w:color w:val="auto"/>
              </w:rPr>
              <w:t>BBB / Baa2 / NR</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10,927,000</w:t>
            </w:r>
          </w:p>
        </w:tc>
        <w:tc>
          <w:tcPr>
            <w:tcW w:w="1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1.33 %</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288,000</w:t>
            </w: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1.00 %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2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L.A. Fitness International LLC</w:t>
            </w:r>
          </w:p>
        </w:tc>
        <w:tc>
          <w:tcPr>
            <w:tcW w:w="2080" w:type="dxa"/>
            <w:vAlign w:val="bottom"/>
            <w:shd w:val="clear" w:color="auto" w:fill="CCEEFF"/>
          </w:tcPr>
          <w:p>
            <w:pPr>
              <w:jc w:val="center"/>
              <w:ind w:left="140"/>
              <w:spacing w:after="0"/>
              <w:rPr>
                <w:sz w:val="20"/>
                <w:szCs w:val="20"/>
                <w:color w:val="auto"/>
              </w:rPr>
            </w:pPr>
            <w:r>
              <w:rPr>
                <w:rFonts w:ascii="Times New Roman" w:cs="Times New Roman" w:eastAsia="Times New Roman" w:hAnsi="Times New Roman"/>
                <w:sz w:val="16"/>
                <w:szCs w:val="16"/>
                <w:color w:val="auto"/>
              </w:rPr>
              <w:t>B- / B3 / NR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10,692,000</w:t>
            </w:r>
          </w:p>
        </w:tc>
        <w:tc>
          <w:tcPr>
            <w:tcW w:w="16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1.30 %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415,000</w:t>
            </w:r>
          </w:p>
        </w:tc>
        <w:tc>
          <w:tcPr>
            <w:tcW w:w="1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1.44 %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162"/>
        </w:trPr>
        <w:tc>
          <w:tcPr>
            <w:tcW w:w="560" w:type="dxa"/>
            <w:vAlign w:val="bottom"/>
          </w:tcPr>
          <w:p>
            <w:pPr>
              <w:jc w:val="right"/>
              <w:ind w:right="39"/>
              <w:spacing w:after="0" w:line="162" w:lineRule="exact"/>
              <w:rPr>
                <w:sz w:val="20"/>
                <w:szCs w:val="20"/>
                <w:color w:val="auto"/>
              </w:rPr>
            </w:pPr>
            <w:r>
              <w:rPr>
                <w:rFonts w:ascii="Times New Roman" w:cs="Times New Roman" w:eastAsia="Times New Roman" w:hAnsi="Times New Roman"/>
                <w:sz w:val="16"/>
                <w:szCs w:val="16"/>
                <w:color w:val="auto"/>
              </w:rPr>
              <w:t>8</w:t>
            </w:r>
          </w:p>
        </w:tc>
        <w:tc>
          <w:tcPr>
            <w:tcW w:w="2800" w:type="dxa"/>
            <w:vAlign w:val="bottom"/>
          </w:tcPr>
          <w:p>
            <w:pPr>
              <w:ind w:left="80"/>
              <w:spacing w:after="0" w:line="162" w:lineRule="exact"/>
              <w:rPr>
                <w:sz w:val="20"/>
                <w:szCs w:val="20"/>
                <w:color w:val="auto"/>
              </w:rPr>
            </w:pPr>
            <w:r>
              <w:rPr>
                <w:rFonts w:ascii="Times New Roman" w:cs="Times New Roman" w:eastAsia="Times New Roman" w:hAnsi="Times New Roman"/>
                <w:sz w:val="16"/>
                <w:szCs w:val="16"/>
                <w:color w:val="auto"/>
              </w:rPr>
              <w:t>Albertsons Companies, Inc. (Acme,</w:t>
            </w:r>
          </w:p>
        </w:tc>
        <w:tc>
          <w:tcPr>
            <w:tcW w:w="2080" w:type="dxa"/>
            <w:vAlign w:val="bottom"/>
          </w:tcPr>
          <w:p>
            <w:pPr>
              <w:jc w:val="center"/>
              <w:ind w:left="140"/>
              <w:spacing w:after="0" w:line="162" w:lineRule="exact"/>
              <w:rPr>
                <w:sz w:val="20"/>
                <w:szCs w:val="20"/>
                <w:color w:val="auto"/>
              </w:rPr>
            </w:pPr>
            <w:r>
              <w:rPr>
                <w:rFonts w:ascii="Times New Roman" w:cs="Times New Roman" w:eastAsia="Times New Roman" w:hAnsi="Times New Roman"/>
                <w:sz w:val="16"/>
                <w:szCs w:val="16"/>
                <w:color w:val="auto"/>
                <w:w w:val="99"/>
              </w:rPr>
              <w:t>BB / Ba2 / NR</w:t>
            </w:r>
          </w:p>
        </w:tc>
        <w:tc>
          <w:tcPr>
            <w:tcW w:w="1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7,501,000</w:t>
            </w:r>
          </w:p>
        </w:tc>
        <w:tc>
          <w:tcPr>
            <w:tcW w:w="1640" w:type="dxa"/>
            <w:vAlign w:val="bottom"/>
          </w:tcPr>
          <w:p>
            <w:pPr>
              <w:jc w:val="right"/>
              <w:ind w:right="40"/>
              <w:spacing w:after="0" w:line="162" w:lineRule="exact"/>
              <w:rPr>
                <w:sz w:val="20"/>
                <w:szCs w:val="20"/>
                <w:color w:val="auto"/>
              </w:rPr>
            </w:pPr>
            <w:r>
              <w:rPr>
                <w:rFonts w:ascii="Times New Roman" w:cs="Times New Roman" w:eastAsia="Times New Roman" w:hAnsi="Times New Roman"/>
                <w:sz w:val="16"/>
                <w:szCs w:val="16"/>
                <w:color w:val="auto"/>
              </w:rPr>
              <w:t>0.91 %</w:t>
            </w:r>
          </w:p>
        </w:tc>
        <w:tc>
          <w:tcPr>
            <w:tcW w:w="9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568,000</w:t>
            </w:r>
          </w:p>
        </w:tc>
        <w:tc>
          <w:tcPr>
            <w:tcW w:w="1180" w:type="dxa"/>
            <w:vAlign w:val="bottom"/>
          </w:tcPr>
          <w:p>
            <w:pPr>
              <w:jc w:val="right"/>
              <w:ind w:right="20"/>
              <w:spacing w:after="0" w:line="162" w:lineRule="exact"/>
              <w:rPr>
                <w:sz w:val="20"/>
                <w:szCs w:val="20"/>
                <w:color w:val="auto"/>
              </w:rPr>
            </w:pPr>
            <w:r>
              <w:rPr>
                <w:rFonts w:ascii="Times New Roman" w:cs="Times New Roman" w:eastAsia="Times New Roman" w:hAnsi="Times New Roman"/>
                <w:sz w:val="16"/>
                <w:szCs w:val="16"/>
                <w:color w:val="auto"/>
              </w:rPr>
              <w:t>1.97 %</w:t>
            </w: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2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Balducci's, Safeway)</w:t>
            </w:r>
          </w:p>
        </w:tc>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2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Ross Stores, Inc.</w:t>
            </w:r>
          </w:p>
        </w:tc>
        <w:tc>
          <w:tcPr>
            <w:tcW w:w="2080" w:type="dxa"/>
            <w:vAlign w:val="bottom"/>
            <w:shd w:val="clear" w:color="auto" w:fill="CCEEFF"/>
          </w:tcPr>
          <w:p>
            <w:pPr>
              <w:jc w:val="center"/>
              <w:ind w:left="140"/>
              <w:spacing w:after="0"/>
              <w:rPr>
                <w:sz w:val="20"/>
                <w:szCs w:val="20"/>
                <w:color w:val="auto"/>
              </w:rPr>
            </w:pPr>
            <w:r>
              <w:rPr>
                <w:rFonts w:ascii="Times New Roman" w:cs="Times New Roman" w:eastAsia="Times New Roman" w:hAnsi="Times New Roman"/>
                <w:sz w:val="16"/>
                <w:szCs w:val="16"/>
                <w:color w:val="auto"/>
              </w:rPr>
              <w:t>BBB+ / A2 / NR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7,453,000</w:t>
            </w:r>
          </w:p>
        </w:tc>
        <w:tc>
          <w:tcPr>
            <w:tcW w:w="16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0.91 %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359,000</w:t>
            </w:r>
          </w:p>
        </w:tc>
        <w:tc>
          <w:tcPr>
            <w:tcW w:w="1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1.25 %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2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Home Depot, Inc.</w:t>
            </w:r>
          </w:p>
        </w:tc>
        <w:tc>
          <w:tcPr>
            <w:tcW w:w="2080" w:type="dxa"/>
            <w:vAlign w:val="bottom"/>
          </w:tcPr>
          <w:p>
            <w:pPr>
              <w:jc w:val="center"/>
              <w:ind w:left="140"/>
              <w:spacing w:after="0"/>
              <w:rPr>
                <w:sz w:val="20"/>
                <w:szCs w:val="20"/>
                <w:color w:val="auto"/>
              </w:rPr>
            </w:pPr>
            <w:r>
              <w:rPr>
                <w:rFonts w:ascii="Times New Roman" w:cs="Times New Roman" w:eastAsia="Times New Roman" w:hAnsi="Times New Roman"/>
                <w:sz w:val="16"/>
                <w:szCs w:val="16"/>
                <w:color w:val="auto"/>
              </w:rPr>
              <w:t>A / A2 / A</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7,380,000</w:t>
            </w:r>
          </w:p>
        </w:tc>
        <w:tc>
          <w:tcPr>
            <w:tcW w:w="1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0.90 %</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478,000</w:t>
            </w: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1.66 %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w:t>
            </w:r>
          </w:p>
        </w:tc>
        <w:tc>
          <w:tcPr>
            <w:tcW w:w="2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Kroger Co., The</w:t>
            </w:r>
          </w:p>
        </w:tc>
        <w:tc>
          <w:tcPr>
            <w:tcW w:w="2080" w:type="dxa"/>
            <w:vAlign w:val="bottom"/>
            <w:shd w:val="clear" w:color="auto" w:fill="CCEEFF"/>
          </w:tcPr>
          <w:p>
            <w:pPr>
              <w:jc w:val="center"/>
              <w:ind w:left="140"/>
              <w:spacing w:after="0"/>
              <w:rPr>
                <w:sz w:val="20"/>
                <w:szCs w:val="20"/>
                <w:color w:val="auto"/>
              </w:rPr>
            </w:pPr>
            <w:r>
              <w:rPr>
                <w:rFonts w:ascii="Times New Roman" w:cs="Times New Roman" w:eastAsia="Times New Roman" w:hAnsi="Times New Roman"/>
                <w:sz w:val="16"/>
                <w:szCs w:val="16"/>
                <w:color w:val="auto"/>
              </w:rPr>
              <w:t>BBB / Baa1 / NR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7,086,000</w:t>
            </w:r>
          </w:p>
        </w:tc>
        <w:tc>
          <w:tcPr>
            <w:tcW w:w="16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0.86 %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611,000</w:t>
            </w:r>
          </w:p>
        </w:tc>
        <w:tc>
          <w:tcPr>
            <w:tcW w:w="1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2.12 %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w:t>
            </w:r>
          </w:p>
        </w:tc>
        <w:tc>
          <w:tcPr>
            <w:tcW w:w="2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Michaels Stores, Inc.</w:t>
            </w:r>
          </w:p>
        </w:tc>
        <w:tc>
          <w:tcPr>
            <w:tcW w:w="2080" w:type="dxa"/>
            <w:vAlign w:val="bottom"/>
          </w:tcPr>
          <w:p>
            <w:pPr>
              <w:jc w:val="center"/>
              <w:ind w:left="140"/>
              <w:spacing w:after="0"/>
              <w:rPr>
                <w:sz w:val="20"/>
                <w:szCs w:val="20"/>
                <w:color w:val="auto"/>
              </w:rPr>
            </w:pPr>
            <w:r>
              <w:rPr>
                <w:rFonts w:ascii="Times New Roman" w:cs="Times New Roman" w:eastAsia="Times New Roman" w:hAnsi="Times New Roman"/>
                <w:sz w:val="16"/>
                <w:szCs w:val="16"/>
                <w:color w:val="auto"/>
              </w:rPr>
              <w:t>B / B2 / NR</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6,918,000</w:t>
            </w:r>
          </w:p>
        </w:tc>
        <w:tc>
          <w:tcPr>
            <w:tcW w:w="1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0.84 %</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339,000</w:t>
            </w: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1.18 %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w:t>
            </w:r>
          </w:p>
        </w:tc>
        <w:tc>
          <w:tcPr>
            <w:tcW w:w="2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Bank of America, N.A.</w:t>
            </w:r>
          </w:p>
        </w:tc>
        <w:tc>
          <w:tcPr>
            <w:tcW w:w="2080" w:type="dxa"/>
            <w:vAlign w:val="bottom"/>
            <w:shd w:val="clear" w:color="auto" w:fill="CCEEFF"/>
          </w:tcPr>
          <w:p>
            <w:pPr>
              <w:jc w:val="center"/>
              <w:ind w:left="140"/>
              <w:spacing w:after="0"/>
              <w:rPr>
                <w:sz w:val="20"/>
                <w:szCs w:val="20"/>
                <w:color w:val="auto"/>
              </w:rPr>
            </w:pPr>
            <w:r>
              <w:rPr>
                <w:rFonts w:ascii="Times New Roman" w:cs="Times New Roman" w:eastAsia="Times New Roman" w:hAnsi="Times New Roman"/>
                <w:sz w:val="16"/>
                <w:szCs w:val="16"/>
                <w:color w:val="auto"/>
              </w:rPr>
              <w:t>A- / A2 / AA-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6,878,000</w:t>
            </w:r>
          </w:p>
        </w:tc>
        <w:tc>
          <w:tcPr>
            <w:tcW w:w="16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0.84 %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118,000</w:t>
            </w:r>
          </w:p>
        </w:tc>
        <w:tc>
          <w:tcPr>
            <w:tcW w:w="1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0.41 %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2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Bed, Bath &amp; Beyond, Inc.</w:t>
            </w:r>
          </w:p>
        </w:tc>
        <w:tc>
          <w:tcPr>
            <w:tcW w:w="2080" w:type="dxa"/>
            <w:vAlign w:val="bottom"/>
          </w:tcPr>
          <w:p>
            <w:pPr>
              <w:jc w:val="center"/>
              <w:ind w:left="140"/>
              <w:spacing w:after="0"/>
              <w:rPr>
                <w:sz w:val="20"/>
                <w:szCs w:val="20"/>
                <w:color w:val="auto"/>
              </w:rPr>
            </w:pPr>
            <w:r>
              <w:rPr>
                <w:rFonts w:ascii="Times New Roman" w:cs="Times New Roman" w:eastAsia="Times New Roman" w:hAnsi="Times New Roman"/>
                <w:sz w:val="16"/>
                <w:szCs w:val="16"/>
                <w:color w:val="auto"/>
              </w:rPr>
              <w:t>CCC / Caa2 / NR</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6,833,000</w:t>
            </w:r>
          </w:p>
        </w:tc>
        <w:tc>
          <w:tcPr>
            <w:tcW w:w="1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0.83 %</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417,000</w:t>
            </w: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1.45 %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2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PUMA North America, Inc.</w:t>
            </w:r>
          </w:p>
        </w:tc>
        <w:tc>
          <w:tcPr>
            <w:tcW w:w="2080" w:type="dxa"/>
            <w:vAlign w:val="bottom"/>
            <w:shd w:val="clear" w:color="auto" w:fill="CCEEFF"/>
          </w:tcPr>
          <w:p>
            <w:pPr>
              <w:jc w:val="center"/>
              <w:ind w:left="140"/>
              <w:spacing w:after="0"/>
              <w:rPr>
                <w:sz w:val="20"/>
                <w:szCs w:val="20"/>
                <w:color w:val="auto"/>
              </w:rPr>
            </w:pPr>
            <w:r>
              <w:rPr>
                <w:rFonts w:ascii="Times New Roman" w:cs="Times New Roman" w:eastAsia="Times New Roman" w:hAnsi="Times New Roman"/>
                <w:sz w:val="16"/>
                <w:szCs w:val="16"/>
                <w:color w:val="auto"/>
              </w:rPr>
              <w:t>NR / NR / NR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6,807,000</w:t>
            </w:r>
          </w:p>
        </w:tc>
        <w:tc>
          <w:tcPr>
            <w:tcW w:w="16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0.83 %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155,000</w:t>
            </w:r>
          </w:p>
        </w:tc>
        <w:tc>
          <w:tcPr>
            <w:tcW w:w="1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0.54 %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w:t>
            </w:r>
          </w:p>
        </w:tc>
        <w:tc>
          <w:tcPr>
            <w:tcW w:w="2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Target Corporation</w:t>
            </w:r>
          </w:p>
        </w:tc>
        <w:tc>
          <w:tcPr>
            <w:tcW w:w="2080" w:type="dxa"/>
            <w:vAlign w:val="bottom"/>
          </w:tcPr>
          <w:p>
            <w:pPr>
              <w:jc w:val="center"/>
              <w:ind w:left="140"/>
              <w:spacing w:after="0"/>
              <w:rPr>
                <w:sz w:val="20"/>
                <w:szCs w:val="20"/>
                <w:color w:val="auto"/>
              </w:rPr>
            </w:pPr>
            <w:r>
              <w:rPr>
                <w:rFonts w:ascii="Times New Roman" w:cs="Times New Roman" w:eastAsia="Times New Roman" w:hAnsi="Times New Roman"/>
                <w:sz w:val="16"/>
                <w:szCs w:val="16"/>
                <w:color w:val="auto"/>
              </w:rPr>
              <w:t>A / A2 / A</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6,239,000</w:t>
            </w:r>
          </w:p>
        </w:tc>
        <w:tc>
          <w:tcPr>
            <w:tcW w:w="1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0.76 %</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627,000</w:t>
            </w: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2.18 %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w:t>
            </w:r>
          </w:p>
        </w:tc>
        <w:tc>
          <w:tcPr>
            <w:tcW w:w="2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Dick's Sporting Goods, Inc.</w:t>
            </w:r>
          </w:p>
        </w:tc>
        <w:tc>
          <w:tcPr>
            <w:tcW w:w="2080" w:type="dxa"/>
            <w:vAlign w:val="bottom"/>
            <w:shd w:val="clear" w:color="auto" w:fill="CCEEFF"/>
          </w:tcPr>
          <w:p>
            <w:pPr>
              <w:jc w:val="center"/>
              <w:ind w:left="140"/>
              <w:spacing w:after="0"/>
              <w:rPr>
                <w:sz w:val="20"/>
                <w:szCs w:val="20"/>
                <w:color w:val="auto"/>
              </w:rPr>
            </w:pPr>
            <w:r>
              <w:rPr>
                <w:rFonts w:ascii="Times New Roman" w:cs="Times New Roman" w:eastAsia="Times New Roman" w:hAnsi="Times New Roman"/>
                <w:sz w:val="16"/>
                <w:szCs w:val="16"/>
                <w:color w:val="auto"/>
              </w:rPr>
              <w:t>BBB / Baa3 / NR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6,190,000</w:t>
            </w:r>
          </w:p>
        </w:tc>
        <w:tc>
          <w:tcPr>
            <w:tcW w:w="16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0.75 %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279,000</w:t>
            </w:r>
          </w:p>
        </w:tc>
        <w:tc>
          <w:tcPr>
            <w:tcW w:w="1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0.97 %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w:t>
            </w:r>
          </w:p>
        </w:tc>
        <w:tc>
          <w:tcPr>
            <w:tcW w:w="2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DSW, Inc</w:t>
            </w:r>
          </w:p>
        </w:tc>
        <w:tc>
          <w:tcPr>
            <w:tcW w:w="2080" w:type="dxa"/>
            <w:vAlign w:val="bottom"/>
          </w:tcPr>
          <w:p>
            <w:pPr>
              <w:jc w:val="center"/>
              <w:ind w:left="140"/>
              <w:spacing w:after="0"/>
              <w:rPr>
                <w:sz w:val="20"/>
                <w:szCs w:val="20"/>
                <w:color w:val="auto"/>
              </w:rPr>
            </w:pPr>
            <w:r>
              <w:rPr>
                <w:rFonts w:ascii="Times New Roman" w:cs="Times New Roman" w:eastAsia="Times New Roman" w:hAnsi="Times New Roman"/>
                <w:sz w:val="16"/>
                <w:szCs w:val="16"/>
                <w:color w:val="auto"/>
              </w:rPr>
              <w:t>NR / NR / NR</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5,951,000</w:t>
            </w:r>
          </w:p>
        </w:tc>
        <w:tc>
          <w:tcPr>
            <w:tcW w:w="1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0.72 %</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239,000</w:t>
            </w: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0.83 %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w:t>
            </w:r>
          </w:p>
        </w:tc>
        <w:tc>
          <w:tcPr>
            <w:tcW w:w="2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Ulta Beauty, Inc.</w:t>
            </w:r>
          </w:p>
        </w:tc>
        <w:tc>
          <w:tcPr>
            <w:tcW w:w="2080" w:type="dxa"/>
            <w:vAlign w:val="bottom"/>
            <w:shd w:val="clear" w:color="auto" w:fill="CCEEFF"/>
          </w:tcPr>
          <w:p>
            <w:pPr>
              <w:jc w:val="center"/>
              <w:ind w:left="140"/>
              <w:spacing w:after="0"/>
              <w:rPr>
                <w:sz w:val="20"/>
                <w:szCs w:val="20"/>
                <w:color w:val="auto"/>
              </w:rPr>
            </w:pPr>
            <w:r>
              <w:rPr>
                <w:rFonts w:ascii="Times New Roman" w:cs="Times New Roman" w:eastAsia="Times New Roman" w:hAnsi="Times New Roman"/>
                <w:sz w:val="16"/>
                <w:szCs w:val="16"/>
                <w:color w:val="auto"/>
              </w:rPr>
              <w:t>NR / NR / NR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5,764,000</w:t>
            </w:r>
          </w:p>
        </w:tc>
        <w:tc>
          <w:tcPr>
            <w:tcW w:w="16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0.70 %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169,000</w:t>
            </w:r>
          </w:p>
        </w:tc>
        <w:tc>
          <w:tcPr>
            <w:tcW w:w="1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0.59 %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w:t>
            </w:r>
          </w:p>
        </w:tc>
        <w:tc>
          <w:tcPr>
            <w:tcW w:w="2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AMC Entertainment Inc.</w:t>
            </w:r>
          </w:p>
        </w:tc>
        <w:tc>
          <w:tcPr>
            <w:tcW w:w="2080" w:type="dxa"/>
            <w:vAlign w:val="bottom"/>
          </w:tcPr>
          <w:p>
            <w:pPr>
              <w:jc w:val="center"/>
              <w:ind w:left="140"/>
              <w:spacing w:after="0"/>
              <w:rPr>
                <w:sz w:val="20"/>
                <w:szCs w:val="20"/>
                <w:color w:val="auto"/>
              </w:rPr>
            </w:pPr>
            <w:r>
              <w:rPr>
                <w:rFonts w:ascii="Times New Roman" w:cs="Times New Roman" w:eastAsia="Times New Roman" w:hAnsi="Times New Roman"/>
                <w:sz w:val="16"/>
                <w:szCs w:val="16"/>
                <w:color w:val="auto"/>
              </w:rPr>
              <w:t>CCC+ / Caa2 / NR</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5,424,000</w:t>
            </w:r>
          </w:p>
        </w:tc>
        <w:tc>
          <w:tcPr>
            <w:tcW w:w="1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0.66 %</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233,000</w:t>
            </w: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0.81 %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w:t>
            </w:r>
          </w:p>
        </w:tc>
        <w:tc>
          <w:tcPr>
            <w:tcW w:w="2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Hudson's Bay Company (Saks)</w:t>
            </w:r>
          </w:p>
        </w:tc>
        <w:tc>
          <w:tcPr>
            <w:tcW w:w="2080" w:type="dxa"/>
            <w:vAlign w:val="bottom"/>
            <w:shd w:val="clear" w:color="auto" w:fill="CCEEFF"/>
          </w:tcPr>
          <w:p>
            <w:pPr>
              <w:jc w:val="center"/>
              <w:ind w:left="140"/>
              <w:spacing w:after="0"/>
              <w:rPr>
                <w:sz w:val="20"/>
                <w:szCs w:val="20"/>
                <w:color w:val="auto"/>
              </w:rPr>
            </w:pPr>
            <w:r>
              <w:rPr>
                <w:rFonts w:ascii="Times New Roman" w:cs="Times New Roman" w:eastAsia="Times New Roman" w:hAnsi="Times New Roman"/>
                <w:sz w:val="16"/>
                <w:szCs w:val="16"/>
                <w:color w:val="auto"/>
              </w:rPr>
              <w:t>NR / NR / NR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5,155,000</w:t>
            </w:r>
          </w:p>
        </w:tc>
        <w:tc>
          <w:tcPr>
            <w:tcW w:w="16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0.63 %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0.35 %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w:t>
            </w:r>
          </w:p>
        </w:tc>
        <w:tc>
          <w:tcPr>
            <w:tcW w:w="2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Wells Fargo Bank, N.A.</w:t>
            </w:r>
          </w:p>
        </w:tc>
        <w:tc>
          <w:tcPr>
            <w:tcW w:w="2080" w:type="dxa"/>
            <w:vAlign w:val="bottom"/>
          </w:tcPr>
          <w:p>
            <w:pPr>
              <w:jc w:val="center"/>
              <w:ind w:left="140"/>
              <w:spacing w:after="0"/>
              <w:rPr>
                <w:sz w:val="20"/>
                <w:szCs w:val="20"/>
                <w:color w:val="auto"/>
              </w:rPr>
            </w:pPr>
            <w:r>
              <w:rPr>
                <w:rFonts w:ascii="Times New Roman" w:cs="Times New Roman" w:eastAsia="Times New Roman" w:hAnsi="Times New Roman"/>
                <w:sz w:val="16"/>
                <w:szCs w:val="16"/>
                <w:color w:val="auto"/>
                <w:w w:val="99"/>
              </w:rPr>
              <w:t>BBB+ / A1 / A+</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5,150,000</w:t>
            </w:r>
          </w:p>
        </w:tc>
        <w:tc>
          <w:tcPr>
            <w:tcW w:w="1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0.63 %</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66,000</w:t>
            </w: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0.23 %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w:t>
            </w:r>
          </w:p>
        </w:tc>
        <w:tc>
          <w:tcPr>
            <w:tcW w:w="2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Whole Foods Market, Inc.</w:t>
            </w:r>
          </w:p>
        </w:tc>
        <w:tc>
          <w:tcPr>
            <w:tcW w:w="2080" w:type="dxa"/>
            <w:vAlign w:val="bottom"/>
            <w:shd w:val="clear" w:color="auto" w:fill="CCEEFF"/>
          </w:tcPr>
          <w:p>
            <w:pPr>
              <w:jc w:val="center"/>
              <w:ind w:left="140"/>
              <w:spacing w:after="0"/>
              <w:rPr>
                <w:sz w:val="20"/>
                <w:szCs w:val="20"/>
                <w:color w:val="auto"/>
              </w:rPr>
            </w:pPr>
            <w:r>
              <w:rPr>
                <w:rFonts w:ascii="Times New Roman" w:cs="Times New Roman" w:eastAsia="Times New Roman" w:hAnsi="Times New Roman"/>
                <w:sz w:val="16"/>
                <w:szCs w:val="16"/>
                <w:color w:val="auto"/>
              </w:rPr>
              <w:t>AA- / A1 / NR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5,011,000</w:t>
            </w:r>
          </w:p>
        </w:tc>
        <w:tc>
          <w:tcPr>
            <w:tcW w:w="16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0.61 %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167,000</w:t>
            </w:r>
          </w:p>
        </w:tc>
        <w:tc>
          <w:tcPr>
            <w:tcW w:w="1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0.58 %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w:t>
            </w:r>
          </w:p>
        </w:tc>
        <w:tc>
          <w:tcPr>
            <w:tcW w:w="2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Starbucks Corporation</w:t>
            </w:r>
          </w:p>
        </w:tc>
        <w:tc>
          <w:tcPr>
            <w:tcW w:w="2080" w:type="dxa"/>
            <w:vAlign w:val="bottom"/>
          </w:tcPr>
          <w:p>
            <w:pPr>
              <w:jc w:val="center"/>
              <w:ind w:left="140"/>
              <w:spacing w:after="0"/>
              <w:rPr>
                <w:sz w:val="20"/>
                <w:szCs w:val="20"/>
                <w:color w:val="auto"/>
              </w:rPr>
            </w:pPr>
            <w:r>
              <w:rPr>
                <w:rFonts w:ascii="Times New Roman" w:cs="Times New Roman" w:eastAsia="Times New Roman" w:hAnsi="Times New Roman"/>
                <w:sz w:val="16"/>
                <w:szCs w:val="16"/>
                <w:color w:val="auto"/>
              </w:rPr>
              <w:t>BBB+ / Baa1 / BBB</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4,897,000</w:t>
            </w:r>
          </w:p>
        </w:tc>
        <w:tc>
          <w:tcPr>
            <w:tcW w:w="1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0.60 %</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0.26 %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w:t>
            </w:r>
          </w:p>
        </w:tc>
        <w:tc>
          <w:tcPr>
            <w:tcW w:w="2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Best Buy Co., Inc.</w:t>
            </w:r>
          </w:p>
        </w:tc>
        <w:tc>
          <w:tcPr>
            <w:tcW w:w="2080" w:type="dxa"/>
            <w:vAlign w:val="bottom"/>
            <w:shd w:val="clear" w:color="auto" w:fill="CCEEFF"/>
          </w:tcPr>
          <w:p>
            <w:pPr>
              <w:jc w:val="center"/>
              <w:ind w:left="140"/>
              <w:spacing w:after="0"/>
              <w:rPr>
                <w:sz w:val="20"/>
                <w:szCs w:val="20"/>
                <w:color w:val="auto"/>
              </w:rPr>
            </w:pPr>
            <w:r>
              <w:rPr>
                <w:rFonts w:ascii="Times New Roman" w:cs="Times New Roman" w:eastAsia="Times New Roman" w:hAnsi="Times New Roman"/>
                <w:sz w:val="16"/>
                <w:szCs w:val="16"/>
                <w:color w:val="auto"/>
              </w:rPr>
              <w:t>BBB+ / A3 / NR</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4,837,000</w:t>
            </w:r>
          </w:p>
        </w:tc>
        <w:tc>
          <w:tcPr>
            <w:tcW w:w="16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0.59 %</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188,000</w:t>
            </w: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0.65 %</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7"/>
        </w:trPr>
        <w:tc>
          <w:tcPr>
            <w:tcW w:w="560" w:type="dxa"/>
            <w:vAlign w:val="bottom"/>
          </w:tcPr>
          <w:p>
            <w:pPr>
              <w:spacing w:after="0"/>
              <w:rPr>
                <w:sz w:val="17"/>
                <w:szCs w:val="17"/>
                <w:color w:val="auto"/>
              </w:rPr>
            </w:pPr>
          </w:p>
        </w:tc>
        <w:tc>
          <w:tcPr>
            <w:tcW w:w="2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Totals - Top 25 Tenants</w:t>
            </w:r>
          </w:p>
        </w:tc>
        <w:tc>
          <w:tcPr>
            <w:tcW w:w="20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208,347,000</w:t>
            </w:r>
          </w:p>
        </w:tc>
        <w:tc>
          <w:tcPr>
            <w:tcW w:w="16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25.33 %</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8,702,000</w:t>
            </w:r>
          </w:p>
        </w:tc>
        <w:tc>
          <w:tcPr>
            <w:tcW w:w="1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30.21 %</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0" w:type="dxa"/>
            <w:vAlign w:val="bottom"/>
          </w:tcPr>
          <w:p>
            <w:pPr>
              <w:spacing w:after="0"/>
              <w:rPr>
                <w:sz w:val="1"/>
                <w:szCs w:val="1"/>
                <w:color w:val="auto"/>
              </w:rPr>
            </w:pPr>
          </w:p>
        </w:tc>
      </w:tr>
      <w:tr>
        <w:trPr>
          <w:trHeight w:val="20"/>
        </w:trPr>
        <w:tc>
          <w:tcPr>
            <w:tcW w:w="5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60" w:type="dxa"/>
            <w:vAlign w:val="bottom"/>
            <w:shd w:val="clear" w:color="auto" w:fill="CCEEFF"/>
          </w:tcPr>
          <w:p>
            <w:pPr>
              <w:spacing w:after="0"/>
              <w:rPr>
                <w:sz w:val="16"/>
                <w:szCs w:val="16"/>
                <w:color w:val="auto"/>
              </w:rPr>
            </w:pPr>
          </w:p>
        </w:tc>
        <w:tc>
          <w:tcPr>
            <w:tcW w:w="280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2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(6):</w:t>
            </w:r>
          </w:p>
        </w:tc>
        <w:tc>
          <w:tcPr>
            <w:tcW w:w="20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822,369,000</w:t>
            </w:r>
          </w:p>
        </w:tc>
        <w:tc>
          <w:tcPr>
            <w:tcW w:w="1640" w:type="dxa"/>
            <w:vAlign w:val="bottom"/>
          </w:tcPr>
          <w:p>
            <w:pPr>
              <w:jc w:val="right"/>
              <w:ind w:right="1340"/>
              <w:spacing w:after="0"/>
              <w:rPr>
                <w:sz w:val="20"/>
                <w:szCs w:val="20"/>
                <w:color w:val="auto"/>
              </w:rPr>
            </w:pPr>
            <w:r>
              <w:rPr>
                <w:rFonts w:ascii="Times New Roman" w:cs="Times New Roman" w:eastAsia="Times New Roman" w:hAnsi="Times New Roman"/>
                <w:sz w:val="16"/>
                <w:szCs w:val="16"/>
                <w:color w:val="auto"/>
              </w:rPr>
              <w:t>(3)</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28,808,000</w:t>
            </w:r>
          </w:p>
        </w:tc>
        <w:tc>
          <w:tcPr>
            <w:tcW w:w="1180" w:type="dxa"/>
            <w:vAlign w:val="bottom"/>
          </w:tcPr>
          <w:p>
            <w:pPr>
              <w:jc w:val="right"/>
              <w:ind w:right="880"/>
              <w:spacing w:after="0"/>
              <w:rPr>
                <w:sz w:val="20"/>
                <w:szCs w:val="20"/>
                <w:color w:val="auto"/>
              </w:rPr>
            </w:pPr>
            <w:r>
              <w:rPr>
                <w:rFonts w:ascii="Times New Roman" w:cs="Times New Roman" w:eastAsia="Times New Roman" w:hAnsi="Times New Roman"/>
                <w:sz w:val="16"/>
                <w:szCs w:val="16"/>
                <w:color w:val="auto"/>
              </w:rPr>
              <w:t>(5)</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32" w:lineRule="exact"/>
        <w:rPr>
          <w:sz w:val="20"/>
          <w:szCs w:val="20"/>
          <w:color w:val="auto"/>
        </w:rPr>
      </w:pPr>
    </w:p>
    <w:p>
      <w:pPr>
        <w:ind w:left="640" w:hanging="621"/>
        <w:spacing w:after="0"/>
        <w:tabs>
          <w:tab w:leader="none" w:pos="6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Number of leased locations is based on the gross number of locations All other top tenant data is reported including our 77.7% share of Escondido Promenade.</w:t>
      </w:r>
    </w:p>
    <w:p>
      <w:pPr>
        <w:spacing w:after="0" w:line="32" w:lineRule="exact"/>
        <w:rPr>
          <w:rFonts w:ascii="Times New Roman" w:cs="Times New Roman" w:eastAsia="Times New Roman" w:hAnsi="Times New Roman"/>
          <w:sz w:val="16"/>
          <w:szCs w:val="16"/>
          <w:color w:val="auto"/>
        </w:rPr>
      </w:pPr>
    </w:p>
    <w:p>
      <w:pPr>
        <w:ind w:left="640" w:hanging="621"/>
        <w:spacing w:after="0"/>
        <w:tabs>
          <w:tab w:leader="none" w:pos="6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Credit Ratings are as of September 30, 2022. Subsequent rating changes have not been reflected.</w:t>
      </w:r>
    </w:p>
    <w:p>
      <w:pPr>
        <w:spacing w:after="0" w:line="32" w:lineRule="exact"/>
        <w:rPr>
          <w:rFonts w:ascii="Times New Roman" w:cs="Times New Roman" w:eastAsia="Times New Roman" w:hAnsi="Times New Roman"/>
          <w:sz w:val="16"/>
          <w:szCs w:val="16"/>
          <w:color w:val="auto"/>
        </w:rPr>
      </w:pPr>
    </w:p>
    <w:p>
      <w:pPr>
        <w:ind w:left="640" w:hanging="621"/>
        <w:spacing w:after="0"/>
        <w:tabs>
          <w:tab w:leader="none" w:pos="6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Glossary of Terms.</w:t>
      </w:r>
    </w:p>
    <w:p>
      <w:pPr>
        <w:spacing w:after="0" w:line="32" w:lineRule="exact"/>
        <w:rPr>
          <w:rFonts w:ascii="Times New Roman" w:cs="Times New Roman" w:eastAsia="Times New Roman" w:hAnsi="Times New Roman"/>
          <w:sz w:val="16"/>
          <w:szCs w:val="16"/>
          <w:color w:val="auto"/>
        </w:rPr>
      </w:pPr>
    </w:p>
    <w:p>
      <w:pPr>
        <w:ind w:left="640" w:hanging="621"/>
        <w:spacing w:after="0"/>
        <w:tabs>
          <w:tab w:leader="none" w:pos="6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Individual items may not add up to total due to rounding.</w:t>
      </w:r>
    </w:p>
    <w:p>
      <w:pPr>
        <w:spacing w:after="0" w:line="32" w:lineRule="exact"/>
        <w:rPr>
          <w:rFonts w:ascii="Times New Roman" w:cs="Times New Roman" w:eastAsia="Times New Roman" w:hAnsi="Times New Roman"/>
          <w:sz w:val="16"/>
          <w:szCs w:val="16"/>
          <w:color w:val="auto"/>
        </w:rPr>
      </w:pPr>
    </w:p>
    <w:p>
      <w:pPr>
        <w:ind w:left="640" w:hanging="621"/>
        <w:spacing w:after="0"/>
        <w:tabs>
          <w:tab w:leader="none" w:pos="6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redevelopment square footage not yet placed in service.</w:t>
      </w:r>
    </w:p>
    <w:p>
      <w:pPr>
        <w:spacing w:after="0" w:line="32" w:lineRule="exact"/>
        <w:rPr>
          <w:rFonts w:ascii="Times New Roman" w:cs="Times New Roman" w:eastAsia="Times New Roman" w:hAnsi="Times New Roman"/>
          <w:sz w:val="16"/>
          <w:szCs w:val="16"/>
          <w:color w:val="auto"/>
        </w:rPr>
      </w:pPr>
    </w:p>
    <w:p>
      <w:pPr>
        <w:ind w:left="640" w:hanging="621"/>
        <w:spacing w:after="0"/>
        <w:tabs>
          <w:tab w:leader="none" w:pos="6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Totals reflect both the commercial and residential portions of our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00"/>
          </w:cols>
          <w:pgMar w:left="340" w:top="1022" w:right="359" w:bottom="1440" w:gutter="0" w:footer="0" w:header="0"/>
        </w:sectPr>
      </w:pPr>
    </w:p>
    <w:bookmarkStart w:id="31" w:name="page32"/>
    <w:bookmarkEnd w:id="31"/>
    <w:p>
      <w:pPr>
        <w:ind w:left="2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FFO Guidance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a reconciliation of the range of estimated earnings per diluted share to estimated FFO per diluted share for the full year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Estimates do not include the impact from potential acquisitions or dispositions which have not closed as of October 31, 2022.</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960" w:type="dxa"/>
            <w:vAlign w:val="bottom"/>
            <w:tcBorders>
              <w:top w:val="single" w:sz="8" w:color="auto"/>
              <w:bottom w:val="single" w:sz="8" w:color="auto"/>
            </w:tcBorders>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Full Year 2022 Guidance Range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8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Low</w:t>
            </w:r>
          </w:p>
        </w:tc>
        <w:tc>
          <w:tcPr>
            <w:tcW w:w="5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High</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Estimated net income available to common shareholders, per diluted share</w:t>
            </w:r>
          </w:p>
        </w:tc>
        <w:tc>
          <w:tcPr>
            <w:tcW w:w="1580" w:type="dxa"/>
            <w:vAlign w:val="bottom"/>
          </w:tcPr>
          <w:p>
            <w:pPr>
              <w:spacing w:after="0"/>
              <w:rPr>
                <w:sz w:val="19"/>
                <w:szCs w:val="19"/>
                <w:color w:val="auto"/>
              </w:rPr>
            </w:pPr>
          </w:p>
        </w:tc>
        <w:tc>
          <w:tcPr>
            <w:tcW w:w="9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3.88</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5"/>
              </w:rPr>
              <w:t>3.93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5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Estimated gain on sale of real estate, net</w:t>
            </w:r>
          </w:p>
        </w:tc>
        <w:tc>
          <w:tcPr>
            <w:tcW w:w="1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depreciation and amortization</w:t>
            </w:r>
          </w:p>
        </w:tc>
        <w:tc>
          <w:tcPr>
            <w:tcW w:w="158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5"/>
              </w:rPr>
              <w:t>3.63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Estimated FFO per diluted share</w:t>
            </w:r>
          </w:p>
        </w:tc>
        <w:tc>
          <w:tcPr>
            <w:tcW w:w="1580" w:type="dxa"/>
            <w:vAlign w:val="bottom"/>
          </w:tcPr>
          <w:p>
            <w:pPr>
              <w:spacing w:after="0"/>
              <w:rPr>
                <w:sz w:val="19"/>
                <w:szCs w:val="19"/>
                <w:color w:val="auto"/>
              </w:rPr>
            </w:pPr>
          </w:p>
        </w:tc>
        <w:tc>
          <w:tcPr>
            <w:tcW w:w="9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6.27</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color w:val="auto"/>
                <w:w w:val="95"/>
              </w:rPr>
              <w:t>6.32</w:t>
            </w:r>
          </w:p>
        </w:tc>
        <w:tc>
          <w:tcPr>
            <w:tcW w:w="0" w:type="dxa"/>
            <w:vAlign w:val="bottom"/>
          </w:tcPr>
          <w:p>
            <w:pPr>
              <w:spacing w:after="0"/>
              <w:rPr>
                <w:sz w:val="1"/>
                <w:szCs w:val="1"/>
                <w:color w:val="auto"/>
              </w:rPr>
            </w:pPr>
          </w:p>
        </w:tc>
      </w:tr>
      <w:tr>
        <w:trPr>
          <w:trHeight w:val="20"/>
        </w:trPr>
        <w:tc>
          <w:tcPr>
            <w:tcW w:w="67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Note:</w:t>
            </w:r>
          </w:p>
        </w:tc>
        <w:tc>
          <w:tcPr>
            <w:tcW w:w="1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5"/>
        </w:trPr>
        <w:tc>
          <w:tcPr>
            <w:tcW w:w="6700" w:type="dxa"/>
            <w:vAlign w:val="bottom"/>
            <w:gridSpan w:val="4"/>
            <w:vMerge w:val="continue"/>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See Glossary of Terms. Individual items may not add up to total due to rounding.</w:t>
            </w:r>
          </w:p>
        </w:tc>
        <w:tc>
          <w:tcPr>
            <w:tcW w:w="15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6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Guidance Assumptions:</w:t>
            </w: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48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Comparable properties growth</w:t>
            </w:r>
          </w:p>
        </w:tc>
        <w:tc>
          <w:tcPr>
            <w:tcW w:w="1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7% - 8%</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Comparable properties growth excluding prior period rents and term fees</w:t>
            </w:r>
          </w:p>
        </w:tc>
        <w:tc>
          <w:tcPr>
            <w:tcW w:w="1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9% - 10%</w:t>
            </w: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$51 - $53 million (annual)</w:t>
            </w: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Mortgage interest income</w:t>
            </w:r>
          </w:p>
        </w:tc>
        <w:tc>
          <w:tcPr>
            <w:tcW w:w="2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 million (annual)</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 Dispositions POI</w:t>
            </w:r>
          </w:p>
        </w:tc>
        <w:tc>
          <w:tcPr>
            <w:tcW w:w="2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$8 million</w:t>
            </w: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Development/redevelopment capital</w:t>
            </w:r>
          </w:p>
        </w:tc>
        <w:tc>
          <w:tcPr>
            <w:tcW w:w="2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$300 - $350 million (annual)</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to be issued ($292 million of common equity issued year to date through 9/30/2022)</w:t>
            </w:r>
          </w:p>
        </w:tc>
        <w:tc>
          <w:tcPr>
            <w:tcW w:w="2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$290 - $300 million (annual)</w:t>
            </w: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Does not assume any material changes of tenants moving to or from a cash basis of accounting.</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927"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Glossary of Terms</w:t>
      </w:r>
    </w:p>
    <w:p>
      <w:pPr>
        <w:spacing w:after="0" w:line="13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EBITDA for Real Estate ("EBITDAre"): </w:t>
      </w:r>
      <w:r>
        <w:rPr>
          <w:rFonts w:ascii="Times New Roman" w:cs="Times New Roman" w:eastAsia="Times New Roman" w:hAnsi="Times New Roman"/>
          <w:sz w:val="16"/>
          <w:szCs w:val="16"/>
          <w:color w:val="auto"/>
        </w:rPr>
        <w:t>EBITDAre is a non-GAAP measure that the National Association of Real Estate Investment Trusts ("NAREIT") defines as: net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income computed in accordance with GAAP plus net interest expense, income tax expense, depreciation and amortization, gain or loss on sale of real estate, impairments of real estate and change in control of interest, and adjustments to reflect the entity's share of EBITDAre of unconsolidated affiliates. We calculate EBITDAre consistent with the NAREIT definition. As EBITDA is a widely known and understood measure of performance, management believes EBITDAre represents an additional non-GAAP performance measure, independent of a company's capital structure, that will provide investors with a uniform basis to measure the enterprise value of a company. EBITDAre also approximates a key performance measure in our debt covenants, but it should not be considered an alternative measure of operating results or cash flow from operations as determined in accordance with GAAP. The reconciliation of net income to EBITDAre for the three and nine months ended September 30, 2022 and 2021 is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6"/>
                <w:szCs w:val="16"/>
                <w:color w:val="auto"/>
              </w:rPr>
            </w:pPr>
          </w:p>
        </w:tc>
        <w:tc>
          <w:tcPr>
            <w:tcW w:w="2300" w:type="dxa"/>
            <w:vAlign w:val="bottom"/>
            <w:gridSpan w:val="4"/>
          </w:tcPr>
          <w:p>
            <w:pPr>
              <w:jc w:val="right"/>
              <w:ind w:right="67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03"/>
        </w:trPr>
        <w:tc>
          <w:tcPr>
            <w:tcW w:w="5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r>
      <w:tr>
        <w:trPr>
          <w:trHeight w:val="23"/>
        </w:trPr>
        <w:tc>
          <w:tcPr>
            <w:tcW w:w="5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5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5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2"/>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3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158,774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7"/>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54,541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7"/>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277,969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152,339</w:t>
            </w:r>
          </w:p>
        </w:tc>
      </w:tr>
      <w:tr>
        <w:trPr>
          <w:trHeight w:val="216"/>
        </w:trPr>
        <w:tc>
          <w:tcPr>
            <w:tcW w:w="5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35,060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32,249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98,707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95,511</w:t>
            </w:r>
          </w:p>
        </w:tc>
      </w:tr>
      <w:tr>
        <w:trPr>
          <w:trHeight w:val="216"/>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interest income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w:t>
            </w:r>
          </w:p>
        </w:tc>
      </w:tr>
      <w:tr>
        <w:trPr>
          <w:trHeight w:val="216"/>
        </w:trPr>
        <w:tc>
          <w:tcPr>
            <w:tcW w:w="5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 provision (benefit)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6"/>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77,109</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70,611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223,244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202,160</w:t>
            </w:r>
          </w:p>
        </w:tc>
      </w:tr>
      <w:tr>
        <w:trPr>
          <w:trHeight w:val="216"/>
        </w:trPr>
        <w:tc>
          <w:tcPr>
            <w:tcW w:w="5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on deconsolidation of VIE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(70,374)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(70,374)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on sale of real estate and change in control of interest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(29,723)</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(29,723)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(17,428)</w:t>
            </w:r>
          </w:p>
        </w:tc>
      </w:tr>
      <w:tr>
        <w:trPr>
          <w:trHeight w:val="216"/>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Adjustments of EBITDAre of unconsolidated affiliates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1,302</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905</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3,098</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2,779</w:t>
            </w:r>
          </w:p>
        </w:tc>
      </w:tr>
      <w:tr>
        <w:trPr>
          <w:trHeight w:val="235"/>
        </w:trPr>
        <w:tc>
          <w:tcPr>
            <w:tcW w:w="56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EBITDAre</w:t>
            </w: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172,380</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7"/>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158,282</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7"/>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503,069</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434,657</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7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Funds From Operations (FFO): </w:t>
      </w:r>
      <w:r>
        <w:rPr>
          <w:rFonts w:ascii="Times New Roman" w:cs="Times New Roman" w:eastAsia="Times New Roman" w:hAnsi="Times New Roman"/>
          <w:sz w:val="16"/>
          <w:szCs w:val="16"/>
          <w:color w:val="auto"/>
        </w:rPr>
        <w:t>FFO is a supplemental measure of real estate companies' operating performances. NAREIT defines FFO as follows: net income, computed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 accordance with GAAP plus real estate related depreciation and amortization, gains and losses on sale of real estate, and impairment write-downs of depreciable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primarily because it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Property Operating Income: </w:t>
      </w:r>
      <w:r>
        <w:rPr>
          <w:rFonts w:ascii="Times New Roman" w:cs="Times New Roman" w:eastAsia="Times New Roman" w:hAnsi="Times New Roman"/>
          <w:sz w:val="16"/>
          <w:szCs w:val="16"/>
          <w:color w:val="auto"/>
        </w:rPr>
        <w:t>Rental income and mortgage interest income, less rental expenses and real estate taxes.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Overall Portfolio: </w:t>
      </w:r>
      <w:r>
        <w:rPr>
          <w:rFonts w:ascii="Times New Roman" w:cs="Times New Roman" w:eastAsia="Times New Roman" w:hAnsi="Times New Roman"/>
          <w:sz w:val="16"/>
          <w:szCs w:val="16"/>
          <w:color w:val="auto"/>
        </w:rPr>
        <w:t>Includes all operating properties owned in reporting period.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Comparable Properties: </w:t>
      </w:r>
      <w:r>
        <w:rPr>
          <w:rFonts w:ascii="Times New Roman" w:cs="Times New Roman" w:eastAsia="Times New Roman" w:hAnsi="Times New Roman"/>
          <w:sz w:val="16"/>
          <w:szCs w:val="16"/>
          <w:color w:val="auto"/>
        </w:rPr>
        <w:t>Represents our consolidated property portfolio other than those properties that distort comparability between periods in two primary categories:</w:t>
      </w:r>
    </w:p>
    <w:p>
      <w:pPr>
        <w:spacing w:after="0" w:line="25" w:lineRule="exact"/>
        <w:rPr>
          <w:sz w:val="20"/>
          <w:szCs w:val="20"/>
          <w:color w:val="auto"/>
        </w:rPr>
      </w:pPr>
    </w:p>
    <w:p>
      <w:pPr>
        <w:ind w:right="160" w:firstLine="8"/>
        <w:spacing w:after="0" w:line="257" w:lineRule="auto"/>
        <w:tabs>
          <w:tab w:leader="none" w:pos="229"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assets that were not owned for the full quarter in both periods presented and (2) assets currently under development or being repositioned for significant redevelopment and investment. Comparable property growth statistics are calculated on a GAAP basis.</w:t>
      </w:r>
    </w:p>
    <w:p>
      <w:pPr>
        <w:spacing w:after="0" w:line="99" w:lineRule="exact"/>
        <w:rPr>
          <w:sz w:val="20"/>
          <w:szCs w:val="20"/>
          <w:color w:val="auto"/>
        </w:rPr>
      </w:pPr>
    </w:p>
    <w:p>
      <w:pPr>
        <w:ind w:right="160"/>
        <w:spacing w:after="0" w:line="301" w:lineRule="auto"/>
        <w:rPr>
          <w:sz w:val="20"/>
          <w:szCs w:val="20"/>
          <w:color w:val="auto"/>
        </w:rPr>
      </w:pPr>
      <w:r>
        <w:rPr>
          <w:rFonts w:ascii="Times New Roman" w:cs="Times New Roman" w:eastAsia="Times New Roman" w:hAnsi="Times New Roman"/>
          <w:sz w:val="16"/>
          <w:szCs w:val="16"/>
          <w:b w:val="1"/>
          <w:bCs w:val="1"/>
          <w:color w:val="auto"/>
        </w:rPr>
        <w:t xml:space="preserve">Annualized Base Rent (ABR): </w:t>
      </w:r>
      <w:r>
        <w:rPr>
          <w:rFonts w:ascii="Times New Roman" w:cs="Times New Roman" w:eastAsia="Times New Roman" w:hAnsi="Times New Roman"/>
          <w:sz w:val="16"/>
          <w:szCs w:val="16"/>
          <w:color w:val="auto"/>
        </w:rPr>
        <w:t>Represents aggregate, annualized in-place contractual (defined as rents billed on a cash basis without taking the impact of rent abatements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into account) minimum rent for all occupied spaces as of the reporting period.</w:t>
      </w:r>
    </w:p>
    <w:p>
      <w:pPr>
        <w:spacing w:after="0" w:line="52"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6"/>
          <w:szCs w:val="16"/>
          <w:b w:val="1"/>
          <w:bCs w:val="1"/>
          <w:color w:val="auto"/>
        </w:rPr>
        <w:t xml:space="preserve">Retail Leasing Summary - Lease Rollover Calculation: </w:t>
      </w:r>
      <w:r>
        <w:rPr>
          <w:rFonts w:ascii="Times New Roman" w:cs="Times New Roman" w:eastAsia="Times New Roman" w:hAnsi="Times New Roman"/>
          <w:sz w:val="16"/>
          <w:szCs w:val="16"/>
          <w:color w:val="auto"/>
        </w:rPr>
        <w:t>The rental increases associated with comparable spaces generally include all leases signed for retail space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arms-length transactions reflecting market leverage between landlords and tenants during the period. The comparison between the rent for expiring leases and new leases is determined by including contractual rent on the expiring lease, including percentage rent, and the comparable annual rent and in some instances, projections of percentage rent, to be paid on the new lease. In atypical circumstances, management may exercise judgement as to how to most effectively reflect the comparability of rents reported in the calculation. As a result of accommodations made to certain tenants to help them to stay open during and after the COVID-19 pandemic, we have found it necessary to exercise more judgment since the pandemic started than in prior years in order to appropriately reflect the comparability of rents in the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 Rent abatement and short term rent restructuring agreements that are a result of COVID-19 impacts are not included in this calculation.</w:t>
      </w:r>
    </w:p>
    <w:p>
      <w:pPr>
        <w:spacing w:after="0" w:line="103" w:lineRule="exact"/>
        <w:rPr>
          <w:sz w:val="20"/>
          <w:szCs w:val="20"/>
          <w:color w:val="auto"/>
        </w:rPr>
      </w:pPr>
    </w:p>
    <w:p>
      <w:pPr>
        <w:ind w:right="240"/>
        <w:spacing w:after="0" w:line="301" w:lineRule="auto"/>
        <w:rPr>
          <w:sz w:val="20"/>
          <w:szCs w:val="20"/>
          <w:color w:val="auto"/>
        </w:rPr>
      </w:pPr>
      <w:r>
        <w:rPr>
          <w:rFonts w:ascii="Times New Roman" w:cs="Times New Roman" w:eastAsia="Times New Roman" w:hAnsi="Times New Roman"/>
          <w:sz w:val="16"/>
          <w:szCs w:val="16"/>
          <w:b w:val="1"/>
          <w:bCs w:val="1"/>
          <w:color w:val="auto"/>
        </w:rPr>
        <w:t xml:space="preserve">Tenant Improvements and Incentives: </w:t>
      </w:r>
      <w:r>
        <w:rPr>
          <w:rFonts w:ascii="Times New Roman" w:cs="Times New Roman" w:eastAsia="Times New Roman" w:hAnsi="Times New Roman"/>
          <w:sz w:val="16"/>
          <w:szCs w:val="16"/>
          <w:color w:val="auto"/>
        </w:rPr>
        <w:t>Represents the total dollars committed for the improvement (fit-out) of a space as it relates to a specific lease. Incentives include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amounts paid to tenants as an inducement to sign a lease that do not represent building improvements.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3"/>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lvl w:ilvl="1">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1)"/>
      <w:numFmt w:val="decimal"/>
      <w:start w:val="3"/>
    </w:lvl>
  </w:abstractNum>
  <w:abstractNum w:abstractNumId="10">
    <w:nsid w:val="3F2DBA31"/>
    <w:multiLevelType w:val="hybridMultilevel"/>
    <w:lvl w:ilvl="0">
      <w:lvlJc w:val="left"/>
      <w:lvlText w:val="%1)"/>
      <w:numFmt w:val="decimal"/>
      <w:start w:val="5"/>
    </w:lvl>
  </w:abstractNum>
  <w:abstractNum w:abstractNumId="11">
    <w:nsid w:val="7C83E458"/>
    <w:multiLevelType w:val="hybridMultilevel"/>
    <w:lvl w:ilvl="0">
      <w:lvlJc w:val="left"/>
      <w:lvlText w:val="%1)"/>
      <w:numFmt w:val="decimal"/>
      <w:start w:val="7"/>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1)"/>
      <w:numFmt w:val="decimal"/>
      <w:start w:val="2"/>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1)"/>
      <w:numFmt w:val="decimal"/>
      <w:start w:val="1"/>
    </w:lvl>
  </w:abstractNum>
  <w:abstractNum w:abstractNumId="23">
    <w:nsid w:val="79838CB2"/>
    <w:multiLevelType w:val="hybridMultilevel"/>
    <w:lvl w:ilvl="0">
      <w:lvlJc w:val="left"/>
      <w:lvlText w:val="(%1)"/>
      <w:numFmt w:val="decimal"/>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2022-11-03T15:36:39Z</dcterms:created>
  <dcterms:modified xsi:type="dcterms:W3CDTF">2022-11-03T15:36:39Z</dcterms:modified>
</cp:coreProperties>
</file>