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273925" cy="93541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9354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WOOD DONALD C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gridSpan w:val="7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60"/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Trustee, President and CEO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1626 EAST JEFFERSON STREET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09/08/2011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08/18/2011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51,325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370,586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67.66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445,586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89.66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445,486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89.64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445,286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89.62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445,186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89.61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444,986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89.6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444,686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89.59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444,486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89.58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444,386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89.57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444,086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89.56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443,886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89.55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443,786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89.54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443,586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89.53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443,486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89.44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443,286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89.39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442,986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89.38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442,886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89.37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442,786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89.34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442,586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89.32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442,486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89.31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442,386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89.3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442,286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89.28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442,086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89.27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441,986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89.23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441,886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89.22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441,686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89.21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441,486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89.2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441,186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89.19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440,586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89.17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439,986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7299325</wp:posOffset>
            </wp:positionH>
            <wp:positionV relativeFrom="paragraph">
              <wp:posOffset>-20320</wp:posOffset>
            </wp:positionV>
            <wp:extent cx="15875" cy="196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" cy="196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143510</wp:posOffset>
            </wp:positionH>
            <wp:positionV relativeFrom="page">
              <wp:posOffset>88900</wp:posOffset>
            </wp:positionV>
            <wp:extent cx="7324090" cy="2167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2167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shares of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67.66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09/08/2011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02/16/2016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139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02/16/2007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beneficial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2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interest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is one of three Form 4s being filed to voluntarily early report a gift on 8/18/2011 and to report one transaction that occurred on September 8, 2011 because the transaction would not fit on one Form 4.</w:t>
      </w:r>
    </w:p>
    <w:p>
      <w:pPr>
        <w:spacing w:after="0" w:line="6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owned indirectly by wife: 9,437.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15,000 of the options vested on each of 2/16/07, 2/16/08, 2/16/09, 2/16/10 and 2/16/11.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Wood currently holds a total of 247,996 options.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Dawn M. Becker, by power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09/09/2011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20" w:right="3800" w:firstLine="6"/>
        <w:spacing w:after="0" w:line="318" w:lineRule="auto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2019-12-17T17:28:32Z</dcterms:created>
  <dcterms:modified xsi:type="dcterms:W3CDTF">2019-12-17T17:28:32Z</dcterms:modified>
</cp:coreProperties>
</file>