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86360</wp:posOffset>
            </wp:positionV>
            <wp:extent cx="1829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123"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10-K</w:t>
      </w:r>
    </w:p>
    <w:p>
      <w:pPr>
        <w:spacing w:after="0" w:line="1" w:lineRule="exact"/>
        <w:rPr>
          <w:sz w:val="24"/>
          <w:szCs w:val="24"/>
          <w:color w:val="auto"/>
        </w:rPr>
      </w:pPr>
    </w:p>
    <w:p>
      <w:pPr>
        <w:ind w:left="720" w:hanging="690"/>
        <w:spacing w:after="0"/>
        <w:tabs>
          <w:tab w:leader="none" w:pos="72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-227330</wp:posOffset>
            </wp:positionV>
            <wp:extent cx="18294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 the fiscal year ended December 31, 2013</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OR</w:t>
      </w:r>
    </w:p>
    <w:p>
      <w:pPr>
        <w:ind w:left="720" w:hanging="690"/>
        <w:spacing w:after="0" w:line="212" w:lineRule="auto"/>
        <w:tabs>
          <w:tab w:leader="none" w:pos="720" w:val="left"/>
        </w:tabs>
        <w:numPr>
          <w:ilvl w:val="0"/>
          <w:numId w:val="2"/>
        </w:numPr>
        <w:rPr>
          <w:rFonts w:ascii="MS PGothic" w:cs="MS PGothic" w:eastAsia="MS PGothic" w:hAnsi="MS PGothic"/>
          <w:sz w:val="42"/>
          <w:szCs w:val="4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3" w:lineRule="exact"/>
        <w:rPr>
          <w:sz w:val="24"/>
          <w:szCs w:val="24"/>
          <w:color w:val="auto"/>
        </w:rPr>
      </w:pPr>
    </w:p>
    <w:p>
      <w:pPr>
        <w:ind w:left="394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1-07533</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3"/>
          <w:szCs w:val="33"/>
          <w:b w:val="1"/>
          <w:bCs w:val="1"/>
          <w:color w:val="auto"/>
        </w:rPr>
        <w:t>FEDERAL REALTY INVESTMENT TRUST</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33" w:lineRule="exact"/>
        <w:rPr>
          <w:sz w:val="24"/>
          <w:szCs w:val="24"/>
          <w:color w:val="auto"/>
        </w:rPr>
      </w:pPr>
    </w:p>
    <w:tbl>
      <w:tblPr>
        <w:tblLayout w:type="fixed"/>
        <w:tblInd w:w="860" w:type="dxa"/>
        <w:tblCellMar>
          <w:top w:w="0" w:type="dxa"/>
          <w:left w:w="0" w:type="dxa"/>
          <w:bottom w:w="0" w:type="dxa"/>
          <w:right w:w="0" w:type="dxa"/>
        </w:tblCellMar>
      </w:tblPr>
      <w:tr>
        <w:trPr>
          <w:trHeight w:val="227"/>
        </w:trPr>
        <w:tc>
          <w:tcPr>
            <w:tcW w:w="3920" w:type="dxa"/>
            <w:vAlign w:val="bottom"/>
          </w:tcPr>
          <w:p>
            <w:pPr>
              <w:jc w:val="center"/>
              <w:ind w:right="302"/>
              <w:spacing w:after="0"/>
              <w:rPr>
                <w:sz w:val="20"/>
                <w:szCs w:val="20"/>
                <w:color w:val="auto"/>
              </w:rPr>
            </w:pPr>
            <w:r>
              <w:rPr>
                <w:rFonts w:ascii="Arial" w:cs="Arial" w:eastAsia="Arial" w:hAnsi="Arial"/>
                <w:sz w:val="17"/>
                <w:szCs w:val="17"/>
                <w:b w:val="1"/>
                <w:bCs w:val="1"/>
                <w:color w:val="auto"/>
                <w:w w:val="99"/>
              </w:rPr>
              <w:t>Maryland</w:t>
            </w:r>
          </w:p>
        </w:tc>
        <w:tc>
          <w:tcPr>
            <w:tcW w:w="4800" w:type="dxa"/>
            <w:vAlign w:val="bottom"/>
          </w:tcPr>
          <w:p>
            <w:pPr>
              <w:jc w:val="right"/>
              <w:ind w:right="520"/>
              <w:spacing w:after="0"/>
              <w:rPr>
                <w:sz w:val="20"/>
                <w:szCs w:val="20"/>
                <w:color w:val="auto"/>
              </w:rPr>
            </w:pPr>
            <w:r>
              <w:rPr>
                <w:rFonts w:ascii="Arial" w:cs="Arial" w:eastAsia="Arial" w:hAnsi="Arial"/>
                <w:sz w:val="17"/>
                <w:szCs w:val="17"/>
                <w:b w:val="1"/>
                <w:bCs w:val="1"/>
                <w:color w:val="auto"/>
              </w:rPr>
              <w:t>52-0782497</w:t>
            </w:r>
          </w:p>
        </w:tc>
      </w:tr>
      <w:tr>
        <w:trPr>
          <w:trHeight w:val="210"/>
        </w:trPr>
        <w:tc>
          <w:tcPr>
            <w:tcW w:w="3920" w:type="dxa"/>
            <w:vAlign w:val="bottom"/>
          </w:tcPr>
          <w:p>
            <w:pPr>
              <w:jc w:val="center"/>
              <w:ind w:right="302"/>
              <w:spacing w:after="0"/>
              <w:rPr>
                <w:sz w:val="20"/>
                <w:szCs w:val="20"/>
                <w:color w:val="auto"/>
              </w:rPr>
            </w:pPr>
            <w:r>
              <w:rPr>
                <w:rFonts w:ascii="Arial" w:cs="Arial" w:eastAsia="Arial" w:hAnsi="Arial"/>
                <w:sz w:val="14"/>
                <w:szCs w:val="14"/>
                <w:b w:val="1"/>
                <w:bCs w:val="1"/>
                <w:color w:val="auto"/>
                <w:w w:val="91"/>
              </w:rPr>
              <w:t>(State of Organization)</w:t>
            </w:r>
          </w:p>
        </w:tc>
        <w:tc>
          <w:tcPr>
            <w:tcW w:w="4800" w:type="dxa"/>
            <w:vAlign w:val="bottom"/>
          </w:tcPr>
          <w:p>
            <w:pPr>
              <w:jc w:val="center"/>
              <w:ind w:left="2700"/>
              <w:spacing w:after="0"/>
              <w:rPr>
                <w:sz w:val="20"/>
                <w:szCs w:val="20"/>
                <w:color w:val="auto"/>
              </w:rPr>
            </w:pPr>
            <w:r>
              <w:rPr>
                <w:rFonts w:ascii="Arial" w:cs="Arial" w:eastAsia="Arial" w:hAnsi="Arial"/>
                <w:sz w:val="14"/>
                <w:szCs w:val="14"/>
                <w:b w:val="1"/>
                <w:bCs w:val="1"/>
                <w:color w:val="auto"/>
                <w:w w:val="92"/>
              </w:rPr>
              <w:t>(IRS Employer Identification No.)</w:t>
            </w:r>
          </w:p>
        </w:tc>
      </w:tr>
      <w:tr>
        <w:trPr>
          <w:trHeight w:val="364"/>
        </w:trPr>
        <w:tc>
          <w:tcPr>
            <w:tcW w:w="3920" w:type="dxa"/>
            <w:vAlign w:val="bottom"/>
          </w:tcPr>
          <w:p>
            <w:pPr>
              <w:jc w:val="center"/>
              <w:ind w:right="302"/>
              <w:spacing w:after="0"/>
              <w:rPr>
                <w:sz w:val="20"/>
                <w:szCs w:val="20"/>
                <w:color w:val="auto"/>
              </w:rPr>
            </w:pPr>
            <w:r>
              <w:rPr>
                <w:rFonts w:ascii="Arial" w:cs="Arial" w:eastAsia="Arial" w:hAnsi="Arial"/>
                <w:sz w:val="17"/>
                <w:szCs w:val="17"/>
                <w:b w:val="1"/>
                <w:bCs w:val="1"/>
                <w:color w:val="auto"/>
                <w:w w:val="92"/>
              </w:rPr>
              <w:t>1626 East Jefferson Street, Rockville, Maryland</w:t>
            </w:r>
          </w:p>
        </w:tc>
        <w:tc>
          <w:tcPr>
            <w:tcW w:w="4800" w:type="dxa"/>
            <w:vAlign w:val="bottom"/>
          </w:tcPr>
          <w:p>
            <w:pPr>
              <w:jc w:val="right"/>
              <w:ind w:right="720"/>
              <w:spacing w:after="0"/>
              <w:rPr>
                <w:sz w:val="20"/>
                <w:szCs w:val="20"/>
                <w:color w:val="auto"/>
              </w:rPr>
            </w:pPr>
            <w:r>
              <w:rPr>
                <w:rFonts w:ascii="Arial" w:cs="Arial" w:eastAsia="Arial" w:hAnsi="Arial"/>
                <w:sz w:val="17"/>
                <w:szCs w:val="17"/>
                <w:b w:val="1"/>
                <w:bCs w:val="1"/>
                <w:color w:val="auto"/>
              </w:rPr>
              <w:t>20852</w:t>
            </w:r>
          </w:p>
        </w:tc>
      </w:tr>
      <w:tr>
        <w:trPr>
          <w:trHeight w:val="210"/>
        </w:trPr>
        <w:tc>
          <w:tcPr>
            <w:tcW w:w="3920" w:type="dxa"/>
            <w:vAlign w:val="bottom"/>
          </w:tcPr>
          <w:p>
            <w:pPr>
              <w:jc w:val="center"/>
              <w:ind w:right="302"/>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4800" w:type="dxa"/>
            <w:vAlign w:val="bottom"/>
          </w:tcPr>
          <w:p>
            <w:pPr>
              <w:jc w:val="center"/>
              <w:ind w:left="2700"/>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920" w:type="dxa"/>
            <w:vAlign w:val="bottom"/>
          </w:tcPr>
          <w:p>
            <w:pPr>
              <w:spacing w:after="0"/>
              <w:rPr>
                <w:sz w:val="23"/>
                <w:szCs w:val="23"/>
                <w:color w:val="auto"/>
              </w:rPr>
            </w:pPr>
          </w:p>
        </w:tc>
        <w:tc>
          <w:tcPr>
            <w:tcW w:w="4800" w:type="dxa"/>
            <w:vAlign w:val="bottom"/>
          </w:tcPr>
          <w:p>
            <w:pPr>
              <w:jc w:val="right"/>
              <w:ind w:right="3240"/>
              <w:spacing w:after="0"/>
              <w:rPr>
                <w:sz w:val="20"/>
                <w:szCs w:val="20"/>
                <w:color w:val="auto"/>
              </w:rPr>
            </w:pPr>
            <w:r>
              <w:rPr>
                <w:rFonts w:ascii="Arial" w:cs="Arial" w:eastAsia="Arial" w:hAnsi="Arial"/>
                <w:sz w:val="17"/>
                <w:szCs w:val="17"/>
                <w:b w:val="1"/>
                <w:bCs w:val="1"/>
                <w:color w:val="auto"/>
              </w:rPr>
              <w:t>(301) 998-8100</w:t>
            </w:r>
          </w:p>
        </w:tc>
      </w:tr>
    </w:tbl>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4900" w:type="dxa"/>
            <w:vAlign w:val="bottom"/>
            <w:gridSpan w:val="2"/>
          </w:tcPr>
          <w:p>
            <w:pPr>
              <w:jc w:val="center"/>
              <w:ind w:right="3520"/>
              <w:spacing w:after="0"/>
              <w:rPr>
                <w:sz w:val="20"/>
                <w:szCs w:val="20"/>
                <w:color w:val="auto"/>
              </w:rPr>
            </w:pPr>
            <w:r>
              <w:rPr>
                <w:rFonts w:ascii="Arial" w:cs="Arial" w:eastAsia="Arial" w:hAnsi="Arial"/>
                <w:sz w:val="17"/>
                <w:szCs w:val="17"/>
                <w:b w:val="1"/>
                <w:bCs w:val="1"/>
                <w:color w:val="auto"/>
                <w:w w:val="91"/>
              </w:rPr>
              <w:t>Title of Each Class</w:t>
            </w:r>
          </w:p>
        </w:tc>
        <w:tc>
          <w:tcPr>
            <w:tcW w:w="3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Name of Each Exchange On Which Registered</w:t>
            </w:r>
          </w:p>
        </w:tc>
      </w:tr>
      <w:tr>
        <w:trPr>
          <w:trHeight w:val="20"/>
        </w:trPr>
        <w:tc>
          <w:tcPr>
            <w:tcW w:w="20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60" w:type="dxa"/>
            <w:vAlign w:val="bottom"/>
            <w:gridSpan w:val="2"/>
            <w:shd w:val="clear" w:color="auto" w:fill="000000"/>
          </w:tcPr>
          <w:p>
            <w:pPr>
              <w:spacing w:after="0" w:line="20" w:lineRule="exact"/>
              <w:rPr>
                <w:sz w:val="1"/>
                <w:szCs w:val="1"/>
                <w:color w:val="auto"/>
              </w:rPr>
            </w:pPr>
          </w:p>
        </w:tc>
      </w:tr>
      <w:tr>
        <w:trPr>
          <w:trHeight w:val="267"/>
        </w:trPr>
        <w:tc>
          <w:tcPr>
            <w:tcW w:w="6960" w:type="dxa"/>
            <w:vAlign w:val="bottom"/>
            <w:gridSpan w:val="3"/>
          </w:tcPr>
          <w:p>
            <w:pPr>
              <w:jc w:val="center"/>
              <w:ind w:right="1460"/>
              <w:spacing w:after="0"/>
              <w:rPr>
                <w:sz w:val="20"/>
                <w:szCs w:val="20"/>
                <w:color w:val="auto"/>
              </w:rPr>
            </w:pPr>
            <w:r>
              <w:rPr>
                <w:rFonts w:ascii="Arial" w:cs="Arial" w:eastAsia="Arial" w:hAnsi="Arial"/>
                <w:sz w:val="17"/>
                <w:szCs w:val="17"/>
                <w:color w:val="auto"/>
                <w:w w:val="92"/>
              </w:rPr>
              <w:t>Common Shares of Beneficial Interest, $.01 par value per share, with</w:t>
            </w:r>
          </w:p>
        </w:tc>
        <w:tc>
          <w:tcPr>
            <w:tcW w:w="3460" w:type="dxa"/>
            <w:vAlign w:val="bottom"/>
            <w:gridSpan w:val="2"/>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21"/>
        </w:trPr>
        <w:tc>
          <w:tcPr>
            <w:tcW w:w="6960" w:type="dxa"/>
            <w:vAlign w:val="bottom"/>
            <w:gridSpan w:val="3"/>
          </w:tcPr>
          <w:p>
            <w:pPr>
              <w:jc w:val="center"/>
              <w:ind w:right="1460"/>
              <w:spacing w:after="0"/>
              <w:rPr>
                <w:sz w:val="20"/>
                <w:szCs w:val="20"/>
                <w:color w:val="auto"/>
              </w:rPr>
            </w:pPr>
            <w:r>
              <w:rPr>
                <w:rFonts w:ascii="Arial" w:cs="Arial" w:eastAsia="Arial" w:hAnsi="Arial"/>
                <w:sz w:val="17"/>
                <w:szCs w:val="17"/>
                <w:color w:val="auto"/>
                <w:w w:val="90"/>
              </w:rPr>
              <w:t>associated Common Share Purchase Rights</w:t>
            </w:r>
          </w:p>
        </w:tc>
        <w:tc>
          <w:tcPr>
            <w:tcW w:w="19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87"/>
        </w:trPr>
        <w:tc>
          <w:tcPr>
            <w:tcW w:w="696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12(g) of the Act: None</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8"/>
        </w:trPr>
        <w:tc>
          <w:tcPr>
            <w:tcW w:w="8920" w:type="dxa"/>
            <w:vAlign w:val="bottom"/>
            <w:gridSpan w:val="4"/>
          </w:tcPr>
          <w:p>
            <w:pPr>
              <w:spacing w:after="0" w:line="196" w:lineRule="exact"/>
              <w:rPr>
                <w:sz w:val="20"/>
                <w:szCs w:val="20"/>
                <w:color w:val="auto"/>
              </w:rPr>
            </w:pPr>
            <w:r>
              <w:rPr>
                <w:rFonts w:ascii="Arial" w:cs="Arial" w:eastAsia="Arial" w:hAnsi="Arial"/>
                <w:sz w:val="17"/>
                <w:szCs w:val="17"/>
                <w:color w:val="auto"/>
                <w:w w:val="94"/>
              </w:rPr>
              <w:t xml:space="preserve">Indicate by check mark if the Registrant is a well-known seasoned issuer, as defined in Rule 405 of the Securities Act. </w:t>
            </w:r>
            <w:r>
              <w:rPr>
                <w:rFonts w:ascii="MS PGothic" w:cs="MS PGothic" w:eastAsia="MS PGothic" w:hAnsi="MS PGothic"/>
                <w:sz w:val="17"/>
                <w:szCs w:val="17"/>
                <w:color w:val="auto"/>
                <w:w w:val="94"/>
              </w:rPr>
              <w:t>☒</w:t>
            </w:r>
            <w:r>
              <w:rPr>
                <w:rFonts w:ascii="Arial" w:cs="Arial" w:eastAsia="Arial" w:hAnsi="Arial"/>
                <w:sz w:val="17"/>
                <w:szCs w:val="17"/>
                <w:color w:val="auto"/>
                <w:w w:val="94"/>
              </w:rPr>
              <w:t xml:space="preserve"> Yes</w:t>
            </w:r>
          </w:p>
        </w:tc>
        <w:tc>
          <w:tcPr>
            <w:tcW w:w="150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r>
        <w:trPr>
          <w:trHeight w:val="271"/>
        </w:trPr>
        <w:tc>
          <w:tcPr>
            <w:tcW w:w="8920" w:type="dxa"/>
            <w:vAlign w:val="bottom"/>
            <w:gridSpan w:val="4"/>
          </w:tcPr>
          <w:p>
            <w:pPr>
              <w:spacing w:after="0" w:line="196" w:lineRule="exact"/>
              <w:rPr>
                <w:sz w:val="20"/>
                <w:szCs w:val="20"/>
                <w:color w:val="auto"/>
              </w:rPr>
            </w:pPr>
            <w:r>
              <w:rPr>
                <w:rFonts w:ascii="Arial" w:cs="Arial" w:eastAsia="Arial" w:hAnsi="Arial"/>
                <w:sz w:val="17"/>
                <w:szCs w:val="17"/>
                <w:color w:val="auto"/>
                <w:w w:val="93"/>
              </w:rPr>
              <w:t xml:space="preserve">Indicate by check mark if the Registrant is not required to file reports pursuant to Section 13 or Section 15(d) of the Act. </w:t>
            </w:r>
            <w:r>
              <w:rPr>
                <w:rFonts w:ascii="MS PGothic" w:cs="MS PGothic" w:eastAsia="MS PGothic" w:hAnsi="MS PGothic"/>
                <w:sz w:val="17"/>
                <w:szCs w:val="17"/>
                <w:color w:val="auto"/>
                <w:w w:val="93"/>
              </w:rPr>
              <w:t>☐</w:t>
            </w:r>
            <w:r>
              <w:rPr>
                <w:rFonts w:ascii="Arial" w:cs="Arial" w:eastAsia="Arial" w:hAnsi="Arial"/>
                <w:sz w:val="17"/>
                <w:szCs w:val="17"/>
                <w:color w:val="auto"/>
                <w:w w:val="93"/>
              </w:rPr>
              <w:t xml:space="preserve"> Yes</w:t>
            </w:r>
          </w:p>
        </w:tc>
        <w:tc>
          <w:tcPr>
            <w:tcW w:w="150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bl>
    <w:p>
      <w:pPr>
        <w:spacing w:after="0" w:line="22" w:lineRule="exact"/>
        <w:rPr>
          <w:sz w:val="24"/>
          <w:szCs w:val="24"/>
          <w:color w:val="auto"/>
        </w:rPr>
      </w:pPr>
    </w:p>
    <w:p>
      <w:pPr>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3" w:lineRule="exact"/>
        <w:rPr>
          <w:sz w:val="24"/>
          <w:szCs w:val="24"/>
          <w:color w:val="auto"/>
        </w:rPr>
      </w:pPr>
    </w:p>
    <w:p>
      <w:pPr>
        <w:jc w:val="both"/>
        <w:ind w:right="100"/>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3" w:lineRule="exact"/>
        <w:rPr>
          <w:sz w:val="24"/>
          <w:szCs w:val="24"/>
          <w:color w:val="auto"/>
        </w:rPr>
      </w:pPr>
    </w:p>
    <w:p>
      <w:pPr>
        <w:ind w:right="20"/>
        <w:spacing w:after="0" w:line="277"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71" w:lineRule="exact"/>
        <w:rPr>
          <w:sz w:val="20"/>
          <w:szCs w:val="20"/>
          <w:color w:val="auto"/>
        </w:rPr>
      </w:pPr>
      <w:r>
        <w:rPr>
          <w:rFonts w:ascii="MS PGothic" w:cs="MS PGothic" w:eastAsia="MS PGothic" w:hAnsi="MS PGothic"/>
          <w:sz w:val="17"/>
          <w:szCs w:val="17"/>
          <w:color w:val="auto"/>
        </w:rPr>
        <w:t>☒</w:t>
      </w:r>
    </w:p>
    <w:p>
      <w:pPr>
        <w:spacing w:after="0" w:line="83" w:lineRule="exact"/>
        <w:rPr>
          <w:sz w:val="24"/>
          <w:szCs w:val="24"/>
          <w:color w:val="auto"/>
        </w:rPr>
      </w:pPr>
    </w:p>
    <w:p>
      <w:pPr>
        <w:ind w:right="720"/>
        <w:spacing w:after="0" w:line="32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230" w:right="279" w:bottom="1440" w:gutter="0" w:footer="0" w:header="0"/>
        </w:sectPr>
      </w:pPr>
    </w:p>
    <w:p>
      <w:pPr>
        <w:spacing w:after="0" w:line="83"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7" w:lineRule="exact"/>
        <w:rPr>
          <w:sz w:val="24"/>
          <w:szCs w:val="24"/>
          <w:color w:val="auto"/>
        </w:rPr>
      </w:pPr>
    </w:p>
    <w:p>
      <w:pPr>
        <w:sectPr>
          <w:pgSz w:w="11900" w:h="16838" w:orient="portrait"/>
          <w:cols w:equalWidth="0" w:num="4">
            <w:col w:w="1700" w:space="720"/>
            <w:col w:w="3980" w:space="720"/>
            <w:col w:w="3280" w:space="720"/>
            <w:col w:w="260"/>
          </w:cols>
          <w:pgMar w:left="240" w:top="230"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1" w:lineRule="exact"/>
        <w:rPr>
          <w:sz w:val="24"/>
          <w:szCs w:val="24"/>
          <w:color w:val="auto"/>
        </w:rPr>
      </w:pPr>
    </w:p>
    <w:p>
      <w:pPr>
        <w:sectPr>
          <w:pgSz w:w="11900" w:h="16838" w:orient="portrait"/>
          <w:cols w:equalWidth="0" w:num="4">
            <w:col w:w="1700" w:space="720"/>
            <w:col w:w="3980" w:space="720"/>
            <w:col w:w="3280" w:space="720"/>
            <w:col w:w="260"/>
          </w:cols>
          <w:pgMar w:left="240" w:top="230" w:right="27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43" w:lineRule="exact"/>
        <w:rPr>
          <w:sz w:val="24"/>
          <w:szCs w:val="24"/>
          <w:color w:val="auto"/>
        </w:rPr>
      </w:pPr>
    </w:p>
    <w:p>
      <w:pPr>
        <w:sectPr>
          <w:pgSz w:w="11900" w:h="16838" w:orient="portrait"/>
          <w:cols w:equalWidth="0" w:num="5">
            <w:col w:w="7960" w:space="220"/>
            <w:col w:w="140" w:space="80"/>
            <w:col w:w="260" w:space="180"/>
            <w:col w:w="160" w:space="80"/>
            <w:col w:w="2300"/>
          </w:cols>
          <w:pgMar w:left="240" w:top="230" w:right="279" w:bottom="1440" w:gutter="0" w:footer="0" w:header="0"/>
          <w:type w:val="continuous"/>
        </w:sectPr>
      </w:pPr>
    </w:p>
    <w:p>
      <w:pPr>
        <w:ind w:right="540"/>
        <w:spacing w:after="0" w:line="282" w:lineRule="auto"/>
        <w:rPr>
          <w:sz w:val="20"/>
          <w:szCs w:val="20"/>
          <w:color w:val="auto"/>
        </w:rPr>
      </w:pPr>
      <w:r>
        <w:rPr>
          <w:rFonts w:ascii="Arial" w:cs="Arial" w:eastAsia="Arial" w:hAnsi="Arial"/>
          <w:sz w:val="17"/>
          <w:szCs w:val="17"/>
          <w:color w:val="auto"/>
        </w:rPr>
        <w:t>The aggregate market value of the Registrant's common shares held by non-affiliates of the Registrant, based upon the closing sales price of the Registrant's common shares on June 30, 2013 was $6.8 billion.</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The number of Registrant’s common shares outstanding on February 7, 2014 was 66,822,208.</w:t>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FEDERAL REALTY INVESTMENT TRUST</w:t>
      </w:r>
    </w:p>
    <w:p>
      <w:pPr>
        <w:spacing w:after="0" w:line="170"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ANNUAL REPORT ON FORM 10-K</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FISCAL YEAR ENDED DECEMBER 31, 2013</w:t>
      </w: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DOCUMENTS INCORPORATED BY REFERENCE</w:t>
      </w:r>
    </w:p>
    <w:p>
      <w:pPr>
        <w:spacing w:after="0" w:line="35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Portions of the Registrant’s Proxy Statement to be filed with the Securities and Exchange Commission for the Registrant’s 2013 annual meeting of shareholders to be held in May 2014 will be incorporated by reference into Part III hereof.</w:t>
      </w: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9280" w:type="dxa"/>
            <w:vAlign w:val="bottom"/>
          </w:tcPr>
          <w:p>
            <w:pPr>
              <w:ind w:left="352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1220" w:type="dxa"/>
            <w:vAlign w:val="bottom"/>
          </w:tcPr>
          <w:p>
            <w:pPr>
              <w:spacing w:after="0"/>
              <w:rPr>
                <w:sz w:val="20"/>
                <w:szCs w:val="20"/>
                <w:color w:val="auto"/>
              </w:rPr>
            </w:pPr>
            <w:r>
              <w:rPr>
                <w:rFonts w:ascii="Arial" w:cs="Arial" w:eastAsia="Arial" w:hAnsi="Arial"/>
                <w:sz w:val="17"/>
                <w:szCs w:val="17"/>
                <w:color w:val="auto"/>
              </w:rPr>
              <w:t>PART I</w:t>
            </w:r>
          </w:p>
        </w:tc>
        <w:tc>
          <w:tcPr>
            <w:tcW w:w="9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7"/>
                <w:szCs w:val="17"/>
                <w:color w:val="auto"/>
              </w:rPr>
              <w:t>Item 1.</w:t>
            </w:r>
          </w:p>
        </w:tc>
        <w:tc>
          <w:tcPr>
            <w:tcW w:w="9280" w:type="dxa"/>
            <w:vAlign w:val="bottom"/>
          </w:tcPr>
          <w:p>
            <w:pPr>
              <w:ind w:left="160"/>
              <w:spacing w:after="0"/>
              <w:rPr>
                <w:sz w:val="20"/>
                <w:szCs w:val="20"/>
                <w:color w:val="auto"/>
              </w:rPr>
            </w:pPr>
            <w:r>
              <w:rPr>
                <w:rFonts w:ascii="Arial" w:cs="Arial" w:eastAsia="Arial" w:hAnsi="Arial"/>
                <w:sz w:val="17"/>
                <w:szCs w:val="17"/>
                <w:color w:val="auto"/>
              </w:rPr>
              <w:t>Business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19"/>
                <w:szCs w:val="19"/>
                <w:color w:val="auto"/>
              </w:rPr>
            </w:pPr>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1A.</w:t>
            </w:r>
          </w:p>
        </w:tc>
        <w:tc>
          <w:tcPr>
            <w:tcW w:w="9280" w:type="dxa"/>
            <w:vAlign w:val="bottom"/>
          </w:tcPr>
          <w:p>
            <w:pPr>
              <w:ind w:left="160"/>
              <w:spacing w:after="0"/>
              <w:rPr>
                <w:sz w:val="20"/>
                <w:szCs w:val="20"/>
                <w:color w:val="auto"/>
              </w:rPr>
            </w:pPr>
            <w:r>
              <w:rPr>
                <w:rFonts w:ascii="Arial" w:cs="Arial" w:eastAsia="Arial" w:hAnsi="Arial"/>
                <w:sz w:val="17"/>
                <w:szCs w:val="17"/>
                <w:color w:val="auto"/>
              </w:rPr>
              <w:t>Risk Factors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0"/>
                <w:szCs w:val="20"/>
                <w:color w:val="auto"/>
              </w:rPr>
            </w:pPr>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1B.</w:t>
            </w:r>
          </w:p>
        </w:tc>
        <w:tc>
          <w:tcPr>
            <w:tcW w:w="9280" w:type="dxa"/>
            <w:vAlign w:val="bottom"/>
          </w:tcPr>
          <w:p>
            <w:pPr>
              <w:ind w:left="160"/>
              <w:spacing w:after="0"/>
              <w:rPr>
                <w:sz w:val="20"/>
                <w:szCs w:val="20"/>
                <w:color w:val="auto"/>
              </w:rPr>
            </w:pPr>
            <w:r>
              <w:rPr>
                <w:rFonts w:ascii="Arial" w:cs="Arial" w:eastAsia="Arial" w:hAnsi="Arial"/>
                <w:sz w:val="17"/>
                <w:szCs w:val="17"/>
                <w:color w:val="auto"/>
              </w:rPr>
              <w:t>Unresolved Staff Comments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15">
              <w:r>
                <w:rPr>
                  <w:rFonts w:ascii="Arial" w:cs="Arial" w:eastAsia="Arial" w:hAnsi="Arial"/>
                  <w:sz w:val="17"/>
                  <w:szCs w:val="17"/>
                  <w:color w:val="0000FF"/>
                  <w:w w:val="84"/>
                </w:rPr>
                <w:t>15</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2.</w:t>
            </w:r>
          </w:p>
        </w:tc>
        <w:tc>
          <w:tcPr>
            <w:tcW w:w="9280" w:type="dxa"/>
            <w:vAlign w:val="bottom"/>
          </w:tcPr>
          <w:p>
            <w:pPr>
              <w:ind w:left="160"/>
              <w:spacing w:after="0"/>
              <w:rPr>
                <w:sz w:val="20"/>
                <w:szCs w:val="20"/>
                <w:color w:val="auto"/>
              </w:rPr>
            </w:pPr>
            <w:r>
              <w:rPr>
                <w:rFonts w:ascii="Arial" w:cs="Arial" w:eastAsia="Arial" w:hAnsi="Arial"/>
                <w:sz w:val="17"/>
                <w:szCs w:val="17"/>
                <w:color w:val="auto"/>
              </w:rPr>
              <w:t>Properties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15">
              <w:r>
                <w:rPr>
                  <w:rFonts w:ascii="Arial" w:cs="Arial" w:eastAsia="Arial" w:hAnsi="Arial"/>
                  <w:sz w:val="17"/>
                  <w:szCs w:val="17"/>
                  <w:color w:val="0000FF"/>
                  <w:w w:val="84"/>
                </w:rPr>
                <w:t>16</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3.</w:t>
            </w:r>
          </w:p>
        </w:tc>
        <w:tc>
          <w:tcPr>
            <w:tcW w:w="9280" w:type="dxa"/>
            <w:vAlign w:val="bottom"/>
          </w:tcPr>
          <w:p>
            <w:pPr>
              <w:ind w:left="160"/>
              <w:spacing w:after="0"/>
              <w:rPr>
                <w:sz w:val="20"/>
                <w:szCs w:val="20"/>
                <w:color w:val="auto"/>
              </w:rPr>
            </w:pPr>
            <w:r>
              <w:rPr>
                <w:rFonts w:ascii="Arial" w:cs="Arial" w:eastAsia="Arial" w:hAnsi="Arial"/>
                <w:sz w:val="17"/>
                <w:szCs w:val="17"/>
                <w:color w:val="auto"/>
              </w:rPr>
              <w:t>Legal Proceedings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4">
              <w:r>
                <w:rPr>
                  <w:rFonts w:ascii="Arial" w:cs="Arial" w:eastAsia="Arial" w:hAnsi="Arial"/>
                  <w:sz w:val="17"/>
                  <w:szCs w:val="17"/>
                  <w:color w:val="0000FF"/>
                  <w:w w:val="84"/>
                </w:rPr>
                <w:t>24</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4.</w:t>
            </w:r>
          </w:p>
        </w:tc>
        <w:tc>
          <w:tcPr>
            <w:tcW w:w="9280" w:type="dxa"/>
            <w:vAlign w:val="bottom"/>
          </w:tcPr>
          <w:p>
            <w:pPr>
              <w:ind w:left="160"/>
              <w:spacing w:after="0"/>
              <w:rPr>
                <w:sz w:val="20"/>
                <w:szCs w:val="20"/>
                <w:color w:val="auto"/>
              </w:rPr>
            </w:pPr>
            <w:r>
              <w:rPr>
                <w:rFonts w:ascii="Arial" w:cs="Arial" w:eastAsia="Arial" w:hAnsi="Arial"/>
                <w:sz w:val="17"/>
                <w:szCs w:val="17"/>
                <w:color w:val="auto"/>
              </w:rPr>
              <w:t>Mine Safety Disclosures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4">
              <w:r>
                <w:rPr>
                  <w:rFonts w:ascii="Arial" w:cs="Arial" w:eastAsia="Arial" w:hAnsi="Arial"/>
                  <w:sz w:val="17"/>
                  <w:szCs w:val="17"/>
                  <w:color w:val="0000FF"/>
                  <w:w w:val="84"/>
                </w:rPr>
                <w:t>24</w:t>
              </w:r>
            </w:hyperlink>
          </w:p>
        </w:tc>
      </w:tr>
      <w:tr>
        <w:trPr>
          <w:trHeight w:val="593"/>
        </w:trPr>
        <w:tc>
          <w:tcPr>
            <w:tcW w:w="1220" w:type="dxa"/>
            <w:vAlign w:val="bottom"/>
          </w:tcPr>
          <w:p>
            <w:pPr>
              <w:spacing w:after="0"/>
              <w:rPr>
                <w:sz w:val="20"/>
                <w:szCs w:val="20"/>
                <w:color w:val="auto"/>
              </w:rPr>
            </w:pPr>
            <w:r>
              <w:rPr>
                <w:rFonts w:ascii="Arial" w:cs="Arial" w:eastAsia="Arial" w:hAnsi="Arial"/>
                <w:sz w:val="17"/>
                <w:szCs w:val="17"/>
                <w:color w:val="auto"/>
              </w:rPr>
              <w:t>PART II</w:t>
            </w:r>
          </w:p>
        </w:tc>
        <w:tc>
          <w:tcPr>
            <w:tcW w:w="9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7"/>
                <w:szCs w:val="17"/>
                <w:color w:val="auto"/>
              </w:rPr>
              <w:t>Item 5.</w:t>
            </w:r>
          </w:p>
        </w:tc>
        <w:tc>
          <w:tcPr>
            <w:tcW w:w="9280" w:type="dxa"/>
            <w:vAlign w:val="bottom"/>
          </w:tcPr>
          <w:p>
            <w:pPr>
              <w:ind w:left="160"/>
              <w:spacing w:after="0"/>
              <w:rPr>
                <w:sz w:val="20"/>
                <w:szCs w:val="20"/>
                <w:color w:val="auto"/>
              </w:rPr>
            </w:pPr>
            <w:r>
              <w:rPr>
                <w:rFonts w:ascii="Arial" w:cs="Arial" w:eastAsia="Arial" w:hAnsi="Arial"/>
                <w:sz w:val="17"/>
                <w:szCs w:val="17"/>
                <w:color w:val="auto"/>
              </w:rPr>
              <w:t>Market for Our Common Equity and Related Shareholder Matters and Issuer Purchases of Equity Securities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5">
              <w:r>
                <w:rPr>
                  <w:rFonts w:ascii="Arial" w:cs="Arial" w:eastAsia="Arial" w:hAnsi="Arial"/>
                  <w:sz w:val="17"/>
                  <w:szCs w:val="17"/>
                  <w:color w:val="0000FF"/>
                  <w:w w:val="84"/>
                </w:rPr>
                <w:t>25</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6.</w:t>
            </w:r>
          </w:p>
        </w:tc>
        <w:tc>
          <w:tcPr>
            <w:tcW w:w="9280" w:type="dxa"/>
            <w:vAlign w:val="bottom"/>
          </w:tcPr>
          <w:p>
            <w:pPr>
              <w:ind w:left="160"/>
              <w:spacing w:after="0"/>
              <w:rPr>
                <w:sz w:val="20"/>
                <w:szCs w:val="20"/>
                <w:color w:val="auto"/>
              </w:rPr>
            </w:pPr>
            <w:r>
              <w:rPr>
                <w:rFonts w:ascii="Arial" w:cs="Arial" w:eastAsia="Arial" w:hAnsi="Arial"/>
                <w:sz w:val="17"/>
                <w:szCs w:val="17"/>
                <w:color w:val="auto"/>
              </w:rPr>
              <w:t>Selected Financial Data</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6">
              <w:r>
                <w:rPr>
                  <w:rFonts w:ascii="Arial" w:cs="Arial" w:eastAsia="Arial" w:hAnsi="Arial"/>
                  <w:sz w:val="17"/>
                  <w:szCs w:val="17"/>
                  <w:color w:val="0000FF"/>
                  <w:w w:val="84"/>
                </w:rPr>
                <w:t>27</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7.</w:t>
            </w:r>
          </w:p>
        </w:tc>
        <w:tc>
          <w:tcPr>
            <w:tcW w:w="9280" w:type="dxa"/>
            <w:vAlign w:val="bottom"/>
          </w:tcPr>
          <w:p>
            <w:pPr>
              <w:ind w:left="16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29</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7A.</w:t>
            </w:r>
          </w:p>
        </w:tc>
        <w:tc>
          <w:tcPr>
            <w:tcW w:w="9280" w:type="dxa"/>
            <w:vAlign w:val="bottom"/>
          </w:tcPr>
          <w:p>
            <w:pPr>
              <w:ind w:left="160"/>
              <w:spacing w:after="0"/>
              <w:rPr>
                <w:sz w:val="20"/>
                <w:szCs w:val="20"/>
                <w:color w:val="auto"/>
              </w:rPr>
            </w:pPr>
            <w:r>
              <w:rPr>
                <w:rFonts w:ascii="Arial" w:cs="Arial" w:eastAsia="Arial" w:hAnsi="Arial"/>
                <w:sz w:val="17"/>
                <w:szCs w:val="17"/>
                <w:color w:val="auto"/>
              </w:rPr>
              <w:t>Quantitative and Qualitative Disclosures about Market Risk</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8">
              <w:r>
                <w:rPr>
                  <w:rFonts w:ascii="Arial" w:cs="Arial" w:eastAsia="Arial" w:hAnsi="Arial"/>
                  <w:sz w:val="17"/>
                  <w:szCs w:val="17"/>
                  <w:color w:val="0000FF"/>
                  <w:w w:val="84"/>
                </w:rPr>
                <w:t>48</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8.</w:t>
            </w:r>
          </w:p>
        </w:tc>
        <w:tc>
          <w:tcPr>
            <w:tcW w:w="9280" w:type="dxa"/>
            <w:vAlign w:val="bottom"/>
          </w:tcPr>
          <w:p>
            <w:pPr>
              <w:ind w:left="160"/>
              <w:spacing w:after="0"/>
              <w:rPr>
                <w:sz w:val="20"/>
                <w:szCs w:val="20"/>
                <w:color w:val="auto"/>
              </w:rPr>
            </w:pPr>
            <w:r>
              <w:rPr>
                <w:rFonts w:ascii="Arial" w:cs="Arial" w:eastAsia="Arial" w:hAnsi="Arial"/>
                <w:sz w:val="17"/>
                <w:szCs w:val="17"/>
                <w:color w:val="auto"/>
              </w:rPr>
              <w:t>Financial Statements and Supplementary Data</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49</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9.</w:t>
            </w:r>
          </w:p>
        </w:tc>
        <w:tc>
          <w:tcPr>
            <w:tcW w:w="9280" w:type="dxa"/>
            <w:vAlign w:val="bottom"/>
          </w:tcPr>
          <w:p>
            <w:pPr>
              <w:ind w:left="16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49</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9A.</w:t>
            </w:r>
          </w:p>
        </w:tc>
        <w:tc>
          <w:tcPr>
            <w:tcW w:w="9280" w:type="dxa"/>
            <w:vAlign w:val="bottom"/>
          </w:tcPr>
          <w:p>
            <w:pPr>
              <w:ind w:left="160"/>
              <w:spacing w:after="0"/>
              <w:rPr>
                <w:sz w:val="20"/>
                <w:szCs w:val="20"/>
                <w:color w:val="auto"/>
              </w:rPr>
            </w:pPr>
            <w:r>
              <w:rPr>
                <w:rFonts w:ascii="Arial" w:cs="Arial" w:eastAsia="Arial" w:hAnsi="Arial"/>
                <w:sz w:val="17"/>
                <w:szCs w:val="17"/>
                <w:color w:val="auto"/>
              </w:rPr>
              <w:t>Controls and Procedures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9">
              <w:r>
                <w:rPr>
                  <w:rFonts w:ascii="Arial" w:cs="Arial" w:eastAsia="Arial" w:hAnsi="Arial"/>
                  <w:sz w:val="17"/>
                  <w:szCs w:val="17"/>
                  <w:color w:val="0000FF"/>
                  <w:w w:val="84"/>
                </w:rPr>
                <w:t>49</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9B.</w:t>
            </w:r>
          </w:p>
        </w:tc>
        <w:tc>
          <w:tcPr>
            <w:tcW w:w="9280" w:type="dxa"/>
            <w:vAlign w:val="bottom"/>
          </w:tcPr>
          <w:p>
            <w:pPr>
              <w:ind w:left="160"/>
              <w:spacing w:after="0"/>
              <w:rPr>
                <w:sz w:val="20"/>
                <w:szCs w:val="20"/>
                <w:color w:val="auto"/>
              </w:rPr>
            </w:pPr>
            <w:r>
              <w:rPr>
                <w:rFonts w:ascii="Arial" w:cs="Arial" w:eastAsia="Arial" w:hAnsi="Arial"/>
                <w:sz w:val="17"/>
                <w:szCs w:val="17"/>
                <w:color w:val="auto"/>
              </w:rPr>
              <w:t>Other Information</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51</w:t>
              </w:r>
            </w:hyperlink>
          </w:p>
        </w:tc>
      </w:tr>
      <w:tr>
        <w:trPr>
          <w:trHeight w:val="593"/>
        </w:trPr>
        <w:tc>
          <w:tcPr>
            <w:tcW w:w="1220" w:type="dxa"/>
            <w:vAlign w:val="bottom"/>
          </w:tcPr>
          <w:p>
            <w:pPr>
              <w:spacing w:after="0"/>
              <w:rPr>
                <w:sz w:val="20"/>
                <w:szCs w:val="20"/>
                <w:color w:val="auto"/>
              </w:rPr>
            </w:pPr>
            <w:r>
              <w:rPr>
                <w:rFonts w:ascii="Arial" w:cs="Arial" w:eastAsia="Arial" w:hAnsi="Arial"/>
                <w:sz w:val="17"/>
                <w:szCs w:val="17"/>
                <w:color w:val="auto"/>
              </w:rPr>
              <w:t>PART III</w:t>
            </w:r>
          </w:p>
        </w:tc>
        <w:tc>
          <w:tcPr>
            <w:tcW w:w="9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7"/>
                <w:szCs w:val="17"/>
                <w:color w:val="auto"/>
              </w:rPr>
              <w:t>Item 10.</w:t>
            </w:r>
          </w:p>
        </w:tc>
        <w:tc>
          <w:tcPr>
            <w:tcW w:w="9280" w:type="dxa"/>
            <w:vAlign w:val="bottom"/>
          </w:tcPr>
          <w:p>
            <w:pPr>
              <w:ind w:left="160"/>
              <w:spacing w:after="0"/>
              <w:rPr>
                <w:sz w:val="20"/>
                <w:szCs w:val="20"/>
                <w:color w:val="auto"/>
              </w:rPr>
            </w:pPr>
            <w:r>
              <w:rPr>
                <w:rFonts w:ascii="Arial" w:cs="Arial" w:eastAsia="Arial" w:hAnsi="Arial"/>
                <w:sz w:val="17"/>
                <w:szCs w:val="17"/>
                <w:color w:val="auto"/>
              </w:rPr>
              <w:t>Trustees, Executive Officers and Corporate Governance</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2">
              <w:r>
                <w:rPr>
                  <w:rFonts w:ascii="Arial" w:cs="Arial" w:eastAsia="Arial" w:hAnsi="Arial"/>
                  <w:sz w:val="17"/>
                  <w:szCs w:val="17"/>
                  <w:color w:val="0000FF"/>
                  <w:w w:val="84"/>
                </w:rPr>
                <w:t>52</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11.</w:t>
            </w:r>
          </w:p>
        </w:tc>
        <w:tc>
          <w:tcPr>
            <w:tcW w:w="9280" w:type="dxa"/>
            <w:vAlign w:val="bottom"/>
          </w:tcPr>
          <w:p>
            <w:pPr>
              <w:ind w:left="160"/>
              <w:spacing w:after="0"/>
              <w:rPr>
                <w:sz w:val="20"/>
                <w:szCs w:val="20"/>
                <w:color w:val="auto"/>
              </w:rPr>
            </w:pPr>
            <w:r>
              <w:rPr>
                <w:rFonts w:ascii="Arial" w:cs="Arial" w:eastAsia="Arial" w:hAnsi="Arial"/>
                <w:sz w:val="17"/>
                <w:szCs w:val="17"/>
                <w:color w:val="auto"/>
              </w:rPr>
              <w:t>Executive Compensation</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2">
              <w:r>
                <w:rPr>
                  <w:rFonts w:ascii="Arial" w:cs="Arial" w:eastAsia="Arial" w:hAnsi="Arial"/>
                  <w:sz w:val="17"/>
                  <w:szCs w:val="17"/>
                  <w:color w:val="0000FF"/>
                  <w:w w:val="84"/>
                </w:rPr>
                <w:t>52</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12.</w:t>
            </w:r>
          </w:p>
        </w:tc>
        <w:tc>
          <w:tcPr>
            <w:tcW w:w="9280" w:type="dxa"/>
            <w:vAlign w:val="bottom"/>
          </w:tcPr>
          <w:p>
            <w:pPr>
              <w:ind w:left="160"/>
              <w:spacing w:after="0"/>
              <w:rPr>
                <w:sz w:val="20"/>
                <w:szCs w:val="20"/>
                <w:color w:val="auto"/>
              </w:rPr>
            </w:pPr>
            <w:r>
              <w:rPr>
                <w:rFonts w:ascii="Arial" w:cs="Arial" w:eastAsia="Arial" w:hAnsi="Arial"/>
                <w:sz w:val="17"/>
                <w:szCs w:val="17"/>
                <w:color w:val="auto"/>
              </w:rPr>
              <w:t>Security Ownership of Certain Beneficial Owners and Management and Related Shareholder Matters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2">
              <w:r>
                <w:rPr>
                  <w:rFonts w:ascii="Arial" w:cs="Arial" w:eastAsia="Arial" w:hAnsi="Arial"/>
                  <w:sz w:val="17"/>
                  <w:szCs w:val="17"/>
                  <w:color w:val="0000FF"/>
                  <w:w w:val="84"/>
                </w:rPr>
                <w:t>52</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13.</w:t>
            </w:r>
          </w:p>
        </w:tc>
        <w:tc>
          <w:tcPr>
            <w:tcW w:w="9280" w:type="dxa"/>
            <w:vAlign w:val="bottom"/>
          </w:tcPr>
          <w:p>
            <w:pPr>
              <w:ind w:left="160"/>
              <w:spacing w:after="0"/>
              <w:rPr>
                <w:sz w:val="20"/>
                <w:szCs w:val="20"/>
                <w:color w:val="auto"/>
              </w:rPr>
            </w:pPr>
            <w:r>
              <w:rPr>
                <w:rFonts w:ascii="Arial" w:cs="Arial" w:eastAsia="Arial" w:hAnsi="Arial"/>
                <w:sz w:val="17"/>
                <w:szCs w:val="17"/>
                <w:color w:val="auto"/>
              </w:rPr>
              <w:t>Certain Relationships and Related Transactions, and Trustee Independence</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2">
              <w:r>
                <w:rPr>
                  <w:rFonts w:ascii="Arial" w:cs="Arial" w:eastAsia="Arial" w:hAnsi="Arial"/>
                  <w:sz w:val="17"/>
                  <w:szCs w:val="17"/>
                  <w:color w:val="0000FF"/>
                  <w:w w:val="84"/>
                </w:rPr>
                <w:t>52</w:t>
              </w:r>
            </w:hyperlink>
          </w:p>
        </w:tc>
      </w:tr>
      <w:tr>
        <w:trPr>
          <w:trHeight w:val="241"/>
        </w:trPr>
        <w:tc>
          <w:tcPr>
            <w:tcW w:w="1220" w:type="dxa"/>
            <w:vAlign w:val="bottom"/>
          </w:tcPr>
          <w:p>
            <w:pPr>
              <w:spacing w:after="0"/>
              <w:rPr>
                <w:sz w:val="20"/>
                <w:szCs w:val="20"/>
                <w:color w:val="auto"/>
              </w:rPr>
            </w:pPr>
            <w:r>
              <w:rPr>
                <w:rFonts w:ascii="Arial" w:cs="Arial" w:eastAsia="Arial" w:hAnsi="Arial"/>
                <w:sz w:val="17"/>
                <w:szCs w:val="17"/>
                <w:color w:val="auto"/>
              </w:rPr>
              <w:t>Item 14.</w:t>
            </w:r>
          </w:p>
        </w:tc>
        <w:tc>
          <w:tcPr>
            <w:tcW w:w="9280" w:type="dxa"/>
            <w:vAlign w:val="bottom"/>
          </w:tcPr>
          <w:p>
            <w:pPr>
              <w:ind w:left="160"/>
              <w:spacing w:after="0"/>
              <w:rPr>
                <w:sz w:val="20"/>
                <w:szCs w:val="20"/>
                <w:color w:val="auto"/>
              </w:rPr>
            </w:pPr>
            <w:r>
              <w:rPr>
                <w:rFonts w:ascii="Arial" w:cs="Arial" w:eastAsia="Arial" w:hAnsi="Arial"/>
                <w:sz w:val="17"/>
                <w:szCs w:val="17"/>
                <w:color w:val="auto"/>
              </w:rPr>
              <w:t>Principal Accountant Fees and Services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2">
              <w:r>
                <w:rPr>
                  <w:rFonts w:ascii="Arial" w:cs="Arial" w:eastAsia="Arial" w:hAnsi="Arial"/>
                  <w:sz w:val="17"/>
                  <w:szCs w:val="17"/>
                  <w:color w:val="0000FF"/>
                  <w:w w:val="84"/>
                </w:rPr>
                <w:t>52</w:t>
              </w:r>
            </w:hyperlink>
          </w:p>
        </w:tc>
      </w:tr>
      <w:tr>
        <w:trPr>
          <w:trHeight w:val="593"/>
        </w:trPr>
        <w:tc>
          <w:tcPr>
            <w:tcW w:w="1220" w:type="dxa"/>
            <w:vAlign w:val="bottom"/>
          </w:tcPr>
          <w:p>
            <w:pPr>
              <w:spacing w:after="0"/>
              <w:rPr>
                <w:sz w:val="20"/>
                <w:szCs w:val="20"/>
                <w:color w:val="auto"/>
              </w:rPr>
            </w:pPr>
            <w:r>
              <w:rPr>
                <w:rFonts w:ascii="Arial" w:cs="Arial" w:eastAsia="Arial" w:hAnsi="Arial"/>
                <w:sz w:val="17"/>
                <w:szCs w:val="17"/>
                <w:color w:val="auto"/>
              </w:rPr>
              <w:t>PART IV</w:t>
            </w:r>
          </w:p>
        </w:tc>
        <w:tc>
          <w:tcPr>
            <w:tcW w:w="9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7"/>
                <w:szCs w:val="17"/>
                <w:color w:val="auto"/>
              </w:rPr>
              <w:t>Item 15.</w:t>
            </w:r>
          </w:p>
        </w:tc>
        <w:tc>
          <w:tcPr>
            <w:tcW w:w="9280" w:type="dxa"/>
            <w:vAlign w:val="bottom"/>
          </w:tcPr>
          <w:p>
            <w:pPr>
              <w:ind w:left="160"/>
              <w:spacing w:after="0"/>
              <w:rPr>
                <w:sz w:val="20"/>
                <w:szCs w:val="20"/>
                <w:color w:val="auto"/>
              </w:rPr>
            </w:pPr>
            <w:r>
              <w:rPr>
                <w:rFonts w:ascii="Arial" w:cs="Arial" w:eastAsia="Arial" w:hAnsi="Arial"/>
                <w:sz w:val="17"/>
                <w:szCs w:val="17"/>
                <w:color w:val="auto"/>
              </w:rPr>
              <w:t>Exhibits and Financial Statement Schedules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2">
              <w:r>
                <w:rPr>
                  <w:rFonts w:ascii="Arial" w:cs="Arial" w:eastAsia="Arial" w:hAnsi="Arial"/>
                  <w:sz w:val="17"/>
                  <w:szCs w:val="17"/>
                  <w:color w:val="0000FF"/>
                  <w:w w:val="84"/>
                </w:rPr>
                <w:t>52</w:t>
              </w:r>
            </w:hyperlink>
          </w:p>
        </w:tc>
      </w:tr>
      <w:tr>
        <w:trPr>
          <w:trHeight w:val="554"/>
        </w:trPr>
        <w:tc>
          <w:tcPr>
            <w:tcW w:w="1220" w:type="dxa"/>
            <w:vAlign w:val="bottom"/>
          </w:tcPr>
          <w:p>
            <w:pPr>
              <w:spacing w:after="0"/>
              <w:rPr>
                <w:sz w:val="20"/>
                <w:szCs w:val="20"/>
                <w:color w:val="auto"/>
              </w:rPr>
            </w:pPr>
            <w:r>
              <w:rPr>
                <w:rFonts w:ascii="Arial" w:cs="Arial" w:eastAsia="Arial" w:hAnsi="Arial"/>
                <w:sz w:val="17"/>
                <w:szCs w:val="17"/>
                <w:color w:val="auto"/>
              </w:rPr>
              <w:t>SIGNATURES</w:t>
            </w:r>
          </w:p>
        </w:tc>
        <w:tc>
          <w:tcPr>
            <w:tcW w:w="928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2">
              <w:r>
                <w:rPr>
                  <w:rFonts w:ascii="Arial" w:cs="Arial" w:eastAsia="Arial" w:hAnsi="Arial"/>
                  <w:sz w:val="17"/>
                  <w:szCs w:val="17"/>
                  <w:color w:val="0000FF"/>
                  <w:w w:val="84"/>
                </w:rPr>
                <w:t>53</w:t>
              </w:r>
            </w:hyperlink>
          </w:p>
        </w:tc>
      </w:tr>
      <w:tr>
        <w:trPr>
          <w:trHeight w:val="488"/>
        </w:trPr>
        <w:tc>
          <w:tcPr>
            <w:tcW w:w="1220" w:type="dxa"/>
            <w:vAlign w:val="bottom"/>
          </w:tcPr>
          <w:p>
            <w:pPr>
              <w:spacing w:after="0"/>
              <w:rPr>
                <w:sz w:val="24"/>
                <w:szCs w:val="24"/>
                <w:color w:val="auto"/>
              </w:rPr>
            </w:pPr>
          </w:p>
        </w:tc>
        <w:tc>
          <w:tcPr>
            <w:tcW w:w="9280" w:type="dxa"/>
            <w:vAlign w:val="bottom"/>
          </w:tcPr>
          <w:p>
            <w:pPr>
              <w:ind w:left="442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126" w:right="3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7"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i w:val="1"/>
          <w:iCs w:val="1"/>
          <w:color w:val="auto"/>
        </w:rPr>
        <w:t>References to “we,” “us,” “our” or the “Trust” refer to Federal Realty Investment Trust and our business and operations conducted through our directly or indirectly owned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2013, we owned or had a majority interest in community and neighborhood shopping centers and mixed-use properties which are operated as 87 predominantly retail real estate projects comprising approximately 19.5 million square feet. In total, the real estate projects were 95.8% leased and 95.1% occupied at December 31, 2013. A joint venture in which we own a 30% interest owned seven retail real estate projects totaling approximately 1.0 million square feet as of December 31, 2013. In total, the joint venture properties in which we own an interest were 84.9% leased and occupied at December 31, 2013. We have paid quarterly dividends to our shareholders continuously since our founding in 1962 and have increased our dividends per common share for 46 consecutive years.</w:t>
      </w:r>
    </w:p>
    <w:p>
      <w:pPr>
        <w:spacing w:after="0" w:line="13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Objectives and Strategies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Our primary business objective is to own, manage, acquire and redevelop a portfolio of high quality retail focused properties that will:</w:t>
      </w:r>
    </w:p>
    <w:p>
      <w:pPr>
        <w:spacing w:after="0" w:line="25" w:lineRule="exact"/>
        <w:rPr>
          <w:sz w:val="20"/>
          <w:szCs w:val="20"/>
          <w:color w:val="auto"/>
        </w:rPr>
      </w:pPr>
    </w:p>
    <w:p>
      <w:pPr>
        <w:ind w:left="640" w:hanging="323"/>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protect investor capital;</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increasing cash flow for distribution to shareholders;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generate higher internal growth than our peers;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potential for capital appreciation.</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portfolio includes, and we continue to acquire and redevelop, high quality retail in many formats ranging from regional community and neighborhood shopping centers that generally are anchored by grocery stores to mixed-use properties that are typically centered around a retail component but may also include office, residential and/or hotel components.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Strategies</w:t>
      </w:r>
    </w:p>
    <w:p>
      <w:pPr>
        <w:spacing w:after="0" w:line="91"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1" w:lineRule="exact"/>
        <w:rPr>
          <w:sz w:val="20"/>
          <w:szCs w:val="20"/>
          <w:color w:val="auto"/>
        </w:rPr>
      </w:pPr>
    </w:p>
    <w:p>
      <w:pPr>
        <w:ind w:left="640" w:right="40" w:hanging="323"/>
        <w:spacing w:after="0" w:line="256"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increasing rental rates through the renewal of expiring leases or the leasing of space to new tenants at higher rental rates while limiting vacancy and down-time;</w:t>
      </w:r>
    </w:p>
    <w:p>
      <w:pPr>
        <w:ind w:left="640" w:hanging="32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maintaining a diversified tenant base, thereby limiting exposure to any one tenant’s financial or operating difficulties;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minimizing overhead and operating costs;</w:t>
      </w:r>
    </w:p>
    <w:p>
      <w:pPr>
        <w:spacing w:after="0" w:line="13" w:lineRule="exact"/>
        <w:rPr>
          <w:rFonts w:ascii="Arial" w:cs="Arial" w:eastAsia="Arial" w:hAnsi="Arial"/>
          <w:sz w:val="17"/>
          <w:szCs w:val="17"/>
          <w:color w:val="auto"/>
        </w:rPr>
      </w:pPr>
    </w:p>
    <w:p>
      <w:pPr>
        <w:ind w:left="640" w:right="200" w:hanging="323"/>
        <w:spacing w:after="0" w:line="256"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ind w:left="640" w:hanging="32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developing local and regional market expertise in order to capitalize on market and retailing trends;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ind w:left="640" w:right="520" w:hanging="323"/>
        <w:spacing w:after="0" w:line="263"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leveraging the contacts and experience of our management team to build and maintain long-term relationships with tenants, investors and financing sources;</w:t>
      </w:r>
    </w:p>
    <w:p>
      <w:pPr>
        <w:ind w:left="640" w:hanging="323"/>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providing exceptional customer service; and</w:t>
      </w:r>
    </w:p>
    <w:p>
      <w:pPr>
        <w:spacing w:after="0" w:line="13" w:lineRule="exact"/>
        <w:rPr>
          <w:rFonts w:ascii="Arial" w:cs="Arial" w:eastAsia="Arial" w:hAnsi="Arial"/>
          <w:sz w:val="17"/>
          <w:szCs w:val="17"/>
          <w:color w:val="auto"/>
        </w:rPr>
      </w:pPr>
    </w:p>
    <w:p>
      <w:pPr>
        <w:ind w:left="640" w:right="160" w:hanging="323"/>
        <w:spacing w:after="0" w:line="272"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Strategies</w:t>
      </w:r>
    </w:p>
    <w:p>
      <w:pPr>
        <w:spacing w:after="0" w:line="9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640" w:right="440" w:hanging="323"/>
        <w:spacing w:after="0" w:line="256"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renovating, expanding, reconfiguring and/or retenanting our existing properties to take advantage of under-utilized land or existing square footage to increase revenue;</w:t>
      </w:r>
    </w:p>
    <w:p>
      <w:pPr>
        <w:ind w:left="640" w:hanging="323"/>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renovating or expanding tenant spaces for tenants capable of producing higher sales, and therefore, paying higher rents;</w:t>
      </w:r>
    </w:p>
    <w:p>
      <w:pPr>
        <w:spacing w:after="0" w:line="13" w:lineRule="exact"/>
        <w:rPr>
          <w:rFonts w:ascii="Arial" w:cs="Arial" w:eastAsia="Arial" w:hAnsi="Arial"/>
          <w:sz w:val="17"/>
          <w:szCs w:val="17"/>
          <w:color w:val="auto"/>
        </w:rPr>
      </w:pPr>
    </w:p>
    <w:p>
      <w:pPr>
        <w:ind w:left="640" w:right="320" w:hanging="323"/>
        <w:spacing w:after="0" w:line="256"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ind w:left="640" w:hanging="323"/>
        <w:spacing w:after="0" w:line="272"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Criteria</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When we evaluate potential redevelopment, retenanting, expansion, acquisition and development opportunities, we consider such factors as:</w:t>
      </w:r>
    </w:p>
    <w:p>
      <w:pPr>
        <w:spacing w:after="0" w:line="25" w:lineRule="exact"/>
        <w:rPr>
          <w:sz w:val="20"/>
          <w:szCs w:val="20"/>
          <w:color w:val="auto"/>
        </w:rPr>
      </w:pPr>
    </w:p>
    <w:p>
      <w:pPr>
        <w:ind w:left="640" w:hanging="323"/>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24" w:lineRule="exact"/>
        <w:rPr>
          <w:rFonts w:ascii="Arial" w:cs="Arial" w:eastAsia="Arial" w:hAnsi="Arial"/>
          <w:sz w:val="16"/>
          <w:szCs w:val="16"/>
          <w:color w:val="auto"/>
        </w:rPr>
      </w:pPr>
    </w:p>
    <w:p>
      <w:pPr>
        <w:ind w:left="640" w:hanging="32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anticipated growth rate of operating income generated by the property;</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tenant mix at the property, tenant sales performance and the creditworthiness of those tenants;</w:t>
      </w:r>
    </w:p>
    <w:p>
      <w:pPr>
        <w:spacing w:after="0" w:line="13" w:lineRule="exact"/>
        <w:rPr>
          <w:rFonts w:ascii="Arial" w:cs="Arial" w:eastAsia="Arial" w:hAnsi="Arial"/>
          <w:sz w:val="17"/>
          <w:szCs w:val="17"/>
          <w:color w:val="auto"/>
        </w:rPr>
      </w:pPr>
    </w:p>
    <w:p>
      <w:pPr>
        <w:ind w:left="640" w:right="40" w:hanging="323"/>
        <w:spacing w:after="0" w:line="256"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and household incomes, as well as the population and income trends in that geographic area;</w:t>
      </w:r>
    </w:p>
    <w:p>
      <w:pPr>
        <w:ind w:left="640" w:right="280" w:hanging="323"/>
        <w:spacing w:after="0" w:line="256"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 conditions in the vicinity of the property, including competition for tenants and the ability of others to create competing properties through redevelopment, new construction or renovation;</w:t>
      </w:r>
    </w:p>
    <w:p>
      <w:pPr>
        <w:ind w:left="640" w:right="100" w:hanging="323"/>
        <w:spacing w:after="0" w:line="256"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access to and visibility of the property from existing roadways and the potential for new, widened or realigned, roadways within the property’s trade area, which may affect access and commuting and shopping patterns;</w:t>
      </w:r>
    </w:p>
    <w:p>
      <w:pPr>
        <w:ind w:left="640" w:hanging="32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and success of our existing investments in the market area;</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current market value of the land, buildings and other improvements and the potential for increasing those market values;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physical condition of the land, buildings and other improvements, including the structural and environmental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Strategies</w:t>
      </w:r>
    </w:p>
    <w:p>
      <w:pPr>
        <w:spacing w:after="0" w:line="91"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40" w:hanging="323"/>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maintaining a prudent level of overall leverage and an appropriate pool of unencumbered properties that is sufficient to support our unsecured borrowings;</w:t>
      </w:r>
    </w:p>
    <w:p>
      <w:pPr>
        <w:spacing w:after="0" w:line="36" w:lineRule="exact"/>
        <w:rPr>
          <w:rFonts w:ascii="Arial" w:cs="Arial" w:eastAsia="Arial" w:hAnsi="Arial"/>
          <w:sz w:val="15"/>
          <w:szCs w:val="15"/>
          <w:color w:val="auto"/>
        </w:rPr>
      </w:pPr>
    </w:p>
    <w:p>
      <w:pPr>
        <w:ind w:left="640" w:hanging="323"/>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managing our exposure to variable-rate debt;</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maintaining an available line of credit to fund operating and investing needs on a short-term basis;</w:t>
      </w:r>
    </w:p>
    <w:p>
      <w:pPr>
        <w:spacing w:after="0" w:line="13" w:lineRule="exact"/>
        <w:rPr>
          <w:rFonts w:ascii="Arial" w:cs="Arial" w:eastAsia="Arial" w:hAnsi="Arial"/>
          <w:sz w:val="17"/>
          <w:szCs w:val="17"/>
          <w:color w:val="auto"/>
        </w:rPr>
      </w:pPr>
    </w:p>
    <w:p>
      <w:pPr>
        <w:ind w:left="640" w:right="440" w:hanging="323"/>
        <w:spacing w:after="0" w:line="25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taking advantage of market opportunities to refinance existing debt, reduce interest costs and manage our debt maturity schedule so that a significant portion of our debt does not mature in any one year;</w:t>
      </w:r>
    </w:p>
    <w:p>
      <w:pPr>
        <w:ind w:left="640" w:right="540" w:hanging="323"/>
        <w:spacing w:after="0" w:line="25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40" w:hanging="323"/>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24" w:lineRule="exact"/>
        <w:rPr>
          <w:rFonts w:ascii="Arial" w:cs="Arial" w:eastAsia="Arial" w:hAnsi="Arial"/>
          <w:sz w:val="16"/>
          <w:szCs w:val="16"/>
          <w:color w:val="auto"/>
        </w:rPr>
      </w:pPr>
    </w:p>
    <w:p>
      <w:pPr>
        <w:ind w:left="1260" w:hanging="317"/>
        <w:spacing w:after="0" w:line="256" w:lineRule="auto"/>
        <w:tabs>
          <w:tab w:leader="none" w:pos="12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including our at the market ("ATM") equity program in which we may from time to time offer and sell common shares, or private placements,</w:t>
      </w:r>
    </w:p>
    <w:p>
      <w:pPr>
        <w:ind w:left="1260" w:hanging="317"/>
        <w:spacing w:after="0"/>
        <w:tabs>
          <w:tab w:leader="none" w:pos="12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incurrence of indebtedness through unsecured or secured borrowings,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6" w:right="25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ind w:left="1260" w:hanging="317"/>
        <w:spacing w:after="0" w:line="259" w:lineRule="auto"/>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2" w:lineRule="exact"/>
        <w:rPr>
          <w:rFonts w:ascii="Arial" w:cs="Arial" w:eastAsia="Arial" w:hAnsi="Arial"/>
          <w:sz w:val="17"/>
          <w:szCs w:val="17"/>
          <w:color w:val="auto"/>
        </w:rPr>
      </w:pPr>
    </w:p>
    <w:p>
      <w:pPr>
        <w:ind w:left="1260" w:hanging="317"/>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use of joint venture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97"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At February 7, 2014, we had 266 full-time employees and 159 part-time employees. None of our employees are represented by a collective bargaining unit. We believe that our relationship with our employees is good.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w:t>
      </w:r>
    </w:p>
    <w:p>
      <w:pPr>
        <w:spacing w:after="0" w:line="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Regulations Affecting Our Properties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25" w:lineRule="exact"/>
        <w:rPr>
          <w:sz w:val="20"/>
          <w:szCs w:val="20"/>
          <w:color w:val="auto"/>
        </w:rPr>
      </w:pPr>
    </w:p>
    <w:p>
      <w:pPr>
        <w:ind w:left="640" w:hanging="32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which we refer to as CERCLA;</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Resource Conservation &amp; Recovery Act;</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Clean Water Act;</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Clean Air Act;</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Toxic Substances Control Act;</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Occupational Safety &amp; Health Act;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Americans with Disabilities Act.</w:t>
      </w:r>
    </w:p>
    <w:p>
      <w:pPr>
        <w:spacing w:after="0" w:line="15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16"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9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ind w:left="640" w:hanging="323"/>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reduce the number of properties available for acquisition;</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 leading to increased vacancy rates and/or reduced rents;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57"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9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 xml:space="preserve"> as soon as reasonably practicable after we electronically file the material with, or furnish the material to, the Securities and Exchange Commission, or the SEC.</w:t>
      </w:r>
    </w:p>
    <w:p>
      <w:pPr>
        <w:spacing w:after="0" w:line="124"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0"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Amendments to the Code of Ethics or Code of Business Conduct or waivers that apply to any of our executive officers or our senior financial officers will be disclosed in that section of our website as well.</w:t>
      </w:r>
    </w:p>
    <w:p>
      <w:pPr>
        <w:spacing w:after="0" w:line="106"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You may obtain a printed copy of any of the foregoing materials from us by writing to us at Investor Relations, Federal Realty Investment Trust, 1626 East Jefferson Street, Rockville, Maryland 20852.</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240" w:top="126" w:right="37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tab/>
        <w:t>RISK FACTORS</w:t>
      </w:r>
    </w:p>
    <w:p>
      <w:pPr>
        <w:spacing w:after="0" w:line="9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from our properties may be reduced or limited if the retail operations of our tenants are not successful.</w:t>
      </w:r>
    </w:p>
    <w:p>
      <w:pPr>
        <w:spacing w:after="0" w:line="9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conditions may impact the success of our tenants’ retail operations and therefore the amount of rent and expense reimbursements we receive from our tenants.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few years. However,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 income depends on the success and continued presence of our “anchor” tenants.</w:t>
      </w:r>
    </w:p>
    <w:p>
      <w:pPr>
        <w:spacing w:after="0" w:line="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As a result of the economic conditions over the last few years, we have seen a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collect balances due from tenants that file for bankruptcy protection.</w:t>
      </w:r>
    </w:p>
    <w:p>
      <w:pPr>
        <w:spacing w:after="0" w:line="9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difficulty or delay in renewing leases or re-leasing space.</w:t>
      </w:r>
    </w:p>
    <w:p>
      <w:pPr>
        <w:spacing w:after="0" w:line="9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amount of debt we have and the restrictions imposed by that debt could adversely affect our business and financial condition.</w:t>
      </w:r>
    </w:p>
    <w:p>
      <w:pPr>
        <w:spacing w:after="0" w:line="9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As of December 31, 2013, we had approximately $2.3 billion of debt outstanding. Of that outstanding debt, approximately $567.8 million was secured by all or a portion of 13 of our real estate projects and approximately $71.7 million represented capital lease obligations on four of our properties. In addition, we own a 30% interest in a joint venture that had $56.9 million of debt secured by four properties as of December 31, 2013. Approximately $2.3 billion (99.6%) of our debt as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December 31, 2013 is fixed rate debt, which includes all of our property secured debt, our capital lease obligations and our $275.0 million term loan as the rate is effectively fixed by two interest rate swap agreements. Our unconsolidated joint venture’s debt of $56.9 million is also fixed rate debt. Our organizational documents do not limit the level or amount of debt that we may incur. The amount of our debt outstanding from time to time could have important consequences to our shareholders. For example, it could:</w:t>
      </w:r>
    </w:p>
    <w:p>
      <w:pPr>
        <w:spacing w:after="0" w:line="3" w:lineRule="exact"/>
        <w:rPr>
          <w:sz w:val="20"/>
          <w:szCs w:val="20"/>
          <w:color w:val="auto"/>
        </w:rPr>
      </w:pPr>
    </w:p>
    <w:p>
      <w:pPr>
        <w:ind w:left="640" w:right="380" w:hanging="323"/>
        <w:spacing w:after="0" w:line="25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640" w:hanging="323"/>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ability to make distributions on our outstanding common shares and preferred shares;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 it difficult to satisfy our debt service requirements;</w:t>
      </w:r>
    </w:p>
    <w:p>
      <w:pPr>
        <w:spacing w:after="0" w:line="13" w:lineRule="exact"/>
        <w:rPr>
          <w:rFonts w:ascii="Arial" w:cs="Arial" w:eastAsia="Arial" w:hAnsi="Arial"/>
          <w:sz w:val="17"/>
          <w:szCs w:val="17"/>
          <w:color w:val="auto"/>
        </w:rPr>
      </w:pPr>
    </w:p>
    <w:p>
      <w:pPr>
        <w:ind w:left="640" w:right="80" w:hanging="323"/>
        <w:spacing w:after="0" w:line="25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dedicate increased amounts of our cash flow from operations to payments on debt upon refinancing or on our variable rate, unhedged debt, if interest rates rise;</w:t>
      </w:r>
    </w:p>
    <w:p>
      <w:pPr>
        <w:ind w:left="640" w:hanging="323"/>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factors that affect the profitability of our business;</w:t>
      </w:r>
    </w:p>
    <w:p>
      <w:pPr>
        <w:spacing w:after="0" w:line="13" w:lineRule="exact"/>
        <w:rPr>
          <w:rFonts w:ascii="Arial" w:cs="Arial" w:eastAsia="Arial" w:hAnsi="Arial"/>
          <w:sz w:val="17"/>
          <w:szCs w:val="17"/>
          <w:color w:val="auto"/>
        </w:rPr>
      </w:pPr>
    </w:p>
    <w:p>
      <w:pPr>
        <w:ind w:left="640" w:right="320" w:hanging="323"/>
        <w:spacing w:after="0" w:line="25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ind w:left="640" w:right="160" w:hanging="323"/>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flexibility in conducting our business, which may place us at a disadvantage compared to competitors with less debt or debt with less restrictive terms.</w:t>
      </w:r>
    </w:p>
    <w:p>
      <w:pPr>
        <w:spacing w:after="0" w:line="118"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8"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22"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40" w:hanging="323"/>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relating to the maintenance of property securing a mortgage;</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pledge assets or create liens;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incur additional debt;</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amend or modify existing leases at properties securing a mortgage;</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enter into transactions with affiliates;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consolidate, merge or sell all or substantially all of our assets.</w:t>
      </w:r>
    </w:p>
    <w:p>
      <w:pPr>
        <w:spacing w:after="0" w:line="15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As of December 31, 2013,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development activities have inherent risks.</w:t>
      </w:r>
    </w:p>
    <w:p>
      <w:pPr>
        <w:spacing w:after="0" w:line="9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such as Santana Row in San Jose, California, Assembly Row in Somerville, Massachusetts, and Pike &amp; Rose (Mid-Pike Plaza) in Rockville, Maryland.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exceed the book value, an impairment of the project may be required. If additional phases of any of our existing projects or if any new projects are not successful, it may adversely affect our financial condition and results of operations.</w:t>
      </w:r>
    </w:p>
    <w:p>
      <w:pPr>
        <w:spacing w:after="0" w:line="10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During 2013, construction continued on Phase I of Assembly Row, Phase I of Pike &amp; Rose and a new residential building at Santana Row and we anticipate that our total investment in the current phase of these projects will approximate $530 million. There are a number of risks associated with these projects, including the size of the overall aggregate investment in these projects. At Assembly Row, we are dependent on the performance of third parties to deliver significant aspects of the project that are critical to our success. In addition at this project, our projected investment assumes that we will receive public funding which has been committed but has not been entirely funded. At both Assembly Row and Pike &amp; Rose, a substantial amount of our investment is related to infrastructure, the value of which may be negatively impacted if we do not complete subsequent phases. Furthermore, with respect to residential development at Pike &amp; Rose and Santana Row, we will be delivering these units into a residential environment in 2014-2016 that is uncertain.</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contractor changes may delay the completion of development projects and increase overall costs;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significant time lag between commencement and stabilization subjects us to greater risks due to fluctuations in the general economy;</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or inability to obtain construction or permanent financing on favorable terms;</w:t>
      </w:r>
    </w:p>
    <w:p>
      <w:pPr>
        <w:spacing w:after="0" w:line="13" w:lineRule="exact"/>
        <w:rPr>
          <w:rFonts w:ascii="Arial" w:cs="Arial" w:eastAsia="Arial" w:hAnsi="Arial"/>
          <w:sz w:val="17"/>
          <w:szCs w:val="17"/>
          <w:color w:val="auto"/>
        </w:rPr>
      </w:pPr>
    </w:p>
    <w:p>
      <w:pPr>
        <w:ind w:left="640" w:right="200" w:hanging="323"/>
        <w:spacing w:after="0" w:line="256"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or inability to obtain public funding from governmental agencies to fund infrastructure projects, including expected public funding in connection with our development at Assembly Row;</w:t>
      </w: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expenditure of money and time on projects that may never be completed;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third-party developer of residential buildings may not deliver or may encounter delays in delivering residential space as planned;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securing key anchor or other tenants may impact occupancy rates and projected revenue;</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achieve projected rental rates or anticipated pace of lease-up;</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higher than estimated construction or operating costs, including labor and material costs; and</w:t>
      </w:r>
    </w:p>
    <w:p>
      <w:pPr>
        <w:spacing w:after="0" w:line="13" w:lineRule="exact"/>
        <w:rPr>
          <w:rFonts w:ascii="Arial" w:cs="Arial" w:eastAsia="Arial" w:hAnsi="Arial"/>
          <w:sz w:val="17"/>
          <w:szCs w:val="17"/>
          <w:color w:val="auto"/>
        </w:rPr>
      </w:pPr>
    </w:p>
    <w:p>
      <w:pPr>
        <w:ind w:left="640" w:right="180" w:hanging="323"/>
        <w:spacing w:after="0" w:line="304"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Redevelopments and acquisitions may fail to perform as expected.</w:t>
      </w:r>
    </w:p>
    <w:p>
      <w:pPr>
        <w:spacing w:after="0" w:line="97"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jc w:val="both"/>
        <w:ind w:left="640" w:right="260" w:hanging="323"/>
        <w:spacing w:after="0" w:line="256"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ind w:left="640" w:hanging="32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integrate an acquisition into our existing operations successfully;</w:t>
      </w:r>
    </w:p>
    <w:p>
      <w:pPr>
        <w:spacing w:after="0" w:line="13" w:lineRule="exact"/>
        <w:rPr>
          <w:rFonts w:ascii="Arial" w:cs="Arial" w:eastAsia="Arial" w:hAnsi="Arial"/>
          <w:sz w:val="17"/>
          <w:szCs w:val="17"/>
          <w:color w:val="auto"/>
        </w:rPr>
      </w:pPr>
    </w:p>
    <w:p>
      <w:pPr>
        <w:ind w:left="640" w:hanging="323"/>
        <w:spacing w:after="0" w:line="256"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40" w:right="120" w:hanging="323"/>
        <w:spacing w:after="0" w:line="256"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ind w:left="640" w:right="260" w:hanging="323"/>
        <w:spacing w:after="0" w:line="272"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grow will be limited if we cannot obtain additional capital.</w:t>
      </w:r>
    </w:p>
    <w:p>
      <w:pPr>
        <w:spacing w:after="0" w:line="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6" w:right="25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interest rates could adversely affect our cash flow and the market price of our outstanding debt and preferred shares.</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Of our approximately $2.3 billion of debt outstanding as of December 31, 2013, approximately $284.4 million bears interest at variable rates of which $275.0 million is effectively fixed through two interest rate swap agreements. We have a $600.0 million revolving credit facility, on which no balance is outstanding at December 31, 2013, that bears interest at LIBOR plus 90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The interest rate on our $275.0 million term loan is currently fixed at 3.02% as a result of two interest rate swap agreements. We may enter into this type of hedging arrangements or other transactions for all or a portion of our variable rate debt to limit our exposure to rising interest rates. However, the amounts we are required to pay under the term loan and any other variable rate debt to which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value of our debt and equity securities is subject to various factors that may cause significant fluctuations or volatility.</w:t>
      </w:r>
    </w:p>
    <w:p>
      <w:pPr>
        <w:spacing w:after="0" w:line="9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economic and financial market conditions;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and trend of interest rates;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access the capital markets to raise additional capital;</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issuance of additional equity or debt securities;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funds from operations (“FFO”) or earnings estimates;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debt or analyst ratings;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financial condition and performance;</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perception of our business compared to other REITs;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perception of REITs, in general, compared to other investment alternatives.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of our key management could adversely affect performance and the value of our common shares.</w:t>
      </w:r>
    </w:p>
    <w:p>
      <w:pPr>
        <w:spacing w:after="0" w:line="97"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 and value are subject to general risks associated with the real estate industry.</w:t>
      </w:r>
    </w:p>
    <w:p>
      <w:pPr>
        <w:spacing w:after="0" w:line="97" w:lineRule="exact"/>
        <w:rPr>
          <w:sz w:val="20"/>
          <w:szCs w:val="20"/>
          <w:color w:val="auto"/>
        </w:rPr>
      </w:pPr>
    </w:p>
    <w:p>
      <w:pPr>
        <w:jc w:val="both"/>
        <w:ind w:right="180"/>
        <w:spacing w:after="0" w:line="277"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 w:lineRule="exact"/>
        <w:rPr>
          <w:sz w:val="20"/>
          <w:szCs w:val="20"/>
          <w:color w:val="auto"/>
        </w:rPr>
      </w:pPr>
    </w:p>
    <w:p>
      <w:pPr>
        <w:ind w:left="640" w:hanging="32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economic downturns in general, or in the areas where our properties are located;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changes in local real estate market conditions, such as an oversupply or reduction in demand;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tenant preferences that reduce the attractiveness of our properties to tenants;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zoning or regulatory restrictions;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decreases in market rental rates;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weather conditions that may increase or decrease energy costs and other weather-related expenses;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costs associated with the need to periodically repair, renovate and re-lease space; and</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126" w:right="29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ind w:left="640" w:right="200" w:hanging="323"/>
        <w:spacing w:after="0" w:line="271"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Each of these risks could result in decreases in market rental rates and increases in vacancy rates, which could adversely affect our financial condition and results of operation.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Many real estate costs are fixed, even if income from our properties decreases.</w:t>
      </w:r>
    </w:p>
    <w:p>
      <w:pPr>
        <w:spacing w:after="0" w:line="9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may limit our ability to purchase new properties and generate sufficient income from tenants.</w:t>
      </w:r>
    </w:p>
    <w:p>
      <w:pPr>
        <w:spacing w:after="0" w:line="97"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40" w:hanging="32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 properties available for acquisition;</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 rents payable to us;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lead to increased vacancy rates at our properties;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5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sell properties when appropriate because real estate investments are illiquid.</w:t>
      </w:r>
    </w:p>
    <w:p>
      <w:pPr>
        <w:spacing w:after="0" w:line="97"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insurance coverage on our properties may be inadequate.</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2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126" w:right="2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limited flexibility in dealing with our jointly owned investments.</w:t>
      </w:r>
    </w:p>
    <w:p>
      <w:pPr>
        <w:spacing w:after="0" w:line="9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owned jointly with other persons or entities. As of December 31, 2013, we held five predominantly retail real estate projects jointly with other persons in addition to our joint venture with affiliates of a discretionary fund created and advised by ING Clarion Partners (“Clarion”) and properties owned in a “downREIT” structure.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2013, we held the managing general partnership or membership interest in all of our existing co-investments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July 1, 2004, we entered into a joint venture with Clarion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3" w:lineRule="exact"/>
        <w:rPr>
          <w:sz w:val="20"/>
          <w:szCs w:val="20"/>
          <w:color w:val="auto"/>
        </w:rPr>
      </w:pPr>
    </w:p>
    <w:p>
      <w:pPr>
        <w:ind w:left="640" w:hanging="323"/>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enter into new anchor tenant leases, modify existing anchor tenant leases or enforce remedies against anchor tenants;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 certain repairs, renovations or other changes or improvements to properties;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sell or finance the property with secured debt.</w:t>
      </w:r>
    </w:p>
    <w:p>
      <w:pPr>
        <w:spacing w:after="0" w:line="15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joint venture with Clarion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Our investment in this joint venture is also subject to the risks described above for jointly owned investments. As of December 31, 2013, this joint venture owned seven properties.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laws and regulations could reduce the value or profitability of our properties.</w:t>
      </w:r>
    </w:p>
    <w:p>
      <w:pPr>
        <w:spacing w:after="0" w:line="97"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08"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126" w:right="2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expenditures and other costs associated with complying with these laws and regulations, which will adversely affect their potential profitability.</w:t>
      </w:r>
    </w:p>
    <w:p>
      <w:pPr>
        <w:spacing w:after="0" w:line="17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9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9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00" w:lineRule="exact"/>
        <w:rPr>
          <w:sz w:val="20"/>
          <w:szCs w:val="20"/>
          <w:color w:val="auto"/>
        </w:rPr>
      </w:pPr>
    </w:p>
    <w:p>
      <w:pPr>
        <w:ind w:right="640"/>
        <w:spacing w:after="0" w:line="294" w:lineRule="auto"/>
        <w:rPr>
          <w:sz w:val="20"/>
          <w:szCs w:val="20"/>
          <w:color w:val="auto"/>
        </w:rPr>
      </w:pPr>
      <w:r>
        <w:rPr>
          <w:rFonts w:ascii="Arial" w:cs="Arial" w:eastAsia="Arial" w:hAnsi="Arial"/>
          <w:sz w:val="17"/>
          <w:szCs w:val="17"/>
          <w:b w:val="1"/>
          <w:bCs w:val="1"/>
          <w:color w:val="auto"/>
        </w:rPr>
        <w:t>Failure to qualify as a REIT for federal income tax purposes would cause us to be taxed as a corporation, which would substantially reduce funds available for payment of distributions.</w:t>
      </w:r>
    </w:p>
    <w:p>
      <w:pPr>
        <w:spacing w:after="0" w:line="22"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106"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If we fail to qualify as a REIT:</w:t>
      </w:r>
    </w:p>
    <w:p>
      <w:pPr>
        <w:spacing w:after="0" w:line="25" w:lineRule="exact"/>
        <w:rPr>
          <w:sz w:val="20"/>
          <w:szCs w:val="20"/>
          <w:color w:val="auto"/>
        </w:rPr>
      </w:pPr>
    </w:p>
    <w:p>
      <w:pPr>
        <w:ind w:left="640" w:hanging="323"/>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shareholders in computing taxable income;</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would be subject to federal income tax at regular corporate rates;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subject to the federal alternative minimum tax;</w:t>
      </w:r>
    </w:p>
    <w:p>
      <w:pPr>
        <w:spacing w:after="0" w:line="13" w:lineRule="exact"/>
        <w:rPr>
          <w:rFonts w:ascii="Arial" w:cs="Arial" w:eastAsia="Arial" w:hAnsi="Arial"/>
          <w:sz w:val="17"/>
          <w:szCs w:val="17"/>
          <w:color w:val="auto"/>
        </w:rPr>
      </w:pPr>
    </w:p>
    <w:p>
      <w:pPr>
        <w:ind w:left="640" w:hanging="323"/>
        <w:spacing w:after="0" w:line="256"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unless we are entitled to relief under specific statutory provisions, we could not elect to be taxed as a REIT for four taxable years following the year during which we were disqualified;</w:t>
      </w:r>
    </w:p>
    <w:p>
      <w:pPr>
        <w:ind w:left="640" w:right="540" w:hanging="323"/>
        <w:spacing w:after="0" w:line="256"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40" w:hanging="323"/>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would no longer be required by law to make any distributions to our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incur additional debt to qualify as a REIT.</w:t>
      </w:r>
    </w:p>
    <w:p>
      <w:pPr>
        <w:spacing w:after="0" w:line="9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126" w:right="2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1" w:lineRule="exact"/>
        <w:rPr>
          <w:sz w:val="20"/>
          <w:szCs w:val="20"/>
          <w:color w:val="auto"/>
        </w:rPr>
      </w:pPr>
    </w:p>
    <w:p>
      <w:pPr>
        <w:ind w:left="640" w:hanging="323"/>
        <w:spacing w:after="0"/>
        <w:tabs>
          <w:tab w:leader="none" w:pos="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36" w:lineRule="exact"/>
        <w:rPr>
          <w:rFonts w:ascii="Arial" w:cs="Arial" w:eastAsia="Arial" w:hAnsi="Arial"/>
          <w:sz w:val="15"/>
          <w:szCs w:val="15"/>
          <w:color w:val="auto"/>
        </w:rPr>
      </w:pPr>
    </w:p>
    <w:p>
      <w:pPr>
        <w:ind w:left="640" w:hanging="323"/>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5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maintain our status as a REIT, we limit the amount of shares any one shareholder can own.</w:t>
      </w:r>
    </w:p>
    <w:p>
      <w:pPr>
        <w:spacing w:after="0" w:line="97"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or ownership would be void or the shares would be transferred to a charitable trust and then sold to someone who can own those shares without violating the 9.8% ownership limit.</w:t>
      </w:r>
    </w:p>
    <w:p>
      <w:pPr>
        <w:spacing w:after="0" w:line="12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cannot assure you we will continue to pay dividends at historical rates.</w:t>
      </w:r>
    </w:p>
    <w:p>
      <w:pPr>
        <w:spacing w:after="0" w:line="97"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640" w:hanging="32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financial condition and results of future operations;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performance of lease terms by tenants;</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terms of our loan covenants;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acquire, finance, develop or redevelop and lease additional properties at attractive rates.</w:t>
      </w:r>
    </w:p>
    <w:p>
      <w:pPr>
        <w:spacing w:after="0" w:line="15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tax and anti-takeover provisions of our declaration of trust and bylaws may inhibit a change of our control.</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3" w:lineRule="exact"/>
        <w:rPr>
          <w:sz w:val="20"/>
          <w:szCs w:val="20"/>
          <w:color w:val="auto"/>
        </w:rPr>
      </w:pPr>
    </w:p>
    <w:p>
      <w:pPr>
        <w:ind w:left="640" w:hanging="323"/>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REIT ownership limit described above;</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authorization of the issuance of our preferred shares with powers, preferences or rights to be determined by the Board of Trustees;</w:t>
      </w:r>
    </w:p>
    <w:p>
      <w:pPr>
        <w:spacing w:after="0" w:line="13" w:lineRule="exact"/>
        <w:rPr>
          <w:rFonts w:ascii="Arial" w:cs="Arial" w:eastAsia="Arial" w:hAnsi="Arial"/>
          <w:sz w:val="17"/>
          <w:szCs w:val="17"/>
          <w:color w:val="auto"/>
        </w:rPr>
      </w:pPr>
    </w:p>
    <w:p>
      <w:pPr>
        <w:ind w:left="640" w:hanging="323"/>
        <w:spacing w:after="0" w:line="272"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126" w:right="2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ind w:left="640" w:right="20" w:hanging="323"/>
        <w:spacing w:after="0" w:line="263"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Board of Trustees, without a shareholder vote, can classify or reclassify unissued shares of beneficial interest, including the reclassification of common shares into preferred shares and vice-versa;</w:t>
      </w:r>
    </w:p>
    <w:p>
      <w:pPr>
        <w:ind w:left="640" w:hanging="323"/>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two-thirds shareholder vote is required to approve some amendments to the declaration of trust; and</w:t>
      </w:r>
    </w:p>
    <w:p>
      <w:pPr>
        <w:spacing w:after="0" w:line="13" w:lineRule="exact"/>
        <w:rPr>
          <w:rFonts w:ascii="Arial" w:cs="Arial" w:eastAsia="Arial" w:hAnsi="Arial"/>
          <w:sz w:val="17"/>
          <w:szCs w:val="17"/>
          <w:color w:val="auto"/>
        </w:rPr>
      </w:pPr>
    </w:p>
    <w:p>
      <w:pPr>
        <w:ind w:left="640" w:hanging="323"/>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advance-notice requirements for proposals to be presented at shareholder meetings.</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2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amend or revise our business policies without your approval.</w:t>
      </w:r>
    </w:p>
    <w:p>
      <w:pPr>
        <w:spacing w:after="0" w:line="9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4"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Natural disasters and severe weather conditions could have an adverse impact on our cash flow and operating results.</w:t>
      </w:r>
    </w:p>
    <w:p>
      <w:pPr>
        <w:spacing w:after="0" w:line="9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accounting standards may adversely impact our financial results.</w:t>
      </w:r>
    </w:p>
    <w:p>
      <w:pPr>
        <w:spacing w:after="0" w:line="9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Financial Accounting Standards Board ("FASB"), in conjunction with the SEC, has several key projects on their agenda that could impact how we currently account for our material transactions, including lease accounting and other convergence projects with the International Accounting Standards Board. At this time, we are unable to predict with certainty which, if any, proposals may be passed or what level of impact any such proposal could have on the presentation of our consolidated financial statements, our results of operations and our financial ratios required by our debt covenants.</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tab/>
        <w:t>PROPERTIES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7"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As of December 31, 2013, we owned or had a majority ownership interest in community and neighborhood shopping centers and mixed-used properties which are operated as 87 predominantly retail real estate projects comprising approximately 19.5 million square feet. These properties are located primarily in densely populated and affluent communities in strategic metropolitan markets in the Northeast and Mid-Atlantic regions of the United States, as well as California. No single property accounted for over 10% of our 2013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 Diversification</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As of December 31, 2013, we had approximately 2,500 leases, with tenants ranging from sole proprietors to major national and international retailers. No one tenant or affiliated group of tenants accounted for more than 3.5% of our annualized base rent as of December 31, 2013. As a result of our tenant diversification, we believe our exposure to any one bankruptcy filing in the retail sector has not been and will not be significant, however, multiple filings by a number of retailers could have a significant impact.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Diversification</w:t>
      </w:r>
    </w:p>
    <w:p>
      <w:pPr>
        <w:spacing w:after="0" w:line="97" w:lineRule="exact"/>
        <w:rPr>
          <w:sz w:val="20"/>
          <w:szCs w:val="20"/>
          <w:color w:val="auto"/>
        </w:rPr>
      </w:pPr>
    </w:p>
    <w:p>
      <w:pPr>
        <w:ind w:right="80"/>
        <w:spacing w:after="0" w:line="320" w:lineRule="auto"/>
        <w:rPr>
          <w:sz w:val="20"/>
          <w:szCs w:val="20"/>
          <w:color w:val="auto"/>
        </w:rPr>
      </w:pPr>
      <w:r>
        <w:rPr>
          <w:rFonts w:ascii="Arial" w:cs="Arial" w:eastAsia="Arial" w:hAnsi="Arial"/>
          <w:sz w:val="16"/>
          <w:szCs w:val="16"/>
          <w:color w:val="auto"/>
        </w:rPr>
        <w:t>Our 87 real estate projects are located in 13 states and the District of Columbia. The following table shows the number of projects, the gross leasable area (“GLA”) of commercial space and the percentage of total portfolio gross leasable area of commercial space in each state as of December 31, 2013.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left="291"/>
              <w:spacing w:after="0"/>
              <w:rPr>
                <w:sz w:val="20"/>
                <w:szCs w:val="20"/>
                <w:color w:val="auto"/>
              </w:rPr>
            </w:pPr>
            <w:r>
              <w:rPr>
                <w:rFonts w:ascii="Arial" w:cs="Arial" w:eastAsia="Arial" w:hAnsi="Arial"/>
                <w:sz w:val="14"/>
                <w:szCs w:val="14"/>
                <w:b w:val="1"/>
                <w:bCs w:val="1"/>
                <w:color w:val="auto"/>
                <w:w w:val="91"/>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Gross Leasable</w:t>
            </w:r>
          </w:p>
        </w:tc>
        <w:tc>
          <w:tcPr>
            <w:tcW w:w="1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of Gross</w:t>
            </w:r>
          </w:p>
        </w:tc>
        <w:tc>
          <w:tcPr>
            <w:tcW w:w="0" w:type="dxa"/>
            <w:vAlign w:val="bottom"/>
          </w:tcPr>
          <w:p>
            <w:pPr>
              <w:spacing w:after="0"/>
              <w:rPr>
                <w:sz w:val="1"/>
                <w:szCs w:val="1"/>
                <w:color w:val="auto"/>
              </w:rPr>
            </w:pPr>
          </w:p>
        </w:tc>
      </w:tr>
      <w:tr>
        <w:trPr>
          <w:trHeight w:val="143"/>
        </w:trPr>
        <w:tc>
          <w:tcPr>
            <w:tcW w:w="6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Leasable</w:t>
            </w:r>
          </w:p>
        </w:tc>
        <w:tc>
          <w:tcPr>
            <w:tcW w:w="0" w:type="dxa"/>
            <w:vAlign w:val="bottom"/>
          </w:tcPr>
          <w:p>
            <w:pPr>
              <w:spacing w:after="0"/>
              <w:rPr>
                <w:sz w:val="1"/>
                <w:szCs w:val="1"/>
                <w:color w:val="auto"/>
              </w:rPr>
            </w:pPr>
          </w:p>
        </w:tc>
      </w:tr>
      <w:tr>
        <w:trPr>
          <w:trHeight w:val="186"/>
        </w:trPr>
        <w:tc>
          <w:tcPr>
            <w:tcW w:w="6380" w:type="dxa"/>
            <w:vAlign w:val="bottom"/>
            <w:gridSpan w:val="2"/>
            <w:vMerge w:val="continue"/>
          </w:tcPr>
          <w:p>
            <w:pPr>
              <w:spacing w:after="0"/>
              <w:rPr>
                <w:sz w:val="16"/>
                <w:szCs w:val="16"/>
                <w:color w:val="auto"/>
              </w:rPr>
            </w:pPr>
          </w:p>
        </w:tc>
        <w:tc>
          <w:tcPr>
            <w:tcW w:w="1200" w:type="dxa"/>
            <w:vAlign w:val="bottom"/>
          </w:tcPr>
          <w:p>
            <w:pPr>
              <w:jc w:val="center"/>
              <w:ind w:left="291"/>
              <w:spacing w:after="0"/>
              <w:rPr>
                <w:sz w:val="20"/>
                <w:szCs w:val="20"/>
                <w:color w:val="auto"/>
              </w:rPr>
            </w:pPr>
            <w:r>
              <w:rPr>
                <w:rFonts w:ascii="Arial" w:cs="Arial" w:eastAsia="Arial" w:hAnsi="Arial"/>
                <w:sz w:val="14"/>
                <w:szCs w:val="14"/>
                <w:b w:val="1"/>
                <w:bCs w:val="1"/>
                <w:color w:val="auto"/>
                <w:w w:val="86"/>
              </w:rPr>
              <w:t>Projects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241"/>
        </w:trPr>
        <w:tc>
          <w:tcPr>
            <w:tcW w:w="6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Maryland</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3,834,000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35"/>
        </w:trPr>
        <w:tc>
          <w:tcPr>
            <w:tcW w:w="6380" w:type="dxa"/>
            <w:vAlign w:val="bottom"/>
            <w:gridSpan w:val="2"/>
          </w:tcPr>
          <w:p>
            <w:pPr>
              <w:ind w:left="40"/>
              <w:spacing w:after="0"/>
              <w:rPr>
                <w:sz w:val="20"/>
                <w:szCs w:val="20"/>
                <w:color w:val="auto"/>
              </w:rPr>
            </w:pPr>
            <w:r>
              <w:rPr>
                <w:rFonts w:ascii="Arial" w:cs="Arial" w:eastAsia="Arial" w:hAnsi="Arial"/>
                <w:sz w:val="17"/>
                <w:szCs w:val="17"/>
                <w:color w:val="auto"/>
              </w:rPr>
              <w:t>Virginia</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3,593,000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California</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3,363,000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35"/>
        </w:trPr>
        <w:tc>
          <w:tcPr>
            <w:tcW w:w="6380" w:type="dxa"/>
            <w:vAlign w:val="bottom"/>
            <w:gridSpan w:val="2"/>
          </w:tcPr>
          <w:p>
            <w:pPr>
              <w:ind w:left="40"/>
              <w:spacing w:after="0"/>
              <w:rPr>
                <w:sz w:val="20"/>
                <w:szCs w:val="20"/>
                <w:color w:val="auto"/>
              </w:rPr>
            </w:pPr>
            <w:r>
              <w:rPr>
                <w:rFonts w:ascii="Arial" w:cs="Arial" w:eastAsia="Arial" w:hAnsi="Arial"/>
                <w:sz w:val="17"/>
                <w:szCs w:val="17"/>
                <w:color w:val="auto"/>
              </w:rPr>
              <w:t>Pennsylvania(1)</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2,295,000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New Jersey</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1,392,000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5"/>
        </w:trPr>
        <w:tc>
          <w:tcPr>
            <w:tcW w:w="6380" w:type="dxa"/>
            <w:vAlign w:val="bottom"/>
            <w:gridSpan w:val="2"/>
          </w:tcPr>
          <w:p>
            <w:pPr>
              <w:ind w:left="40"/>
              <w:spacing w:after="0"/>
              <w:rPr>
                <w:sz w:val="20"/>
                <w:szCs w:val="20"/>
                <w:color w:val="auto"/>
              </w:rPr>
            </w:pPr>
            <w:r>
              <w:rPr>
                <w:rFonts w:ascii="Arial" w:cs="Arial" w:eastAsia="Arial" w:hAnsi="Arial"/>
                <w:sz w:val="17"/>
                <w:szCs w:val="17"/>
                <w:color w:val="auto"/>
              </w:rPr>
              <w:t>Massachusetts</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1,390,000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New York</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1,139,000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35"/>
        </w:trPr>
        <w:tc>
          <w:tcPr>
            <w:tcW w:w="6380" w:type="dxa"/>
            <w:vAlign w:val="bottom"/>
            <w:gridSpan w:val="2"/>
          </w:tcPr>
          <w:p>
            <w:pPr>
              <w:ind w:left="40"/>
              <w:spacing w:after="0"/>
              <w:rPr>
                <w:sz w:val="20"/>
                <w:szCs w:val="20"/>
                <w:color w:val="auto"/>
              </w:rPr>
            </w:pPr>
            <w:r>
              <w:rPr>
                <w:rFonts w:ascii="Arial" w:cs="Arial" w:eastAsia="Arial" w:hAnsi="Arial"/>
                <w:sz w:val="17"/>
                <w:szCs w:val="17"/>
                <w:color w:val="auto"/>
              </w:rPr>
              <w:t>Illinois</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750,000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Florida</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678,000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5"/>
        </w:trPr>
        <w:tc>
          <w:tcPr>
            <w:tcW w:w="6380" w:type="dxa"/>
            <w:vAlign w:val="bottom"/>
            <w:gridSpan w:val="2"/>
          </w:tcPr>
          <w:p>
            <w:pPr>
              <w:ind w:left="40"/>
              <w:spacing w:after="0"/>
              <w:rPr>
                <w:sz w:val="20"/>
                <w:szCs w:val="20"/>
                <w:color w:val="auto"/>
              </w:rPr>
            </w:pPr>
            <w:r>
              <w:rPr>
                <w:rFonts w:ascii="Arial" w:cs="Arial" w:eastAsia="Arial" w:hAnsi="Arial"/>
                <w:sz w:val="17"/>
                <w:szCs w:val="17"/>
                <w:color w:val="auto"/>
              </w:rPr>
              <w:t>Connecticut(1)</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397,000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Michigan</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217,000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5"/>
        </w:trPr>
        <w:tc>
          <w:tcPr>
            <w:tcW w:w="6380" w:type="dxa"/>
            <w:vAlign w:val="bottom"/>
            <w:gridSpan w:val="2"/>
          </w:tcPr>
          <w:p>
            <w:pPr>
              <w:ind w:left="40"/>
              <w:spacing w:after="0"/>
              <w:rPr>
                <w:sz w:val="20"/>
                <w:szCs w:val="20"/>
                <w:color w:val="auto"/>
              </w:rPr>
            </w:pPr>
            <w:r>
              <w:rPr>
                <w:rFonts w:ascii="Arial" w:cs="Arial" w:eastAsia="Arial" w:hAnsi="Arial"/>
                <w:sz w:val="17"/>
                <w:szCs w:val="17"/>
                <w:color w:val="auto"/>
              </w:rPr>
              <w:t>Texas</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175,000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District of Columbia</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168,000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5"/>
        </w:trPr>
        <w:tc>
          <w:tcPr>
            <w:tcW w:w="6380" w:type="dxa"/>
            <w:vAlign w:val="bottom"/>
            <w:gridSpan w:val="2"/>
          </w:tcPr>
          <w:p>
            <w:pPr>
              <w:ind w:left="40"/>
              <w:spacing w:after="0"/>
              <w:rPr>
                <w:sz w:val="20"/>
                <w:szCs w:val="20"/>
                <w:color w:val="auto"/>
              </w:rPr>
            </w:pPr>
            <w:r>
              <w:rPr>
                <w:rFonts w:ascii="Arial" w:cs="Arial" w:eastAsia="Arial" w:hAnsi="Arial"/>
                <w:sz w:val="17"/>
                <w:szCs w:val="17"/>
                <w:color w:val="auto"/>
              </w:rPr>
              <w:t>North Carolina</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153,000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
        </w:trPr>
        <w:tc>
          <w:tcPr>
            <w:tcW w:w="6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Total</w:t>
            </w: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19,544,000</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40" w:right="60" w:hanging="323"/>
        <w:spacing w:after="0" w:line="287"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Additionally, we own two participating mortgages totaling approximately $29.5 million secured by multiple buildings in Manayunk, Pennsylvania, and an $11.7 million mortgage secured by a shopping center in Norwalk, Connecticut.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Lease Terms and Lease Expirations</w:t>
      </w:r>
    </w:p>
    <w:p>
      <w:pPr>
        <w:spacing w:after="0" w:line="9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2013, represented approximately 4.7% of total rental income.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sets forth the schedule of lease expirations for our commercial leases in place as of December 31, 2013 for each of the 10 years beginning with 2014 and after 2023 in the aggregate assuming that none of the tenants exercise future renewal options. Annualized base rents reflect in-place contractual rents as of December 31, 2013.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Leased</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Percentage of</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Annualized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Percentage of Annualized</w:t>
            </w: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Square</w:t>
            </w:r>
          </w:p>
        </w:tc>
        <w:tc>
          <w:tcPr>
            <w:tcW w:w="17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Leased Square</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7"/>
              </w:rPr>
              <w:t>Base Rent</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6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Footage</w:t>
            </w:r>
          </w:p>
        </w:tc>
        <w:tc>
          <w:tcPr>
            <w:tcW w:w="17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Footage</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7"/>
              </w:rPr>
              <w:t>Represented by</w:t>
            </w:r>
          </w:p>
        </w:tc>
        <w:tc>
          <w:tcPr>
            <w:tcW w:w="1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Base Rent Represented by</w:t>
            </w:r>
          </w:p>
        </w:tc>
        <w:tc>
          <w:tcPr>
            <w:tcW w:w="0" w:type="dxa"/>
            <w:vAlign w:val="bottom"/>
          </w:tcPr>
          <w:p>
            <w:pPr>
              <w:spacing w:after="0"/>
              <w:rPr>
                <w:sz w:val="1"/>
                <w:szCs w:val="1"/>
                <w:color w:val="auto"/>
              </w:rPr>
            </w:pPr>
          </w:p>
        </w:tc>
      </w:tr>
      <w:tr>
        <w:trPr>
          <w:trHeight w:val="186"/>
        </w:trPr>
        <w:tc>
          <w:tcPr>
            <w:tcW w:w="464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Expiring</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Expiring</w:t>
            </w: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Expiring Leases</w:t>
            </w:r>
          </w:p>
        </w:tc>
        <w:tc>
          <w:tcPr>
            <w:tcW w:w="0" w:type="dxa"/>
            <w:vAlign w:val="bottom"/>
          </w:tcPr>
          <w:p>
            <w:pPr>
              <w:spacing w:after="0"/>
              <w:rPr>
                <w:sz w:val="1"/>
                <w:szCs w:val="1"/>
                <w:color w:val="auto"/>
              </w:rPr>
            </w:pPr>
          </w:p>
        </w:tc>
      </w:tr>
      <w:tr>
        <w:trPr>
          <w:trHeight w:val="240"/>
        </w:trPr>
        <w:tc>
          <w:tcPr>
            <w:tcW w:w="4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1,190,000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31,629,000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5"/>
        </w:trPr>
        <w:tc>
          <w:tcPr>
            <w:tcW w:w="4520" w:type="dxa"/>
            <w:vAlign w:val="bottom"/>
          </w:tcPr>
          <w:p>
            <w:pPr>
              <w:ind w:left="40"/>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20"/>
                <w:szCs w:val="20"/>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1,796,000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44,496,000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1,997,000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53,437,000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5"/>
        </w:trPr>
        <w:tc>
          <w:tcPr>
            <w:tcW w:w="4520" w:type="dxa"/>
            <w:vAlign w:val="bottom"/>
          </w:tcPr>
          <w:p>
            <w:pPr>
              <w:ind w:left="40"/>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20"/>
                <w:szCs w:val="20"/>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2,550,000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63,720,000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2,405,000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56,833,000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5"/>
        </w:trPr>
        <w:tc>
          <w:tcPr>
            <w:tcW w:w="4520" w:type="dxa"/>
            <w:vAlign w:val="bottom"/>
          </w:tcPr>
          <w:p>
            <w:pPr>
              <w:ind w:left="40"/>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20"/>
                <w:szCs w:val="20"/>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2,196,000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46,554,000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924,000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22,964,000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5"/>
        </w:trPr>
        <w:tc>
          <w:tcPr>
            <w:tcW w:w="4520" w:type="dxa"/>
            <w:vAlign w:val="bottom"/>
          </w:tcPr>
          <w:p>
            <w:pPr>
              <w:ind w:left="4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1,104,000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29,997,000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1,232,000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30,740,000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5"/>
        </w:trPr>
        <w:tc>
          <w:tcPr>
            <w:tcW w:w="4520" w:type="dxa"/>
            <w:vAlign w:val="bottom"/>
          </w:tcPr>
          <w:p>
            <w:pPr>
              <w:ind w:left="4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914,000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27,082,000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2,236,000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47,642,000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8"/>
        </w:trPr>
        <w:tc>
          <w:tcPr>
            <w:tcW w:w="4640" w:type="dxa"/>
            <w:vAlign w:val="bottom"/>
            <w:gridSpan w:val="2"/>
          </w:tcPr>
          <w:p>
            <w:pPr>
              <w:ind w:left="360"/>
              <w:spacing w:after="0"/>
              <w:rPr>
                <w:sz w:val="20"/>
                <w:szCs w:val="20"/>
                <w:color w:val="auto"/>
              </w:rPr>
            </w:pPr>
            <w:r>
              <w:rPr>
                <w:rFonts w:ascii="Arial" w:cs="Arial" w:eastAsia="Arial" w:hAnsi="Arial"/>
                <w:sz w:val="17"/>
                <w:szCs w:val="17"/>
                <w:color w:val="auto"/>
              </w:rPr>
              <w:t>Total</w:t>
            </w:r>
          </w:p>
        </w:tc>
        <w:tc>
          <w:tcPr>
            <w:tcW w:w="15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18,544,000</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455,094,000</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Rollovers</w:t>
      </w:r>
    </w:p>
    <w:p>
      <w:pPr>
        <w:spacing w:after="0" w:line="9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For 2013, we signed leases for a total of 1,629,000 square feet of retail space including 1,370,000 square feet of comparable space leases (leases for which there was a prior tenant) at an average rental increase of 20% on a cash basis and 33% on a straight-line basis. New leases for comparable spaces were signed for 586,000 square feet at an average rental increase of 35% on a cash basis and 51% on a straight-line basis. Renewals for comparable spaces were signed for 784,000 square feet at an average rental increase of 10% on a cash basis and 21% on a straight-line basis.</w:t>
      </w: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For 2012, we signed leases for a total of 1,965,000 square feet of retail space including 1,800,000 square feet of comparable space leases (leases for which there was a prior tenant) at an average rental increase of 13% on a cash basis and 23% on a straight-line basis. New leases for comparable spaces were signed for 882,000 square feet at an average rental increase of 23% on a cash basis and 32% on a straight-line basis. Renewals for comparable spaces were signed for 918,000 square feet at an average rental increase of 4% on a cash basis and 14% on a straight-line basis.</w:t>
      </w:r>
    </w:p>
    <w:p>
      <w:pPr>
        <w:spacing w:after="0" w:line="12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Tenant improvements and incentives for comparable spaces were $45.83 per square foot for new leases and $1.70 per square foot for renewals in 2013. Tenant improvements and incentives for comparable spaces were $36.20 per square foot for new leases and $2.78 for renewal leases in 2012. In 2013, tenant improvements and incentives increased for new leases relative to our historical experience primarily due to one grocery anchor lease at Ellisburg Shopping Center and an anchor tenant at Westgate Center which is currently being redeveloped. In future periods, we expect tenant improvements and incentives to return to levels more in line with our historical experience; however, our historical experience has also shown that costs have generally increased over time even absent specific tenant circumstances as noted above.</w:t>
      </w:r>
    </w:p>
    <w:p>
      <w:pPr>
        <w:spacing w:after="0" w:line="12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leases signed in 2013 generally become effective over the following two years though some may not become effective until 2015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Historically, we have executed comparable space leases for 1.2 to 1.5 million square feet of retail space each year. We believe our leasing volume for 2014 will be inline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and Residential Properties</w:t>
      </w:r>
    </w:p>
    <w:p>
      <w:pPr>
        <w:spacing w:after="0" w:line="9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2013.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Square Feet(1)</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/Apartment</w:t>
            </w:r>
          </w:p>
        </w:tc>
        <w:tc>
          <w:tcPr>
            <w:tcW w:w="13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Per Square</w:t>
            </w:r>
          </w:p>
        </w:tc>
        <w:tc>
          <w:tcPr>
            <w:tcW w:w="11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Acquired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California</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150 Post Street</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8"/>
              </w:rPr>
              <w:t>1908, 1965</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103,000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$43.60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San Francisco, CA 94108</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color w:val="auto"/>
              </w:rPr>
              <w:t>H &amp; M</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Colorado Blvd</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1905-1988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1996/1998</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69,000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$38.51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w w:val="92"/>
                <w:shd w:val="clear" w:color="auto" w:fill="CCEEFF"/>
              </w:rPr>
              <w:t>Pottery Barn</w:t>
            </w: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Pasadena, CA 91103(4)</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Banana Republic</w:t>
            </w: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Crow Canyon Commons</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1980-2006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2005/2007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242,000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$20.37</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Lucky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San Ramon, CA 94583</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Loehmann’s Dress Shop</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East Bay Bridge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7"/>
              </w:rPr>
              <w:t>1994-1995,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438,000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$15.56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w w:val="97"/>
              </w:rPr>
              <w:t>Home Depot Michaels Pak-N-Save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Emeryville &amp; Oakland, CA 94608 (11)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2010, 2012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Escondido Promenade</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1996/2010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297,000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$23.13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Escondido, CA 92029(5)</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Hermosa Avenue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1922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22,000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$36.32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Hermosa Beach, CA 90254</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Hollywood Blvd</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8"/>
              </w:rPr>
              <w:t>1929, 1991</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140,000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$28.87</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Hollywood, CA 90028(6)</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color w:val="auto"/>
              </w:rPr>
              <w:t>Fresh &amp; Easy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Kings Court</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80,000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$29.32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Lunardi’s Supermarket</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Los Gatos, CA 95032(4)(7)</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CVS</w:t>
            </w:r>
          </w:p>
        </w:tc>
        <w:tc>
          <w:tcPr>
            <w:tcW w:w="3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Old Town Center</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8"/>
              </w:rPr>
              <w:t>1962, 1998</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93"/>
              </w:rPr>
              <w:t>96,000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$35.07</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Los Gatos, CA 95030</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color w:val="auto"/>
              </w:rPr>
              <w:t>Banana Republic Anthropologie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Plaza El Segundo</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381,000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$37.35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H&amp;M</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El Segundo, CA 90245 (5)(11)</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Anthropologie</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Best Buy</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4"/>
                <w:szCs w:val="14"/>
                <w:color w:val="auto"/>
                <w:w w:val="91"/>
                <w:shd w:val="clear" w:color="auto" w:fill="CCEEFF"/>
              </w:rPr>
              <w:t>HomeGoods</w:t>
            </w:r>
          </w:p>
        </w:tc>
        <w:tc>
          <w:tcPr>
            <w:tcW w:w="4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87"/>
                <w:shd w:val="clear" w:color="auto" w:fill="CCEEFF"/>
              </w:rPr>
              <w:t>Whole Foods</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77"/>
                <w:shd w:val="clear" w:color="auto" w:fill="CCEEFF"/>
              </w:rPr>
              <w:t>Dick's Sporting</w:t>
            </w:r>
          </w:p>
        </w:tc>
        <w:tc>
          <w:tcPr>
            <w:tcW w:w="140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shd w:val="clear" w:color="auto" w:fill="CCEEFF"/>
              </w:rPr>
              <w:t>Goods Container</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Store</w:t>
            </w:r>
          </w:p>
        </w:tc>
        <w:tc>
          <w:tcPr>
            <w:tcW w:w="3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Santana Row—Retail</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8"/>
              </w:rPr>
              <w:t>2002, 2009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650,000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$48.72</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H&amp;M Crate &amp; Barrel</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San Jose, CA 95128</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Santana Row—Residential</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1999-2009, 2011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ind w:left="380"/>
              <w:spacing w:after="0" w:line="151" w:lineRule="exact"/>
              <w:rPr>
                <w:sz w:val="20"/>
                <w:szCs w:val="20"/>
                <w:color w:val="auto"/>
              </w:rPr>
            </w:pPr>
            <w:r>
              <w:rPr>
                <w:rFonts w:ascii="Arial" w:cs="Arial" w:eastAsia="Arial" w:hAnsi="Arial"/>
                <w:sz w:val="14"/>
                <w:szCs w:val="14"/>
                <w:color w:val="auto"/>
                <w:w w:val="91"/>
              </w:rPr>
              <w:t>1997, 2012</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w w:val="91"/>
              </w:rPr>
              <w:t>505 units</w:t>
            </w:r>
          </w:p>
        </w:tc>
        <w:tc>
          <w:tcPr>
            <w:tcW w:w="138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San Jose, CA 95128</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Third Street Promenade</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1888-2000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1996-2000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209,000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$64.88</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Abercrombie &amp; Fitch</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Santa Monica, CA 90401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Westgate Center</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1960-1966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636,000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$14.11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216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Target Walmart Neighborhood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San Jose, CA 95129</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88"/>
                <w:shd w:val="clear" w:color="auto" w:fill="CCEEFF"/>
              </w:rPr>
              <w:t>Market</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Burlington Coat Factory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w w:val="85"/>
                <w:shd w:val="clear" w:color="auto" w:fill="CCEEFF"/>
              </w:rPr>
              <w:t>Ross Dress For Less</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w w:val="89"/>
                <w:shd w:val="clear" w:color="auto" w:fill="CCEEFF"/>
              </w:rPr>
              <w:t>Michaels Nordstrom</w:t>
            </w:r>
          </w:p>
        </w:tc>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Rack</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6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Connecticut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Bristol</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267,000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$12.52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w w:val="91"/>
                <w:shd w:val="clear" w:color="auto" w:fill="CCEEFF"/>
              </w:rPr>
              <w:t>Stop &amp; Shop</w:t>
            </w:r>
          </w:p>
        </w:tc>
        <w:tc>
          <w:tcPr>
            <w:tcW w:w="140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Bristol, CT 06010</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TJ Maxx</w:t>
            </w:r>
          </w:p>
        </w:tc>
        <w:tc>
          <w:tcPr>
            <w:tcW w:w="14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Darien, CT</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1920-2009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93"/>
              </w:rPr>
              <w:t>95,000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$27.39</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gridSpan w:val="4"/>
          </w:tcPr>
          <w:p>
            <w:pPr>
              <w:ind w:left="20"/>
              <w:spacing w:after="0" w:line="151" w:lineRule="exact"/>
              <w:rPr>
                <w:sz w:val="20"/>
                <w:szCs w:val="20"/>
                <w:color w:val="auto"/>
              </w:rPr>
            </w:pPr>
            <w:r>
              <w:rPr>
                <w:rFonts w:ascii="Arial" w:cs="Arial" w:eastAsia="Arial" w:hAnsi="Arial"/>
                <w:sz w:val="14"/>
                <w:szCs w:val="14"/>
                <w:color w:val="auto"/>
              </w:rPr>
              <w:t>Stop &amp; Shop Equinox</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Darien, CT 06820</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Greenwich Avenue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35,000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$61.00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0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Greenwich Avenue, CT 06830</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Year</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/Apartment</w:t>
            </w: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Per Square</w:t>
            </w:r>
          </w:p>
        </w:tc>
        <w:tc>
          <w:tcPr>
            <w:tcW w:w="11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Property, City, State, Zip Code</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Foot(2)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District of Columbia</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7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Friendship Center</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2001</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119,000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$29.50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DSW Maggiano’s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Washington, DC 20015</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Sam’s Park &amp; Shop</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1930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$39.31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Washington, DC 20008</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2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rPr>
              <w:t>Florida</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Courtyard Shops</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1990, 1998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130,000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$20.32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Publix</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Wellington, FL 33414</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Del Mar Village</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91"/>
              </w:rPr>
              <w:t>1982, 1994 &amp; 2007</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179,000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$15.34</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79%</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Boca Raton, FL 33433</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Tower Shops</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369,000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$17.55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Ulta Best Buy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20" w:type="dxa"/>
            <w:vAlign w:val="bottom"/>
            <w:gridSpan w:val="6"/>
            <w:shd w:val="clear" w:color="auto" w:fill="CCEEFF"/>
          </w:tcPr>
          <w:p>
            <w:pPr>
              <w:ind w:left="120"/>
              <w:spacing w:after="0" w:line="143" w:lineRule="exact"/>
              <w:rPr>
                <w:sz w:val="20"/>
                <w:szCs w:val="20"/>
                <w:color w:val="auto"/>
              </w:rPr>
            </w:pPr>
            <w:r>
              <w:rPr>
                <w:rFonts w:ascii="Arial" w:cs="Arial" w:eastAsia="Arial" w:hAnsi="Arial"/>
                <w:sz w:val="14"/>
                <w:szCs w:val="14"/>
                <w:color w:val="auto"/>
              </w:rPr>
              <w:t>Davie, FL 33324</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1"/>
                <w:shd w:val="clear" w:color="auto" w:fill="CCEEFF"/>
              </w:rPr>
              <w:t>DSW</w:t>
            </w: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Old</w:t>
            </w:r>
          </w:p>
        </w:tc>
        <w:tc>
          <w:tcPr>
            <w:tcW w:w="2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74"/>
                <w:shd w:val="clear" w:color="auto" w:fill="CCEEFF"/>
              </w:rPr>
              <w:t>Navy</w:t>
            </w: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74"/>
                <w:shd w:val="clear" w:color="auto" w:fill="CCEEFF"/>
              </w:rPr>
              <w:t>Ross Dress</w:t>
            </w:r>
          </w:p>
        </w:tc>
        <w:tc>
          <w:tcPr>
            <w:tcW w:w="158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shd w:val="clear" w:color="auto" w:fill="CCEEFF"/>
              </w:rPr>
              <w:t>For Less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TJ Maxx</w:t>
            </w: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2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rPr>
              <w:t>Illinois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Crossroads</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168,000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$21.26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w w:val="91"/>
                <w:shd w:val="clear" w:color="auto" w:fill="CCEEFF"/>
              </w:rPr>
              <w:t>Golfsmith</w:t>
            </w: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20" w:type="dxa"/>
            <w:vAlign w:val="bottom"/>
            <w:gridSpan w:val="6"/>
            <w:shd w:val="clear" w:color="auto" w:fill="CCEEFF"/>
          </w:tcPr>
          <w:p>
            <w:pPr>
              <w:ind w:left="120"/>
              <w:spacing w:after="0" w:line="143" w:lineRule="exact"/>
              <w:rPr>
                <w:sz w:val="20"/>
                <w:szCs w:val="20"/>
                <w:color w:val="auto"/>
              </w:rPr>
            </w:pPr>
            <w:r>
              <w:rPr>
                <w:rFonts w:ascii="Arial" w:cs="Arial" w:eastAsia="Arial" w:hAnsi="Arial"/>
                <w:sz w:val="14"/>
                <w:szCs w:val="14"/>
                <w:color w:val="auto"/>
              </w:rPr>
              <w:t>Highland Park, IL 60035</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Guitar Center</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L.A. Fitness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Finley Square</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1974</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313,000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$11.52</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Downers Grove, IL 60515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Garden Market</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1994</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140,000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$12.24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w w:val="97"/>
                <w:shd w:val="clear" w:color="auto" w:fill="CCEEFF"/>
              </w:rPr>
              <w:t>Mariano's Fresh Market Walgreens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Western Springs, IL 60558</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North Lake Commons</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1989</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129,000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$12.21</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92%</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Mariano's Fresh Market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Lake Zurich, IL 60047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Maryland</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7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Bethesda Row</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90"/>
              </w:rPr>
              <w:t>1945-1991 2001</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0"/>
              </w:rPr>
              <w:t>1993/2006</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533,000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$47.09</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Apple Computer</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Bethesda, MD 20814(4)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color w:val="auto"/>
                <w:w w:val="90"/>
              </w:rPr>
              <w:t>2008/2010</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Equinox Giant Food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color w:val="auto"/>
              </w:rPr>
              <w:t>Landmark Theater</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Bethesda Row Residential</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w w:val="87"/>
              </w:rPr>
              <w:t>180 units</w:t>
            </w:r>
          </w:p>
        </w:tc>
        <w:tc>
          <w:tcPr>
            <w:tcW w:w="136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Bethesda, MD 20814</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Congressional Plaza</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1965</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1965</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328,000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$35.31</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Rockville, MD 20852(5)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ind w:left="20"/>
              <w:spacing w:after="0" w:line="143" w:lineRule="exact"/>
              <w:rPr>
                <w:sz w:val="20"/>
                <w:szCs w:val="20"/>
                <w:color w:val="auto"/>
              </w:rPr>
            </w:pPr>
            <w:r>
              <w:rPr>
                <w:rFonts w:ascii="Arial" w:cs="Arial" w:eastAsia="Arial" w:hAnsi="Arial"/>
                <w:sz w:val="14"/>
                <w:szCs w:val="14"/>
                <w:color w:val="auto"/>
                <w:w w:val="96"/>
              </w:rPr>
              <w:t>Last Call Studio by Neiman Marcus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color w:val="auto"/>
                <w:w w:val="99"/>
              </w:rPr>
              <w:t>Container Store The Fresh Market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Congressional Plaza Residential</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1965</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w w:val="87"/>
              </w:rPr>
              <w:t>146 units</w:t>
            </w:r>
          </w:p>
        </w:tc>
        <w:tc>
          <w:tcPr>
            <w:tcW w:w="136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86%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Rockville, MD 20852(5)</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Courthouse Center</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1975</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35,000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$22.76</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60%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Rockville, MD 20852</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Federal Plaza</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248,000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$32.87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Micro Center</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20" w:type="dxa"/>
            <w:vAlign w:val="bottom"/>
            <w:gridSpan w:val="6"/>
            <w:shd w:val="clear" w:color="auto" w:fill="CCEEFF"/>
          </w:tcPr>
          <w:p>
            <w:pPr>
              <w:ind w:left="120"/>
              <w:spacing w:after="0"/>
              <w:rPr>
                <w:sz w:val="20"/>
                <w:szCs w:val="20"/>
                <w:color w:val="auto"/>
              </w:rPr>
            </w:pPr>
            <w:r>
              <w:rPr>
                <w:rFonts w:ascii="Arial" w:cs="Arial" w:eastAsia="Arial" w:hAnsi="Arial"/>
                <w:sz w:val="14"/>
                <w:szCs w:val="14"/>
                <w:color w:val="auto"/>
              </w:rPr>
              <w:t>Rockville, MD 20852</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Ross Dress For Less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TJ Maxx</w:t>
            </w: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Trader Joe’s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Free State Shopping Center</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279,000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$16.53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87%</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Bowie, MD 20715(9)</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Gaithersburg Square</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207,000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$28.52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77%</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Gaithersburg, MD 20878</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Ross Dress For Less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Governor Plaza</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267,000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$18.04</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Glen Burnie, MD 21961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7" w:lineRule="exact"/>
              <w:rPr>
                <w:sz w:val="20"/>
                <w:szCs w:val="20"/>
                <w:color w:val="auto"/>
              </w:rPr>
            </w:pPr>
            <w:r>
              <w:rPr>
                <w:rFonts w:ascii="Arial" w:cs="Arial" w:eastAsia="Arial" w:hAnsi="Arial"/>
                <w:sz w:val="14"/>
                <w:szCs w:val="14"/>
                <w:color w:val="auto"/>
              </w:rPr>
              <w:t>Laurel Centre</w:t>
            </w: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388,000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$21.84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77%</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shd w:val="clear" w:color="auto" w:fill="CCEEFF"/>
              </w:rPr>
              <w:t>L.A. Fitness Giant Food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Laurel, MD 20707</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0"/>
                <w:shd w:val="clear" w:color="auto" w:fill="CCEEFF"/>
              </w:rPr>
              <w:t>Marshalls</w:t>
            </w: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6"/>
          </w:tcPr>
          <w:p>
            <w:pPr>
              <w:spacing w:after="0" w:line="151" w:lineRule="exact"/>
              <w:rPr>
                <w:sz w:val="20"/>
                <w:szCs w:val="20"/>
                <w:color w:val="auto"/>
              </w:rPr>
            </w:pPr>
            <w:r>
              <w:rPr>
                <w:rFonts w:ascii="Arial" w:cs="Arial" w:eastAsia="Arial" w:hAnsi="Arial"/>
                <w:sz w:val="14"/>
                <w:szCs w:val="14"/>
                <w:color w:val="auto"/>
              </w:rPr>
              <w:t>Mid-Pike Plaza/Pike &amp; Rose</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0"/>
              </w:rPr>
              <w:t>1982/2007</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59,000</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$35.69</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Rockville, MD 20852 (13)</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Montrose Crossing</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1960-1979, 1996,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7"/>
              </w:rPr>
              <w:t>2011/2013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363,000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$24.44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A.C. Moore Giant Food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20" w:type="dxa"/>
            <w:vAlign w:val="bottom"/>
            <w:gridSpan w:val="6"/>
            <w:shd w:val="clear" w:color="auto" w:fill="CCEEFF"/>
          </w:tcPr>
          <w:p>
            <w:pPr>
              <w:ind w:left="120"/>
              <w:spacing w:after="0" w:line="143" w:lineRule="exact"/>
              <w:rPr>
                <w:sz w:val="20"/>
                <w:szCs w:val="20"/>
                <w:color w:val="auto"/>
              </w:rPr>
            </w:pPr>
            <w:r>
              <w:rPr>
                <w:rFonts w:ascii="Arial" w:cs="Arial" w:eastAsia="Arial" w:hAnsi="Arial"/>
                <w:sz w:val="14"/>
                <w:szCs w:val="14"/>
                <w:color w:val="auto"/>
              </w:rPr>
              <w:t>Rockville, MD 20852 (5)(11)</w:t>
            </w: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Sports Authority</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Barnes &amp; Noble</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0"/>
                <w:shd w:val="clear" w:color="auto" w:fill="CCEEFF"/>
              </w:rPr>
              <w:t>Marshalls</w:t>
            </w: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Square Feet(1)</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/Apartment</w:t>
            </w:r>
          </w:p>
        </w:tc>
        <w:tc>
          <w:tcPr>
            <w:tcW w:w="13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Per Square</w:t>
            </w:r>
          </w:p>
        </w:tc>
        <w:tc>
          <w:tcPr>
            <w:tcW w:w="11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3060" w:type="dxa"/>
            <w:vAlign w:val="bottom"/>
            <w:gridSpan w:val="5"/>
          </w:tcPr>
          <w:p>
            <w:pPr>
              <w:spacing w:after="0" w:line="150" w:lineRule="exact"/>
              <w:rPr>
                <w:sz w:val="20"/>
                <w:szCs w:val="20"/>
                <w:color w:val="auto"/>
              </w:rPr>
            </w:pPr>
            <w:r>
              <w:rPr>
                <w:rFonts w:ascii="Arial" w:cs="Arial" w:eastAsia="Arial" w:hAnsi="Arial"/>
                <w:sz w:val="14"/>
                <w:szCs w:val="14"/>
                <w:color w:val="auto"/>
              </w:rPr>
              <w:t>Perring Plaza</w:t>
            </w:r>
          </w:p>
        </w:tc>
        <w:tc>
          <w:tcPr>
            <w:tcW w:w="1020" w:type="dxa"/>
            <w:vAlign w:val="bottom"/>
          </w:tcPr>
          <w:p>
            <w:pPr>
              <w:jc w:val="center"/>
              <w:spacing w:after="0" w:line="150"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1040" w:type="dxa"/>
            <w:vAlign w:val="bottom"/>
          </w:tcPr>
          <w:p>
            <w:pPr>
              <w:jc w:val="center"/>
              <w:spacing w:after="0" w:line="150"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3"/>
                <w:szCs w:val="13"/>
                <w:color w:val="auto"/>
              </w:rPr>
            </w:pPr>
          </w:p>
        </w:tc>
        <w:tc>
          <w:tcPr>
            <w:tcW w:w="1280" w:type="dxa"/>
            <w:vAlign w:val="bottom"/>
          </w:tcPr>
          <w:p>
            <w:pPr>
              <w:jc w:val="center"/>
              <w:spacing w:after="0" w:line="150" w:lineRule="exact"/>
              <w:rPr>
                <w:sz w:val="20"/>
                <w:szCs w:val="20"/>
                <w:color w:val="auto"/>
              </w:rPr>
            </w:pPr>
            <w:r>
              <w:rPr>
                <w:rFonts w:ascii="Arial" w:cs="Arial" w:eastAsia="Arial" w:hAnsi="Arial"/>
                <w:sz w:val="14"/>
                <w:szCs w:val="14"/>
                <w:color w:val="auto"/>
                <w:w w:val="86"/>
              </w:rPr>
              <w:t>395,000</w:t>
            </w:r>
          </w:p>
        </w:tc>
        <w:tc>
          <w:tcPr>
            <w:tcW w:w="100" w:type="dxa"/>
            <w:vAlign w:val="bottom"/>
          </w:tcPr>
          <w:p>
            <w:pPr>
              <w:spacing w:after="0"/>
              <w:rPr>
                <w:sz w:val="13"/>
                <w:szCs w:val="13"/>
                <w:color w:val="auto"/>
              </w:rPr>
            </w:pPr>
          </w:p>
        </w:tc>
        <w:tc>
          <w:tcPr>
            <w:tcW w:w="1280" w:type="dxa"/>
            <w:vAlign w:val="bottom"/>
          </w:tcPr>
          <w:p>
            <w:pPr>
              <w:jc w:val="center"/>
              <w:spacing w:after="0" w:line="150" w:lineRule="exact"/>
              <w:rPr>
                <w:sz w:val="20"/>
                <w:szCs w:val="20"/>
                <w:color w:val="auto"/>
              </w:rPr>
            </w:pPr>
            <w:r>
              <w:rPr>
                <w:rFonts w:ascii="Arial" w:cs="Arial" w:eastAsia="Arial" w:hAnsi="Arial"/>
                <w:sz w:val="14"/>
                <w:szCs w:val="14"/>
                <w:color w:val="auto"/>
                <w:w w:val="88"/>
              </w:rPr>
              <w:t>$13.86</w:t>
            </w:r>
          </w:p>
        </w:tc>
        <w:tc>
          <w:tcPr>
            <w:tcW w:w="100" w:type="dxa"/>
            <w:vAlign w:val="bottom"/>
          </w:tcPr>
          <w:p>
            <w:pPr>
              <w:spacing w:after="0"/>
              <w:rPr>
                <w:sz w:val="13"/>
                <w:szCs w:val="13"/>
                <w:color w:val="auto"/>
              </w:rPr>
            </w:pPr>
          </w:p>
        </w:tc>
        <w:tc>
          <w:tcPr>
            <w:tcW w:w="1020" w:type="dxa"/>
            <w:vAlign w:val="bottom"/>
          </w:tcPr>
          <w:p>
            <w:pPr>
              <w:jc w:val="center"/>
              <w:spacing w:after="0" w:line="150"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160" w:type="dxa"/>
            <w:vAlign w:val="bottom"/>
            <w:gridSpan w:val="5"/>
          </w:tcPr>
          <w:p>
            <w:pPr>
              <w:ind w:left="20"/>
              <w:spacing w:after="0" w:line="150" w:lineRule="exact"/>
              <w:rPr>
                <w:sz w:val="20"/>
                <w:szCs w:val="20"/>
                <w:color w:val="auto"/>
              </w:rPr>
            </w:pPr>
            <w:r>
              <w:rPr>
                <w:rFonts w:ascii="Arial" w:cs="Arial" w:eastAsia="Arial" w:hAnsi="Arial"/>
                <w:sz w:val="14"/>
                <w:szCs w:val="14"/>
                <w:color w:val="auto"/>
              </w:rPr>
              <w:t>Micro Center Burlington Coat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Baltimore, MD 21134</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Plaza Del Mercado</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96,000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$27.67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64%</w:t>
            </w:r>
          </w:p>
        </w:tc>
        <w:tc>
          <w:tcPr>
            <w:tcW w:w="100" w:type="dxa"/>
            <w:vAlign w:val="bottom"/>
            <w:shd w:val="clear" w:color="auto" w:fill="CCEEFF"/>
          </w:tcPr>
          <w:p>
            <w:pPr>
              <w:spacing w:after="0"/>
              <w:rPr>
                <w:sz w:val="13"/>
                <w:szCs w:val="13"/>
                <w:color w:val="auto"/>
              </w:rPr>
            </w:pPr>
          </w:p>
        </w:tc>
        <w:tc>
          <w:tcPr>
            <w:tcW w:w="2160" w:type="dxa"/>
            <w:vAlign w:val="bottom"/>
            <w:gridSpan w:val="5"/>
            <w:shd w:val="clear" w:color="auto" w:fill="CCEEFF"/>
          </w:tcPr>
          <w:p>
            <w:pPr>
              <w:ind w:left="20"/>
              <w:spacing w:after="0" w:line="15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Silver Spring, MD 20906(9)(11)</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Quince Orchard</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261,000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$20.20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76%</w:t>
            </w:r>
          </w:p>
        </w:tc>
        <w:tc>
          <w:tcPr>
            <w:tcW w:w="100" w:type="dxa"/>
            <w:vAlign w:val="bottom"/>
          </w:tcPr>
          <w:p>
            <w:pPr>
              <w:spacing w:after="0"/>
              <w:rPr>
                <w:sz w:val="13"/>
                <w:szCs w:val="13"/>
                <w:color w:val="auto"/>
              </w:rPr>
            </w:pPr>
          </w:p>
        </w:tc>
        <w:tc>
          <w:tcPr>
            <w:tcW w:w="2160" w:type="dxa"/>
            <w:vAlign w:val="bottom"/>
            <w:gridSpan w:val="5"/>
          </w:tcPr>
          <w:p>
            <w:pPr>
              <w:ind w:left="20"/>
              <w:spacing w:after="0" w:line="151" w:lineRule="exact"/>
              <w:rPr>
                <w:sz w:val="20"/>
                <w:szCs w:val="20"/>
                <w:color w:val="auto"/>
              </w:rPr>
            </w:pPr>
            <w:r>
              <w:rPr>
                <w:rFonts w:ascii="Arial" w:cs="Arial" w:eastAsia="Arial" w:hAnsi="Arial"/>
                <w:sz w:val="14"/>
                <w:szCs w:val="14"/>
                <w:color w:val="auto"/>
              </w:rPr>
              <w:t>L.A. Fitness Staples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Gaithersburg, MD 20877(4)</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Rockville Town Square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187,000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$30.60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CVS</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Rockville, MD 20852 (8)</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Gold’s Gym</w:t>
            </w: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Rollingwood Apartments</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1971</w:t>
            </w: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1" w:lineRule="exact"/>
              <w:rPr>
                <w:sz w:val="20"/>
                <w:szCs w:val="20"/>
                <w:color w:val="auto"/>
              </w:rPr>
            </w:pPr>
            <w:r>
              <w:rPr>
                <w:rFonts w:ascii="Arial" w:cs="Arial" w:eastAsia="Arial" w:hAnsi="Arial"/>
                <w:sz w:val="14"/>
                <w:szCs w:val="14"/>
                <w:color w:val="auto"/>
                <w:w w:val="91"/>
              </w:rPr>
              <w:t>282 units</w:t>
            </w:r>
          </w:p>
        </w:tc>
        <w:tc>
          <w:tcPr>
            <w:tcW w:w="1380" w:type="dxa"/>
            <w:vAlign w:val="bottom"/>
            <w:gridSpan w:val="2"/>
          </w:tcPr>
          <w:p>
            <w:pPr>
              <w:jc w:val="center"/>
              <w:ind w:right="100"/>
              <w:spacing w:after="0" w:line="151"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Silver Spring, MD 20910</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9 three-story buildings(11)</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THE AVENUE at White Marsh</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297,000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$23.27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90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AMC Loews</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Baltimore, MD 21236(7)(11)</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w w:val="93"/>
                <w:shd w:val="clear" w:color="auto" w:fill="CCEEFF"/>
              </w:rPr>
              <w:t>Old Navy</w:t>
            </w: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w w:val="93"/>
                <w:shd w:val="clear" w:color="auto" w:fill="CCEEFF"/>
              </w:rPr>
              <w:t>Barnes &amp;</w:t>
            </w:r>
          </w:p>
        </w:tc>
        <w:tc>
          <w:tcPr>
            <w:tcW w:w="1580" w:type="dxa"/>
            <w:vAlign w:val="bottom"/>
            <w:gridSpan w:val="2"/>
            <w:shd w:val="clear" w:color="auto" w:fill="CCEEFF"/>
          </w:tcPr>
          <w:p>
            <w:pPr>
              <w:jc w:val="center"/>
              <w:ind w:right="1171"/>
              <w:spacing w:after="0" w:line="143" w:lineRule="exact"/>
              <w:rPr>
                <w:sz w:val="20"/>
                <w:szCs w:val="20"/>
                <w:color w:val="auto"/>
              </w:rPr>
            </w:pPr>
            <w:r>
              <w:rPr>
                <w:rFonts w:ascii="Arial" w:cs="Arial" w:eastAsia="Arial" w:hAnsi="Arial"/>
                <w:sz w:val="14"/>
                <w:szCs w:val="14"/>
                <w:color w:val="auto"/>
                <w:w w:val="92"/>
                <w:shd w:val="clear" w:color="auto" w:fill="CCEEFF"/>
              </w:rPr>
              <w:t>Noble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A.C. Moore</w:t>
            </w: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The Shoppes at Nottingham Square</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2005-2006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93"/>
              </w:rPr>
              <w:t>32,000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$45.30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Baltimore, MD 21236</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White Marsh Other</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70,000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$30.80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Baltimore, MD 21236</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White Marsh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93"/>
              </w:rPr>
              <w:t>80,000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$20.69</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gridSpan w:val="5"/>
          </w:tcPr>
          <w:p>
            <w:pPr>
              <w:ind w:left="2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Baltimore, MD 21236</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Wildwood</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1969</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84,000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$89.46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CVS</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Bethesda, MD 20814(11)</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Balducci’s</w:t>
            </w: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6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Massachusetts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Assembly Square Marketplace/ Assembly Row</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2005-2011</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336,000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$17.55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5"/>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Somerville, MA 02145 (13)</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5"/>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Christmas Tree Shops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0"/>
                <w:shd w:val="clear" w:color="auto" w:fill="CCEEFF"/>
              </w:rPr>
              <w:t>Kmart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72"/>
                <w:shd w:val="clear" w:color="auto" w:fill="CCEEFF"/>
              </w:rPr>
              <w:t>Staples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TJ Maxx</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4"/>
            <w:shd w:val="clear" w:color="auto" w:fill="CCEEFF"/>
          </w:tcPr>
          <w:p>
            <w:pPr>
              <w:ind w:left="20"/>
              <w:spacing w:after="0" w:line="125" w:lineRule="exact"/>
              <w:rPr>
                <w:sz w:val="20"/>
                <w:szCs w:val="20"/>
                <w:color w:val="auto"/>
              </w:rPr>
            </w:pPr>
            <w:r>
              <w:rPr>
                <w:rFonts w:ascii="Arial" w:cs="Arial" w:eastAsia="Arial" w:hAnsi="Arial"/>
                <w:sz w:val="14"/>
                <w:szCs w:val="14"/>
                <w:color w:val="auto"/>
                <w:shd w:val="clear" w:color="auto" w:fill="CCEEFF"/>
              </w:rPr>
              <w:t>A.C. Moore</w:t>
            </w: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Sports Authority</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Atlantic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123,000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$16.86</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70%</w:t>
            </w:r>
          </w:p>
        </w:tc>
        <w:tc>
          <w:tcPr>
            <w:tcW w:w="100" w:type="dxa"/>
            <w:vAlign w:val="bottom"/>
          </w:tcPr>
          <w:p>
            <w:pPr>
              <w:spacing w:after="0"/>
              <w:rPr>
                <w:sz w:val="13"/>
                <w:szCs w:val="13"/>
                <w:color w:val="auto"/>
              </w:rPr>
            </w:pPr>
          </w:p>
        </w:tc>
        <w:tc>
          <w:tcPr>
            <w:tcW w:w="2160" w:type="dxa"/>
            <w:vAlign w:val="bottom"/>
            <w:gridSpan w:val="5"/>
          </w:tcPr>
          <w:p>
            <w:pPr>
              <w:ind w:left="20"/>
              <w:spacing w:after="0" w:line="151"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North Reading, MA 01864(9)(11)</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Campus Plaza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116,000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$13.95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90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w w:val="88"/>
                <w:shd w:val="clear" w:color="auto" w:fill="CCEEFF"/>
              </w:rPr>
              <w:t>Roche Brothers</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Bridgewater, MA 02324(9)</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w w:val="89"/>
                <w:shd w:val="clear" w:color="auto" w:fill="CCEEFF"/>
              </w:rPr>
              <w:t>Burlington Coat</w:t>
            </w:r>
          </w:p>
        </w:tc>
        <w:tc>
          <w:tcPr>
            <w:tcW w:w="1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shd w:val="clear" w:color="auto" w:fill="CCEEFF"/>
              </w:rPr>
              <w:t>Factory</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Chelsea Commons</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8"/>
              </w:rPr>
              <w:t>1962-1969, 2008</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2006-2008</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222,000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$11.28</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5"/>
          </w:tcPr>
          <w:p>
            <w:pPr>
              <w:ind w:left="20"/>
              <w:spacing w:after="0" w:line="151" w:lineRule="exact"/>
              <w:rPr>
                <w:sz w:val="20"/>
                <w:szCs w:val="20"/>
                <w:color w:val="auto"/>
              </w:rPr>
            </w:pPr>
            <w:r>
              <w:rPr>
                <w:rFonts w:ascii="Arial" w:cs="Arial" w:eastAsia="Arial" w:hAnsi="Arial"/>
                <w:sz w:val="14"/>
                <w:szCs w:val="14"/>
                <w:color w:val="auto"/>
              </w:rPr>
              <w:t>Sav-A-Lot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Chelsea, MA 02150(11)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Chelsea Commons Residential</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2008</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w w:val="89"/>
              </w:rPr>
              <w:t>56 units</w:t>
            </w:r>
          </w:p>
        </w:tc>
        <w:tc>
          <w:tcPr>
            <w:tcW w:w="138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Chelsea, MA 02150</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Dedham</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241,000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$14.93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gridSpan w:val="5"/>
          </w:tcPr>
          <w:p>
            <w:pPr>
              <w:ind w:left="20"/>
              <w:spacing w:after="0" w:line="151"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Dedham, MA 02026</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Linden Square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1960, 2008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224,000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$44.85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2160" w:type="dxa"/>
            <w:vAlign w:val="bottom"/>
            <w:gridSpan w:val="5"/>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Roche Brothers Supermarket</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Wellesley, MA 02481</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CVS</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North Dartmouth</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93"/>
              </w:rPr>
              <w:t>48,000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$15.71</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5"/>
          </w:tcPr>
          <w:p>
            <w:pPr>
              <w:ind w:left="20"/>
              <w:spacing w:after="0" w:line="151"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North Dartmouth, MA 02747</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Pleasant Shops</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130,000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$13.97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3"/>
                <w:szCs w:val="13"/>
                <w:color w:val="auto"/>
              </w:rPr>
            </w:pPr>
          </w:p>
        </w:tc>
        <w:tc>
          <w:tcPr>
            <w:tcW w:w="90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Whole Foods</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Weymouth, MA 02190(9)</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w w:val="90"/>
                <w:shd w:val="clear" w:color="auto" w:fill="CCEEFF"/>
              </w:rPr>
              <w:t>Marshalls</w:t>
            </w: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Queen Anne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149,000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$15.92</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5"/>
          </w:tcPr>
          <w:p>
            <w:pPr>
              <w:ind w:left="20"/>
              <w:spacing w:after="0" w:line="151"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Norwell, MA 02061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Hannaford</w:t>
            </w: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7" w:lineRule="exact"/>
              <w:rPr>
                <w:sz w:val="20"/>
                <w:szCs w:val="20"/>
                <w:color w:val="auto"/>
              </w:rPr>
            </w:pPr>
            <w:r>
              <w:rPr>
                <w:rFonts w:ascii="Arial" w:cs="Arial" w:eastAsia="Arial" w:hAnsi="Arial"/>
                <w:sz w:val="14"/>
                <w:szCs w:val="14"/>
                <w:color w:val="auto"/>
              </w:rPr>
              <w:t>Saugus Plaza</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6"/>
              </w:rPr>
              <w:t>170,000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$11.63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0"/>
                <w:shd w:val="clear" w:color="auto" w:fill="CCEEFF"/>
              </w:rPr>
              <w:t>Kmart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Saugus, MA 01906</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0"/>
                <w:shd w:val="clear" w:color="auto" w:fill="CCEEFF"/>
              </w:rPr>
              <w:t>Super</w:t>
            </w:r>
          </w:p>
        </w:tc>
        <w:tc>
          <w:tcPr>
            <w:tcW w:w="1780" w:type="dxa"/>
            <w:vAlign w:val="bottom"/>
            <w:tcBorders>
              <w:bottom w:val="single" w:sz="8" w:color="CCEEFF"/>
            </w:tcBorders>
            <w:gridSpan w:val="4"/>
            <w:shd w:val="clear" w:color="auto" w:fill="CCEEFF"/>
          </w:tcPr>
          <w:p>
            <w:pPr>
              <w:jc w:val="center"/>
              <w:ind w:right="991"/>
              <w:spacing w:after="0"/>
              <w:rPr>
                <w:sz w:val="20"/>
                <w:szCs w:val="20"/>
                <w:color w:val="auto"/>
              </w:rPr>
            </w:pPr>
            <w:r>
              <w:rPr>
                <w:rFonts w:ascii="Arial" w:cs="Arial" w:eastAsia="Arial" w:hAnsi="Arial"/>
                <w:sz w:val="14"/>
                <w:szCs w:val="14"/>
                <w:color w:val="auto"/>
                <w:w w:val="91"/>
                <w:shd w:val="clear" w:color="auto" w:fill="CCEEFF"/>
              </w:rPr>
              <w:t>Stop &amp; Shop</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6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Michigan</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Gratiot Plaza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1973</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217,000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$11.82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gridSpan w:val="5"/>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Roseville, MI 48066</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w w:val="96"/>
                <w:shd w:val="clear" w:color="auto" w:fill="CCEEFF"/>
              </w:rPr>
              <w:t>Best Buy</w:t>
            </w:r>
          </w:p>
        </w:tc>
        <w:tc>
          <w:tcPr>
            <w:tcW w:w="158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0"/>
                <w:shd w:val="clear" w:color="auto" w:fill="CCEEFF"/>
              </w:rPr>
              <w:t>Kroger</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DSW</w:t>
            </w:r>
          </w:p>
        </w:tc>
        <w:tc>
          <w:tcPr>
            <w:tcW w:w="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6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North Carolina</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Eastgate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1986</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153,000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$23.23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3"/>
                <w:szCs w:val="13"/>
                <w:color w:val="auto"/>
              </w:rPr>
            </w:pPr>
          </w:p>
        </w:tc>
        <w:tc>
          <w:tcPr>
            <w:tcW w:w="90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Stein Mart</w:t>
            </w: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Chapel Hill, NC 27514</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Trader Joe’s</w:t>
            </w: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Square Feet(1)</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/Apartment</w:t>
            </w:r>
          </w:p>
        </w:tc>
        <w:tc>
          <w:tcPr>
            <w:tcW w:w="13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Per Square</w:t>
            </w:r>
          </w:p>
        </w:tc>
        <w:tc>
          <w:tcPr>
            <w:tcW w:w="11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060" w:type="dxa"/>
            <w:vAlign w:val="bottom"/>
            <w:gridSpan w:val="5"/>
          </w:tcPr>
          <w:p>
            <w:pPr>
              <w:spacing w:after="0"/>
              <w:rPr>
                <w:sz w:val="20"/>
                <w:szCs w:val="20"/>
                <w:color w:val="auto"/>
              </w:rPr>
            </w:pPr>
            <w:r>
              <w:rPr>
                <w:rFonts w:ascii="Arial" w:cs="Arial" w:eastAsia="Arial" w:hAnsi="Arial"/>
                <w:sz w:val="14"/>
                <w:szCs w:val="14"/>
                <w:b w:val="1"/>
                <w:bCs w:val="1"/>
                <w:color w:val="auto"/>
              </w:rPr>
              <w:t>Property, City, State, Zip Code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Acquired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Foot(2)</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Leased(3)</w:t>
            </w:r>
          </w:p>
        </w:tc>
        <w:tc>
          <w:tcPr>
            <w:tcW w:w="500" w:type="dxa"/>
            <w:vAlign w:val="bottom"/>
          </w:tcPr>
          <w:p>
            <w:pPr>
              <w:spacing w:after="0"/>
              <w:rPr>
                <w:sz w:val="17"/>
                <w:szCs w:val="17"/>
                <w:color w:val="auto"/>
              </w:rPr>
            </w:pPr>
          </w:p>
        </w:tc>
        <w:tc>
          <w:tcPr>
            <w:tcW w:w="1660" w:type="dxa"/>
            <w:vAlign w:val="bottom"/>
          </w:tcPr>
          <w:p>
            <w:pPr>
              <w:ind w:left="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377"/>
        </w:trPr>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New Jersey</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6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Brick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1989</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416,000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$16.60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A&amp;P Supermarket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Brick Township, NJ 08723(4)(11)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Ellisburg Circle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1992</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268,000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$14.64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90%</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Buy Buy Baby</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Cherry Hill, NJ 08034</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Stein Mart</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Mercer Mall</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2003</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501,000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$21.63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Raymour &amp; Flanigan</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Lawrenceville, NJ 08648(4)(8)</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Troy</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207,000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$20.08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Pathmark</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Parsippany-Troy, NJ 07054</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L.A. Fitness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6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New York</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Fresh Meadows</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1949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406,000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$29.06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w w:val="96"/>
                <w:shd w:val="clear" w:color="auto" w:fill="CCEEFF"/>
              </w:rPr>
              <w:t>Island of Gold Modell's AMC Loews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Queens, NY 11365</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Kohl’s Michaels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Greenlawn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8"/>
              </w:rPr>
              <w:t>1975, 2004</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106,000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$17.18</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Greenlawn, NY 11743(9)(11)</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Hauppauge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134,000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$27.60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Shop Rite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Hauppauge, NY 11788(11)</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A.C. Moore</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Huntington</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1962</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1988/2007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279,000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$25.33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Nordstrom Rack Bed, Bath &amp;</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Huntington, NY 11746</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Huntington Square</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1980, 2007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74,000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$26.28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East Northport, NY 11731(4)</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Melville Mall</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246,000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$19.43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Huntington, NY 11747(10)(11)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Pennsylvania</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6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Andorra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1988</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265,000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$15.31</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Philadelphia, PA 19128</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Bala Cynwyd</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295,000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$22.78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Acme Markets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Bala Cynwyd, PA 19004</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Lord &amp; Taylor</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Michaels</w:t>
            </w:r>
          </w:p>
        </w:tc>
        <w:tc>
          <w:tcPr>
            <w:tcW w:w="0" w:type="dxa"/>
            <w:vAlign w:val="bottom"/>
          </w:tcPr>
          <w:p>
            <w:pPr>
              <w:spacing w:after="0"/>
              <w:rPr>
                <w:sz w:val="1"/>
                <w:szCs w:val="1"/>
                <w:color w:val="auto"/>
              </w:rPr>
            </w:pPr>
          </w:p>
        </w:tc>
      </w:tr>
      <w:tr>
        <w:trPr>
          <w:trHeight w:val="163"/>
        </w:trPr>
        <w:tc>
          <w:tcPr>
            <w:tcW w:w="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L.A. Fitness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Flourtown</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160,000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$20.81</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Flourtown, PA 19031</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Lancaster</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127,000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$16.72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Giant Food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Lancaster, PA 17601(8)</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Michaels</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Langhorne Square</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219,000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$15.47</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Levittown, PA 19056</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Redner’s Warehouse Market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1" w:lineRule="exact"/>
              <w:rPr>
                <w:sz w:val="20"/>
                <w:szCs w:val="20"/>
                <w:color w:val="auto"/>
              </w:rPr>
            </w:pPr>
            <w:r>
              <w:rPr>
                <w:rFonts w:ascii="Arial" w:cs="Arial" w:eastAsia="Arial" w:hAnsi="Arial"/>
                <w:sz w:val="14"/>
                <w:szCs w:val="14"/>
                <w:color w:val="auto"/>
              </w:rPr>
              <w:t>Lawrence Park</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354,000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$18.56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shd w:val="clear" w:color="auto" w:fill="CCEEFF"/>
              </w:rPr>
              <w:t>Acme Markets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Broomall, PA 19008(11)</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TJ Maxx</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3"/>
                <w:shd w:val="clear" w:color="auto" w:fill="CCEEFF"/>
              </w:rPr>
              <w:t>HomeGoods Kaplan Career Institute</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Northeast</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288,000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$12.50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Philadelphia, PA 19114</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Home Gallery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7" w:lineRule="exact"/>
              <w:rPr>
                <w:sz w:val="20"/>
                <w:szCs w:val="20"/>
                <w:color w:val="auto"/>
              </w:rPr>
            </w:pPr>
            <w:r>
              <w:rPr>
                <w:rFonts w:ascii="Arial" w:cs="Arial" w:eastAsia="Arial" w:hAnsi="Arial"/>
                <w:sz w:val="14"/>
                <w:szCs w:val="14"/>
                <w:color w:val="auto"/>
              </w:rPr>
              <w:t>Town Center of New Britain</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6"/>
              </w:rPr>
              <w:t>124,000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$9.55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87%</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shd w:val="clear" w:color="auto" w:fill="CCEEFF"/>
              </w:rPr>
              <w:t>Giant Food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New Britain, PA 18901</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shd w:val="clear" w:color="auto" w:fill="CCEEFF"/>
              </w:rPr>
              <w:t>Rite Aid</w:t>
            </w: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5"/>
          </w:tcPr>
          <w:p>
            <w:pPr>
              <w:spacing w:after="0" w:line="151" w:lineRule="exact"/>
              <w:rPr>
                <w:sz w:val="20"/>
                <w:szCs w:val="20"/>
                <w:color w:val="auto"/>
              </w:rPr>
            </w:pPr>
            <w:r>
              <w:rPr>
                <w:rFonts w:ascii="Arial" w:cs="Arial" w:eastAsia="Arial" w:hAnsi="Arial"/>
                <w:sz w:val="14"/>
                <w:szCs w:val="14"/>
                <w:color w:val="auto"/>
              </w:rPr>
              <w:t>Willow Grove</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1984</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212,000</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8"/>
              </w:rPr>
              <w:t>$19.03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Home Goods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Willow Grove, PA 19090</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Marshalls Barnes &amp; Noble</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Square Feet(1)</w:t>
            </w: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/Apartment</w:t>
            </w:r>
          </w:p>
        </w:tc>
        <w:tc>
          <w:tcPr>
            <w:tcW w:w="100" w:type="dxa"/>
            <w:vAlign w:val="bottom"/>
          </w:tcPr>
          <w:p>
            <w:pPr>
              <w:spacing w:after="0"/>
              <w:rPr>
                <w:sz w:val="12"/>
                <w:szCs w:val="12"/>
                <w:color w:val="auto"/>
              </w:rPr>
            </w:pPr>
          </w:p>
        </w:tc>
        <w:tc>
          <w:tcPr>
            <w:tcW w:w="13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Per Square</w:t>
            </w:r>
          </w:p>
        </w:tc>
        <w:tc>
          <w:tcPr>
            <w:tcW w:w="11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auto"/>
                <w:w w:val="96"/>
              </w:rPr>
              <w:t>Principal Tenant(s)</w:t>
            </w:r>
          </w:p>
        </w:tc>
        <w:tc>
          <w:tcPr>
            <w:tcW w:w="0" w:type="dxa"/>
            <w:vAlign w:val="bottom"/>
          </w:tcPr>
          <w:p>
            <w:pPr>
              <w:spacing w:after="0"/>
              <w:rPr>
                <w:sz w:val="1"/>
                <w:szCs w:val="1"/>
                <w:color w:val="auto"/>
              </w:rPr>
            </w:pPr>
          </w:p>
        </w:tc>
      </w:tr>
      <w:tr>
        <w:trPr>
          <w:trHeight w:val="150"/>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0" w:lineRule="exact"/>
              <w:rPr>
                <w:sz w:val="20"/>
                <w:szCs w:val="20"/>
                <w:color w:val="auto"/>
              </w:rPr>
            </w:pPr>
            <w:r>
              <w:rPr>
                <w:rFonts w:ascii="Arial" w:cs="Arial" w:eastAsia="Arial" w:hAnsi="Arial"/>
                <w:sz w:val="14"/>
                <w:szCs w:val="14"/>
                <w:color w:val="auto"/>
              </w:rPr>
              <w:t>Wynnewood</w:t>
            </w:r>
          </w:p>
        </w:tc>
        <w:tc>
          <w:tcPr>
            <w:tcW w:w="102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89"/>
              </w:rPr>
              <w:t>1948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89"/>
              </w:rPr>
              <w:t>1996</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86"/>
              </w:rPr>
              <w:t>251,000</w:t>
            </w:r>
          </w:p>
        </w:tc>
        <w:tc>
          <w:tcPr>
            <w:tcW w:w="1380" w:type="dxa"/>
            <w:vAlign w:val="bottom"/>
            <w:gridSpan w:val="2"/>
            <w:shd w:val="clear" w:color="auto" w:fill="CCEEFF"/>
          </w:tcPr>
          <w:p>
            <w:pPr>
              <w:jc w:val="center"/>
              <w:ind w:left="51"/>
              <w:spacing w:after="0" w:line="150" w:lineRule="exact"/>
              <w:rPr>
                <w:sz w:val="20"/>
                <w:szCs w:val="20"/>
                <w:color w:val="auto"/>
              </w:rPr>
            </w:pPr>
            <w:r>
              <w:rPr>
                <w:rFonts w:ascii="Arial" w:cs="Arial" w:eastAsia="Arial" w:hAnsi="Arial"/>
                <w:sz w:val="14"/>
                <w:szCs w:val="14"/>
                <w:color w:val="auto"/>
                <w:w w:val="88"/>
              </w:rPr>
              <w:t>$26.42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2160" w:type="dxa"/>
            <w:vAlign w:val="bottom"/>
            <w:gridSpan w:val="6"/>
            <w:shd w:val="clear" w:color="auto" w:fill="CCEEFF"/>
          </w:tcPr>
          <w:p>
            <w:pPr>
              <w:ind w:left="20"/>
              <w:spacing w:after="0" w:line="150" w:lineRule="exact"/>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Wynnewood, PA 19096(11)</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w w:val="89"/>
                <w:shd w:val="clear" w:color="auto" w:fill="CCEEFF"/>
              </w:rPr>
              <w:t>Giant Food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3"/>
                <w:shd w:val="clear" w:color="auto" w:fill="CCEEFF"/>
              </w:rPr>
              <w:t>Old Navy</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6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Texas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Houston Street</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1890-1935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175,000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$24.46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90%</w:t>
            </w:r>
          </w:p>
        </w:tc>
        <w:tc>
          <w:tcPr>
            <w:tcW w:w="100" w:type="dxa"/>
            <w:vAlign w:val="bottom"/>
            <w:shd w:val="clear" w:color="auto" w:fill="CCEEFF"/>
          </w:tcPr>
          <w:p>
            <w:pPr>
              <w:spacing w:after="0"/>
              <w:rPr>
                <w:sz w:val="13"/>
                <w:szCs w:val="13"/>
                <w:color w:val="auto"/>
              </w:rPr>
            </w:pPr>
          </w:p>
        </w:tc>
        <w:tc>
          <w:tcPr>
            <w:tcW w:w="840" w:type="dxa"/>
            <w:vAlign w:val="bottom"/>
            <w:gridSpan w:val="5"/>
            <w:shd w:val="clear" w:color="auto" w:fill="CCEEFF"/>
          </w:tcPr>
          <w:p>
            <w:pPr>
              <w:ind w:left="20"/>
              <w:spacing w:after="0" w:line="151" w:lineRule="exact"/>
              <w:rPr>
                <w:sz w:val="20"/>
                <w:szCs w:val="20"/>
                <w:color w:val="auto"/>
              </w:rPr>
            </w:pPr>
            <w:r>
              <w:rPr>
                <w:rFonts w:ascii="Arial" w:cs="Arial" w:eastAsia="Arial" w:hAnsi="Arial"/>
                <w:sz w:val="14"/>
                <w:szCs w:val="14"/>
                <w:color w:val="auto"/>
                <w:w w:val="88"/>
                <w:shd w:val="clear" w:color="auto" w:fill="CCEEFF"/>
              </w:rPr>
              <w:t>Hotel Valencia</w:t>
            </w: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San Antonio, TX 78205</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w w:val="92"/>
                <w:shd w:val="clear" w:color="auto" w:fill="CCEEFF"/>
              </w:rPr>
              <w:t>Walgreens</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6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Virginia</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30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29</w:t>
            </w:r>
            <w:r>
              <w:rPr>
                <w:rFonts w:ascii="Arial" w:cs="Arial" w:eastAsia="Arial" w:hAnsi="Arial"/>
                <w:sz w:val="8"/>
                <w:szCs w:val="8"/>
                <w:color w:val="auto"/>
              </w:rPr>
              <w:t>th</w:t>
            </w:r>
            <w:r>
              <w:rPr>
                <w:rFonts w:ascii="Arial" w:cs="Arial" w:eastAsia="Arial" w:hAnsi="Arial"/>
                <w:sz w:val="14"/>
                <w:szCs w:val="14"/>
                <w:color w:val="auto"/>
              </w:rPr>
              <w:t xml:space="preserve"> Place   Charlottesville, VA 22091(11)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1975-2001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169,000</w:t>
            </w:r>
          </w:p>
        </w:tc>
        <w:tc>
          <w:tcPr>
            <w:tcW w:w="1380" w:type="dxa"/>
            <w:vAlign w:val="bottom"/>
            <w:gridSpan w:val="2"/>
            <w:shd w:val="clear" w:color="auto" w:fill="CCEEFF"/>
          </w:tcPr>
          <w:p>
            <w:pPr>
              <w:jc w:val="center"/>
              <w:ind w:left="51"/>
              <w:spacing w:after="0"/>
              <w:rPr>
                <w:sz w:val="20"/>
                <w:szCs w:val="20"/>
                <w:color w:val="auto"/>
              </w:rPr>
            </w:pPr>
            <w:r>
              <w:rPr>
                <w:rFonts w:ascii="Arial" w:cs="Arial" w:eastAsia="Arial" w:hAnsi="Arial"/>
                <w:sz w:val="14"/>
                <w:szCs w:val="14"/>
                <w:color w:val="auto"/>
                <w:w w:val="88"/>
              </w:rPr>
              <w:t>$16.89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5"/>
                <w:szCs w:val="15"/>
                <w:color w:val="auto"/>
              </w:rPr>
            </w:pPr>
          </w:p>
        </w:tc>
        <w:tc>
          <w:tcPr>
            <w:tcW w:w="21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w w:val="90"/>
              </w:rPr>
              <w:t>HomeGoods DSW Stein Mart Staples</w:t>
            </w:r>
          </w:p>
        </w:tc>
        <w:tc>
          <w:tcPr>
            <w:tcW w:w="0" w:type="dxa"/>
            <w:vAlign w:val="bottom"/>
          </w:tcPr>
          <w:p>
            <w:pPr>
              <w:spacing w:after="0"/>
              <w:rPr>
                <w:sz w:val="1"/>
                <w:szCs w:val="1"/>
                <w:color w:val="auto"/>
              </w:rPr>
            </w:pPr>
          </w:p>
        </w:tc>
      </w:tr>
      <w:tr>
        <w:trPr>
          <w:trHeight w:val="77"/>
        </w:trPr>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Barcroft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3"/>
              </w:rPr>
              <w:t>1963, 1972 &amp;</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101,000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$23.63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78%</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Falls Church, VA 22041(9)(11)</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1990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Barracks Road</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497,000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$23.60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840" w:type="dxa"/>
            <w:vAlign w:val="bottom"/>
            <w:gridSpan w:val="5"/>
            <w:shd w:val="clear" w:color="auto" w:fill="CCEEFF"/>
          </w:tcPr>
          <w:p>
            <w:pPr>
              <w:ind w:left="20"/>
              <w:spacing w:after="0" w:line="151" w:lineRule="exact"/>
              <w:rPr>
                <w:sz w:val="20"/>
                <w:szCs w:val="20"/>
                <w:color w:val="auto"/>
              </w:rPr>
            </w:pPr>
            <w:r>
              <w:rPr>
                <w:rFonts w:ascii="Arial" w:cs="Arial" w:eastAsia="Arial" w:hAnsi="Arial"/>
                <w:sz w:val="14"/>
                <w:szCs w:val="14"/>
                <w:color w:val="auto"/>
                <w:w w:val="92"/>
                <w:shd w:val="clear" w:color="auto" w:fill="CCEEFF"/>
              </w:rPr>
              <w:t>Anthropologie</w:t>
            </w: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Charlottesville, VA 22905(11)</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5"/>
            <w:shd w:val="clear" w:color="auto" w:fill="CCEEFF"/>
          </w:tcPr>
          <w:p>
            <w:pPr>
              <w:ind w:left="20"/>
              <w:spacing w:after="0" w:line="143" w:lineRule="exact"/>
              <w:rPr>
                <w:sz w:val="20"/>
                <w:szCs w:val="20"/>
                <w:color w:val="auto"/>
              </w:rPr>
            </w:pPr>
            <w:r>
              <w:rPr>
                <w:rFonts w:ascii="Arial" w:cs="Arial" w:eastAsia="Arial" w:hAnsi="Arial"/>
                <w:sz w:val="14"/>
                <w:szCs w:val="14"/>
                <w:color w:val="auto"/>
                <w:shd w:val="clear" w:color="auto" w:fill="CCEEFF"/>
              </w:rPr>
              <w:t>Bed, Bath &amp;</w:t>
            </w:r>
          </w:p>
        </w:tc>
        <w:tc>
          <w:tcPr>
            <w:tcW w:w="1320" w:type="dxa"/>
            <w:vAlign w:val="bottom"/>
            <w:shd w:val="clear" w:color="auto" w:fill="CCEEFF"/>
          </w:tcPr>
          <w:p>
            <w:pPr>
              <w:jc w:val="right"/>
              <w:ind w:right="916"/>
              <w:spacing w:after="0" w:line="144" w:lineRule="exact"/>
              <w:rPr>
                <w:sz w:val="20"/>
                <w:szCs w:val="20"/>
                <w:color w:val="auto"/>
              </w:rPr>
            </w:pPr>
            <w:r>
              <w:rPr>
                <w:rFonts w:ascii="Arial" w:cs="Arial" w:eastAsia="Arial" w:hAnsi="Arial"/>
                <w:sz w:val="13"/>
                <w:szCs w:val="13"/>
                <w:color w:val="auto"/>
                <w:w w:val="72"/>
                <w:shd w:val="clear" w:color="auto" w:fill="CCEEFF"/>
              </w:rPr>
              <w:t>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4"/>
                <w:szCs w:val="14"/>
                <w:color w:val="auto"/>
                <w:w w:val="88"/>
                <w:shd w:val="clear" w:color="auto" w:fill="CCEEFF"/>
              </w:rPr>
              <w:t>Harris Teeter</w:t>
            </w:r>
          </w:p>
        </w:tc>
        <w:tc>
          <w:tcPr>
            <w:tcW w:w="1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0"/>
                <w:shd w:val="clear" w:color="auto" w:fill="CCEEFF"/>
              </w:rPr>
              <w:t>Kroger</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1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shd w:val="clear" w:color="auto" w:fill="CCEEFF"/>
              </w:rPr>
              <w:t>Barnes</w:t>
            </w:r>
          </w:p>
        </w:tc>
        <w:tc>
          <w:tcPr>
            <w:tcW w:w="1740" w:type="dxa"/>
            <w:vAlign w:val="bottom"/>
            <w:gridSpan w:val="5"/>
            <w:shd w:val="clear" w:color="auto" w:fill="CCEEFF"/>
          </w:tcPr>
          <w:p>
            <w:pPr>
              <w:jc w:val="right"/>
              <w:ind w:right="1176"/>
              <w:spacing w:after="0"/>
              <w:rPr>
                <w:sz w:val="20"/>
                <w:szCs w:val="20"/>
                <w:color w:val="auto"/>
              </w:rPr>
            </w:pPr>
            <w:r>
              <w:rPr>
                <w:rFonts w:ascii="Arial" w:cs="Arial" w:eastAsia="Arial" w:hAnsi="Arial"/>
                <w:sz w:val="14"/>
                <w:szCs w:val="14"/>
                <w:color w:val="auto"/>
                <w:w w:val="96"/>
                <w:shd w:val="clear" w:color="auto" w:fill="CCEEFF"/>
              </w:rPr>
              <w:t>&amp; Noble</w:t>
            </w:r>
          </w:p>
        </w:tc>
        <w:tc>
          <w:tcPr>
            <w:tcW w:w="0" w:type="dxa"/>
            <w:vAlign w:val="bottom"/>
          </w:tcPr>
          <w:p>
            <w:pPr>
              <w:spacing w:after="0"/>
              <w:rPr>
                <w:sz w:val="1"/>
                <w:szCs w:val="1"/>
                <w:color w:val="auto"/>
              </w:rPr>
            </w:pPr>
          </w:p>
        </w:tc>
      </w:tr>
      <w:tr>
        <w:trPr>
          <w:trHeight w:val="125"/>
        </w:trPr>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4"/>
                <w:szCs w:val="14"/>
                <w:color w:val="auto"/>
                <w:w w:val="93"/>
                <w:shd w:val="clear" w:color="auto" w:fill="CCEEFF"/>
              </w:rPr>
              <w:t>Old Navy</w:t>
            </w:r>
          </w:p>
        </w:tc>
        <w:tc>
          <w:tcPr>
            <w:tcW w:w="180" w:type="dxa"/>
            <w:vAlign w:val="bottom"/>
            <w:gridSpan w:val="2"/>
            <w:shd w:val="clear" w:color="auto" w:fill="CCEEFF"/>
          </w:tcPr>
          <w:p>
            <w:pPr>
              <w:spacing w:after="0"/>
              <w:rPr>
                <w:sz w:val="10"/>
                <w:szCs w:val="10"/>
                <w:color w:val="auto"/>
              </w:rPr>
            </w:pPr>
          </w:p>
        </w:tc>
        <w:tc>
          <w:tcPr>
            <w:tcW w:w="140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7"/>
                <w:shd w:val="clear" w:color="auto" w:fill="CCEEFF"/>
              </w:rPr>
              <w:t>Michaels</w:t>
            </w:r>
          </w:p>
        </w:tc>
        <w:tc>
          <w:tcPr>
            <w:tcW w:w="180" w:type="dxa"/>
            <w:vAlign w:val="bottom"/>
            <w:gridSpan w:val="2"/>
            <w:shd w:val="clear" w:color="auto" w:fill="CCEEFF"/>
          </w:tcPr>
          <w:p>
            <w:pPr>
              <w:spacing w:after="0"/>
              <w:rPr>
                <w:sz w:val="12"/>
                <w:szCs w:val="12"/>
                <w:color w:val="auto"/>
              </w:rPr>
            </w:pPr>
          </w:p>
        </w:tc>
        <w:tc>
          <w:tcPr>
            <w:tcW w:w="1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Ulta</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Falls Plaza/Falls Plaza—East</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1960-1962</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1967/1972</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144,000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$31.86</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Falls Church, VA 22046</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Idylwood Plaza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1994</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73,000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$44.11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gridSpan w:val="6"/>
            <w:shd w:val="clear" w:color="auto" w:fill="CCEEFF"/>
          </w:tcPr>
          <w:p>
            <w:pPr>
              <w:ind w:left="20"/>
              <w:spacing w:after="0" w:line="151"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Falls Church, VA 22030</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Leesburg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236,000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$23.70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Leesburg, VA 20176</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Loehmann’s Plaza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261,000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$27.04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3"/>
                <w:szCs w:val="13"/>
                <w:color w:val="auto"/>
              </w:rPr>
            </w:pPr>
          </w:p>
        </w:tc>
        <w:tc>
          <w:tcPr>
            <w:tcW w:w="76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w w:val="97"/>
                <w:shd w:val="clear" w:color="auto" w:fill="CCEEFF"/>
              </w:rPr>
              <w:t>L.A. Fitness</w:t>
            </w:r>
          </w:p>
        </w:tc>
        <w:tc>
          <w:tcPr>
            <w:tcW w:w="140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Fairfax, VA 22042</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w w:val="89"/>
                <w:shd w:val="clear" w:color="auto" w:fill="CCEEFF"/>
              </w:rPr>
              <w:t>Giant Food</w:t>
            </w: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w w:val="81"/>
                <w:shd w:val="clear" w:color="auto" w:fill="CCEEFF"/>
              </w:rPr>
              <w:t>Loehmann’s</w:t>
            </w:r>
          </w:p>
        </w:tc>
        <w:tc>
          <w:tcPr>
            <w:tcW w:w="1500" w:type="dxa"/>
            <w:vAlign w:val="bottom"/>
            <w:tcBorders>
              <w:bottom w:val="single" w:sz="8" w:color="CCEEFF"/>
            </w:tcBorders>
            <w:gridSpan w:val="3"/>
            <w:shd w:val="clear" w:color="auto" w:fill="CCEEFF"/>
          </w:tcPr>
          <w:p>
            <w:pPr>
              <w:jc w:val="right"/>
              <w:ind w:right="716"/>
              <w:spacing w:after="0"/>
              <w:rPr>
                <w:sz w:val="20"/>
                <w:szCs w:val="20"/>
                <w:color w:val="auto"/>
              </w:rPr>
            </w:pPr>
            <w:r>
              <w:rPr>
                <w:rFonts w:ascii="Arial" w:cs="Arial" w:eastAsia="Arial" w:hAnsi="Arial"/>
                <w:sz w:val="14"/>
                <w:szCs w:val="14"/>
                <w:color w:val="auto"/>
                <w:w w:val="95"/>
                <w:shd w:val="clear" w:color="auto" w:fill="CCEEFF"/>
              </w:rPr>
              <w:t>Dress Shop</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Mount Vernon/South Valley/</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1966, 1972,1987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2003/2006</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572,000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$16.36</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7770 Richmond Hwy</w:t>
            </w:r>
          </w:p>
        </w:tc>
        <w:tc>
          <w:tcPr>
            <w:tcW w:w="1020" w:type="dxa"/>
            <w:vAlign w:val="bottom"/>
          </w:tcPr>
          <w:p>
            <w:pPr>
              <w:jc w:val="center"/>
              <w:spacing w:after="0" w:line="143" w:lineRule="exact"/>
              <w:rPr>
                <w:sz w:val="20"/>
                <w:szCs w:val="20"/>
                <w:color w:val="auto"/>
              </w:rPr>
            </w:pPr>
            <w:r>
              <w:rPr>
                <w:rFonts w:ascii="Arial" w:cs="Arial" w:eastAsia="Arial" w:hAnsi="Arial"/>
                <w:sz w:val="14"/>
                <w:szCs w:val="14"/>
                <w:color w:val="auto"/>
                <w:w w:val="94"/>
              </w:rPr>
              <w:t>&amp; 2001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Alexandria, VA 22306(4)(7)</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Gold’s Gym 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Old Keene Mill</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1976</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92,000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$35.27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76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w w:val="87"/>
                <w:shd w:val="clear" w:color="auto" w:fill="CCEEFF"/>
              </w:rPr>
              <w:t>Whole Foods</w:t>
            </w:r>
          </w:p>
        </w:tc>
        <w:tc>
          <w:tcPr>
            <w:tcW w:w="140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Springfield, VA 22152</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w w:val="92"/>
                <w:shd w:val="clear" w:color="auto" w:fill="CCEEFF"/>
              </w:rPr>
              <w:t>Walgreens</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Pan Am</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1979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227,000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$21.55</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Fairfax, VA 22031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Pentagon Row</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2001-2002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1998/2010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297,000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$36.48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760" w:type="dxa"/>
            <w:vAlign w:val="bottom"/>
            <w:gridSpan w:val="4"/>
            <w:shd w:val="clear" w:color="auto" w:fill="CCEEFF"/>
          </w:tcPr>
          <w:p>
            <w:pPr>
              <w:ind w:left="20"/>
              <w:spacing w:after="0" w:line="151" w:lineRule="exact"/>
              <w:rPr>
                <w:sz w:val="20"/>
                <w:szCs w:val="20"/>
                <w:color w:val="auto"/>
              </w:rPr>
            </w:pPr>
            <w:r>
              <w:rPr>
                <w:rFonts w:ascii="Arial" w:cs="Arial" w:eastAsia="Arial" w:hAnsi="Arial"/>
                <w:sz w:val="14"/>
                <w:szCs w:val="14"/>
                <w:color w:val="auto"/>
                <w:w w:val="88"/>
                <w:shd w:val="clear" w:color="auto" w:fill="CCEEFF"/>
              </w:rPr>
              <w:t>Harris Teeter</w:t>
            </w:r>
          </w:p>
        </w:tc>
        <w:tc>
          <w:tcPr>
            <w:tcW w:w="140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Arlington, VA 22202</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6"/>
                <w:shd w:val="clear" w:color="auto" w:fill="CCEEFF"/>
              </w:rPr>
              <w:t>Bed, Bath &amp;</w:t>
            </w:r>
          </w:p>
        </w:tc>
        <w:tc>
          <w:tcPr>
            <w:tcW w:w="1400" w:type="dxa"/>
            <w:vAlign w:val="bottom"/>
            <w:gridSpan w:val="2"/>
            <w:shd w:val="clear" w:color="auto" w:fill="CCEEFF"/>
          </w:tcPr>
          <w:p>
            <w:pPr>
              <w:jc w:val="right"/>
              <w:ind w:right="916"/>
              <w:spacing w:after="0"/>
              <w:rPr>
                <w:sz w:val="20"/>
                <w:szCs w:val="20"/>
                <w:color w:val="auto"/>
              </w:rPr>
            </w:pPr>
            <w:r>
              <w:rPr>
                <w:rFonts w:ascii="Arial" w:cs="Arial" w:eastAsia="Arial" w:hAnsi="Arial"/>
                <w:sz w:val="14"/>
                <w:szCs w:val="14"/>
                <w:color w:val="auto"/>
                <w:w w:val="84"/>
                <w:shd w:val="clear" w:color="auto" w:fill="CCEEFF"/>
              </w:rPr>
              <w:t>Beyond</w:t>
            </w:r>
          </w:p>
        </w:tc>
        <w:tc>
          <w:tcPr>
            <w:tcW w:w="0" w:type="dxa"/>
            <w:vAlign w:val="bottom"/>
          </w:tcPr>
          <w:p>
            <w:pPr>
              <w:spacing w:after="0"/>
              <w:rPr>
                <w:sz w:val="1"/>
                <w:szCs w:val="1"/>
                <w:color w:val="auto"/>
              </w:rPr>
            </w:pPr>
          </w:p>
        </w:tc>
      </w:tr>
      <w:tr>
        <w:trPr>
          <w:trHeight w:val="125"/>
        </w:trPr>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4"/>
            <w:shd w:val="clear" w:color="auto" w:fill="CCEEFF"/>
          </w:tcPr>
          <w:p>
            <w:pPr>
              <w:ind w:left="20"/>
              <w:spacing w:after="0" w:line="125" w:lineRule="exact"/>
              <w:rPr>
                <w:sz w:val="20"/>
                <w:szCs w:val="20"/>
                <w:color w:val="auto"/>
              </w:rPr>
            </w:pPr>
            <w:r>
              <w:rPr>
                <w:rFonts w:ascii="Arial" w:cs="Arial" w:eastAsia="Arial" w:hAnsi="Arial"/>
                <w:sz w:val="14"/>
                <w:szCs w:val="14"/>
                <w:color w:val="auto"/>
                <w:w w:val="97"/>
                <w:shd w:val="clear" w:color="auto" w:fill="CCEEFF"/>
              </w:rPr>
              <w:t>L.A. Fitness</w:t>
            </w:r>
          </w:p>
        </w:tc>
        <w:tc>
          <w:tcPr>
            <w:tcW w:w="140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DSW</w:t>
            </w:r>
          </w:p>
        </w:tc>
        <w:tc>
          <w:tcPr>
            <w:tcW w:w="340" w:type="dxa"/>
            <w:vAlign w:val="bottom"/>
            <w:tcBorders>
              <w:bottom w:val="single" w:sz="8" w:color="CCEEFF"/>
            </w:tcBorders>
            <w:gridSpan w:val="3"/>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Pike 7 Plaza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164,000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$40.82</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Vienna, VA 22180</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Shops at Willow Lawn</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439,000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$17.11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w w:val="90"/>
                <w:shd w:val="clear" w:color="auto" w:fill="CCEEFF"/>
              </w:rPr>
              <w:t>Kroger</w:t>
            </w:r>
          </w:p>
        </w:tc>
        <w:tc>
          <w:tcPr>
            <w:tcW w:w="1740" w:type="dxa"/>
            <w:vAlign w:val="bottom"/>
            <w:gridSpan w:val="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Richmond, VA 23230</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3"/>
                <w:shd w:val="clear" w:color="auto" w:fill="CCEEFF"/>
              </w:rPr>
              <w:t>Old Navy</w:t>
            </w:r>
          </w:p>
        </w:tc>
        <w:tc>
          <w:tcPr>
            <w:tcW w:w="158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74"/>
                <w:shd w:val="clear" w:color="auto" w:fill="CCEEFF"/>
              </w:rPr>
              <w:t>Ross Dress</w:t>
            </w:r>
          </w:p>
        </w:tc>
        <w:tc>
          <w:tcPr>
            <w:tcW w:w="1580" w:type="dxa"/>
            <w:vAlign w:val="bottom"/>
            <w:gridSpan w:val="4"/>
            <w:shd w:val="clear" w:color="auto" w:fill="CCEEFF"/>
          </w:tcPr>
          <w:p>
            <w:pPr>
              <w:jc w:val="right"/>
              <w:ind w:right="936"/>
              <w:spacing w:after="0" w:line="143" w:lineRule="exact"/>
              <w:rPr>
                <w:sz w:val="20"/>
                <w:szCs w:val="20"/>
                <w:color w:val="auto"/>
              </w:rPr>
            </w:pPr>
            <w:r>
              <w:rPr>
                <w:rFonts w:ascii="Arial" w:cs="Arial" w:eastAsia="Arial" w:hAnsi="Arial"/>
                <w:sz w:val="14"/>
                <w:szCs w:val="14"/>
                <w:color w:val="auto"/>
                <w:shd w:val="clear" w:color="auto" w:fill="CCEEFF"/>
              </w:rPr>
              <w:t>For Less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1"/>
                <w:shd w:val="clear" w:color="auto" w:fill="CCEEFF"/>
              </w:rPr>
              <w:t>Staples</w:t>
            </w:r>
          </w:p>
        </w:tc>
        <w:tc>
          <w:tcPr>
            <w:tcW w:w="1740" w:type="dxa"/>
            <w:vAlign w:val="bottom"/>
            <w:tcBorders>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Tower Shopping Center</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112,000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$24.37</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Talbots LA Mart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Springfield, VA 22150</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3060" w:type="dxa"/>
            <w:vAlign w:val="bottom"/>
            <w:gridSpan w:val="4"/>
            <w:shd w:val="clear" w:color="auto" w:fill="CCEEFF"/>
          </w:tcPr>
          <w:p>
            <w:pPr>
              <w:spacing w:after="0" w:line="151" w:lineRule="exact"/>
              <w:rPr>
                <w:sz w:val="20"/>
                <w:szCs w:val="20"/>
                <w:color w:val="auto"/>
              </w:rPr>
            </w:pPr>
            <w:r>
              <w:rPr>
                <w:rFonts w:ascii="Arial" w:cs="Arial" w:eastAsia="Arial" w:hAnsi="Arial"/>
                <w:sz w:val="14"/>
                <w:szCs w:val="14"/>
                <w:color w:val="auto"/>
              </w:rPr>
              <w:t>Tyson’s Station</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1978</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3"/>
              </w:rPr>
              <w:t>49,000</w:t>
            </w:r>
          </w:p>
        </w:tc>
        <w:tc>
          <w:tcPr>
            <w:tcW w:w="138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$42.70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160" w:type="dxa"/>
            <w:vAlign w:val="bottom"/>
            <w:gridSpan w:val="6"/>
            <w:shd w:val="clear" w:color="auto" w:fill="CCEEFF"/>
          </w:tcPr>
          <w:p>
            <w:pPr>
              <w:ind w:left="20"/>
              <w:spacing w:after="0" w:line="151"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Falls Church, VA 22043</w:t>
            </w: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4"/>
          </w:tcPr>
          <w:p>
            <w:pPr>
              <w:spacing w:after="0" w:line="151" w:lineRule="exact"/>
              <w:rPr>
                <w:sz w:val="20"/>
                <w:szCs w:val="20"/>
                <w:color w:val="auto"/>
              </w:rPr>
            </w:pPr>
            <w:r>
              <w:rPr>
                <w:rFonts w:ascii="Arial" w:cs="Arial" w:eastAsia="Arial" w:hAnsi="Arial"/>
                <w:sz w:val="14"/>
                <w:szCs w:val="14"/>
                <w:color w:val="auto"/>
              </w:rPr>
              <w:t>Village at Shirlington</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8"/>
              </w:rPr>
              <w:t>1940, 2006-2009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Arial" w:cs="Arial" w:eastAsia="Arial" w:hAnsi="Arial"/>
                <w:sz w:val="14"/>
                <w:szCs w:val="14"/>
                <w:color w:val="auto"/>
                <w:w w:val="86"/>
              </w:rPr>
              <w:t>261,000</w:t>
            </w:r>
          </w:p>
        </w:tc>
        <w:tc>
          <w:tcPr>
            <w:tcW w:w="138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$34.20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160" w:type="dxa"/>
            <w:vAlign w:val="bottom"/>
            <w:gridSpan w:val="6"/>
          </w:tcPr>
          <w:p>
            <w:pPr>
              <w:ind w:left="20"/>
              <w:spacing w:after="0" w:line="151"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Arlington, VA 22206(8)</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ind w:left="20"/>
              <w:spacing w:after="0" w:line="143" w:lineRule="exact"/>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0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All Regions—Retail(12)</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19,544,000</w:t>
            </w:r>
          </w:p>
        </w:tc>
        <w:tc>
          <w:tcPr>
            <w:tcW w:w="1380" w:type="dxa"/>
            <w:vAlign w:val="bottom"/>
            <w:gridSpan w:val="2"/>
            <w:vMerge w:val="restart"/>
            <w:shd w:val="clear" w:color="auto" w:fill="CCEEFF"/>
          </w:tcPr>
          <w:p>
            <w:pPr>
              <w:jc w:val="center"/>
              <w:ind w:left="51"/>
              <w:spacing w:after="0"/>
              <w:rPr>
                <w:sz w:val="20"/>
                <w:szCs w:val="20"/>
                <w:color w:val="auto"/>
              </w:rPr>
            </w:pPr>
            <w:r>
              <w:rPr>
                <w:rFonts w:ascii="Arial" w:cs="Arial" w:eastAsia="Arial" w:hAnsi="Arial"/>
                <w:sz w:val="14"/>
                <w:szCs w:val="14"/>
                <w:b w:val="1"/>
                <w:bCs w:val="1"/>
                <w:color w:val="auto"/>
                <w:w w:val="88"/>
              </w:rPr>
              <w:t>$24.54</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96%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060" w:type="dxa"/>
            <w:vAlign w:val="bottom"/>
            <w:gridSpan w:val="4"/>
          </w:tcPr>
          <w:p>
            <w:pPr>
              <w:spacing w:after="0"/>
              <w:rPr>
                <w:sz w:val="20"/>
                <w:szCs w:val="20"/>
                <w:color w:val="auto"/>
              </w:rPr>
            </w:pPr>
            <w:r>
              <w:rPr>
                <w:rFonts w:ascii="Arial" w:cs="Arial" w:eastAsia="Arial" w:hAnsi="Arial"/>
                <w:sz w:val="14"/>
                <w:szCs w:val="14"/>
                <w:b w:val="1"/>
                <w:bCs w:val="1"/>
                <w:color w:val="auto"/>
              </w:rPr>
              <w:t>Total All Regions—Residential</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1,169 units</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w:t>
      </w:r>
    </w:p>
    <w:p>
      <w:pPr>
        <w:spacing w:after="0" w:line="85" w:lineRule="exact"/>
        <w:rPr>
          <w:sz w:val="20"/>
          <w:szCs w:val="20"/>
          <w:color w:val="auto"/>
        </w:rPr>
      </w:pPr>
    </w:p>
    <w:p>
      <w:pPr>
        <w:ind w:left="640" w:right="440" w:hanging="323"/>
        <w:spacing w:after="0" w:line="255"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ind w:left="640" w:right="40" w:hanging="323"/>
        <w:spacing w:after="0" w:line="242"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including adjustments for concessions) minimum rent for all occupied spaces divided by the aggregate GLA of all occupied spaces.</w:t>
      </w:r>
    </w:p>
    <w:p>
      <w:pPr>
        <w:ind w:left="64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ind w:left="64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ind w:left="64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64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own a 90% general and limited partnership interest in these buildings.</w:t>
      </w:r>
    </w:p>
    <w:p>
      <w:pPr>
        <w:ind w:left="640" w:right="16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4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or a portion of this property is subject to a capital lease obligation.</w:t>
      </w:r>
    </w:p>
    <w:p>
      <w:pPr>
        <w:ind w:left="64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Properties acquired through a joint venture arrangement with affiliates of a discretionary fund created and advised by ING Clarion Partners.</w:t>
      </w:r>
    </w:p>
    <w:p>
      <w:pPr>
        <w:ind w:left="640" w:right="8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Trust controls Melville Mall through a 20 year master lease and secondary financing to the owner. Because the Trust controls the activities that most significantly impact this property and retains substantially all of the economic benefit and risk associated with it, we consolidate this property and its operations.</w:t>
      </w:r>
    </w:p>
    <w:p>
      <w:pPr>
        <w:ind w:left="64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ind w:left="640" w:right="260" w:hanging="323"/>
        <w:spacing w:after="0" w:line="23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properties acquired through a joint venture arrangement with affiliates of a discretionary fund created and advised by ING Clarion Partners.</w:t>
      </w:r>
    </w:p>
    <w:p>
      <w:pPr>
        <w:ind w:left="640" w:hanging="323"/>
        <w:spacing w:after="0"/>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LEGAL PROCEEDINGS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20"/>
          </w:cols>
          <w:pgMar w:left="240" w:top="126"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0" w:lineRule="exact"/>
        <w:rPr>
          <w:sz w:val="20"/>
          <w:szCs w:val="20"/>
          <w:color w:val="auto"/>
        </w:rPr>
      </w:pPr>
    </w:p>
    <w:p>
      <w:pPr>
        <w:ind w:right="580"/>
        <w:spacing w:after="0" w:line="294" w:lineRule="auto"/>
        <w:rPr>
          <w:sz w:val="20"/>
          <w:szCs w:val="20"/>
          <w:color w:val="auto"/>
        </w:rPr>
      </w:pPr>
      <w:r>
        <w:rPr>
          <w:rFonts w:ascii="Arial" w:cs="Arial" w:eastAsia="Arial" w:hAnsi="Arial"/>
          <w:sz w:val="17"/>
          <w:szCs w:val="17"/>
          <w:b w:val="1"/>
          <w:bCs w:val="1"/>
          <w:color w:val="auto"/>
        </w:rPr>
        <w:t>ITEM 5. MARKET FOR OUR COMMON EQUITY AND RELATED SHAREHOLDER MATTERS AND ISSUER PURCHASES OF EQUITY SECURITIES</w:t>
      </w:r>
    </w:p>
    <w:p>
      <w:pPr>
        <w:spacing w:after="0" w:line="22"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2"/>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vMerge w:val="restart"/>
          </w:tcPr>
          <w:p>
            <w:pPr>
              <w:jc w:val="center"/>
              <w:ind w:right="158"/>
              <w:spacing w:after="0" w:line="134"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62"/>
        </w:trPr>
        <w:tc>
          <w:tcPr>
            <w:tcW w:w="7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5"/>
                <w:szCs w:val="5"/>
                <w:color w:val="auto"/>
              </w:rPr>
            </w:pPr>
          </w:p>
        </w:tc>
        <w:tc>
          <w:tcPr>
            <w:tcW w:w="8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40"/>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2013</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Fourth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108.15</w:t>
            </w:r>
          </w:p>
        </w:tc>
        <w:tc>
          <w:tcPr>
            <w:tcW w:w="10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100.30</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0.780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Third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107.44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96.99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0.780</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Second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117.96</w:t>
            </w:r>
          </w:p>
        </w:tc>
        <w:tc>
          <w:tcPr>
            <w:tcW w:w="10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96.21</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0.730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First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109.30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104.50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0.730</w:t>
            </w:r>
          </w:p>
        </w:tc>
        <w:tc>
          <w:tcPr>
            <w:tcW w:w="0" w:type="dxa"/>
            <w:vAlign w:val="bottom"/>
          </w:tcPr>
          <w:p>
            <w:pPr>
              <w:spacing w:after="0"/>
              <w:rPr>
                <w:sz w:val="1"/>
                <w:szCs w:val="1"/>
                <w:color w:val="auto"/>
              </w:rPr>
            </w:pP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b w:val="1"/>
                <w:bCs w:val="1"/>
                <w:color w:val="auto"/>
              </w:rPr>
              <w:t>2012</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Fourth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110.03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99.82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0.730</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Third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109.49</w:t>
            </w:r>
          </w:p>
        </w:tc>
        <w:tc>
          <w:tcPr>
            <w:tcW w:w="10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103.57</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0.730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Second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104.09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94.95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0.690</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First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97.84</w:t>
            </w:r>
          </w:p>
        </w:tc>
        <w:tc>
          <w:tcPr>
            <w:tcW w:w="10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89.23</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0.690</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February 7, 2014, there were 3,128 holders of record of our common shares.</w:t>
      </w:r>
    </w:p>
    <w:p>
      <w:pPr>
        <w:spacing w:after="0" w:line="170"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46 consecutive years.</w:t>
      </w:r>
    </w:p>
    <w:p>
      <w:pPr>
        <w:spacing w:after="0" w:line="12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Our total annual dividends paid per common share for 2013 and 2012 were $2.97 per share and $2.80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2014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income tax status of distributions per share paid to common shareholders:</w:t>
      </w:r>
    </w:p>
    <w:p>
      <w:pPr>
        <w:spacing w:after="0" w:line="34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Year Ended</w:t>
      </w:r>
    </w:p>
    <w:p>
      <w:pPr>
        <w:jc w:val="center"/>
        <w:ind w:left="86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9525</wp:posOffset>
            </wp:positionV>
            <wp:extent cx="1804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4670" cy="825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Ordinary dividend</w:t>
            </w:r>
          </w:p>
        </w:tc>
        <w:tc>
          <w:tcPr>
            <w:tcW w:w="5100" w:type="dxa"/>
            <w:vAlign w:val="bottom"/>
            <w:tcBorders>
              <w:bottom w:val="single" w:sz="8" w:color="CCEEFF"/>
            </w:tcBorders>
            <w:gridSpan w:val="2"/>
            <w:shd w:val="clear" w:color="auto" w:fill="CCEEFF"/>
          </w:tcPr>
          <w:p>
            <w:pPr>
              <w:jc w:val="right"/>
              <w:ind w:right="67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3"/>
              </w:rPr>
              <w:t>2.911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2.772</w:t>
            </w:r>
          </w:p>
        </w:tc>
        <w:tc>
          <w:tcPr>
            <w:tcW w:w="0" w:type="dxa"/>
            <w:vAlign w:val="bottom"/>
          </w:tcPr>
          <w:p>
            <w:pPr>
              <w:spacing w:after="0"/>
              <w:rPr>
                <w:sz w:val="1"/>
                <w:szCs w:val="1"/>
                <w:color w:val="auto"/>
              </w:rPr>
            </w:pPr>
          </w:p>
        </w:tc>
      </w:tr>
      <w:tr>
        <w:trPr>
          <w:trHeight w:val="235"/>
        </w:trPr>
        <w:tc>
          <w:tcPr>
            <w:tcW w:w="4340" w:type="dxa"/>
            <w:vAlign w:val="bottom"/>
          </w:tcPr>
          <w:p>
            <w:pPr>
              <w:ind w:left="40"/>
              <w:spacing w:after="0"/>
              <w:rPr>
                <w:sz w:val="20"/>
                <w:szCs w:val="20"/>
                <w:color w:val="auto"/>
              </w:rPr>
            </w:pPr>
            <w:r>
              <w:rPr>
                <w:rFonts w:ascii="Arial" w:cs="Arial" w:eastAsia="Arial" w:hAnsi="Arial"/>
                <w:sz w:val="17"/>
                <w:szCs w:val="17"/>
                <w:color w:val="auto"/>
              </w:rPr>
              <w:t>Ordinary dividend eligible for 15% tax rate</w:t>
            </w:r>
          </w:p>
        </w:tc>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Return of capital</w:t>
            </w:r>
          </w:p>
        </w:tc>
        <w:tc>
          <w:tcPr>
            <w:tcW w:w="4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4340" w:type="dxa"/>
            <w:vAlign w:val="bottom"/>
          </w:tcPr>
          <w:p>
            <w:pPr>
              <w:ind w:left="40"/>
              <w:spacing w:after="0"/>
              <w:rPr>
                <w:sz w:val="20"/>
                <w:szCs w:val="20"/>
                <w:color w:val="auto"/>
              </w:rPr>
            </w:pPr>
            <w:r>
              <w:rPr>
                <w:rFonts w:ascii="Arial" w:cs="Arial" w:eastAsia="Arial" w:hAnsi="Arial"/>
                <w:sz w:val="17"/>
                <w:szCs w:val="17"/>
                <w:color w:val="auto"/>
              </w:rPr>
              <w:t>Capital gain</w:t>
            </w:r>
          </w:p>
        </w:tc>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w w:val="93"/>
              </w:rPr>
              <w:t>0.059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0.028</w:t>
            </w: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4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jc w:val="right"/>
              <w:ind w:right="67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3"/>
              </w:rPr>
              <w:t>2.970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693"/>
              <w:spacing w:after="0"/>
              <w:rPr>
                <w:sz w:val="20"/>
                <w:szCs w:val="20"/>
                <w:color w:val="auto"/>
              </w:rPr>
            </w:pPr>
            <w:r>
              <w:rPr>
                <w:rFonts w:ascii="Arial" w:cs="Arial" w:eastAsia="Arial" w:hAnsi="Arial"/>
                <w:sz w:val="17"/>
                <w:szCs w:val="17"/>
                <w:color w:val="auto"/>
              </w:rPr>
              <w:t>25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3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Shares</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2013, there were no redemptions of operating partnership units. All other equity securities sold by us during 2013 that were not registered have been previously reported in a Quarterly Report on Form 10-Q.</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2013, no equity securities were purchased by us and 230 restricted common shares were forfeited by former employees.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60"/>
          </w:cols>
          <w:pgMar w:left="240" w:top="126" w:right="29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97" w:lineRule="exact"/>
        <w:rPr>
          <w:sz w:val="20"/>
          <w:szCs w:val="20"/>
          <w:color w:val="auto"/>
        </w:rPr>
      </w:pPr>
    </w:p>
    <w:p>
      <w:pPr>
        <w:ind w:right="480"/>
        <w:spacing w:after="0" w:line="266" w:lineRule="auto"/>
        <w:rPr>
          <w:sz w:val="20"/>
          <w:szCs w:val="20"/>
          <w:color w:val="auto"/>
        </w:rPr>
      </w:pPr>
      <w:r>
        <w:rPr>
          <w:rFonts w:ascii="Arial" w:cs="Arial" w:eastAsia="Arial" w:hAnsi="Arial"/>
          <w:sz w:val="17"/>
          <w:szCs w:val="17"/>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December 31, 2009 through 2012 have been reclassified to conform to the 2013 presentation.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54"/>
        </w:trPr>
        <w:tc>
          <w:tcPr>
            <w:tcW w:w="4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r>
      <w:tr>
        <w:trPr>
          <w:trHeight w:val="189"/>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980" w:type="dxa"/>
            <w:vAlign w:val="bottom"/>
            <w:gridSpan w:val="5"/>
          </w:tcPr>
          <w:p>
            <w:pPr>
              <w:jc w:val="right"/>
              <w:ind w:right="715"/>
              <w:spacing w:after="0"/>
              <w:rPr>
                <w:sz w:val="20"/>
                <w:szCs w:val="20"/>
                <w:color w:val="auto"/>
              </w:rPr>
            </w:pPr>
            <w:r>
              <w:rPr>
                <w:rFonts w:ascii="Arial" w:cs="Arial" w:eastAsia="Arial" w:hAnsi="Arial"/>
                <w:sz w:val="14"/>
                <w:szCs w:val="14"/>
                <w:b w:val="1"/>
                <w:bCs w:val="1"/>
                <w:color w:val="auto"/>
                <w:w w:val="99"/>
              </w:rPr>
              <w:t>(In thousands, except per share data and ratios)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Data: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Rental income</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620,089</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580,114</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75"/>
              <w:spacing w:after="0"/>
              <w:rPr>
                <w:sz w:val="20"/>
                <w:szCs w:val="20"/>
                <w:color w:val="auto"/>
              </w:rPr>
            </w:pPr>
            <w:r>
              <w:rPr>
                <w:rFonts w:ascii="Arial" w:cs="Arial" w:eastAsia="Arial" w:hAnsi="Arial"/>
                <w:sz w:val="17"/>
                <w:szCs w:val="17"/>
                <w:color w:val="auto"/>
              </w:rPr>
              <w:t>536,749</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520,677</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508,607</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operating income(1)</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446,959</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426,721</w:t>
            </w: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381,335</w:t>
            </w:r>
          </w:p>
        </w:tc>
        <w:tc>
          <w:tcPr>
            <w:tcW w:w="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371,198</w:t>
            </w: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360,618</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137,811</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142,972</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75"/>
              <w:spacing w:after="0"/>
              <w:rPr>
                <w:sz w:val="20"/>
                <w:szCs w:val="20"/>
                <w:color w:val="auto"/>
              </w:rPr>
            </w:pPr>
            <w:r>
              <w:rPr>
                <w:rFonts w:ascii="Arial" w:cs="Arial" w:eastAsia="Arial" w:hAnsi="Arial"/>
                <w:sz w:val="17"/>
                <w:szCs w:val="17"/>
                <w:color w:val="auto"/>
              </w:rPr>
              <w:t>130,319</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124,778</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99,956</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28,855</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11,860</w:t>
            </w: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15,075</w:t>
            </w:r>
          </w:p>
        </w:tc>
        <w:tc>
          <w:tcPr>
            <w:tcW w:w="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1,410</w:t>
            </w: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1,298</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167,608</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156,232</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75"/>
              <w:spacing w:after="0"/>
              <w:rPr>
                <w:sz w:val="20"/>
                <w:szCs w:val="20"/>
                <w:color w:val="auto"/>
              </w:rPr>
            </w:pPr>
            <w:r>
              <w:rPr>
                <w:rFonts w:ascii="Arial" w:cs="Arial" w:eastAsia="Arial" w:hAnsi="Arial"/>
                <w:sz w:val="17"/>
                <w:szCs w:val="17"/>
                <w:color w:val="auto"/>
              </w:rPr>
              <w:t>149,612</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128,237</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103,872</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162,681</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151,925</w:t>
            </w: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143,917</w:t>
            </w:r>
          </w:p>
        </w:tc>
        <w:tc>
          <w:tcPr>
            <w:tcW w:w="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122,790</w:t>
            </w: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98,304</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162,140</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151,384</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75"/>
              <w:spacing w:after="0"/>
              <w:rPr>
                <w:sz w:val="20"/>
                <w:szCs w:val="20"/>
                <w:color w:val="auto"/>
              </w:rPr>
            </w:pPr>
            <w:r>
              <w:rPr>
                <w:rFonts w:ascii="Arial" w:cs="Arial" w:eastAsia="Arial" w:hAnsi="Arial"/>
                <w:sz w:val="17"/>
                <w:szCs w:val="17"/>
                <w:color w:val="auto"/>
              </w:rPr>
              <w:t>143,376</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122,249</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97,763</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314,498</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296,633</w:t>
            </w: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244,711</w:t>
            </w:r>
          </w:p>
        </w:tc>
        <w:tc>
          <w:tcPr>
            <w:tcW w:w="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256,735</w:t>
            </w: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256,765</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(345,198)</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(273,558)</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15"/>
              <w:spacing w:after="0"/>
              <w:rPr>
                <w:sz w:val="20"/>
                <w:szCs w:val="20"/>
                <w:color w:val="auto"/>
              </w:rPr>
            </w:pPr>
            <w:r>
              <w:rPr>
                <w:rFonts w:ascii="Arial" w:cs="Arial" w:eastAsia="Arial" w:hAnsi="Arial"/>
                <w:sz w:val="17"/>
                <w:szCs w:val="17"/>
                <w:color w:val="auto"/>
              </w:rPr>
              <w:t>(196,369)</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(187,088)</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(127,341)</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82,639</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(53,893)</w:t>
            </w:r>
          </w:p>
        </w:tc>
        <w:tc>
          <w:tcPr>
            <w:tcW w:w="5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3,667</w:t>
            </w:r>
          </w:p>
        </w:tc>
        <w:tc>
          <w:tcPr>
            <w:tcW w:w="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(189,239)</w:t>
            </w:r>
          </w:p>
        </w:tc>
        <w:tc>
          <w:tcPr>
            <w:tcW w:w="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(9,258)</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Dividends declared on common shares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198,965</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182,813</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75"/>
              <w:spacing w:after="0"/>
              <w:rPr>
                <w:sz w:val="20"/>
                <w:szCs w:val="20"/>
                <w:color w:val="auto"/>
              </w:rPr>
            </w:pPr>
            <w:r>
              <w:rPr>
                <w:rFonts w:ascii="Arial" w:cs="Arial" w:eastAsia="Arial" w:hAnsi="Arial"/>
                <w:sz w:val="17"/>
                <w:szCs w:val="17"/>
                <w:color w:val="auto"/>
              </w:rPr>
              <w:t>171,335</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5"/>
              <w:spacing w:after="0"/>
              <w:rPr>
                <w:sz w:val="20"/>
                <w:szCs w:val="20"/>
                <w:color w:val="auto"/>
              </w:rPr>
            </w:pPr>
            <w:r>
              <w:rPr>
                <w:rFonts w:ascii="Arial" w:cs="Arial" w:eastAsia="Arial" w:hAnsi="Arial"/>
                <w:sz w:val="17"/>
                <w:szCs w:val="17"/>
                <w:color w:val="auto"/>
              </w:rPr>
              <w:t>163,382</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157,638</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251065" cy="16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16573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number of common shares outstanding: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tcPr>
          <w:p>
            <w:pPr>
              <w:ind w:left="36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65,331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63,881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62,438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61,182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59,704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65,483</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64,056</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62,603</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61,324</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59,830</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Earnings per common share, basic:</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Continuing operations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2.01</w:t>
            </w:r>
          </w:p>
        </w:tc>
        <w:tc>
          <w:tcPr>
            <w:tcW w:w="680" w:type="dxa"/>
            <w:vAlign w:val="bottom"/>
            <w:tcBorders>
              <w:bottom w:val="single" w:sz="8" w:color="CCEEFF"/>
            </w:tcBorders>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2.15</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1.98</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1.93</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1.56</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20" w:type="dxa"/>
            <w:vAlign w:val="bottom"/>
          </w:tcPr>
          <w:p>
            <w:pPr>
              <w:ind w:left="360"/>
              <w:spacing w:after="0"/>
              <w:rPr>
                <w:sz w:val="20"/>
                <w:szCs w:val="20"/>
                <w:color w:val="auto"/>
              </w:rPr>
            </w:pPr>
            <w:r>
              <w:rPr>
                <w:rFonts w:ascii="Arial" w:cs="Arial" w:eastAsia="Arial" w:hAnsi="Arial"/>
                <w:sz w:val="17"/>
                <w:szCs w:val="17"/>
                <w:color w:val="auto"/>
              </w:rPr>
              <w:t>Discontinued operations</w:t>
            </w:r>
          </w:p>
        </w:tc>
        <w:tc>
          <w:tcPr>
            <w:tcW w:w="3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0.38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0.02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0.31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0.05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sale of real estate</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0.08</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0.19</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0.01</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2.47</w:t>
            </w:r>
          </w:p>
        </w:tc>
        <w:tc>
          <w:tcPr>
            <w:tcW w:w="340" w:type="dxa"/>
            <w:vAlign w:val="bottom"/>
          </w:tcPr>
          <w:p>
            <w:pPr>
              <w:spacing w:after="0"/>
              <w:rPr>
                <w:sz w:val="19"/>
                <w:szCs w:val="19"/>
                <w:color w:val="auto"/>
              </w:rPr>
            </w:pPr>
          </w:p>
        </w:tc>
        <w:tc>
          <w:tcPr>
            <w:tcW w:w="340" w:type="dxa"/>
            <w:vAlign w:val="bottom"/>
            <w:tcBorders>
              <w:top w:val="single" w:sz="8" w:color="auto"/>
            </w:tcBorders>
          </w:tcPr>
          <w:p>
            <w:pPr>
              <w:jc w:val="center"/>
              <w:ind w:right="9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2.36</w:t>
            </w:r>
          </w:p>
        </w:tc>
        <w:tc>
          <w:tcPr>
            <w:tcW w:w="320" w:type="dxa"/>
            <w:vAlign w:val="bottom"/>
          </w:tcPr>
          <w:p>
            <w:pPr>
              <w:spacing w:after="0"/>
              <w:rPr>
                <w:sz w:val="19"/>
                <w:szCs w:val="19"/>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2.29</w:t>
            </w:r>
          </w:p>
        </w:tc>
        <w:tc>
          <w:tcPr>
            <w:tcW w:w="320" w:type="dxa"/>
            <w:vAlign w:val="bottom"/>
          </w:tcPr>
          <w:p>
            <w:pPr>
              <w:spacing w:after="0"/>
              <w:rPr>
                <w:sz w:val="19"/>
                <w:szCs w:val="19"/>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1.99</w:t>
            </w:r>
          </w:p>
        </w:tc>
        <w:tc>
          <w:tcPr>
            <w:tcW w:w="320" w:type="dxa"/>
            <w:vAlign w:val="bottom"/>
          </w:tcPr>
          <w:p>
            <w:pPr>
              <w:spacing w:after="0"/>
              <w:rPr>
                <w:sz w:val="19"/>
                <w:szCs w:val="19"/>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4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Earnings per common share, diluted:</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120" w:type="dxa"/>
            <w:vAlign w:val="bottom"/>
          </w:tcPr>
          <w:p>
            <w:pPr>
              <w:ind w:left="360"/>
              <w:spacing w:after="0"/>
              <w:rPr>
                <w:sz w:val="20"/>
                <w:szCs w:val="20"/>
                <w:color w:val="auto"/>
              </w:rPr>
            </w:pPr>
            <w:r>
              <w:rPr>
                <w:rFonts w:ascii="Arial" w:cs="Arial" w:eastAsia="Arial" w:hAnsi="Arial"/>
                <w:sz w:val="17"/>
                <w:szCs w:val="17"/>
                <w:color w:val="auto"/>
              </w:rPr>
              <w:t>Continuing operations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2.00</w:t>
            </w:r>
          </w:p>
        </w:tc>
        <w:tc>
          <w:tcPr>
            <w:tcW w:w="68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2.14</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1.97</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1.93</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1.56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0.38</w:t>
            </w: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0.02</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0.31</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0.04</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0.07</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20" w:type="dxa"/>
            <w:vAlign w:val="bottom"/>
          </w:tcPr>
          <w:p>
            <w:pPr>
              <w:ind w:left="360"/>
              <w:spacing w:after="0"/>
              <w:rPr>
                <w:sz w:val="20"/>
                <w:szCs w:val="20"/>
                <w:color w:val="auto"/>
              </w:rPr>
            </w:pPr>
            <w:r>
              <w:rPr>
                <w:rFonts w:ascii="Arial" w:cs="Arial" w:eastAsia="Arial" w:hAnsi="Arial"/>
                <w:sz w:val="17"/>
                <w:szCs w:val="17"/>
                <w:color w:val="auto"/>
              </w:rPr>
              <w:t>Gain on sale of real estate</w:t>
            </w:r>
          </w:p>
        </w:tc>
        <w:tc>
          <w:tcPr>
            <w:tcW w:w="3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0.08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0.19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0.01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2.46</w:t>
            </w:r>
          </w:p>
        </w:tc>
        <w:tc>
          <w:tcPr>
            <w:tcW w:w="680" w:type="dxa"/>
            <w:vAlign w:val="bottom"/>
            <w:tcBorders>
              <w:bottom w:val="single" w:sz="8" w:color="CCEEFF"/>
            </w:tcBorders>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2.35</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2.28</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1.98</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1.63</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Dividends declared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20" w:type="dxa"/>
            <w:vAlign w:val="bottom"/>
            <w:vMerge w:val="continue"/>
          </w:tcPr>
          <w:p>
            <w:pPr>
              <w:spacing w:after="0"/>
              <w:rPr>
                <w:sz w:val="18"/>
                <w:szCs w:val="18"/>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3.02</w:t>
            </w:r>
          </w:p>
        </w:tc>
        <w:tc>
          <w:tcPr>
            <w:tcW w:w="68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2.84</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2.72</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2.66</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Data:</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7"/>
                <w:szCs w:val="17"/>
                <w:color w:val="auto"/>
              </w:rPr>
              <w:t>Funds from operations available to common</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40"/>
              <w:spacing w:after="0"/>
              <w:rPr>
                <w:sz w:val="20"/>
                <w:szCs w:val="20"/>
                <w:color w:val="auto"/>
              </w:rPr>
            </w:pPr>
            <w:r>
              <w:rPr>
                <w:rFonts w:ascii="Arial" w:cs="Arial" w:eastAsia="Arial" w:hAnsi="Arial"/>
                <w:sz w:val="17"/>
                <w:szCs w:val="17"/>
                <w:color w:val="auto"/>
              </w:rPr>
              <w:t>shareholders(2)(3)</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289,938</w:t>
            </w:r>
          </w:p>
        </w:tc>
        <w:tc>
          <w:tcPr>
            <w:tcW w:w="68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277,237</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251,576</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239,210</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211,065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EBITDA(3)(4)</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446,555</w:t>
            </w:r>
          </w:p>
        </w:tc>
        <w:tc>
          <w:tcPr>
            <w:tcW w:w="680" w:type="dxa"/>
            <w:vAlign w:val="bottom"/>
            <w:tcBorders>
              <w:bottom w:val="single" w:sz="8" w:color="CCEEFF"/>
            </w:tcBorders>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410,918</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374,131</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352,481</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328,491</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Adjusted EBITDA(3)(4)</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417,700</w:t>
            </w:r>
          </w:p>
        </w:tc>
        <w:tc>
          <w:tcPr>
            <w:tcW w:w="680" w:type="dxa"/>
            <w:vAlign w:val="bottom"/>
            <w:gridSpan w:val="2"/>
          </w:tcPr>
          <w:p>
            <w:pPr>
              <w:jc w:val="center"/>
              <w:ind w:left="7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399,058</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357,030</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351,071</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327,193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Ratio of EBITDA to combined fixed charges and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preferred share dividends(3)(4)(5)</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3.3</w:t>
            </w:r>
          </w:p>
        </w:tc>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x</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3.3</w:t>
            </w:r>
          </w:p>
        </w:tc>
        <w:tc>
          <w:tcPr>
            <w:tcW w:w="620" w:type="dxa"/>
            <w:vAlign w:val="bottom"/>
            <w:tcBorders>
              <w:bottom w:val="single" w:sz="8" w:color="CCEEFF"/>
            </w:tcBorders>
            <w:gridSpan w:val="2"/>
            <w:shd w:val="clear" w:color="auto" w:fill="CCEEFF"/>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w:t>
            </w:r>
          </w:p>
        </w:tc>
        <w:tc>
          <w:tcPr>
            <w:tcW w:w="620" w:type="dxa"/>
            <w:vAlign w:val="bottom"/>
            <w:tcBorders>
              <w:bottom w:val="single" w:sz="8" w:color="CCEEFF"/>
            </w:tcBorders>
            <w:gridSpan w:val="2"/>
            <w:shd w:val="clear" w:color="auto" w:fill="CCEEFF"/>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w:t>
            </w:r>
          </w:p>
        </w:tc>
        <w:tc>
          <w:tcPr>
            <w:tcW w:w="620" w:type="dxa"/>
            <w:vAlign w:val="bottom"/>
            <w:tcBorders>
              <w:bottom w:val="single" w:sz="8" w:color="CCEEFF"/>
            </w:tcBorders>
            <w:gridSpan w:val="2"/>
            <w:shd w:val="clear" w:color="auto" w:fill="CCEEFF"/>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7"/>
                <w:szCs w:val="17"/>
                <w:color w:val="auto"/>
              </w:rPr>
              <w:t>Ratio of Adjusted EBITDA to combined fixed charges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40"/>
              <w:spacing w:after="0"/>
              <w:rPr>
                <w:sz w:val="20"/>
                <w:szCs w:val="20"/>
                <w:color w:val="auto"/>
              </w:rPr>
            </w:pPr>
            <w:r>
              <w:rPr>
                <w:rFonts w:ascii="Arial" w:cs="Arial" w:eastAsia="Arial" w:hAnsi="Arial"/>
                <w:sz w:val="17"/>
                <w:szCs w:val="17"/>
                <w:color w:val="auto"/>
              </w:rPr>
              <w:t>and preferred share dividends(3)(4)(5)</w:t>
            </w:r>
          </w:p>
        </w:tc>
        <w:tc>
          <w:tcPr>
            <w:tcW w:w="30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3.1</w:t>
            </w:r>
          </w:p>
        </w:tc>
        <w:tc>
          <w:tcPr>
            <w:tcW w:w="680" w:type="dxa"/>
            <w:vAlign w:val="bottom"/>
            <w:gridSpan w:val="2"/>
          </w:tcPr>
          <w:p>
            <w:pPr>
              <w:ind w:left="20"/>
              <w:spacing w:after="0"/>
              <w:rPr>
                <w:sz w:val="20"/>
                <w:szCs w:val="20"/>
                <w:color w:val="auto"/>
              </w:rPr>
            </w:pPr>
            <w:r>
              <w:rPr>
                <w:rFonts w:ascii="Arial" w:cs="Arial" w:eastAsia="Arial" w:hAnsi="Arial"/>
                <w:sz w:val="17"/>
                <w:szCs w:val="17"/>
                <w:color w:val="auto"/>
              </w:rPr>
              <w:t>x</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3.2</w:t>
            </w:r>
          </w:p>
        </w:tc>
        <w:tc>
          <w:tcPr>
            <w:tcW w:w="620" w:type="dxa"/>
            <w:vAlign w:val="bottom"/>
            <w:gridSpan w:val="2"/>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3.3</w:t>
            </w:r>
          </w:p>
        </w:tc>
        <w:tc>
          <w:tcPr>
            <w:tcW w:w="620" w:type="dxa"/>
            <w:vAlign w:val="bottom"/>
            <w:gridSpan w:val="2"/>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3.1</w:t>
            </w:r>
          </w:p>
        </w:tc>
        <w:tc>
          <w:tcPr>
            <w:tcW w:w="620" w:type="dxa"/>
            <w:vAlign w:val="bottom"/>
            <w:gridSpan w:val="2"/>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2.7</w:t>
            </w:r>
          </w:p>
        </w:tc>
        <w:tc>
          <w:tcPr>
            <w:tcW w:w="220" w:type="dxa"/>
            <w:vAlign w:val="bottom"/>
          </w:tcPr>
          <w:p>
            <w:pPr>
              <w:ind w:left="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69"/>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gridSpan w:val="2"/>
          </w:tcPr>
          <w:p>
            <w:pPr>
              <w:jc w:val="center"/>
              <w:ind w:left="53"/>
              <w:spacing w:after="0"/>
              <w:rPr>
                <w:sz w:val="20"/>
                <w:szCs w:val="20"/>
                <w:color w:val="auto"/>
              </w:rPr>
            </w:pPr>
            <w:r>
              <w:rPr>
                <w:rFonts w:ascii="Arial" w:cs="Arial" w:eastAsia="Arial" w:hAnsi="Arial"/>
                <w:sz w:val="17"/>
                <w:szCs w:val="17"/>
                <w:color w:val="auto"/>
                <w:w w:val="94"/>
              </w:rPr>
              <w:t>27</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2009</w:t>
            </w:r>
          </w:p>
        </w:tc>
      </w:tr>
      <w:tr>
        <w:trPr>
          <w:trHeight w:val="189"/>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4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(In thousands, except per share data)</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Real estate, at cost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5,149,463</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4,779,674</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4,426,444</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3,895,942</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3,759,234</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4,219,294</w:t>
            </w:r>
          </w:p>
        </w:tc>
        <w:tc>
          <w:tcPr>
            <w:tcW w:w="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3,898,565</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3,666,210</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3,159,553</w:t>
            </w:r>
          </w:p>
        </w:tc>
        <w:tc>
          <w:tcPr>
            <w:tcW w:w="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3,222,309</w:t>
            </w: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Mortgages payable and capital lease obligations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660,127</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832,482</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810,616</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589,441</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601,884</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Notes payable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300,822</w:t>
            </w:r>
          </w:p>
        </w:tc>
        <w:tc>
          <w:tcPr>
            <w:tcW w:w="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299,575</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295,159</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97,881</w:t>
            </w:r>
          </w:p>
        </w:tc>
        <w:tc>
          <w:tcPr>
            <w:tcW w:w="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261,745</w:t>
            </w: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Senior notes and debentures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1,360,913</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1,076,545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1,004,635</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1,079,827</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930,219</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Preferred shares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9,997</w:t>
            </w:r>
          </w:p>
        </w:tc>
        <w:tc>
          <w:tcPr>
            <w:tcW w:w="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9,997</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9,997</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9,997</w:t>
            </w:r>
          </w:p>
        </w:tc>
        <w:tc>
          <w:tcPr>
            <w:tcW w:w="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9,997</w:t>
            </w: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Shareholders’ equity</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1,471,297</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1,310,593</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1,240,604</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1,115,768</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1,151,738</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5"/>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Number of common shares outstanding</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66,701</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64,815</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63,544</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61,526</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61,242</w:t>
            </w:r>
          </w:p>
        </w:tc>
      </w:tr>
      <w:tr>
        <w:trPr>
          <w:trHeight w:val="26"/>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320" w:right="60" w:hanging="316"/>
        <w:spacing w:after="0" w:line="266"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45" w:lineRule="exact"/>
        <w:rPr>
          <w:rFonts w:ascii="Arial" w:cs="Arial" w:eastAsia="Arial" w:hAnsi="Arial"/>
          <w:sz w:val="17"/>
          <w:szCs w:val="17"/>
          <w:color w:val="auto"/>
        </w:rPr>
      </w:pPr>
    </w:p>
    <w:p>
      <w:pPr>
        <w:ind w:left="320" w:right="180" w:hanging="316"/>
        <w:spacing w:after="0" w:line="266"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FFO is a supplemental non-GAAP financial measure of real estate companies’ operating performances. The National Association of Real Estate Investment Trusts (“NAREIT”) defines FFO as follows: net income, computed in accordance with U.S.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45" w:lineRule="exact"/>
        <w:rPr>
          <w:rFonts w:ascii="Arial" w:cs="Arial" w:eastAsia="Arial" w:hAnsi="Arial"/>
          <w:sz w:val="17"/>
          <w:szCs w:val="17"/>
          <w:color w:val="auto"/>
        </w:rPr>
      </w:pPr>
    </w:p>
    <w:p>
      <w:pPr>
        <w:ind w:left="320"/>
        <w:spacing w:after="0" w:line="262" w:lineRule="auto"/>
        <w:rPr>
          <w:rFonts w:ascii="Arial" w:cs="Arial" w:eastAsia="Arial" w:hAnsi="Arial"/>
          <w:sz w:val="17"/>
          <w:szCs w:val="17"/>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2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2009</w:t>
            </w:r>
          </w:p>
        </w:tc>
      </w:tr>
      <w:tr>
        <w:trPr>
          <w:trHeight w:val="241"/>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167,608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128,237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103,872</w:t>
            </w:r>
          </w:p>
        </w:tc>
      </w:tr>
      <w:tr>
        <w:trPr>
          <w:trHeight w:val="235"/>
        </w:trPr>
        <w:tc>
          <w:tcPr>
            <w:tcW w:w="4860" w:type="dxa"/>
            <w:vAlign w:val="bottom"/>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(5,568)</w:t>
            </w:r>
          </w:p>
        </w:tc>
      </w:tr>
      <w:tr>
        <w:trPr>
          <w:trHeight w:val="26"/>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of real estate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(1,298)</w:t>
            </w:r>
          </w:p>
        </w:tc>
      </w:tr>
      <w:tr>
        <w:trPr>
          <w:trHeight w:val="235"/>
        </w:trPr>
        <w:tc>
          <w:tcPr>
            <w:tcW w:w="4860" w:type="dxa"/>
            <w:vAlign w:val="bottom"/>
          </w:tcPr>
          <w:p>
            <w:pPr>
              <w:ind w:left="20"/>
              <w:spacing w:after="0"/>
              <w:rPr>
                <w:sz w:val="20"/>
                <w:szCs w:val="20"/>
                <w:color w:val="auto"/>
              </w:rPr>
            </w:pPr>
            <w:r>
              <w:rPr>
                <w:rFonts w:ascii="Arial" w:cs="Arial" w:eastAsia="Arial" w:hAnsi="Arial"/>
                <w:sz w:val="17"/>
                <w:szCs w:val="17"/>
                <w:color w:val="auto"/>
              </w:rPr>
              <w:t>Gain on deconsolidation of VIE</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of real estate assets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144,873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125,611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113,188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107,187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103,104</w:t>
            </w:r>
          </w:p>
        </w:tc>
      </w:tr>
      <w:tr>
        <w:trPr>
          <w:trHeight w:val="235"/>
        </w:trPr>
        <w:tc>
          <w:tcPr>
            <w:tcW w:w="4860" w:type="dxa"/>
            <w:vAlign w:val="bottom"/>
          </w:tcPr>
          <w:p>
            <w:pPr>
              <w:ind w:left="20"/>
              <w:spacing w:after="0"/>
              <w:rPr>
                <w:sz w:val="20"/>
                <w:szCs w:val="20"/>
                <w:color w:val="auto"/>
              </w:rPr>
            </w:pPr>
            <w:r>
              <w:rPr>
                <w:rFonts w:ascii="Arial" w:cs="Arial" w:eastAsia="Arial" w:hAnsi="Arial"/>
                <w:sz w:val="17"/>
                <w:szCs w:val="17"/>
                <w:color w:val="auto"/>
              </w:rPr>
              <w:t>Amortization of initial direct costs of leases</w:t>
            </w:r>
          </w:p>
        </w:tc>
        <w:tc>
          <w:tcPr>
            <w:tcW w:w="2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10,694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10,935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10,432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9,552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9,821</w:t>
            </w:r>
          </w:p>
        </w:tc>
      </w:tr>
      <w:tr>
        <w:trPr>
          <w:trHeight w:val="26"/>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of joint venture real estate assets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1,388</w:t>
            </w:r>
          </w:p>
        </w:tc>
      </w:tr>
      <w:tr>
        <w:trPr>
          <w:trHeight w:val="228"/>
        </w:trPr>
        <w:tc>
          <w:tcPr>
            <w:tcW w:w="4860" w:type="dxa"/>
            <w:vAlign w:val="bottom"/>
          </w:tcPr>
          <w:p>
            <w:pPr>
              <w:ind w:left="20"/>
              <w:spacing w:after="0"/>
              <w:rPr>
                <w:sz w:val="20"/>
                <w:szCs w:val="20"/>
                <w:color w:val="auto"/>
              </w:rPr>
            </w:pPr>
            <w:r>
              <w:rPr>
                <w:rFonts w:ascii="Arial" w:cs="Arial" w:eastAsia="Arial" w:hAnsi="Arial"/>
                <w:sz w:val="17"/>
                <w:szCs w:val="17"/>
                <w:color w:val="auto"/>
              </w:rPr>
              <w:t>Funds from operations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290,897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278,124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252,207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239,618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211,319</w:t>
            </w:r>
          </w:p>
        </w:tc>
      </w:tr>
      <w:tr>
        <w:trPr>
          <w:trHeight w:val="26"/>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on preferred shares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r>
      <w:tr>
        <w:trPr>
          <w:trHeight w:val="235"/>
        </w:trPr>
        <w:tc>
          <w:tcPr>
            <w:tcW w:w="4860" w:type="dxa"/>
            <w:vAlign w:val="bottom"/>
          </w:tcPr>
          <w:p>
            <w:pPr>
              <w:ind w:left="20"/>
              <w:spacing w:after="0"/>
              <w:rPr>
                <w:sz w:val="20"/>
                <w:szCs w:val="20"/>
                <w:color w:val="auto"/>
              </w:rPr>
            </w:pPr>
            <w:r>
              <w:rPr>
                <w:rFonts w:ascii="Arial" w:cs="Arial" w:eastAsia="Arial" w:hAnsi="Arial"/>
                <w:sz w:val="17"/>
                <w:szCs w:val="17"/>
                <w:color w:val="auto"/>
              </w:rPr>
              <w:t>Income attributable to operating partnership units</w:t>
            </w:r>
          </w:p>
        </w:tc>
        <w:tc>
          <w:tcPr>
            <w:tcW w:w="2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888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943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981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974</w:t>
            </w:r>
          </w:p>
        </w:tc>
      </w:tr>
      <w:tr>
        <w:trPr>
          <w:trHeight w:val="26"/>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attributable to unvested shares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w:t>
            </w:r>
          </w:p>
        </w:tc>
      </w:tr>
      <w:tr>
        <w:trPr>
          <w:trHeight w:val="228"/>
        </w:trPr>
        <w:tc>
          <w:tcPr>
            <w:tcW w:w="4860" w:type="dxa"/>
            <w:vAlign w:val="bottom"/>
          </w:tcPr>
          <w:p>
            <w:pPr>
              <w:ind w:left="20"/>
              <w:spacing w:after="0"/>
              <w:rPr>
                <w:sz w:val="20"/>
                <w:szCs w:val="20"/>
                <w:color w:val="auto"/>
              </w:rPr>
            </w:pPr>
            <w:r>
              <w:rPr>
                <w:rFonts w:ascii="Arial" w:cs="Arial" w:eastAsia="Arial" w:hAnsi="Arial"/>
                <w:sz w:val="17"/>
                <w:szCs w:val="17"/>
                <w:color w:val="auto"/>
              </w:rPr>
              <w:t>Funds from operations available for common shareholders</w:t>
            </w: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289,938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277,237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251,576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239,210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211,065</w:t>
            </w:r>
          </w:p>
        </w:tc>
      </w:tr>
      <w:tr>
        <w:trPr>
          <w:trHeight w:val="26"/>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right="300" w:hanging="316"/>
        <w:spacing w:after="0" w:line="271"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a charge of $0.3 million and $16.4 million in 2010 and 2009, respectively, for adjusting the accrual for litigation regarding a parcel of land located adjacent to Santana Row as well as other costs related to the litigation and appeal process. The matter is further discussed in Note 9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left="320" w:right="100" w:hanging="316"/>
        <w:spacing w:after="0" w:line="263" w:lineRule="auto"/>
        <w:tabs>
          <w:tab w:leader="none" w:pos="2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reconciliation of net income to EBITDA and adjusted EBITDA for the periods presented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2009</w:t>
            </w:r>
          </w:p>
        </w:tc>
      </w:tr>
      <w:tr>
        <w:trPr>
          <w:trHeight w:val="241"/>
        </w:trPr>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167,608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149,612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103,872</w:t>
            </w:r>
          </w:p>
        </w:tc>
      </w:tr>
      <w:tr>
        <w:trPr>
          <w:trHeight w:val="235"/>
        </w:trPr>
        <w:tc>
          <w:tcPr>
            <w:tcW w:w="45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161,099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142,039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126,568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119,817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115,093</w:t>
            </w:r>
          </w:p>
        </w:tc>
      </w:tr>
      <w:tr>
        <w:trPr>
          <w:trHeight w:val="26"/>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104,977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113,336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98,465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101,882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108,781</w:t>
            </w:r>
          </w:p>
        </w:tc>
      </w:tr>
      <w:tr>
        <w:trPr>
          <w:trHeight w:val="235"/>
        </w:trPr>
        <w:tc>
          <w:tcPr>
            <w:tcW w:w="4560" w:type="dxa"/>
            <w:vAlign w:val="bottom"/>
          </w:tcPr>
          <w:p>
            <w:pPr>
              <w:ind w:left="20"/>
              <w:spacing w:after="0"/>
              <w:rPr>
                <w:sz w:val="20"/>
                <w:szCs w:val="20"/>
                <w:color w:val="auto"/>
              </w:rPr>
            </w:pPr>
            <w:r>
              <w:rPr>
                <w:rFonts w:ascii="Arial" w:cs="Arial" w:eastAsia="Arial" w:hAnsi="Arial"/>
                <w:sz w:val="17"/>
                <w:szCs w:val="17"/>
                <w:color w:val="auto"/>
              </w:rPr>
              <w:t>Early extinguishment of debt</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13,304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2,801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2,639</w:t>
            </w:r>
          </w:p>
        </w:tc>
      </w:tr>
      <w:tr>
        <w:trPr>
          <w:trHeight w:val="26"/>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interest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(1,894)</w:t>
            </w:r>
          </w:p>
        </w:tc>
      </w:tr>
      <w:tr>
        <w:trPr>
          <w:trHeight w:val="228"/>
        </w:trPr>
        <w:tc>
          <w:tcPr>
            <w:tcW w:w="4560" w:type="dxa"/>
            <w:vAlign w:val="bottom"/>
          </w:tcPr>
          <w:p>
            <w:pPr>
              <w:ind w:left="20"/>
              <w:spacing w:after="0"/>
              <w:rPr>
                <w:sz w:val="20"/>
                <w:szCs w:val="20"/>
                <w:color w:val="auto"/>
              </w:rPr>
            </w:pPr>
            <w:r>
              <w:rPr>
                <w:rFonts w:ascii="Arial" w:cs="Arial" w:eastAsia="Arial" w:hAnsi="Arial"/>
                <w:sz w:val="17"/>
                <w:szCs w:val="17"/>
                <w:color w:val="auto"/>
              </w:rPr>
              <w:t>EBITDA</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446,555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410,918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374,131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352,481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328,491</w:t>
            </w:r>
          </w:p>
        </w:tc>
      </w:tr>
      <w:tr>
        <w:trPr>
          <w:trHeight w:val="26"/>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of real estate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(1,298)</w:t>
            </w:r>
          </w:p>
        </w:tc>
      </w:tr>
      <w:tr>
        <w:trPr>
          <w:trHeight w:val="235"/>
        </w:trPr>
        <w:tc>
          <w:tcPr>
            <w:tcW w:w="4560" w:type="dxa"/>
            <w:vAlign w:val="bottom"/>
          </w:tcPr>
          <w:p>
            <w:pPr>
              <w:ind w:left="20"/>
              <w:spacing w:after="0"/>
              <w:rPr>
                <w:sz w:val="20"/>
                <w:szCs w:val="20"/>
                <w:color w:val="auto"/>
              </w:rPr>
            </w:pPr>
            <w:r>
              <w:rPr>
                <w:rFonts w:ascii="Arial" w:cs="Arial" w:eastAsia="Arial" w:hAnsi="Arial"/>
                <w:sz w:val="17"/>
                <w:szCs w:val="17"/>
                <w:color w:val="auto"/>
              </w:rPr>
              <w:t>Gain on deconsolidation of VIE</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4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9"/>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417,700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399,058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357,030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351,071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327,193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320" w:hanging="316"/>
        <w:spacing w:after="0" w:line="323" w:lineRule="auto"/>
        <w:tabs>
          <w:tab w:leader="none" w:pos="253" w:val="left"/>
        </w:tabs>
        <w:numPr>
          <w:ilvl w:val="0"/>
          <w:numId w:val="32"/>
        </w:numPr>
        <w:rPr>
          <w:rFonts w:ascii="Arial" w:cs="Arial" w:eastAsia="Arial" w:hAnsi="Arial"/>
          <w:sz w:val="15"/>
          <w:szCs w:val="15"/>
          <w:color w:val="auto"/>
        </w:rPr>
      </w:pPr>
      <w:r>
        <w:rPr>
          <w:rFonts w:ascii="Arial" w:cs="Arial" w:eastAsia="Arial" w:hAnsi="Arial"/>
          <w:sz w:val="15"/>
          <w:szCs w:val="15"/>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$13.3 million of early extinguishment of debt charge from fixed charges in 2013, the ratio of EBITDA and adjusted EBITDA to combined fixed charges and preferred share dividends is 3.7x and 3.4x, respectively.</w:t>
      </w:r>
    </w:p>
    <w:p>
      <w:pPr>
        <w:spacing w:after="0" w:line="158" w:lineRule="exact"/>
        <w:rPr>
          <w:sz w:val="20"/>
          <w:szCs w:val="20"/>
          <w:color w:val="auto"/>
        </w:rPr>
      </w:pPr>
    </w:p>
    <w:p>
      <w:pPr>
        <w:ind w:right="1640"/>
        <w:spacing w:after="0" w:line="355" w:lineRule="auto"/>
        <w:rPr>
          <w:sz w:val="20"/>
          <w:szCs w:val="20"/>
          <w:color w:val="auto"/>
        </w:rPr>
      </w:pPr>
      <w:r>
        <w:rPr>
          <w:rFonts w:ascii="Arial" w:cs="Arial" w:eastAsia="Arial" w:hAnsi="Arial"/>
          <w:sz w:val="17"/>
          <w:szCs w:val="17"/>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2013, we owned or had a majority interest in community and neighborhood shopping centers and mixed-use properties which are operated as 87 predominantly retail real estate projects comprising approximately 19.5 million square feet. In total, the real estate projects were 95.8% leased and 95.1% occupied at December 31, 2013. A joint venture in which we own a 30% interest owned seven retail real estate projects totaling approximately 1.0 million square feet as of December 31, 2013. In total, the joint venture properties in which we own a 30% interest were 84.9% leased and 84.9% occupied at December 31, 2013. We have paid quarterly dividends to our shareholders continuously since our founding in 1962 and have increased our dividends per common share for 46 consecutive years.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9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06"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35"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2013 and 2012, our allowance for doubtful accounts was $12.7 million and $15.9 million, respectively. Historically, we have recognized bad debt expense between 0.4% and 1.3% of rental income and it was 0.1% in 2013 reflecting positive economic changes and their impact to our tenants.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$6.2 million.</w:t>
      </w:r>
    </w:p>
    <w:p>
      <w:pPr>
        <w:spacing w:after="0" w:line="123"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2013 and 2012, accounts receivable includes approximately $60.6 million and $56.1 million, respectively, related to straight-line rents. Correspondingly, these estimates of collectability have a direct impact on our net income.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91"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26" w:right="2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necessary, to these estimates and, therefore, to our depreciation rates. These reviews may take into account such factors as the historical retirement and replacement of our assets, expected redevelopments, the repairs required to maintain the condition of our assets, and general economic and real estate factors. Certain events could occur that would materially affect our estimates and assumptions related to depreciation.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0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9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capitalized costs associated with developments and redevelopments are depreciated over the life of the improvement. 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11" w:lineRule="exact"/>
        <w:rPr>
          <w:sz w:val="20"/>
          <w:szCs w:val="20"/>
          <w:color w:val="auto"/>
        </w:rPr>
      </w:pPr>
    </w:p>
    <w:p>
      <w:pPr>
        <w:ind w:right="500"/>
        <w:spacing w:after="0" w:line="271"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$275 million and $6 million, respectively, for 2013 and $129 million and $6 million, respectively, for 2012. We capitalized external and internal costs related to other property improvements of $48 million and $1 million, respectively, for 2013 and $52 million and $1 million, respectively, for 2012. We capitalized external and internal costs related to leasing activities of $9 million and $6 million, respectively, for 2013 and $9 million and $6 million, respectively, for 2012. The amount of capitalized internal costs for salaries and related benefits for development and redevelopment activities, other property improvements, and leasing activities were $6 million, $1 million, and $5 million, respectively, for 2013 and $5 million, $1 million, and $5 million, respectively, for 2012.</w:t>
      </w:r>
    </w:p>
    <w:p>
      <w:pPr>
        <w:spacing w:after="0" w:line="13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Additionally, 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Acquisitions</w:t>
      </w:r>
    </w:p>
    <w:p>
      <w:pPr>
        <w:spacing w:after="0" w:line="91" w:lineRule="exact"/>
        <w:rPr>
          <w:sz w:val="20"/>
          <w:szCs w:val="20"/>
          <w:color w:val="auto"/>
        </w:rPr>
      </w:pPr>
    </w:p>
    <w:p>
      <w:pPr>
        <w:jc w:val="both"/>
        <w:ind w:right="260"/>
        <w:spacing w:after="0" w:line="295" w:lineRule="auto"/>
        <w:rPr>
          <w:sz w:val="20"/>
          <w:szCs w:val="20"/>
          <w:color w:val="auto"/>
        </w:rPr>
      </w:pPr>
      <w:r>
        <w:rPr>
          <w:rFonts w:ascii="Arial" w:cs="Arial" w:eastAsia="Arial" w:hAnsi="Arial"/>
          <w:sz w:val="15"/>
          <w:szCs w:val="15"/>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126" w:right="27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 and Impairment</w:t>
      </w:r>
    </w:p>
    <w:p>
      <w:pPr>
        <w:spacing w:after="0" w:line="9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1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91"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w:t>
      </w:r>
    </w:p>
    <w:p>
      <w:pPr>
        <w:spacing w:after="0" w:line="9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and future increases in costs of claims, when making these determinations. If our liability costs differ from these accruals, it will increase or decrease our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9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In February 2013, the FASB issued ASU 2013-02, "Comprehensive Income (Topic 220): Reporting Amounts Reclassified Out of Accumulated Other Comprehensive Income." ASU 2013-02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Significant Property Acquisitions and Dispositions</w:t>
      </w:r>
    </w:p>
    <w:p>
      <w:pPr>
        <w:spacing w:after="0" w:line="176"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On April 3, 2013 we acquired the fee interest in a 95,000 square foot retail property located in Darien, Connecticut for $47.3 million. Approximately $0.1 million and $1.8 million of net assets acquired were allocated to other assets for "above market leases" and other liabilities for "below market leases", respectively. We incurred $0.2 million of acquisition costs which are included in "general and administrative expenses" in 2013.</w:t>
      </w:r>
    </w:p>
    <w:p>
      <w:pPr>
        <w:spacing w:after="0" w:line="12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April 5, 2013, one of our tenants acquired our fee interest in the land under an office building at our Village of Shirlington property in Arlington, Virginia, that was subject to a long term ground lease. The ground lease included an option for the tenant to purchase the fee interest. The sales price was $6.5 million, and the gain was $5.0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July 22, 2013, we sold the fee interest in our final building at Fifth Avenue in San Diego, California for a sales price of $15.3 million resulting in a gain of $10.7 million. On September 10, 2013, we sold the fee interest in a building in Forest Hills (Queens), New York, for a sales price of $20.4 million resulting in a gain of $13.2 million. Both sales were completed as a Section 1031 tax deferred exchange transaction with the acquisition of the property in Darien.</w:t>
      </w:r>
    </w:p>
    <w:p>
      <w:pPr>
        <w:spacing w:after="0" w:line="101"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On October 1, 2013, we acquired the fee interest in an 11.8 acre land parcel adjacent to our Assembly Row development project for a purchase price of $18.0 million.</w:t>
      </w:r>
    </w:p>
    <w:p>
      <w:pPr>
        <w:spacing w:after="0" w:line="106"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color w:val="auto"/>
        </w:rPr>
        <w:t>On December 19, 2013, we acquired the fee interest in a land parcel contiguous with our Montrose Crossing shopping center that is encumbered by two retail ground leases. The total purchase price was $10.5 million and our 89.9% share was $9.4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 - 2014 Property Acquisition</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Plaza, a 99,000 square foot shopping center in Sea Girt, New Jersey for a gross value of $161 million. Our effective economic interest approximates 84% and was funded by the assumption of our share of $68 million of mortgage debt, 632,000 downREIT units, and $13 million of cash. The mortgage debt assumed is secured by the individual properties and has the following contractual terms: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1180" w:type="dxa"/>
            <w:vAlign w:val="bottom"/>
          </w:tcPr>
          <w:p>
            <w:pPr>
              <w:jc w:val="center"/>
              <w:ind w:left="362"/>
              <w:spacing w:after="0"/>
              <w:rPr>
                <w:sz w:val="20"/>
                <w:szCs w:val="20"/>
                <w:color w:val="auto"/>
              </w:rPr>
            </w:pPr>
            <w:r>
              <w:rPr>
                <w:rFonts w:ascii="Arial" w:cs="Arial" w:eastAsia="Arial" w:hAnsi="Arial"/>
                <w:sz w:val="16"/>
                <w:szCs w:val="16"/>
                <w:b w:val="1"/>
                <w:bCs w:val="1"/>
                <w:color w:val="auto"/>
                <w:w w:val="91"/>
              </w:rPr>
              <w:t>Principal</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Stated Interest Rate</w:t>
            </w:r>
          </w:p>
        </w:tc>
        <w:tc>
          <w:tcPr>
            <w:tcW w:w="1700" w:type="dxa"/>
            <w:vAlign w:val="bottom"/>
            <w:gridSpan w:val="2"/>
          </w:tcPr>
          <w:p>
            <w:pPr>
              <w:jc w:val="right"/>
              <w:ind w:right="293"/>
              <w:spacing w:after="0"/>
              <w:rPr>
                <w:sz w:val="20"/>
                <w:szCs w:val="20"/>
                <w:color w:val="auto"/>
              </w:rPr>
            </w:pPr>
            <w:r>
              <w:rPr>
                <w:rFonts w:ascii="Arial" w:cs="Arial" w:eastAsia="Arial" w:hAnsi="Arial"/>
                <w:sz w:val="16"/>
                <w:szCs w:val="16"/>
                <w:b w:val="1"/>
                <w:bCs w:val="1"/>
                <w:color w:val="auto"/>
              </w:rPr>
              <w:t>Maturity Date</w:t>
            </w:r>
          </w:p>
        </w:tc>
      </w:tr>
      <w:tr>
        <w:trPr>
          <w:trHeight w:val="32"/>
        </w:trPr>
        <w:tc>
          <w:tcPr>
            <w:tcW w:w="6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2"/>
        </w:trPr>
        <w:tc>
          <w:tcPr>
            <w:tcW w:w="6020" w:type="dxa"/>
            <w:vAlign w:val="bottom"/>
          </w:tcPr>
          <w:p>
            <w:pPr>
              <w:spacing w:after="0"/>
              <w:rPr>
                <w:sz w:val="21"/>
                <w:szCs w:val="21"/>
                <w:color w:val="auto"/>
              </w:rPr>
            </w:pPr>
          </w:p>
        </w:tc>
        <w:tc>
          <w:tcPr>
            <w:tcW w:w="1180" w:type="dxa"/>
            <w:vAlign w:val="bottom"/>
          </w:tcPr>
          <w:p>
            <w:pPr>
              <w:jc w:val="center"/>
              <w:ind w:left="342"/>
              <w:spacing w:after="0"/>
              <w:rPr>
                <w:sz w:val="20"/>
                <w:szCs w:val="20"/>
                <w:color w:val="auto"/>
              </w:rPr>
            </w:pPr>
            <w:r>
              <w:rPr>
                <w:rFonts w:ascii="Arial" w:cs="Arial" w:eastAsia="Arial" w:hAnsi="Arial"/>
                <w:sz w:val="14"/>
                <w:szCs w:val="14"/>
                <w:b w:val="1"/>
                <w:bCs w:val="1"/>
                <w:color w:val="auto"/>
                <w:w w:val="91"/>
              </w:rPr>
              <w:t>(in millions)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7"/>
        </w:trPr>
        <w:tc>
          <w:tcPr>
            <w:tcW w:w="6020" w:type="dxa"/>
            <w:vAlign w:val="bottom"/>
          </w:tcPr>
          <w:p>
            <w:pPr>
              <w:ind w:left="40"/>
              <w:spacing w:after="0"/>
              <w:rPr>
                <w:sz w:val="20"/>
                <w:szCs w:val="20"/>
                <w:color w:val="auto"/>
              </w:rPr>
            </w:pPr>
            <w:r>
              <w:rPr>
                <w:rFonts w:ascii="Arial" w:cs="Arial" w:eastAsia="Arial" w:hAnsi="Arial"/>
                <w:sz w:val="17"/>
                <w:szCs w:val="17"/>
                <w:color w:val="auto"/>
              </w:rPr>
              <w:t>Brook 35 Plaza</w:t>
            </w:r>
          </w:p>
        </w:tc>
        <w:tc>
          <w:tcPr>
            <w:tcW w:w="1180" w:type="dxa"/>
            <w:vAlign w:val="bottom"/>
          </w:tcPr>
          <w:p>
            <w:pPr>
              <w:jc w:val="right"/>
              <w:ind w:right="982"/>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
              <w:spacing w:after="0"/>
              <w:rPr>
                <w:sz w:val="20"/>
                <w:szCs w:val="20"/>
                <w:color w:val="auto"/>
              </w:rPr>
            </w:pPr>
            <w:r>
              <w:rPr>
                <w:rFonts w:ascii="Arial" w:cs="Arial" w:eastAsia="Arial" w:hAnsi="Arial"/>
                <w:sz w:val="17"/>
                <w:szCs w:val="17"/>
                <w:color w:val="auto"/>
                <w:w w:val="90"/>
              </w:rPr>
              <w:t>11.5</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July 1, 2014</w:t>
            </w:r>
          </w:p>
        </w:tc>
      </w:tr>
      <w:tr>
        <w:trPr>
          <w:trHeight w:val="26"/>
        </w:trPr>
        <w:tc>
          <w:tcPr>
            <w:tcW w:w="6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1"/>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 Grove at Shrewsbury</w:t>
            </w:r>
          </w:p>
        </w:tc>
        <w:tc>
          <w:tcPr>
            <w:tcW w:w="1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0"/>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October 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2017</w:t>
            </w:r>
          </w:p>
        </w:tc>
      </w:tr>
      <w:tr>
        <w:trPr>
          <w:trHeight w:val="235"/>
        </w:trPr>
        <w:tc>
          <w:tcPr>
            <w:tcW w:w="6020" w:type="dxa"/>
            <w:vAlign w:val="bottom"/>
          </w:tcPr>
          <w:p>
            <w:pPr>
              <w:ind w:left="40"/>
              <w:spacing w:after="0"/>
              <w:rPr>
                <w:sz w:val="20"/>
                <w:szCs w:val="20"/>
                <w:color w:val="auto"/>
              </w:rPr>
            </w:pPr>
            <w:r>
              <w:rPr>
                <w:rFonts w:ascii="Arial" w:cs="Arial" w:eastAsia="Arial" w:hAnsi="Arial"/>
                <w:sz w:val="17"/>
                <w:szCs w:val="17"/>
                <w:color w:val="auto"/>
              </w:rPr>
              <w:t>The Grove at Shrewsbury (West)</w:t>
            </w:r>
          </w:p>
        </w:tc>
        <w:tc>
          <w:tcPr>
            <w:tcW w:w="1180" w:type="dxa"/>
            <w:vAlign w:val="bottom"/>
          </w:tcPr>
          <w:p>
            <w:pPr>
              <w:spacing w:after="0"/>
              <w:rPr>
                <w:sz w:val="20"/>
                <w:szCs w:val="20"/>
                <w:color w:val="auto"/>
              </w:rPr>
            </w:pPr>
          </w:p>
        </w:tc>
        <w:tc>
          <w:tcPr>
            <w:tcW w:w="420" w:type="dxa"/>
            <w:vAlign w:val="bottom"/>
          </w:tcPr>
          <w:p>
            <w:pPr>
              <w:jc w:val="right"/>
              <w:ind w:right="13"/>
              <w:spacing w:after="0"/>
              <w:rPr>
                <w:sz w:val="20"/>
                <w:szCs w:val="20"/>
                <w:color w:val="auto"/>
              </w:rPr>
            </w:pPr>
            <w:r>
              <w:rPr>
                <w:rFonts w:ascii="Arial" w:cs="Arial" w:eastAsia="Arial" w:hAnsi="Arial"/>
                <w:sz w:val="17"/>
                <w:szCs w:val="17"/>
                <w:color w:val="auto"/>
                <w:w w:val="90"/>
              </w:rPr>
              <w:t>11.4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March 1,</w:t>
            </w:r>
          </w:p>
        </w:tc>
        <w:tc>
          <w:tcPr>
            <w:tcW w:w="400" w:type="dxa"/>
            <w:vAlign w:val="bottom"/>
          </w:tcPr>
          <w:p>
            <w:pPr>
              <w:jc w:val="right"/>
              <w:spacing w:after="0"/>
              <w:rPr>
                <w:sz w:val="20"/>
                <w:szCs w:val="20"/>
                <w:color w:val="auto"/>
              </w:rPr>
            </w:pPr>
            <w:r>
              <w:rPr>
                <w:rFonts w:ascii="Arial" w:cs="Arial" w:eastAsia="Arial" w:hAnsi="Arial"/>
                <w:sz w:val="17"/>
                <w:szCs w:val="17"/>
                <w:color w:val="auto"/>
                <w:w w:val="95"/>
              </w:rPr>
              <w:t>2018</w:t>
            </w:r>
          </w:p>
        </w:tc>
      </w:tr>
    </w:tbl>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 purchase price allocation will be completed after our valuation studies are complete. Additionally, we have entered into an agreement to acquire the interest of one of the non-controlling interest holders in the Grove at Shrewsbury for approximately $9 million in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Significant Debt and Equity Transactions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During 2013, we repaid the following mortgage loans: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Principal Payoff</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1080" w:type="dxa"/>
            <w:vAlign w:val="bottom"/>
          </w:tcPr>
          <w:p>
            <w:pPr>
              <w:jc w:val="center"/>
              <w:ind w:left="44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Repayment Date</w:t>
            </w:r>
          </w:p>
        </w:tc>
        <w:tc>
          <w:tcPr>
            <w:tcW w:w="1580" w:type="dxa"/>
            <w:vAlign w:val="bottom"/>
          </w:tcPr>
          <w:p>
            <w:pPr>
              <w:jc w:val="right"/>
              <w:ind w:right="234"/>
              <w:spacing w:after="0"/>
              <w:rPr>
                <w:sz w:val="20"/>
                <w:szCs w:val="20"/>
                <w:color w:val="auto"/>
              </w:rPr>
            </w:pPr>
            <w:r>
              <w:rPr>
                <w:rFonts w:ascii="Arial" w:cs="Arial" w:eastAsia="Arial" w:hAnsi="Arial"/>
                <w:sz w:val="16"/>
                <w:szCs w:val="16"/>
                <w:b w:val="1"/>
                <w:bCs w:val="1"/>
                <w:color w:val="auto"/>
              </w:rPr>
              <w:t>Maturity Date</w:t>
            </w:r>
          </w:p>
        </w:tc>
      </w:tr>
      <w:tr>
        <w:trPr>
          <w:trHeight w:val="32"/>
        </w:trPr>
        <w:tc>
          <w:tcPr>
            <w:tcW w:w="6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8"/>
        </w:trPr>
        <w:tc>
          <w:tcPr>
            <w:tcW w:w="612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White Marsh Plaza</w:t>
            </w:r>
          </w:p>
        </w:tc>
        <w:tc>
          <w:tcPr>
            <w:tcW w:w="108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January 2, 2013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April 1, 2013</w:t>
            </w:r>
          </w:p>
        </w:tc>
      </w:tr>
      <w:tr>
        <w:trPr>
          <w:trHeight w:val="235"/>
        </w:trPr>
        <w:tc>
          <w:tcPr>
            <w:tcW w:w="6120" w:type="dxa"/>
            <w:vAlign w:val="bottom"/>
          </w:tcPr>
          <w:p>
            <w:pPr>
              <w:ind w:left="20"/>
              <w:spacing w:after="0"/>
              <w:rPr>
                <w:sz w:val="20"/>
                <w:szCs w:val="20"/>
                <w:color w:val="auto"/>
              </w:rPr>
            </w:pPr>
            <w:r>
              <w:rPr>
                <w:rFonts w:ascii="Arial" w:cs="Arial" w:eastAsia="Arial" w:hAnsi="Arial"/>
                <w:sz w:val="17"/>
                <w:szCs w:val="17"/>
                <w:color w:val="auto"/>
              </w:rPr>
              <w:t>Crow Canyon</w:t>
            </w:r>
          </w:p>
        </w:tc>
        <w:tc>
          <w:tcPr>
            <w:tcW w:w="108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June 11, 2013</w:t>
            </w:r>
          </w:p>
        </w:tc>
        <w:tc>
          <w:tcPr>
            <w:tcW w:w="1580" w:type="dxa"/>
            <w:vAlign w:val="bottom"/>
          </w:tcPr>
          <w:p>
            <w:pPr>
              <w:jc w:val="right"/>
              <w:spacing w:after="0"/>
              <w:rPr>
                <w:sz w:val="20"/>
                <w:szCs w:val="20"/>
                <w:color w:val="auto"/>
              </w:rPr>
            </w:pPr>
            <w:r>
              <w:rPr>
                <w:rFonts w:ascii="Arial" w:cs="Arial" w:eastAsia="Arial" w:hAnsi="Arial"/>
                <w:sz w:val="17"/>
                <w:szCs w:val="17"/>
                <w:color w:val="auto"/>
              </w:rPr>
              <w:t>August 11, 2013</w:t>
            </w:r>
          </w:p>
        </w:tc>
      </w:tr>
      <w:tr>
        <w:trPr>
          <w:trHeight w:val="26"/>
        </w:trPr>
        <w:tc>
          <w:tcPr>
            <w:tcW w:w="6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Idylwood Plaza (1)</w:t>
            </w: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December 5, 2013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June 5, 2014</w:t>
            </w:r>
          </w:p>
        </w:tc>
      </w:tr>
      <w:tr>
        <w:trPr>
          <w:trHeight w:val="235"/>
        </w:trPr>
        <w:tc>
          <w:tcPr>
            <w:tcW w:w="6120" w:type="dxa"/>
            <w:vAlign w:val="bottom"/>
          </w:tcPr>
          <w:p>
            <w:pPr>
              <w:ind w:left="20"/>
              <w:spacing w:after="0"/>
              <w:rPr>
                <w:sz w:val="20"/>
                <w:szCs w:val="20"/>
                <w:color w:val="auto"/>
              </w:rPr>
            </w:pPr>
            <w:r>
              <w:rPr>
                <w:rFonts w:ascii="Arial" w:cs="Arial" w:eastAsia="Arial" w:hAnsi="Arial"/>
                <w:sz w:val="17"/>
                <w:szCs w:val="17"/>
                <w:color w:val="auto"/>
              </w:rPr>
              <w:t>Leesburg Plaza (1)</w:t>
            </w:r>
          </w:p>
        </w:tc>
        <w:tc>
          <w:tcPr>
            <w:tcW w:w="108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27.3</w:t>
            </w:r>
          </w:p>
        </w:tc>
        <w:tc>
          <w:tcPr>
            <w:tcW w:w="12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December 5, 2013</w:t>
            </w:r>
          </w:p>
        </w:tc>
        <w:tc>
          <w:tcPr>
            <w:tcW w:w="1580" w:type="dxa"/>
            <w:vAlign w:val="bottom"/>
          </w:tcPr>
          <w:p>
            <w:pPr>
              <w:jc w:val="right"/>
              <w:spacing w:after="0"/>
              <w:rPr>
                <w:sz w:val="20"/>
                <w:szCs w:val="20"/>
                <w:color w:val="auto"/>
              </w:rPr>
            </w:pPr>
            <w:r>
              <w:rPr>
                <w:rFonts w:ascii="Arial" w:cs="Arial" w:eastAsia="Arial" w:hAnsi="Arial"/>
                <w:sz w:val="17"/>
                <w:szCs w:val="17"/>
                <w:color w:val="auto"/>
              </w:rPr>
              <w:t>June 5, 2014</w:t>
            </w:r>
          </w:p>
        </w:tc>
      </w:tr>
      <w:tr>
        <w:trPr>
          <w:trHeight w:val="26"/>
        </w:trPr>
        <w:tc>
          <w:tcPr>
            <w:tcW w:w="6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Loehmann's Plaza (1)</w:t>
            </w: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December 5, 2013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June 5, 2014</w:t>
            </w:r>
          </w:p>
        </w:tc>
      </w:tr>
      <w:tr>
        <w:trPr>
          <w:trHeight w:val="235"/>
        </w:trPr>
        <w:tc>
          <w:tcPr>
            <w:tcW w:w="6120" w:type="dxa"/>
            <w:vAlign w:val="bottom"/>
          </w:tcPr>
          <w:p>
            <w:pPr>
              <w:ind w:left="20"/>
              <w:spacing w:after="0"/>
              <w:rPr>
                <w:sz w:val="20"/>
                <w:szCs w:val="20"/>
                <w:color w:val="auto"/>
              </w:rPr>
            </w:pPr>
            <w:r>
              <w:rPr>
                <w:rFonts w:ascii="Arial" w:cs="Arial" w:eastAsia="Arial" w:hAnsi="Arial"/>
                <w:sz w:val="17"/>
                <w:szCs w:val="17"/>
                <w:color w:val="auto"/>
              </w:rPr>
              <w:t>Pentagon Row (1)</w:t>
            </w:r>
          </w:p>
        </w:tc>
        <w:tc>
          <w:tcPr>
            <w:tcW w:w="108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50.7</w:t>
            </w:r>
          </w:p>
        </w:tc>
        <w:tc>
          <w:tcPr>
            <w:tcW w:w="12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7"/>
                <w:szCs w:val="17"/>
                <w:color w:val="auto"/>
              </w:rPr>
              <w:t>December 5, 2013</w:t>
            </w:r>
          </w:p>
        </w:tc>
        <w:tc>
          <w:tcPr>
            <w:tcW w:w="1580" w:type="dxa"/>
            <w:vAlign w:val="bottom"/>
          </w:tcPr>
          <w:p>
            <w:pPr>
              <w:jc w:val="right"/>
              <w:spacing w:after="0"/>
              <w:rPr>
                <w:sz w:val="20"/>
                <w:szCs w:val="20"/>
                <w:color w:val="auto"/>
              </w:rPr>
            </w:pPr>
            <w:r>
              <w:rPr>
                <w:rFonts w:ascii="Arial" w:cs="Arial" w:eastAsia="Arial" w:hAnsi="Arial"/>
                <w:sz w:val="17"/>
                <w:szCs w:val="17"/>
                <w:color w:val="auto"/>
              </w:rPr>
              <w:t>June 5, 2014</w:t>
            </w:r>
          </w:p>
        </w:tc>
      </w:tr>
      <w:tr>
        <w:trPr>
          <w:trHeight w:val="26"/>
        </w:trPr>
        <w:tc>
          <w:tcPr>
            <w:tcW w:w="6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28"/>
        </w:trPr>
        <w:tc>
          <w:tcPr>
            <w:tcW w:w="6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3"/>
              </w:rPr>
              <w:t>157.3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6"/>
        </w:trPr>
        <w:tc>
          <w:tcPr>
            <w:tcW w:w="6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(1) The payoff included a prepayment premium totaling $4.4 million for all four mortgages which is included in "early extinguishment of debt" in 2013.</w:t>
      </w:r>
    </w:p>
    <w:p>
      <w:pPr>
        <w:spacing w:after="0" w:line="74" w:lineRule="exact"/>
        <w:rPr>
          <w:sz w:val="20"/>
          <w:szCs w:val="20"/>
          <w:color w:val="auto"/>
        </w:rPr>
      </w:pPr>
    </w:p>
    <w:p>
      <w:pPr>
        <w:jc w:val="both"/>
        <w:ind w:right="60"/>
        <w:spacing w:after="0" w:line="320" w:lineRule="auto"/>
        <w:rPr>
          <w:sz w:val="20"/>
          <w:szCs w:val="20"/>
          <w:color w:val="auto"/>
        </w:rPr>
      </w:pPr>
      <w:r>
        <w:rPr>
          <w:rFonts w:ascii="Arial" w:cs="Arial" w:eastAsia="Arial" w:hAnsi="Arial"/>
          <w:sz w:val="16"/>
          <w:szCs w:val="16"/>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5" w:lineRule="exact"/>
        <w:rPr>
          <w:sz w:val="20"/>
          <w:szCs w:val="20"/>
          <w:color w:val="auto"/>
        </w:rPr>
      </w:pPr>
    </w:p>
    <w:p>
      <w:pPr>
        <w:ind w:right="560"/>
        <w:spacing w:after="0" w:line="287" w:lineRule="auto"/>
        <w:rPr>
          <w:sz w:val="20"/>
          <w:szCs w:val="20"/>
          <w:color w:val="auto"/>
        </w:rPr>
      </w:pPr>
      <w:r>
        <w:rPr>
          <w:rFonts w:ascii="Arial" w:cs="Arial" w:eastAsia="Arial" w:hAnsi="Arial"/>
          <w:sz w:val="17"/>
          <w:szCs w:val="17"/>
          <w:color w:val="auto"/>
        </w:rPr>
        <w:t>On May 9, 2013, we issued $275.0 million of fixed rate senior notes that mature on June 1, 2023 and bear interest at 2.75%. The net proceeds from this note offering after issuance discounts, underwriting fees, and other costs were approximately $269.3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On June 9, 2013, we redeemed our $135.0 million 5.40% senior notes prior to the original maturity date of December 1, 2013. The redemption price of $138.5 million included a make-whole premium of approximately $3.3 million and accrued but unpaid interest of $0.2 million. The make-whole premium is included in "early extinguishment of debt" in 2013.</w:t>
      </w:r>
    </w:p>
    <w:p>
      <w:pPr>
        <w:spacing w:after="0" w:line="4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On December 9, 2013 we issued $300.0 million of fixed rate senior notes that mature on January 15, 2024 and bear interest at 3.95%. The net proceeds from this note offering after issuance discounts, underwriting fees and other costs were approximately $294.7 million.</w:t>
      </w:r>
    </w:p>
    <w:p>
      <w:pPr>
        <w:spacing w:after="0" w:line="2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27, 2013, we redeemed our $150.0 million 5.95% senior notes prior to the original maturity date of August 15, 2014. The redemption price of $158.3 million included a make whole premium of approximately $5.0 million and accrued but unpaid interest of $3.3 million. The make whole premium is included in "early extinguishment of debt" in 2013.</w:t>
      </w:r>
    </w:p>
    <w:p>
      <w:pPr>
        <w:spacing w:after="0" w:line="4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have an at the market ("ATM") equity program in which we may from time to time offer and sell common shares having an aggregate offering price of up to $300 million. We intend to use the net proceeds to fund potential acquisition opportunities, fund our development and redevelopment pipeline, repay amounts outstanding under our revolving credit facility and/or for general corporate purposes. For the three months ended December 31, 2013, we issued 659,938 common shares at the weighted average price per share of $104.77 for net cash proceeds of $68.4 million and paid $0.7 million in commissions and $0.1 million in additional offering expenses related to to the sales of these common shares. For the year ended December 31, 2013, we issued 1,734,974 common shares at a weighted average price per share of $108.01 for net cash proceeds of $185.2 million and paid $2.0 million in commissions and $0.2 million in additional offering expenses related to the sales of these common shares. As of December 31, 2013, we had the capacity to issue up to $26.0 million in common shares under our ATM equity program.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We seek growth in earnings, funds from operations, and cash flows primarily through a combination of the following:</w:t>
      </w:r>
    </w:p>
    <w:p>
      <w:pPr>
        <w:spacing w:after="0" w:line="65" w:lineRule="exact"/>
        <w:rPr>
          <w:sz w:val="20"/>
          <w:szCs w:val="20"/>
          <w:color w:val="auto"/>
        </w:rPr>
      </w:pPr>
    </w:p>
    <w:p>
      <w:pPr>
        <w:ind w:left="1640" w:hanging="775"/>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growth in our same-center portfolio,</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growth in our portfolio from property development and redevelopments, and</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our portfolio through property acquisitions.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few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We seek to maintain a mix of strong national, regional, and local retailers. At December 31, 2013, no single tenant accounted for more than 3.5% of annualized base rent.</w:t>
      </w:r>
    </w:p>
    <w:p>
      <w:pPr>
        <w:spacing w:after="0" w:line="10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Our properties are generally located in densely populated,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2014, we expect to have redevelopment projects stabilizing with projected costs of approximately $26 million.</w:t>
      </w:r>
    </w:p>
    <w:p>
      <w:pPr>
        <w:spacing w:after="0" w:line="8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continue our ongoing redevelopment efforts at Santana Row which currently has zoning entitlements to build an additional 348 residential units and 305,000 square feet of retail and office space. The first phase of our new 212 unit residential building will be completed in first quarter 2014 with the remainder of the building expected to be completed by mid-2014. The building is expected to stabilize in 2014 and to cost approximately $75 million of which $66 million has been incurred to date.</w:t>
      </w:r>
    </w:p>
    <w:p>
      <w:pPr>
        <w:spacing w:after="0" w:line="12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continue to invest in the development at Assembly Row which is a long-term development project we expect to be involved in over the coming years. The carrying value of the development portion of this project at December 31, 2013 is approximately $259 million. The project currently has zoning entitlements to build 2.3 million square feet of commercial-use buildings, 2,100 residential units, and a 200 room hotel. In December 2011, we entered into agreements with AvalonBay Communities ("AvalonBay") for a portion of the first phase of development at Assembly Row which will include 450 residential units (by AvalonBay) and approximately 326,000 square feet of retail space and 98,000 square feet of office space (both by the Trust). The Massachusetts Bay Transit Authority (MBTA) is constructing the new orange line T-Stop at the property. Our construction on the first phase commenced during the first quarter 2012. Total expected costs for Phase I of Assembly Row range from $190 million to $200 million of which $115 million has been incurred to date. We expect Phase I to open in 2014 and stabilize in 2015. Additionally during 2013, we continued our infrastructure work. In total, we invested $89 million in Assembly Row in 2013, net of public funding, and expect to invest between $65 million and $85 million in 2014, net of expected public funding.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the third quarter 2012, we broke ground on the first phase of Pike &amp; Rose in Rockville, MD, a long-term multi-phased mixed-use project located on a portion of our Mid-Pike Plaza property. The property currently has zoning entitlements to build 1.7 million square feet of commercial-use buildings and 1,583 residential units. Phase I of Pike &amp; Rose involves demolition of roughly 25% of the existing gross leasable area at Mid-Pike Plaza (which was completed during the second quarter 2012) and construction of 493 residential units, 151,000 square feet of retail space and 79,000 square feet of office space. Total expected costs for Phase I of Pike &amp; Rose range from $245 million to $255 million of which $106 million has been incurred to date. We expect a portion of Phase I to open in 2014 and the remainder in 2015 and expect Phase I to stabilize in 2015/2016. We invested $98 million in Pike &amp; Rose in 2013 and expect to invest between $80 million to $110 million in 2014 related to Phase 1.</w:t>
      </w:r>
    </w:p>
    <w:p>
      <w:pPr>
        <w:spacing w:after="0" w:line="128" w:lineRule="exact"/>
        <w:rPr>
          <w:sz w:val="20"/>
          <w:szCs w:val="20"/>
          <w:color w:val="auto"/>
        </w:rPr>
      </w:pPr>
    </w:p>
    <w:p>
      <w:pPr>
        <w:ind w:right="540"/>
        <w:spacing w:after="0" w:line="287"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0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At December 31, 2013, the leasable square feet in our properties was 95.1% occupied and 95.8%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Same-Center</w:t>
      </w:r>
    </w:p>
    <w:p>
      <w:pPr>
        <w:spacing w:after="0" w:line="97"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year ended December 31, 2013 and the comparison of 2013 and 2012, all or a portion of 79 properties were considered same-center and eleven properties were considered redevelopment or expansion. For the year ended December 31, 2013, three properties were moved from acquisition to same-center and one property was moved from redevelopment to same-center compared to the designations as of December 31, 2012. For the year ended December 31, 2012 and the comparison of 2012 and 2011, all or a portion of 75 properties were considered same-center and eight properties were considered redevelopment or expansion. For the year ended December 31, 2012, four properties were removed from same-center and two properties were added to same-center compared to the designations as of December 31, 2011.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26"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2013 COMPARED TO YEAR ENDED DECEMBER 31, 2012</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r>
      <w:tr>
        <w:trPr>
          <w:trHeight w:val="254"/>
        </w:trPr>
        <w:tc>
          <w:tcPr>
            <w:tcW w:w="5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r>
      <w:tr>
        <w:trPr>
          <w:trHeight w:val="189"/>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840" w:type="dxa"/>
            <w:vAlign w:val="bottom"/>
          </w:tcPr>
          <w:p>
            <w:pPr>
              <w:spacing w:after="0"/>
              <w:rPr>
                <w:sz w:val="16"/>
                <w:szCs w:val="16"/>
                <w:color w:val="auto"/>
              </w:rPr>
            </w:pPr>
          </w:p>
        </w:tc>
      </w:tr>
      <w:tr>
        <w:trPr>
          <w:trHeight w:val="24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income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620,089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580,114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39,975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Other property income</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12,169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20,211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(8,042)</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Mortgage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8"/>
        </w:trPr>
        <w:tc>
          <w:tcPr>
            <w:tcW w:w="5900" w:type="dxa"/>
            <w:vAlign w:val="bottom"/>
          </w:tcPr>
          <w:p>
            <w:pPr>
              <w:ind w:left="360"/>
              <w:spacing w:after="0"/>
              <w:rPr>
                <w:sz w:val="20"/>
                <w:szCs w:val="20"/>
                <w:color w:val="auto"/>
              </w:rPr>
            </w:pPr>
            <w:r>
              <w:rPr>
                <w:rFonts w:ascii="Arial" w:cs="Arial" w:eastAsia="Arial" w:hAnsi="Arial"/>
                <w:sz w:val="17"/>
                <w:szCs w:val="17"/>
                <w:color w:val="auto"/>
              </w:rPr>
              <w:t>Total property revenue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637,413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605,791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31,622</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5.2 %</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3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118,695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112,616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6,079</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Real estate taxes</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71,759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66,454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5,305</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8.0 %</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4"/>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190,454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179,070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11,384</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6.4 %</w:t>
            </w:r>
          </w:p>
        </w:tc>
      </w:tr>
      <w:tr>
        <w:trPr>
          <w:trHeight w:val="228"/>
        </w:trPr>
        <w:tc>
          <w:tcPr>
            <w:tcW w:w="5900" w:type="dxa"/>
            <w:vAlign w:val="bottom"/>
          </w:tcPr>
          <w:p>
            <w:pPr>
              <w:ind w:left="40"/>
              <w:spacing w:after="0"/>
              <w:rPr>
                <w:sz w:val="20"/>
                <w:szCs w:val="20"/>
                <w:color w:val="auto"/>
              </w:rPr>
            </w:pPr>
            <w:r>
              <w:rPr>
                <w:rFonts w:ascii="Arial" w:cs="Arial" w:eastAsia="Arial" w:hAnsi="Arial"/>
                <w:sz w:val="17"/>
                <w:szCs w:val="17"/>
                <w:color w:val="auto"/>
              </w:rPr>
              <w:t>Property operating income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446,959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426,721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20,238</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4.7 %</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Income from real estate partnerships</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1,498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1,757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(104,977)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(113,336)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8,359</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Early extinguishment of debt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(13,304)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(13,304)</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General and administrative expense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(31,970)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(160,828)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(141,701)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(19,127)</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13.5 %</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4"/>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(283,749)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(25,399)</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9.0 %</w:t>
            </w:r>
          </w:p>
        </w:tc>
      </w:tr>
      <w:tr>
        <w:trPr>
          <w:trHeight w:val="228"/>
        </w:trPr>
        <w:tc>
          <w:tcPr>
            <w:tcW w:w="5900" w:type="dxa"/>
            <w:vAlign w:val="bottom"/>
          </w:tcPr>
          <w:p>
            <w:pPr>
              <w:ind w:left="40"/>
              <w:spacing w:after="0"/>
              <w:rPr>
                <w:sz w:val="20"/>
                <w:szCs w:val="20"/>
                <w:color w:val="auto"/>
              </w:rPr>
            </w:pPr>
            <w:r>
              <w:rPr>
                <w:rFonts w:ascii="Arial" w:cs="Arial" w:eastAsia="Arial" w:hAnsi="Arial"/>
                <w:sz w:val="17"/>
                <w:szCs w:val="17"/>
                <w:color w:val="auto"/>
              </w:rPr>
              <w:t>Income from continuing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137,811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142,972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(5,161)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 -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Discontinued operations - gain on sale of real estate</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23,861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23,861</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4,994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(6,866)</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(57.9)%</w:t>
            </w:r>
          </w:p>
        </w:tc>
      </w:tr>
      <w:tr>
        <w:trPr>
          <w:trHeight w:val="228"/>
        </w:trPr>
        <w:tc>
          <w:tcPr>
            <w:tcW w:w="5900" w:type="dxa"/>
            <w:vAlign w:val="bottom"/>
          </w:tcPr>
          <w:p>
            <w:pPr>
              <w:ind w:left="360"/>
              <w:spacing w:after="0"/>
              <w:rPr>
                <w:sz w:val="20"/>
                <w:szCs w:val="20"/>
                <w:color w:val="auto"/>
              </w:rPr>
            </w:pPr>
            <w:r>
              <w:rPr>
                <w:rFonts w:ascii="Arial" w:cs="Arial" w:eastAsia="Arial" w:hAnsi="Arial"/>
                <w:sz w:val="17"/>
                <w:szCs w:val="17"/>
                <w:color w:val="auto"/>
              </w:rPr>
              <w:t>Net income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167,608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156,232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11,376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7.3 %</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14.4 %</w:t>
            </w:r>
          </w:p>
        </w:tc>
      </w:tr>
      <w:tr>
        <w:trPr>
          <w:trHeight w:val="247"/>
        </w:trPr>
        <w:tc>
          <w:tcPr>
            <w:tcW w:w="5900" w:type="dxa"/>
            <w:vAlign w:val="bottom"/>
          </w:tcPr>
          <w:p>
            <w:pPr>
              <w:ind w:left="40"/>
              <w:spacing w:after="0"/>
              <w:rPr>
                <w:sz w:val="20"/>
                <w:szCs w:val="20"/>
                <w:color w:val="auto"/>
              </w:rPr>
            </w:pPr>
            <w:r>
              <w:rPr>
                <w:rFonts w:ascii="Arial" w:cs="Arial" w:eastAsia="Arial" w:hAnsi="Arial"/>
                <w:sz w:val="17"/>
                <w:szCs w:val="17"/>
                <w:color w:val="auto"/>
              </w:rPr>
              <w:t>Net income attributable to the Trust</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162,681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151,925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10,756</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7.1 %</w:t>
            </w: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97" w:lineRule="exact"/>
        <w:rPr>
          <w:sz w:val="20"/>
          <w:szCs w:val="20"/>
          <w:color w:val="auto"/>
        </w:rPr>
      </w:pPr>
    </w:p>
    <w:p>
      <w:pPr>
        <w:jc w:val="both"/>
        <w:ind w:right="120"/>
        <w:spacing w:after="0" w:line="357" w:lineRule="auto"/>
        <w:rPr>
          <w:sz w:val="20"/>
          <w:szCs w:val="20"/>
          <w:color w:val="auto"/>
        </w:rPr>
      </w:pPr>
      <w:r>
        <w:rPr>
          <w:rFonts w:ascii="Arial" w:cs="Arial" w:eastAsia="Arial" w:hAnsi="Arial"/>
          <w:sz w:val="15"/>
          <w:szCs w:val="15"/>
          <w:color w:val="auto"/>
        </w:rPr>
        <w:t>Total property revenue increased $31.6 million, or 5.2%, to $637.4 million in 2013 compared to $605.8 million in 2012. The percentage occupied at our shopping centers increased to 95.1% at December 31, 2013 compared to 94.9% at December 31, 2012. Changes in the components of property revenue are discussed below.</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91"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Rental income consists primarily of minimum rent, cost reimbursements from tenants and percentage rent. Rental income increased $40.0 million, or 6.9%, to $620.1 million in 2013 compared to $580.1 million in 2012 due primarily to the following:</w:t>
      </w:r>
    </w:p>
    <w:p>
      <w:pPr>
        <w:spacing w:after="0" w:line="2" w:lineRule="exact"/>
        <w:rPr>
          <w:sz w:val="20"/>
          <w:szCs w:val="20"/>
          <w:color w:val="auto"/>
        </w:rPr>
      </w:pPr>
    </w:p>
    <w:p>
      <w:pPr>
        <w:ind w:left="1640" w:right="60" w:hanging="775"/>
        <w:spacing w:after="0" w:line="287" w:lineRule="auto"/>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$23.3 million at same-center properties due primarily to higher rental rates of approximately $11.6 million, higher occupancy of approximately $3.9 million, and an increase in recovery income due to higher recoverable expenses,</w:t>
      </w:r>
    </w:p>
    <w:p>
      <w:pPr>
        <w:spacing w:after="0" w:line="1" w:lineRule="exact"/>
        <w:rPr>
          <w:rFonts w:ascii="Arial" w:cs="Arial" w:eastAsia="Arial" w:hAnsi="Arial"/>
          <w:sz w:val="17"/>
          <w:szCs w:val="17"/>
          <w:color w:val="auto"/>
        </w:rPr>
      </w:pPr>
    </w:p>
    <w:p>
      <w:pPr>
        <w:ind w:left="1640" w:hanging="775"/>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$14.0 million attributable to properties acquired in 2013 and 2012, and</w:t>
      </w:r>
    </w:p>
    <w:p>
      <w:pPr>
        <w:spacing w:after="0" w:line="65" w:lineRule="exact"/>
        <w:rPr>
          <w:rFonts w:ascii="Arial" w:cs="Arial" w:eastAsia="Arial" w:hAnsi="Arial"/>
          <w:sz w:val="17"/>
          <w:szCs w:val="17"/>
          <w:color w:val="auto"/>
        </w:rPr>
      </w:pPr>
    </w:p>
    <w:p>
      <w:pPr>
        <w:ind w:left="1640" w:right="460" w:hanging="775"/>
        <w:spacing w:after="0" w:line="357" w:lineRule="auto"/>
        <w:tabs>
          <w:tab w:leader="none" w:pos="1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increase of $2.0 million at redevelopment properties due primarily to the lease-up and stabilization of certain of our redevelopment properties partially offset by lower income from Mid-Pike Plaza as the property is prepared for the development of Pike &amp; Rose.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9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Other property income decreased $8.0 million, or 39.8%, to $12.2 million in 2013 compared to $20.2 million in 2012. Included in other property income are items which, although recurring, tend to fluctuate more than rental income from period to period, such as lease termination fees. This decrease is primarily due to lower lease termination fees at same center properties, largely from a $6.0 million lease termination fee received in 2012 from an anchor tenant at Ellisburg Shopping Center.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97"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Total property expenses increased $11.4 million, or 6.4%, to $190.5 million in 2013 compared to $179.1 million in 2012. Changes in the components of property expenses are discussed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$6.1 million, or 5.4%, to $118.7 million in 2013 compared to $112.6 million in 2012. This increase is primarily due to the following:</w:t>
      </w:r>
    </w:p>
    <w:p>
      <w:pPr>
        <w:spacing w:after="0" w:line="77" w:lineRule="exact"/>
        <w:rPr>
          <w:sz w:val="20"/>
          <w:szCs w:val="20"/>
          <w:color w:val="auto"/>
        </w:rPr>
      </w:pPr>
    </w:p>
    <w:p>
      <w:pPr>
        <w:ind w:left="1640" w:hanging="775"/>
        <w:spacing w:after="0" w:line="287" w:lineRule="auto"/>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$4.0 million in repairs and maintenance expenses at same center and redevelopment properties primarily due to snow removal costs,</w:t>
      </w:r>
    </w:p>
    <w:p>
      <w:pPr>
        <w:spacing w:after="0" w:line="1" w:lineRule="exact"/>
        <w:rPr>
          <w:rFonts w:ascii="Arial" w:cs="Arial" w:eastAsia="Arial" w:hAnsi="Arial"/>
          <w:sz w:val="17"/>
          <w:szCs w:val="17"/>
          <w:color w:val="auto"/>
        </w:rPr>
      </w:pPr>
    </w:p>
    <w:p>
      <w:pPr>
        <w:ind w:left="1640" w:hanging="775"/>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$2.1 million related to properties acquired in 2013 and 2012,</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$1.3 million in marketing expenses primarily at our Assembly Row and Pike &amp; Rose projects,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hanging="775"/>
        <w:spacing w:after="0"/>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decrease of $1.7 million in bad debt expense.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Rental expenses as a percentage of rental income plus other property income was 18.8% for the years ended December 31, 2013 and 2012.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91"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Real estate tax expense increased $5.3 million, or 8.0% to $71.8 million in 2013 compared to $66.5 million in 2012 due primarily to net higher assessments at same-center properties and properties acquired in 2013 and 2012.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97"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Property operating income increased $20.2 million, or 4.7%, to $447.0 million in 2013 compared to $426.7 million in 2012. This increase is primarily due to growth in earnings at same-center properties, properties acquired in 2013 and 2012, and redevelopment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$8.4 million, or 7.4%, to $105.0 million in 2013 compared to $113.3 million in 2012. This decrease is due primarily to the following:</w:t>
      </w:r>
    </w:p>
    <w:p>
      <w:pPr>
        <w:spacing w:after="0" w:line="77" w:lineRule="exact"/>
        <w:rPr>
          <w:sz w:val="20"/>
          <w:szCs w:val="20"/>
          <w:color w:val="auto"/>
        </w:rPr>
      </w:pPr>
    </w:p>
    <w:p>
      <w:pPr>
        <w:ind w:left="1640" w:hanging="775"/>
        <w:spacing w:after="0"/>
        <w:tabs>
          <w:tab w:leader="none" w:pos="1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decrease of $11.6 million due to a lower overall weighted average borrowing rate, and</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$6.1 million in capitalized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hanging="775"/>
        <w:spacing w:after="0"/>
        <w:tabs>
          <w:tab w:leader="none" w:pos="1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of $9.3 million due to higher borrowings.</w:t>
      </w:r>
    </w:p>
    <w:p>
      <w:pPr>
        <w:spacing w:after="0" w:line="170"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Gross interest costs were $121.2 million and $123.4 million in 2013 and 2012, respectively. Capitalized interest was $16.2 million and $10.1 million in 2013 and 2012,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Early Extinguishment of Debt</w:t>
      </w:r>
    </w:p>
    <w:p>
      <w:pPr>
        <w:spacing w:after="0" w:line="91"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The $13.3 million early extinguishment of debt in 2013 relates to the make-whole premiums paid as part of the early redemption of our 5.40% senior notes and 5.95% senior notes, the prepayment premium on our 7.5% mortgage loans, and the related write-off of unamortized debt fees.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91"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color w:val="auto"/>
        </w:rPr>
        <w:t>General and administrative expense increased $0.8 million, or 2.6%, to $32.0 million in 2013 from $31.2 million in 2012. This increase is due primarily to an increase in employee related costs and transaction costs partially offset by costs incurred in 2012 related to the CFO transition.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91"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Depreciation and amortization expense increased $19.1 million, or 13.5%, to $160.8 million in 2013 from $141.7 million in 2012. This increase is due primarily to 2013 and 2012 acquisitions and accelerated depreciation due to the change in use of a redevelopment property.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 Income</w:t>
      </w:r>
    </w:p>
    <w:p>
      <w:pPr>
        <w:spacing w:after="0" w:line="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Income from discontinued operations represents the operating income of properties that have been disposed or will be disposed, which is required to be reported separately from results of ongoing operations. The reported operating income of $0.9 million and $1.4 million for 2013 and 2012, respectively primarily represents the operating income for the period during which we owned properties sold in 2013.</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Operations—Gain on Sale of Real Estate</w:t>
      </w:r>
    </w:p>
    <w:p>
      <w:pPr>
        <w:spacing w:after="0" w:line="9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$23.9 million gain on sale of real estate from discontinued operations for 2013 is due to the sale of the fee interest in our final building at Fifth Avenue on July 22, 2013 and the sale of the fee interest in our building in Forest Hills on September 10, 2013.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91" w:lineRule="exact"/>
        <w:rPr>
          <w:sz w:val="20"/>
          <w:szCs w:val="20"/>
          <w:color w:val="auto"/>
        </w:rPr>
      </w:pPr>
    </w:p>
    <w:p>
      <w:pPr>
        <w:jc w:val="both"/>
        <w:ind w:right="100"/>
        <w:spacing w:after="0" w:line="344" w:lineRule="auto"/>
        <w:rPr>
          <w:sz w:val="20"/>
          <w:szCs w:val="20"/>
          <w:color w:val="auto"/>
        </w:rPr>
      </w:pPr>
      <w:r>
        <w:rPr>
          <w:rFonts w:ascii="Arial" w:cs="Arial" w:eastAsia="Arial" w:hAnsi="Arial"/>
          <w:sz w:val="15"/>
          <w:szCs w:val="15"/>
          <w:color w:val="auto"/>
        </w:rPr>
        <w:t>The $5.0 million gain on sale of real estate for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1"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The $11.9 million gain on sale of real estate in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2012.</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40"/>
          </w:cols>
          <w:pgMar w:left="240" w:top="126" w:right="31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2012 COMPARED TO YEAR ENDED DECEMBER 31, 2011</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54"/>
        </w:trPr>
        <w:tc>
          <w:tcPr>
            <w:tcW w:w="5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r>
      <w:tr>
        <w:trPr>
          <w:trHeight w:val="189"/>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6"/>
                <w:szCs w:val="16"/>
                <w:color w:val="auto"/>
              </w:rPr>
            </w:pPr>
          </w:p>
        </w:tc>
      </w:tr>
      <w:tr>
        <w:trPr>
          <w:trHeight w:val="24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income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580,114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536,749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43,365</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Other property income</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20,211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9,256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10,955</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118.4 %</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Mortgage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368</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7.2 %</w:t>
            </w:r>
          </w:p>
        </w:tc>
      </w:tr>
      <w:tr>
        <w:trPr>
          <w:trHeight w:val="228"/>
        </w:trPr>
        <w:tc>
          <w:tcPr>
            <w:tcW w:w="5900" w:type="dxa"/>
            <w:vAlign w:val="bottom"/>
          </w:tcPr>
          <w:p>
            <w:pPr>
              <w:ind w:left="360"/>
              <w:spacing w:after="0"/>
              <w:rPr>
                <w:sz w:val="20"/>
                <w:szCs w:val="20"/>
                <w:color w:val="auto"/>
              </w:rPr>
            </w:pPr>
            <w:r>
              <w:rPr>
                <w:rFonts w:ascii="Arial" w:cs="Arial" w:eastAsia="Arial" w:hAnsi="Arial"/>
                <w:sz w:val="17"/>
                <w:szCs w:val="17"/>
                <w:color w:val="auto"/>
              </w:rPr>
              <w:t>Total property revenue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605,791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551,103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54,688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9.9 %</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3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112,616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109,364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3,252</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Real estate taxes</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66,454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60,404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6,050</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4"/>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179,070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169,768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9,302</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5.5 %</w:t>
            </w:r>
          </w:p>
        </w:tc>
      </w:tr>
      <w:tr>
        <w:trPr>
          <w:trHeight w:val="228"/>
        </w:trPr>
        <w:tc>
          <w:tcPr>
            <w:tcW w:w="5900" w:type="dxa"/>
            <w:vAlign w:val="bottom"/>
          </w:tcPr>
          <w:p>
            <w:pPr>
              <w:ind w:left="40"/>
              <w:spacing w:after="0"/>
              <w:rPr>
                <w:sz w:val="20"/>
                <w:szCs w:val="20"/>
                <w:color w:val="auto"/>
              </w:rPr>
            </w:pPr>
            <w:r>
              <w:rPr>
                <w:rFonts w:ascii="Arial" w:cs="Arial" w:eastAsia="Arial" w:hAnsi="Arial"/>
                <w:sz w:val="17"/>
                <w:szCs w:val="17"/>
                <w:color w:val="auto"/>
              </w:rPr>
              <w:t>Property operating income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426,721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381,335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45,386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11.9 %</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471</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216.1 %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Income from real estate partnerships</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1,757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1,808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(113,336)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(98,465)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(14,871)</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Early extinguishment of debt</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(296)</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General and administrative expense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(2,173)</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(141,701)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(125,888)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(15,813)</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12.6 %</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4"/>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(283,749)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(251,016)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(32,733)</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13.0 %</w:t>
            </w:r>
          </w:p>
        </w:tc>
      </w:tr>
      <w:tr>
        <w:trPr>
          <w:trHeight w:val="228"/>
        </w:trPr>
        <w:tc>
          <w:tcPr>
            <w:tcW w:w="5900" w:type="dxa"/>
            <w:vAlign w:val="bottom"/>
          </w:tcPr>
          <w:p>
            <w:pPr>
              <w:ind w:left="40"/>
              <w:spacing w:after="0"/>
              <w:rPr>
                <w:sz w:val="20"/>
                <w:szCs w:val="20"/>
                <w:color w:val="auto"/>
              </w:rPr>
            </w:pPr>
            <w:r>
              <w:rPr>
                <w:rFonts w:ascii="Arial" w:cs="Arial" w:eastAsia="Arial" w:hAnsi="Arial"/>
                <w:sz w:val="17"/>
                <w:szCs w:val="17"/>
                <w:color w:val="auto"/>
              </w:rPr>
              <w:t>Income from continuing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142,972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130,319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12,653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9.7 %</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 -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Discontinued operations - gain on deconsolidation of VIE</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(2,026)</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6"/>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1"/>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Gain on sale of real estate</w:t>
            </w: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11,860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11,860</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34"/>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149,612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6,620</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4.4 %</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1,388</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6"/>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151,925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143,917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8,008</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5.6 %</w:t>
            </w: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97" w:lineRule="exact"/>
        <w:rPr>
          <w:sz w:val="20"/>
          <w:szCs w:val="20"/>
          <w:color w:val="auto"/>
        </w:rPr>
      </w:pPr>
    </w:p>
    <w:p>
      <w:pPr>
        <w:jc w:val="both"/>
        <w:ind w:right="120"/>
        <w:spacing w:after="0" w:line="357" w:lineRule="auto"/>
        <w:rPr>
          <w:sz w:val="20"/>
          <w:szCs w:val="20"/>
          <w:color w:val="auto"/>
        </w:rPr>
      </w:pPr>
      <w:r>
        <w:rPr>
          <w:rFonts w:ascii="Arial" w:cs="Arial" w:eastAsia="Arial" w:hAnsi="Arial"/>
          <w:sz w:val="15"/>
          <w:szCs w:val="15"/>
          <w:color w:val="auto"/>
        </w:rPr>
        <w:t>Total property revenue increased $54.7 million, or 9.9%, to $605.8 million in 2012 compared to $551.1 million in 2011. The percentage occupied at our shopping centers increased to 94.9% at December 31, 2012 compared to 92.4% at December 31, 2011. Changes in the components of property revenue are discussed below.</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91"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color w:val="auto"/>
        </w:rPr>
        <w:t>Rental income consists primarily of minimum rent, cost reimbursements from tenants and percentage rent. Rental income increased $43.4 million, or 8.1%, to $580.1 million in 2012 compared to $536.7 million in 2011 due primarily to the following:</w:t>
      </w:r>
    </w:p>
    <w:p>
      <w:pPr>
        <w:spacing w:after="0" w:line="2" w:lineRule="exact"/>
        <w:rPr>
          <w:sz w:val="20"/>
          <w:szCs w:val="20"/>
          <w:color w:val="auto"/>
        </w:rPr>
      </w:pPr>
    </w:p>
    <w:p>
      <w:pPr>
        <w:ind w:left="1640" w:hanging="775"/>
        <w:spacing w:after="0"/>
        <w:tabs>
          <w:tab w:leader="none" w:pos="1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$29.3 million attributable to properties acquired in 2011 and 2012,</w:t>
      </w:r>
    </w:p>
    <w:p>
      <w:pPr>
        <w:spacing w:after="0" w:line="65" w:lineRule="exact"/>
        <w:rPr>
          <w:rFonts w:ascii="Arial" w:cs="Arial" w:eastAsia="Arial" w:hAnsi="Arial"/>
          <w:sz w:val="17"/>
          <w:szCs w:val="17"/>
          <w:color w:val="auto"/>
        </w:rPr>
      </w:pPr>
    </w:p>
    <w:p>
      <w:pPr>
        <w:ind w:left="1640" w:right="240" w:hanging="775"/>
        <w:spacing w:after="0" w:line="287" w:lineRule="auto"/>
        <w:tabs>
          <w:tab w:leader="none" w:pos="1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$8.6 million at same-center properties due primarily to higher rental rates of approximately $6.5 million and an increase in parking income, and</w:t>
      </w:r>
    </w:p>
    <w:p>
      <w:pPr>
        <w:spacing w:after="0" w:line="1" w:lineRule="exact"/>
        <w:rPr>
          <w:rFonts w:ascii="Arial" w:cs="Arial" w:eastAsia="Arial" w:hAnsi="Arial"/>
          <w:sz w:val="17"/>
          <w:szCs w:val="17"/>
          <w:color w:val="auto"/>
        </w:rPr>
      </w:pPr>
    </w:p>
    <w:p>
      <w:pPr>
        <w:ind w:left="1640" w:right="100" w:hanging="775"/>
        <w:spacing w:after="0" w:line="271" w:lineRule="auto"/>
        <w:tabs>
          <w:tab w:leader="none" w:pos="1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$4.3 million at redevelopment properties due primarily to increased occupancy at certain properties, mainly our new residential building at Santana Row and higher rental rates on new leases partially offset by lower income from Mid-Pike as the property is prepared for the development of Pike &amp; Rose.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9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Other property income increased $11.0 million, or 118.4%, to $20.2 million in 2012 compared to $9.3 million in 2011. Included in other property income are items which, although recurring, tend to fluctuate more than rental income from period to period, such as lease termination fees. This increase is primarily due to an increase in lease termination fees at same-center properties.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97"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Total property expenses increased $9.3 million, or 5.5%, to $179.1 million in 2012 compared to $169.8 million in 2011. Changes in the components of property expenses are discussed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$3.3 million, or 3.0%, to $112.6 million in 2012 compared to $109.4 million in 2011. This increase is primarily due to the following:</w:t>
      </w:r>
    </w:p>
    <w:p>
      <w:pPr>
        <w:spacing w:after="0" w:line="77" w:lineRule="exact"/>
        <w:rPr>
          <w:sz w:val="20"/>
          <w:szCs w:val="20"/>
          <w:color w:val="auto"/>
        </w:rPr>
      </w:pPr>
    </w:p>
    <w:p>
      <w:pPr>
        <w:ind w:left="1640" w:hanging="775"/>
        <w:spacing w:after="0"/>
        <w:tabs>
          <w:tab w:leader="none" w:pos="1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$3.3 million related to properties acquired in 2011 and 2012,</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$0.9 million in operating costs due primarily to higher demolition costs,</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$0.8 million in marketing expenses at our Assembly Row and Pike &amp; Rose projects, and</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an increase of $0.5 million in insurance expenses primarily at same-center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right="120" w:hanging="775"/>
        <w:spacing w:after="0" w:line="287" w:lineRule="auto"/>
        <w:tabs>
          <w:tab w:leader="none" w:pos="1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decrease of $2.0 million in repairs and maintenance at same-center properties primarily due to lower snow removal costs partially offset by higher maintenance costs.</w:t>
      </w:r>
    </w:p>
    <w:p>
      <w:pPr>
        <w:spacing w:after="0" w:line="106"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As a result of the changes in rental income, other property income and rental expenses as discussed above, rental expenses as a percentage of rental income plus other property income decreased to 18.8% in 2012 from 20.0% in 2011.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91"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Real estate tax expense increased $6.1 million, or 10.0% to $66.5 million in 2012 compared to $60.4 million in 2011 due primarily to properties acquired in 2011 and 2012 and higher assessments at redevelopment and same-center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97"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color w:val="auto"/>
        </w:rPr>
        <w:t>Property operating income increased $45.4 million, or 11.9%, to $426.7 million in 2012 compared to $381.3 million in 2011. This increase is primarily due to properties acquired in 2011 and 2012, and growth in earnings at same-center properties and redevelopment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$14.9 million, or 15.1%, to $113.3 million in 2012 compared to $98.5 million in 2011. This increase is due primarily to the following:</w:t>
      </w:r>
    </w:p>
    <w:p>
      <w:pPr>
        <w:spacing w:after="0" w:line="77" w:lineRule="exact"/>
        <w:rPr>
          <w:sz w:val="20"/>
          <w:szCs w:val="20"/>
          <w:color w:val="auto"/>
        </w:rPr>
      </w:pPr>
    </w:p>
    <w:p>
      <w:pPr>
        <w:ind w:left="1640" w:right="240" w:hanging="775"/>
        <w:spacing w:after="0" w:line="287" w:lineRule="auto"/>
        <w:tabs>
          <w:tab w:leader="none" w:pos="1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$12.9 million due to mortgage loans secured by Plaza El Segundo and Montrose Crossing both of which were acquired in 2011, and</w:t>
      </w:r>
    </w:p>
    <w:p>
      <w:pPr>
        <w:spacing w:after="0" w:line="1" w:lineRule="exact"/>
        <w:rPr>
          <w:rFonts w:ascii="Arial" w:cs="Arial" w:eastAsia="Arial" w:hAnsi="Arial"/>
          <w:sz w:val="17"/>
          <w:szCs w:val="17"/>
          <w:color w:val="auto"/>
        </w:rPr>
      </w:pPr>
    </w:p>
    <w:p>
      <w:pPr>
        <w:ind w:left="1640" w:hanging="775"/>
        <w:spacing w:after="0"/>
        <w:tabs>
          <w:tab w:leader="none" w:pos="1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$4.7 million due to higher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hanging="775"/>
        <w:spacing w:after="0"/>
        <w:tabs>
          <w:tab w:leader="none" w:pos="1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of $2.0 million capitalized interest, and</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of $0.7 million due to a lower overall average borrowing rate.</w:t>
      </w:r>
    </w:p>
    <w:p>
      <w:pPr>
        <w:spacing w:after="0" w:line="170"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Gross interest costs were $123.4 million and $106.6 million in 2012 and 2011, respectively. Capitalized interest was $10.1 million and $8.1 million in 2012 and 2011,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Early Extinguishment of Debt</w:t>
      </w:r>
    </w:p>
    <w:p>
      <w:pPr>
        <w:spacing w:after="0" w:line="9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$0.3 million of income from early extinguishment of debt in 2011 is due to the write off of unamortized debt premium net of a 3.0% prepayment premium and unamortized debt fees related to the payoff of our mortgage loan on Tower Shops prior to its contractual payment date.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91"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General and administrative expense increased $2.2 million, or 7.5%, to $31.2 million in 2012 from $29.0 million in 2011. This increase is due primarily to costs related to our CFO change and higher personnel related costs partially offset by lower acquisition costs in 2012 compared to 2011.</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40"/>
          </w:cols>
          <w:pgMar w:left="240" w:top="126" w:right="31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91"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Depreciation and amortization expense increased $15.8 million, or 12.6%, to $141.7 million in 2012 from $125.9 million in 2011. This increase is due primarily to 2011 acquisitions and capital improvements at same-center and redevelopment properties.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 Income</w:t>
      </w:r>
    </w:p>
    <w:p>
      <w:pPr>
        <w:spacing w:after="0" w:line="9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Income from discontinued operations represents the operating income of properties that have been disposed or will be disposed, which is required to be reported separately from results of ongoing operations. The reported operating income of $1.4 million and $2.2 million for 2012 and 2011, respectively, represents the operating income for the period during which we owned properties sold/disposed of prior to December 31, 2013.</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 Gain on Deconsolidation of VIE</w:t>
      </w:r>
    </w:p>
    <w:p>
      <w:pPr>
        <w:spacing w:after="0" w:line="9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$2.0 million gain on deconsolidation of VIE in 2011, is the result of the refinancing of a mortgage note receivable on a shopping center in Norwalk, Connecticut, resulting in us no longer being the primary beneficiary of the VIE. See Note 4 to the consolidated financial statements for further discussion of this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Operations—Gain on Sale of Real Estate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$15.1 million gain on sale of real estate from discontinued operations in 2011 is primarily due to the sale of Feasterville Shopping Center on July 12, 2011.</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9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$11.9 million gain on sale of real estate in 2012 is due to the sale of our Newbury Street Partnership's entire portfolio of three buildings on October 31, 2011. Due to the timing of receiving information from the general partner, our share of earnings was recorded one quarter in arrears. Therefore, we recognized the gain on sale of $11.9 million in 2012.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At December 31, 2013, we had $88.9 million of cash and cash equivalents and no borrowings outstanding on our $600.0 million revolving credit facility that matures on April 21, 2017. In addition, we have an option (subject to bank approval) to increase the credit facility through an accordion feature to $1.0 billion. Our $275.0 million unsecured term loan that matures on November 21, 2018 also has an option (subject to bank approval) to increase the term loan through an accordion feature to $350.0 million. As of December 31, 2013, we had the capacity to issue up to $26.0 million in common shares under our ATM equity program and plan to increase the availability to $300 million during Q1 2014.</w:t>
      </w:r>
    </w:p>
    <w:p>
      <w:pPr>
        <w:spacing w:after="0" w:line="128"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For 2013, the maximum amount of borrowings outstanding under our revolving credit facility was $76.0 million, the weighted average amount of borrowings outstanding was $10.5 million and the weighted average interest rate, before amortization of debt fees, was 1.27%. During 2013, we accessed the public debt markets twice, issuing $275 million of 2.75% senior notes in May 2013 that mature on June 1, 2023 and in December 2013, issuing $300 million of 3.95% senior notes that mature on January 15, 2024. The net proceeds of these two offerings after issuance discounts, underwriting fees and other costs were approximately $564.0 million. We used the net proceeds from both of these transactions to address our 2013 and 2014 debt maturities as follows: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6"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2100" w:type="dxa"/>
            <w:vAlign w:val="bottom"/>
            <w:gridSpan w:val="4"/>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Table of Contents</w:t>
              </w:r>
            </w:hyperlink>
          </w:p>
        </w:tc>
        <w:tc>
          <w:tcPr>
            <w:tcW w:w="2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0"/>
        </w:trPr>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743"/>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gridSpan w:val="2"/>
          </w:tcPr>
          <w:p>
            <w:pPr>
              <w:ind w:left="300"/>
              <w:spacing w:after="0"/>
              <w:rPr>
                <w:sz w:val="20"/>
                <w:szCs w:val="20"/>
                <w:color w:val="auto"/>
              </w:rPr>
            </w:pPr>
            <w:r>
              <w:rPr>
                <w:rFonts w:ascii="Arial" w:cs="Arial" w:eastAsia="Arial" w:hAnsi="Arial"/>
                <w:sz w:val="16"/>
                <w:szCs w:val="16"/>
                <w:b w:val="1"/>
                <w:bCs w:val="1"/>
                <w:color w:val="auto"/>
              </w:rPr>
              <w:t>Description</w:t>
            </w:r>
          </w:p>
        </w:tc>
        <w:tc>
          <w:tcPr>
            <w:tcW w:w="2340" w:type="dxa"/>
            <w:vAlign w:val="bottom"/>
          </w:tcPr>
          <w:p>
            <w:pPr>
              <w:ind w:left="920"/>
              <w:spacing w:after="0"/>
              <w:rPr>
                <w:sz w:val="20"/>
                <w:szCs w:val="20"/>
                <w:color w:val="auto"/>
              </w:rPr>
            </w:pPr>
            <w:r>
              <w:rPr>
                <w:rFonts w:ascii="Arial" w:cs="Arial" w:eastAsia="Arial" w:hAnsi="Arial"/>
                <w:sz w:val="16"/>
                <w:szCs w:val="16"/>
                <w:b w:val="1"/>
                <w:bCs w:val="1"/>
                <w:color w:val="auto"/>
              </w:rPr>
              <w:t>Repayment Date</w:t>
            </w:r>
          </w:p>
        </w:tc>
        <w:tc>
          <w:tcPr>
            <w:tcW w:w="2000" w:type="dxa"/>
            <w:vAlign w:val="bottom"/>
          </w:tcPr>
          <w:p>
            <w:pPr>
              <w:ind w:left="660"/>
              <w:spacing w:after="0"/>
              <w:rPr>
                <w:sz w:val="20"/>
                <w:szCs w:val="20"/>
                <w:color w:val="auto"/>
              </w:rPr>
            </w:pPr>
            <w:r>
              <w:rPr>
                <w:rFonts w:ascii="Arial" w:cs="Arial" w:eastAsia="Arial" w:hAnsi="Arial"/>
                <w:sz w:val="16"/>
                <w:szCs w:val="16"/>
                <w:b w:val="1"/>
                <w:bCs w:val="1"/>
                <w:color w:val="auto"/>
              </w:rPr>
              <w:t>Principal Repaid</w:t>
            </w:r>
          </w:p>
        </w:tc>
        <w:tc>
          <w:tcPr>
            <w:tcW w:w="2280" w:type="dxa"/>
            <w:vAlign w:val="bottom"/>
          </w:tcPr>
          <w:p>
            <w:pPr>
              <w:ind w:left="520"/>
              <w:spacing w:after="0"/>
              <w:rPr>
                <w:sz w:val="20"/>
                <w:szCs w:val="20"/>
                <w:color w:val="auto"/>
              </w:rPr>
            </w:pPr>
            <w:r>
              <w:rPr>
                <w:rFonts w:ascii="Arial" w:cs="Arial" w:eastAsia="Arial" w:hAnsi="Arial"/>
                <w:sz w:val="16"/>
                <w:szCs w:val="16"/>
                <w:b w:val="1"/>
                <w:bCs w:val="1"/>
                <w:color w:val="auto"/>
              </w:rPr>
              <w:t>Original Maturity Date</w:t>
            </w:r>
          </w:p>
        </w:tc>
        <w:tc>
          <w:tcPr>
            <w:tcW w:w="2640" w:type="dxa"/>
            <w:vAlign w:val="bottom"/>
          </w:tcPr>
          <w:p>
            <w:pPr>
              <w:ind w:left="660"/>
              <w:spacing w:after="0"/>
              <w:rPr>
                <w:sz w:val="20"/>
                <w:szCs w:val="20"/>
                <w:color w:val="auto"/>
              </w:rPr>
            </w:pPr>
            <w:r>
              <w:rPr>
                <w:rFonts w:ascii="Arial" w:cs="Arial" w:eastAsia="Arial" w:hAnsi="Arial"/>
                <w:sz w:val="16"/>
                <w:szCs w:val="16"/>
                <w:b w:val="1"/>
                <w:bCs w:val="1"/>
                <w:color w:val="auto"/>
              </w:rPr>
              <w:t>Prepayment Premium</w:t>
            </w:r>
          </w:p>
        </w:tc>
      </w:tr>
      <w:tr>
        <w:trPr>
          <w:trHeight w:val="32"/>
        </w:trPr>
        <w:tc>
          <w:tcPr>
            <w:tcW w:w="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4"/>
        </w:trPr>
        <w:tc>
          <w:tcPr>
            <w:tcW w:w="80" w:type="dxa"/>
            <w:vAlign w:val="bottom"/>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5.40%</w:t>
            </w:r>
          </w:p>
        </w:tc>
        <w:tc>
          <w:tcPr>
            <w:tcW w:w="152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Senior Notes</w:t>
            </w:r>
          </w:p>
        </w:tc>
        <w:tc>
          <w:tcPr>
            <w:tcW w:w="234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June 9, 2013</w:t>
            </w:r>
          </w:p>
        </w:tc>
        <w:tc>
          <w:tcPr>
            <w:tcW w:w="200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$135 million</w:t>
            </w:r>
          </w:p>
        </w:tc>
        <w:tc>
          <w:tcPr>
            <w:tcW w:w="228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December 1, 2013</w:t>
            </w:r>
          </w:p>
        </w:tc>
        <w:tc>
          <w:tcPr>
            <w:tcW w:w="26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$3.3 million</w:t>
            </w:r>
          </w:p>
        </w:tc>
      </w:tr>
      <w:tr>
        <w:trPr>
          <w:trHeight w:val="235"/>
        </w:trPr>
        <w:tc>
          <w:tcPr>
            <w:tcW w:w="580" w:type="dxa"/>
            <w:vAlign w:val="bottom"/>
            <w:gridSpan w:val="2"/>
          </w:tcPr>
          <w:p>
            <w:pPr>
              <w:jc w:val="right"/>
              <w:spacing w:after="0"/>
              <w:rPr>
                <w:sz w:val="20"/>
                <w:szCs w:val="20"/>
                <w:color w:val="auto"/>
              </w:rPr>
            </w:pPr>
            <w:r>
              <w:rPr>
                <w:rFonts w:ascii="Arial" w:cs="Arial" w:eastAsia="Arial" w:hAnsi="Arial"/>
                <w:sz w:val="17"/>
                <w:szCs w:val="17"/>
                <w:color w:val="auto"/>
              </w:rPr>
              <w:t>7.50%</w:t>
            </w:r>
          </w:p>
        </w:tc>
        <w:tc>
          <w:tcPr>
            <w:tcW w:w="1520" w:type="dxa"/>
            <w:vAlign w:val="bottom"/>
            <w:gridSpan w:val="2"/>
          </w:tcPr>
          <w:p>
            <w:pPr>
              <w:ind w:left="20"/>
              <w:spacing w:after="0"/>
              <w:rPr>
                <w:sz w:val="20"/>
                <w:szCs w:val="20"/>
                <w:color w:val="auto"/>
              </w:rPr>
            </w:pPr>
            <w:r>
              <w:rPr>
                <w:rFonts w:ascii="Arial" w:cs="Arial" w:eastAsia="Arial" w:hAnsi="Arial"/>
                <w:sz w:val="17"/>
                <w:szCs w:val="17"/>
                <w:color w:val="auto"/>
              </w:rPr>
              <w:t>Mortgage Loans</w:t>
            </w:r>
          </w:p>
        </w:tc>
        <w:tc>
          <w:tcPr>
            <w:tcW w:w="2340" w:type="dxa"/>
            <w:vAlign w:val="bottom"/>
          </w:tcPr>
          <w:p>
            <w:pPr>
              <w:ind w:left="380"/>
              <w:spacing w:after="0"/>
              <w:rPr>
                <w:sz w:val="20"/>
                <w:szCs w:val="20"/>
                <w:color w:val="auto"/>
              </w:rPr>
            </w:pPr>
            <w:r>
              <w:rPr>
                <w:rFonts w:ascii="Arial" w:cs="Arial" w:eastAsia="Arial" w:hAnsi="Arial"/>
                <w:sz w:val="17"/>
                <w:szCs w:val="17"/>
                <w:color w:val="auto"/>
              </w:rPr>
              <w:t>December 5, 2013</w:t>
            </w:r>
          </w:p>
        </w:tc>
        <w:tc>
          <w:tcPr>
            <w:tcW w:w="2000" w:type="dxa"/>
            <w:vAlign w:val="bottom"/>
          </w:tcPr>
          <w:p>
            <w:pPr>
              <w:ind w:left="280"/>
              <w:spacing w:after="0"/>
              <w:rPr>
                <w:sz w:val="20"/>
                <w:szCs w:val="20"/>
                <w:color w:val="auto"/>
              </w:rPr>
            </w:pPr>
            <w:r>
              <w:rPr>
                <w:rFonts w:ascii="Arial" w:cs="Arial" w:eastAsia="Arial" w:hAnsi="Arial"/>
                <w:sz w:val="17"/>
                <w:szCs w:val="17"/>
                <w:color w:val="auto"/>
              </w:rPr>
              <w:t>$129 million</w:t>
            </w:r>
          </w:p>
        </w:tc>
        <w:tc>
          <w:tcPr>
            <w:tcW w:w="2280" w:type="dxa"/>
            <w:vAlign w:val="bottom"/>
          </w:tcPr>
          <w:p>
            <w:pPr>
              <w:ind w:left="200"/>
              <w:spacing w:after="0"/>
              <w:rPr>
                <w:sz w:val="20"/>
                <w:szCs w:val="20"/>
                <w:color w:val="auto"/>
              </w:rPr>
            </w:pPr>
            <w:r>
              <w:rPr>
                <w:rFonts w:ascii="Arial" w:cs="Arial" w:eastAsia="Arial" w:hAnsi="Arial"/>
                <w:sz w:val="17"/>
                <w:szCs w:val="17"/>
                <w:color w:val="auto"/>
              </w:rPr>
              <w:t>June 5, 2014</w:t>
            </w:r>
          </w:p>
        </w:tc>
        <w:tc>
          <w:tcPr>
            <w:tcW w:w="2640" w:type="dxa"/>
            <w:vAlign w:val="bottom"/>
          </w:tcPr>
          <w:p>
            <w:pPr>
              <w:ind w:left="180"/>
              <w:spacing w:after="0"/>
              <w:rPr>
                <w:sz w:val="20"/>
                <w:szCs w:val="20"/>
                <w:color w:val="auto"/>
              </w:rPr>
            </w:pPr>
            <w:r>
              <w:rPr>
                <w:rFonts w:ascii="Arial" w:cs="Arial" w:eastAsia="Arial" w:hAnsi="Arial"/>
                <w:sz w:val="17"/>
                <w:szCs w:val="17"/>
                <w:color w:val="auto"/>
              </w:rPr>
              <w:t>$4.4 million</w:t>
            </w:r>
          </w:p>
        </w:tc>
      </w:tr>
      <w:tr>
        <w:trPr>
          <w:trHeight w:val="26"/>
        </w:trPr>
        <w:tc>
          <w:tcPr>
            <w:tcW w:w="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5"/>
        </w:trPr>
        <w:tc>
          <w:tcPr>
            <w:tcW w:w="80" w:type="dxa"/>
            <w:vAlign w:val="bottom"/>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5.95%</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Senior Notes</w:t>
            </w:r>
          </w:p>
        </w:tc>
        <w:tc>
          <w:tcPr>
            <w:tcW w:w="2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December 27, 2013</w:t>
            </w:r>
          </w:p>
        </w:tc>
        <w:tc>
          <w:tcPr>
            <w:tcW w:w="20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$150 million</w:t>
            </w:r>
          </w:p>
        </w:tc>
        <w:tc>
          <w:tcPr>
            <w:tcW w:w="2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August 15, 2014</w:t>
            </w:r>
          </w:p>
        </w:tc>
        <w:tc>
          <w:tcPr>
            <w:tcW w:w="2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$5.0 million</w:t>
            </w:r>
          </w:p>
        </w:tc>
      </w:tr>
      <w:tr>
        <w:trPr>
          <w:trHeight w:val="26"/>
        </w:trPr>
        <w:tc>
          <w:tcPr>
            <w:tcW w:w="8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Consequently, we have only $30.1 million of debt maturing in 2014. We currently believe that cash flows from operations, cash on hand, our ATM equity program, our revolving credit facility and our general ability to access the capital markets will be sufficient to finance our operations and fund our debt service requirements and capital expenditures.</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overall capital requirements during 2014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2014 which is the result of the 212 unit residential building at Santana Row and the continued construction of Phase 1 at both Assembly Row and Pike &amp; Rose with expected openings of portions of both projects in 2014. Over the next two years, we expect to invest approximately $240 million related to the current phases of these three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3"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640" w:hanging="775"/>
        <w:spacing w:after="0" w:line="256" w:lineRule="auto"/>
        <w:tabs>
          <w:tab w:leader="none" w:pos="1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in our debt instruments or preferred shares may limit us from incurring debt or issuing equity at all, or on acceptable terms under then-prevailing market conditions; and</w:t>
      </w:r>
    </w:p>
    <w:p>
      <w:pPr>
        <w:ind w:left="1640" w:hanging="775"/>
        <w:spacing w:after="0"/>
        <w:tabs>
          <w:tab w:leader="none" w:pos="1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Cash Flows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Year Ended December 31,</w:t>
            </w:r>
          </w:p>
        </w:tc>
      </w:tr>
      <w:tr>
        <w:trPr>
          <w:trHeight w:val="254"/>
        </w:trPr>
        <w:tc>
          <w:tcPr>
            <w:tcW w:w="8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189"/>
        </w:trPr>
        <w:tc>
          <w:tcPr>
            <w:tcW w:w="8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4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provided by operating activities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314,498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296,633</w:t>
            </w:r>
          </w:p>
        </w:tc>
      </w:tr>
      <w:tr>
        <w:trPr>
          <w:trHeight w:val="235"/>
        </w:trPr>
        <w:tc>
          <w:tcPr>
            <w:tcW w:w="8580" w:type="dxa"/>
            <w:vAlign w:val="bottom"/>
          </w:tcPr>
          <w:p>
            <w:pPr>
              <w:ind w:left="40"/>
              <w:spacing w:after="0"/>
              <w:rPr>
                <w:sz w:val="20"/>
                <w:szCs w:val="20"/>
                <w:color w:val="auto"/>
              </w:rPr>
            </w:pPr>
            <w:r>
              <w:rPr>
                <w:rFonts w:ascii="Arial" w:cs="Arial" w:eastAsia="Arial" w:hAnsi="Arial"/>
                <w:sz w:val="17"/>
                <w:szCs w:val="17"/>
                <w:color w:val="auto"/>
              </w:rPr>
              <w:t>Cash used in investing activities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(345,198)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(273,558)</w:t>
            </w: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82,639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(53,893)</w:t>
            </w:r>
          </w:p>
        </w:tc>
      </w:tr>
      <w:tr>
        <w:trPr>
          <w:trHeight w:val="228"/>
        </w:trPr>
        <w:tc>
          <w:tcPr>
            <w:tcW w:w="8580" w:type="dxa"/>
            <w:vAlign w:val="bottom"/>
          </w:tcPr>
          <w:p>
            <w:pPr>
              <w:ind w:left="40"/>
              <w:spacing w:after="0"/>
              <w:rPr>
                <w:sz w:val="20"/>
                <w:szCs w:val="20"/>
                <w:color w:val="auto"/>
              </w:rPr>
            </w:pPr>
            <w:r>
              <w:rPr>
                <w:rFonts w:ascii="Arial" w:cs="Arial" w:eastAsia="Arial" w:hAnsi="Arial"/>
                <w:sz w:val="17"/>
                <w:szCs w:val="17"/>
                <w:color w:val="auto"/>
              </w:rPr>
              <w:t>Increase (decrease) in cash and cash equivalents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51,939</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(30,818)</w:t>
            </w: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year</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36,988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67,806</w:t>
            </w:r>
          </w:p>
        </w:tc>
      </w:tr>
      <w:tr>
        <w:trPr>
          <w:trHeight w:val="228"/>
        </w:trPr>
        <w:tc>
          <w:tcPr>
            <w:tcW w:w="8580" w:type="dxa"/>
            <w:vAlign w:val="bottom"/>
          </w:tcPr>
          <w:p>
            <w:pPr>
              <w:ind w:left="40"/>
              <w:spacing w:after="0"/>
              <w:rPr>
                <w:sz w:val="20"/>
                <w:szCs w:val="20"/>
                <w:color w:val="auto"/>
              </w:rPr>
            </w:pPr>
            <w:r>
              <w:rPr>
                <w:rFonts w:ascii="Arial" w:cs="Arial" w:eastAsia="Arial" w:hAnsi="Arial"/>
                <w:sz w:val="17"/>
                <w:szCs w:val="17"/>
                <w:color w:val="auto"/>
              </w:rPr>
              <w:t>Cash and cash equivalents, end of year</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88,927</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36,988</w:t>
            </w:r>
          </w:p>
        </w:tc>
      </w:tr>
      <w:tr>
        <w:trPr>
          <w:trHeight w:val="26"/>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Net cash provided by operating activities increased $17.9 million to $314.5 million during 2013 from $296.6 million during 2012. The increase was primarily attributable to higher net income before certain non-cash items.</w:t>
      </w:r>
    </w:p>
    <w:p>
      <w:pPr>
        <w:spacing w:after="0" w:line="106" w:lineRule="exact"/>
        <w:rPr>
          <w:sz w:val="20"/>
          <w:szCs w:val="20"/>
          <w:color w:val="auto"/>
        </w:rPr>
      </w:pPr>
    </w:p>
    <w:p>
      <w:pPr>
        <w:ind w:right="800"/>
        <w:spacing w:after="0" w:line="287" w:lineRule="auto"/>
        <w:rPr>
          <w:sz w:val="20"/>
          <w:szCs w:val="20"/>
          <w:color w:val="auto"/>
        </w:rPr>
      </w:pPr>
      <w:r>
        <w:rPr>
          <w:rFonts w:ascii="Arial" w:cs="Arial" w:eastAsia="Arial" w:hAnsi="Arial"/>
          <w:sz w:val="17"/>
          <w:szCs w:val="17"/>
          <w:color w:val="auto"/>
        </w:rPr>
        <w:t>Net cash used in investing activities increased $71.6 million to $345.2 million during 2013 from $273.6 million during 2012. The increase was primarily attributable to:</w:t>
      </w:r>
    </w:p>
    <w:p>
      <w:pPr>
        <w:spacing w:after="0" w:line="263" w:lineRule="exact"/>
        <w:rPr>
          <w:sz w:val="20"/>
          <w:szCs w:val="20"/>
          <w:color w:val="auto"/>
        </w:rPr>
      </w:pPr>
    </w:p>
    <w:p>
      <w:pPr>
        <w:ind w:left="1640" w:hanging="775"/>
        <w:spacing w:after="0"/>
        <w:tabs>
          <w:tab w:leader="none" w:pos="1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$109.5 million increase in capital investments in 2013 due primarily to our projects at Assembly Row, Pike &amp; Rose and Santana Row, and</w:t>
      </w:r>
    </w:p>
    <w:p>
      <w:pPr>
        <w:spacing w:after="0" w:line="76" w:lineRule="exact"/>
        <w:rPr>
          <w:rFonts w:ascii="Arial" w:cs="Arial" w:eastAsia="Arial" w:hAnsi="Arial"/>
          <w:sz w:val="16"/>
          <w:szCs w:val="16"/>
          <w:color w:val="auto"/>
        </w:rPr>
      </w:pPr>
    </w:p>
    <w:p>
      <w:pPr>
        <w:ind w:left="1640" w:hanging="775"/>
        <w:spacing w:after="0"/>
        <w:tabs>
          <w:tab w:leader="none" w:pos="1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$6.4 million increase in acquisitions of real estate,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12"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87" w:lineRule="exact"/>
        <w:rPr>
          <w:sz w:val="20"/>
          <w:szCs w:val="20"/>
          <w:color w:val="auto"/>
        </w:rPr>
      </w:pPr>
    </w:p>
    <w:p>
      <w:pPr>
        <w:ind w:left="1640" w:hanging="775"/>
        <w:spacing w:after="0"/>
        <w:tabs>
          <w:tab w:leader="none" w:pos="1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$42.9 million in proceeds from the sale of real estate in 2013.</w:t>
      </w:r>
    </w:p>
    <w:p>
      <w:pPr>
        <w:spacing w:after="0" w:line="170" w:lineRule="exact"/>
        <w:rPr>
          <w:sz w:val="20"/>
          <w:szCs w:val="20"/>
          <w:color w:val="auto"/>
        </w:rPr>
      </w:pPr>
    </w:p>
    <w:p>
      <w:pPr>
        <w:ind w:right="560"/>
        <w:spacing w:after="0" w:line="287" w:lineRule="auto"/>
        <w:rPr>
          <w:sz w:val="20"/>
          <w:szCs w:val="20"/>
          <w:color w:val="auto"/>
        </w:rPr>
      </w:pPr>
      <w:r>
        <w:rPr>
          <w:rFonts w:ascii="Arial" w:cs="Arial" w:eastAsia="Arial" w:hAnsi="Arial"/>
          <w:sz w:val="17"/>
          <w:szCs w:val="17"/>
          <w:color w:val="auto"/>
        </w:rPr>
        <w:t>Net cash provided by financing activities increased $136.5 million to $82.6 million during 2013 from $53.9 million used in financing activities in 2012. The increase was primarily attributable to:</w:t>
      </w:r>
    </w:p>
    <w:p>
      <w:pPr>
        <w:spacing w:after="0" w:line="2" w:lineRule="exact"/>
        <w:rPr>
          <w:sz w:val="20"/>
          <w:szCs w:val="20"/>
          <w:color w:val="auto"/>
        </w:rPr>
      </w:pPr>
    </w:p>
    <w:p>
      <w:pPr>
        <w:ind w:left="1640" w:right="20" w:hanging="775"/>
        <w:spacing w:after="0" w:line="326" w:lineRule="auto"/>
        <w:tabs>
          <w:tab w:leader="none" w:pos="16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$319.6 million increase due to net proceeds of $564.4 million from the issuance of our 2.75% senior notes in May 2013 and our 3.95% senior notes in December 2013 as compared to $244.8 million in net proceeds from the issuance of our 3.00% senior notes in July 2012, and</w:t>
      </w:r>
    </w:p>
    <w:p>
      <w:pPr>
        <w:ind w:left="1640" w:right="140" w:hanging="775"/>
        <w:spacing w:after="0" w:line="271" w:lineRule="auto"/>
        <w:tabs>
          <w:tab w:leader="none" w:pos="1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$74.3 million increase in net proceeds from the issuance of common shares due primarily to the sale of 1.7 million shares under our ATM equity program at a weighted average price of $108.01 during 2013 compared to 1.0 million shares at a weighted average price of $103.69 during 2012,</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right="340" w:hanging="775"/>
        <w:spacing w:after="0" w:line="326" w:lineRule="auto"/>
        <w:tabs>
          <w:tab w:leader="none" w:pos="1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$120.3 million increase in repayment of mortgages, capital leases and notes payable due to the payoff of six mortgages totaling $157.3 million and $4.4 million in prepayment premiums in 2013 compared to the repayment of four mortgages totaling $41.0 million in 2012,</w:t>
      </w:r>
    </w:p>
    <w:p>
      <w:pPr>
        <w:ind w:left="1640" w:right="120" w:hanging="775"/>
        <w:spacing w:after="0" w:line="287" w:lineRule="auto"/>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$118.4 million decrease due to the redemption of $285.0 million of senior notes and the payment of make-whole premiums of $8.3 million in 2013 as compared to $175.0 million of redemptions in 2012, and</w:t>
      </w:r>
    </w:p>
    <w:p>
      <w:pPr>
        <w:spacing w:after="0" w:line="1" w:lineRule="exact"/>
        <w:rPr>
          <w:rFonts w:ascii="Arial" w:cs="Arial" w:eastAsia="Arial" w:hAnsi="Arial"/>
          <w:sz w:val="17"/>
          <w:szCs w:val="17"/>
          <w:color w:val="auto"/>
        </w:rPr>
      </w:pPr>
    </w:p>
    <w:p>
      <w:pPr>
        <w:ind w:left="1640" w:hanging="775"/>
        <w:spacing w:after="0"/>
        <w:tabs>
          <w:tab w:leader="none" w:pos="1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$15.0 million increase in dividends paid to shareholders due to an increase in the dividend rate and increased number of shares outstanding.</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our fixed, noncancelable obligations as of December 31, 2013: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33"/>
              <w:spacing w:after="0"/>
              <w:rPr>
                <w:sz w:val="20"/>
                <w:szCs w:val="20"/>
                <w:color w:val="auto"/>
              </w:rPr>
            </w:pPr>
            <w:r>
              <w:rPr>
                <w:rFonts w:ascii="Arial" w:cs="Arial" w:eastAsia="Arial" w:hAnsi="Arial"/>
                <w:sz w:val="14"/>
                <w:szCs w:val="14"/>
                <w:b w:val="1"/>
                <w:bCs w:val="1"/>
                <w:color w:val="auto"/>
                <w:w w:val="89"/>
              </w:rPr>
              <w:t>Commitments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40" w:type="dxa"/>
            <w:vAlign w:val="bottom"/>
          </w:tcPr>
          <w:p>
            <w:pPr>
              <w:jc w:val="right"/>
              <w:ind w:right="196"/>
              <w:spacing w:after="0" w:line="146"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2"/>
                <w:szCs w:val="12"/>
                <w:color w:val="auto"/>
              </w:rPr>
            </w:pPr>
          </w:p>
        </w:tc>
        <w:tc>
          <w:tcPr>
            <w:tcW w:w="1060" w:type="dxa"/>
            <w:vAlign w:val="bottom"/>
          </w:tcPr>
          <w:p>
            <w:pPr>
              <w:jc w:val="right"/>
              <w:ind w:right="376"/>
              <w:spacing w:after="0" w:line="146"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Fixed rate debt (principal and interest)(1)</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2,861,065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193,538</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523,897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778,461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1,365,169</w:t>
            </w: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7"/>
                <w:szCs w:val="17"/>
                <w:color w:val="auto"/>
                <w:w w:val="97"/>
              </w:rPr>
              <w:t>Fixed rate debt - unconsolidated real estate partnership</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40"/>
              <w:spacing w:after="0"/>
              <w:rPr>
                <w:sz w:val="20"/>
                <w:szCs w:val="20"/>
                <w:color w:val="auto"/>
              </w:rPr>
            </w:pPr>
            <w:r>
              <w:rPr>
                <w:rFonts w:ascii="Arial" w:cs="Arial" w:eastAsia="Arial" w:hAnsi="Arial"/>
                <w:sz w:val="17"/>
                <w:szCs w:val="17"/>
                <w:color w:val="auto"/>
              </w:rPr>
              <w:t>(principal and interest)(2)</w:t>
            </w:r>
          </w:p>
        </w:tc>
        <w:tc>
          <w:tcPr>
            <w:tcW w:w="3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18,946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11,288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 lease obligations (principal and interest)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194,970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11,575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166,010</w:t>
            </w:r>
          </w:p>
        </w:tc>
        <w:tc>
          <w:tcPr>
            <w:tcW w:w="0" w:type="dxa"/>
            <w:vAlign w:val="bottom"/>
          </w:tcPr>
          <w:p>
            <w:pPr>
              <w:spacing w:after="0"/>
              <w:rPr>
                <w:sz w:val="1"/>
                <w:szCs w:val="1"/>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Variable rate debt (principal only)(3)</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9,400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9,400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55,573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49,104</w:t>
            </w:r>
          </w:p>
        </w:tc>
        <w:tc>
          <w:tcPr>
            <w:tcW w:w="0" w:type="dxa"/>
            <w:vAlign w:val="bottom"/>
          </w:tcPr>
          <w:p>
            <w:pPr>
              <w:spacing w:after="0"/>
              <w:rPr>
                <w:sz w:val="1"/>
                <w:szCs w:val="1"/>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Real estate commitments(4)</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67,500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67,500</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Development, redevelopment, and capital improvement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obligations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246,894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217,279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29,613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4120" w:type="dxa"/>
            <w:vAlign w:val="bottom"/>
          </w:tcPr>
          <w:p>
            <w:pPr>
              <w:ind w:left="40"/>
              <w:spacing w:after="0"/>
              <w:rPr>
                <w:sz w:val="20"/>
                <w:szCs w:val="20"/>
                <w:color w:val="auto"/>
              </w:rPr>
            </w:pPr>
            <w:r>
              <w:rPr>
                <w:rFonts w:ascii="Arial" w:cs="Arial" w:eastAsia="Arial" w:hAnsi="Arial"/>
                <w:sz w:val="17"/>
                <w:szCs w:val="17"/>
                <w:color w:val="auto"/>
              </w:rPr>
              <w:t>Contractual operating obligations</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22,315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5,720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contractual obligations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3,476,663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441,574</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594,293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792,870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1,647,926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323"/>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Fixed rate debt includes our $275.0 million term loan as the rate is effectively fixed by two interest rate swap agreements.</w:t>
      </w:r>
    </w:p>
    <w:p>
      <w:pPr>
        <w:spacing w:after="0" w:line="65" w:lineRule="exact"/>
        <w:rPr>
          <w:rFonts w:ascii="Arial" w:cs="Arial" w:eastAsia="Arial" w:hAnsi="Arial"/>
          <w:sz w:val="17"/>
          <w:szCs w:val="17"/>
          <w:color w:val="auto"/>
        </w:rPr>
      </w:pPr>
    </w:p>
    <w:p>
      <w:pPr>
        <w:ind w:left="640" w:hanging="323"/>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Amounts reflect our share of principal and interest payments on our unconsolidated joint venture's fixed rate debt.</w:t>
      </w:r>
    </w:p>
    <w:p>
      <w:pPr>
        <w:spacing w:after="0" w:line="65" w:lineRule="exact"/>
        <w:rPr>
          <w:rFonts w:ascii="Arial" w:cs="Arial" w:eastAsia="Arial" w:hAnsi="Arial"/>
          <w:sz w:val="17"/>
          <w:szCs w:val="17"/>
          <w:color w:val="auto"/>
        </w:rPr>
      </w:pPr>
    </w:p>
    <w:p>
      <w:pPr>
        <w:ind w:left="640" w:right="200" w:hanging="323"/>
        <w:spacing w:after="0" w:line="263"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Variable rate debt includes a $9.4 million bond that had an interest rate of 0.09% at December 31, 2013 and our revolving credit facility, which currently has no outstanding balance and bears interest at LIBOR plus 0.90%.</w:t>
      </w:r>
    </w:p>
    <w:p>
      <w:pPr>
        <w:ind w:left="640" w:right="40" w:hanging="323"/>
        <w:spacing w:after="0" w:line="261"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master lease on Melville Mall includes a fixed price put option requiring us to purchase the property for $5.0 million plus the assumption of the owners’ mortgage debt. The current mortgage loan matures on September 1, 2014, is expected to be refinanced at maturity, and has an outstanding contractual balance of $20.7 million at December 31, 2013. The real estate commitments currently include the fixed $5.0 million and all payments related to the current mortgage loan are included in fixed rate debt.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jc w:val="both"/>
        <w:ind w:right="240" w:firstLine="395"/>
        <w:spacing w:after="0" w:line="266" w:lineRule="auto"/>
        <w:tabs>
          <w:tab w:leader="none" w:pos="627"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2013, our estimated liability upon exercise of the put option would range from approximately $68 million to $75 million.</w:t>
      </w:r>
    </w:p>
    <w:p>
      <w:pPr>
        <w:spacing w:after="0" w:line="45" w:lineRule="exact"/>
        <w:rPr>
          <w:rFonts w:ascii="Arial" w:cs="Arial" w:eastAsia="Arial" w:hAnsi="Arial"/>
          <w:sz w:val="17"/>
          <w:szCs w:val="17"/>
          <w:color w:val="auto"/>
        </w:rPr>
      </w:pPr>
    </w:p>
    <w:p>
      <w:pPr>
        <w:jc w:val="both"/>
        <w:ind w:right="60" w:firstLine="421"/>
        <w:spacing w:after="0" w:line="266" w:lineRule="auto"/>
        <w:tabs>
          <w:tab w:leader="none" w:pos="663" w:val="left"/>
        </w:tabs>
        <w:numPr>
          <w:ilvl w:val="1"/>
          <w:numId w:val="50"/>
        </w:numPr>
        <w:rPr>
          <w:rFonts w:ascii="Arial" w:cs="Arial" w:eastAsia="Arial" w:hAnsi="Arial"/>
          <w:sz w:val="17"/>
          <w:szCs w:val="17"/>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45" w:lineRule="exact"/>
        <w:rPr>
          <w:rFonts w:ascii="Arial" w:cs="Arial" w:eastAsia="Arial" w:hAnsi="Arial"/>
          <w:sz w:val="17"/>
          <w:szCs w:val="17"/>
          <w:color w:val="auto"/>
        </w:rPr>
      </w:pPr>
    </w:p>
    <w:p>
      <w:pPr>
        <w:ind w:right="340" w:firstLine="421"/>
        <w:spacing w:after="0" w:line="320" w:lineRule="auto"/>
        <w:tabs>
          <w:tab w:leader="none" w:pos="654" w:val="left"/>
        </w:tabs>
        <w:numPr>
          <w:ilvl w:val="1"/>
          <w:numId w:val="50"/>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2013, a total of 285,722 operating partnership units are outstanding.</w:t>
      </w:r>
    </w:p>
    <w:p>
      <w:pPr>
        <w:spacing w:after="0" w:line="4" w:lineRule="exact"/>
        <w:rPr>
          <w:rFonts w:ascii="Arial" w:cs="Arial" w:eastAsia="Arial" w:hAnsi="Arial"/>
          <w:sz w:val="16"/>
          <w:szCs w:val="16"/>
          <w:color w:val="auto"/>
        </w:rPr>
      </w:pPr>
    </w:p>
    <w:p>
      <w:pPr>
        <w:ind w:right="140" w:firstLine="421"/>
        <w:spacing w:after="0" w:line="266" w:lineRule="auto"/>
        <w:tabs>
          <w:tab w:leader="none" w:pos="663" w:val="left"/>
        </w:tabs>
        <w:numPr>
          <w:ilvl w:val="1"/>
          <w:numId w:val="50"/>
        </w:numPr>
        <w:rPr>
          <w:rFonts w:ascii="Arial" w:cs="Arial" w:eastAsia="Arial" w:hAnsi="Arial"/>
          <w:sz w:val="17"/>
          <w:szCs w:val="17"/>
          <w:color w:val="auto"/>
        </w:rPr>
      </w:pPr>
      <w:r>
        <w:rPr>
          <w:rFonts w:ascii="Arial" w:cs="Arial" w:eastAsia="Arial" w:hAnsi="Arial"/>
          <w:sz w:val="17"/>
          <w:szCs w:val="17"/>
          <w:color w:val="auto"/>
        </w:rPr>
        <w:t>Effective December 27, 2013, 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2013, our estimated maximum liability upon exercise of the put option would range from approximately $7 million to $8 million.</w:t>
      </w:r>
    </w:p>
    <w:p>
      <w:pPr>
        <w:spacing w:after="0" w:line="45" w:lineRule="exact"/>
        <w:rPr>
          <w:rFonts w:ascii="Arial" w:cs="Arial" w:eastAsia="Arial" w:hAnsi="Arial"/>
          <w:sz w:val="17"/>
          <w:szCs w:val="17"/>
          <w:color w:val="auto"/>
        </w:rPr>
      </w:pPr>
    </w:p>
    <w:p>
      <w:pPr>
        <w:ind w:firstLine="421"/>
        <w:spacing w:after="0" w:line="262" w:lineRule="auto"/>
        <w:tabs>
          <w:tab w:leader="none" w:pos="654" w:val="left"/>
        </w:tabs>
        <w:numPr>
          <w:ilvl w:val="1"/>
          <w:numId w:val="50"/>
        </w:numPr>
        <w:rPr>
          <w:rFonts w:ascii="Arial" w:cs="Arial" w:eastAsia="Arial" w:hAnsi="Arial"/>
          <w:sz w:val="17"/>
          <w:szCs w:val="17"/>
          <w:color w:val="auto"/>
        </w:rPr>
      </w:pPr>
      <w:r>
        <w:rPr>
          <w:rFonts w:ascii="Arial" w:cs="Arial" w:eastAsia="Arial" w:hAnsi="Arial"/>
          <w:sz w:val="17"/>
          <w:szCs w:val="17"/>
          <w:color w:val="auto"/>
        </w:rPr>
        <w:t>Effective December 30, 2013, two of the members have the right to require us to purchase their 10.0% and 11.8% ownership interests in Plaza El Segundo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2013, our estimated maximum liability upon exercise of the put option would range from approximately $11 million to $13 million.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49" w:lineRule="exact"/>
        <w:rPr>
          <w:rFonts w:ascii="Arial" w:cs="Arial" w:eastAsia="Arial" w:hAnsi="Arial"/>
          <w:sz w:val="17"/>
          <w:szCs w:val="17"/>
          <w:color w:val="auto"/>
        </w:rPr>
      </w:pPr>
    </w:p>
    <w:p>
      <w:pPr>
        <w:ind w:right="540" w:firstLine="421"/>
        <w:spacing w:after="0" w:line="287" w:lineRule="auto"/>
        <w:tabs>
          <w:tab w:leader="none" w:pos="634" w:val="left"/>
        </w:tabs>
        <w:numPr>
          <w:ilvl w:val="1"/>
          <w:numId w:val="50"/>
        </w:numPr>
        <w:rPr>
          <w:rFonts w:ascii="Arial" w:cs="Arial" w:eastAsia="Arial" w:hAnsi="Arial"/>
          <w:sz w:val="17"/>
          <w:szCs w:val="17"/>
          <w:color w:val="auto"/>
        </w:rPr>
      </w:pPr>
      <w:r>
        <w:rPr>
          <w:rFonts w:ascii="Arial" w:cs="Arial" w:eastAsia="Arial" w:hAnsi="Arial"/>
          <w:sz w:val="17"/>
          <w:szCs w:val="17"/>
          <w:color w:val="auto"/>
        </w:rPr>
        <w:t>At December 31, 2013, we had letters of credit outstanding of approximately $15.9 million which are collateral for existing indebtedness and other obligations of the Trust.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91"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2013,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December 31, 2013, our investment in the Partnership was $32.3 million and the Partnership had approximately $56.9 million of mortgages payable outstanding.</w:t>
      </w:r>
    </w:p>
    <w:p>
      <w:pPr>
        <w:spacing w:after="0" w:line="116"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Other than the joint venture described above and items disclosed in the Contractual Commitments Table, we have no off-balance sheet arrangements as of December 31, 2013 that are reasonably likely to have a current or future material effect on our financial condition, revenues or expenses, results of operations, liquidity, capital expenditures or capital resources.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126" w:right="2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Financing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2013: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Original</w:t>
            </w:r>
          </w:p>
        </w:tc>
        <w:tc>
          <w:tcPr>
            <w:tcW w:w="140" w:type="dxa"/>
            <w:vAlign w:val="bottom"/>
          </w:tcPr>
          <w:p>
            <w:pPr>
              <w:spacing w:after="0"/>
              <w:rPr>
                <w:sz w:val="14"/>
                <w:szCs w:val="14"/>
                <w:color w:val="auto"/>
              </w:rPr>
            </w:pPr>
          </w:p>
        </w:tc>
        <w:tc>
          <w:tcPr>
            <w:tcW w:w="15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88"/>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500" w:type="dxa"/>
            <w:vAlign w:val="bottom"/>
          </w:tcPr>
          <w:p>
            <w:pPr>
              <w:jc w:val="center"/>
              <w:ind w:right="23"/>
              <w:spacing w:after="0" w:line="143" w:lineRule="exact"/>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1500" w:type="dxa"/>
            <w:vAlign w:val="bottom"/>
          </w:tcPr>
          <w:p>
            <w:pPr>
              <w:jc w:val="center"/>
              <w:ind w:right="43"/>
              <w:spacing w:after="0"/>
              <w:rPr>
                <w:sz w:val="20"/>
                <w:szCs w:val="20"/>
                <w:color w:val="auto"/>
              </w:rPr>
            </w:pPr>
            <w:r>
              <w:rPr>
                <w:rFonts w:ascii="Arial" w:cs="Arial" w:eastAsia="Arial" w:hAnsi="Arial"/>
                <w:sz w:val="14"/>
                <w:szCs w:val="14"/>
                <w:b w:val="1"/>
                <w:bCs w:val="1"/>
                <w:color w:val="auto"/>
                <w:w w:val="85"/>
              </w:rPr>
              <w:t>Issued</w:t>
            </w:r>
          </w:p>
        </w:tc>
        <w:tc>
          <w:tcPr>
            <w:tcW w:w="140" w:type="dxa"/>
            <w:vAlign w:val="bottom"/>
          </w:tcPr>
          <w:p>
            <w:pPr>
              <w:spacing w:after="0"/>
              <w:rPr>
                <w:sz w:val="16"/>
                <w:szCs w:val="16"/>
                <w:color w:val="auto"/>
              </w:rPr>
            </w:pPr>
          </w:p>
        </w:tc>
        <w:tc>
          <w:tcPr>
            <w:tcW w:w="1540" w:type="dxa"/>
            <w:vAlign w:val="bottom"/>
          </w:tcPr>
          <w:p>
            <w:pPr>
              <w:jc w:val="right"/>
              <w:ind w:right="202"/>
              <w:spacing w:after="0"/>
              <w:rPr>
                <w:sz w:val="20"/>
                <w:szCs w:val="20"/>
                <w:color w:val="auto"/>
              </w:rPr>
            </w:pPr>
            <w:r>
              <w:rPr>
                <w:rFonts w:ascii="Arial" w:cs="Arial" w:eastAsia="Arial" w:hAnsi="Arial"/>
                <w:sz w:val="14"/>
                <w:szCs w:val="14"/>
                <w:b w:val="1"/>
                <w:bCs w:val="1"/>
                <w:color w:val="auto"/>
                <w:w w:val="98"/>
              </w:rPr>
              <w:t>December 31, 2013</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December 31, 2013</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120" w:type="dxa"/>
            <w:vAlign w:val="bottom"/>
          </w:tcPr>
          <w:p>
            <w:pPr>
              <w:spacing w:after="0"/>
              <w:rPr>
                <w:sz w:val="20"/>
                <w:szCs w:val="20"/>
                <w:color w:val="auto"/>
              </w:rPr>
            </w:pPr>
          </w:p>
        </w:tc>
        <w:tc>
          <w:tcPr>
            <w:tcW w:w="3180" w:type="dxa"/>
            <w:vAlign w:val="bottom"/>
            <w:tcBorders>
              <w:top w:val="single" w:sz="8" w:color="auto"/>
            </w:tcBorders>
            <w:gridSpan w:val="3"/>
          </w:tcPr>
          <w:p>
            <w:pPr>
              <w:jc w:val="right"/>
              <w:ind w:right="842"/>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Secured fixed rate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Melville Mall (2)</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20,705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THE AVENUE at White Marsh</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54,112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Barracks Road</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44,300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37,069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Hauppauge</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16,700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13,974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Lawrence Park</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31,400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26,275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Wildwood</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27,600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23,095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Wynnewood</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32,000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26,777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Brick Plaza</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33,000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27,254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East Bay Bridge</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61,980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2016</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Plaza El Segundo</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24,050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22,521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61"/>
        </w:trPr>
        <w:tc>
          <w:tcPr>
            <w:tcW w:w="4120" w:type="dxa"/>
            <w:vAlign w:val="bottom"/>
          </w:tcPr>
          <w:p>
            <w:pPr>
              <w:ind w:left="360"/>
              <w:spacing w:after="0"/>
              <w:rPr>
                <w:sz w:val="20"/>
                <w:szCs w:val="20"/>
                <w:color w:val="auto"/>
              </w:rPr>
            </w:pPr>
            <w:r>
              <w:rPr>
                <w:rFonts w:ascii="Arial" w:cs="Arial" w:eastAsia="Arial" w:hAnsi="Arial"/>
                <w:sz w:val="16"/>
                <w:szCs w:val="16"/>
                <w:color w:val="auto"/>
              </w:rPr>
              <w:t>29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Place (Shoppers’ World)</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2"/>
                <w:szCs w:val="22"/>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5,119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80,000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77,341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Chelsea</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7,269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578,491</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900"/>
              <w:spacing w:after="0"/>
              <w:rPr>
                <w:sz w:val="20"/>
                <w:szCs w:val="20"/>
                <w:color w:val="auto"/>
              </w:rPr>
            </w:pPr>
            <w:r>
              <w:rPr>
                <w:rFonts w:ascii="Arial" w:cs="Arial" w:eastAsia="Arial" w:hAnsi="Arial"/>
                <w:sz w:val="16"/>
                <w:szCs w:val="16"/>
                <w:color w:val="auto"/>
              </w:rPr>
              <w:t>Net unamortized premium</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9,965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588,456</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Term Loan (3)</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+ 1.30%</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Various (4)</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17,239</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16,422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5"/>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Unsecured variable rate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Escondido (municipal bonds) (5)</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9,400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Revolving credit facility (6)</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600,000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notes payable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300,822</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5.65% notes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125,000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125,000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6.20%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200,000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5.90% notes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150,000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2.75% notes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300,000</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6"/>
                <w:szCs w:val="16"/>
                <w:color w:val="auto"/>
              </w:rPr>
              <w:t>7.48% debentures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09"/>
        </w:trPr>
        <w:tc>
          <w:tcPr>
            <w:tcW w:w="4120" w:type="dxa"/>
            <w:vAlign w:val="bottom"/>
          </w:tcPr>
          <w:p>
            <w:pPr>
              <w:ind w:left="680"/>
              <w:spacing w:after="0"/>
              <w:rPr>
                <w:sz w:val="20"/>
                <w:szCs w:val="20"/>
                <w:color w:val="auto"/>
              </w:rPr>
            </w:pPr>
            <w:r>
              <w:rPr>
                <w:rFonts w:ascii="Arial" w:cs="Arial" w:eastAsia="Arial" w:hAnsi="Arial"/>
                <w:sz w:val="16"/>
                <w:szCs w:val="16"/>
                <w:color w:val="auto"/>
              </w:rPr>
              <w:t>Subtotal</w:t>
            </w: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1,369,200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1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unamortized discount</w:t>
            </w:r>
          </w:p>
        </w:tc>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(8,287)</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680"/>
              <w:spacing w:after="0"/>
              <w:rPr>
                <w:sz w:val="20"/>
                <w:szCs w:val="20"/>
                <w:color w:val="auto"/>
              </w:rPr>
            </w:pPr>
            <w:r>
              <w:rPr>
                <w:rFonts w:ascii="Arial" w:cs="Arial" w:eastAsia="Arial" w:hAnsi="Arial"/>
                <w:sz w:val="16"/>
                <w:szCs w:val="16"/>
                <w:color w:val="auto"/>
              </w:rPr>
              <w:t>Total senior notes and debentures</w:t>
            </w: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1,360,913</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580"/>
              <w:spacing w:after="0"/>
              <w:rPr>
                <w:sz w:val="20"/>
                <w:szCs w:val="20"/>
                <w:color w:val="auto"/>
              </w:rPr>
            </w:pPr>
            <w:r>
              <w:rPr>
                <w:rFonts w:ascii="Arial" w:cs="Arial" w:eastAsia="Arial" w:hAnsi="Arial"/>
                <w:sz w:val="16"/>
                <w:szCs w:val="16"/>
                <w:color w:val="auto"/>
              </w:rPr>
              <w:t>Various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71,671</w:t>
            </w:r>
          </w:p>
        </w:tc>
        <w:tc>
          <w:tcPr>
            <w:tcW w:w="1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2,321,862</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6"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65" w:lineRule="exact"/>
        <w:rPr>
          <w:sz w:val="20"/>
          <w:szCs w:val="20"/>
          <w:color w:val="auto"/>
        </w:rPr>
      </w:pPr>
    </w:p>
    <w:p>
      <w:pPr>
        <w:ind w:left="640" w:right="60" w:hanging="636"/>
        <w:spacing w:after="0" w:line="287"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Mortgages payable do not include our 30% share ($17.1 million) of the $56.9 million debt of the partnership with a discretionary fund created and advised by ING Clarion Partners.</w:t>
      </w:r>
    </w:p>
    <w:p>
      <w:pPr>
        <w:spacing w:after="0" w:line="1" w:lineRule="exact"/>
        <w:rPr>
          <w:rFonts w:ascii="Arial" w:cs="Arial" w:eastAsia="Arial" w:hAnsi="Arial"/>
          <w:sz w:val="17"/>
          <w:szCs w:val="17"/>
          <w:color w:val="auto"/>
        </w:rPr>
      </w:pPr>
    </w:p>
    <w:p>
      <w:pPr>
        <w:ind w:left="640" w:right="180" w:hanging="636"/>
        <w:spacing w:after="0" w:line="271"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5" w:lineRule="exact"/>
        <w:rPr>
          <w:rFonts w:ascii="Arial" w:cs="Arial" w:eastAsia="Arial" w:hAnsi="Arial"/>
          <w:sz w:val="17"/>
          <w:szCs w:val="17"/>
          <w:color w:val="auto"/>
        </w:rPr>
      </w:pPr>
    </w:p>
    <w:p>
      <w:pPr>
        <w:ind w:left="640" w:right="220" w:hanging="636"/>
        <w:spacing w:after="0" w:line="306" w:lineRule="auto"/>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entered into two interest rate swap agreements that fix the LIBOR portion of the interest rate on the term loan at 1.72%. The spread on the term loan was reduced from 145 basis points to 130 basis points based on our credit rating at May 1, 2013 resulting in a fixed rate of 3.02%.</w:t>
      </w:r>
    </w:p>
    <w:p>
      <w:pPr>
        <w:ind w:left="640" w:right="600" w:hanging="636"/>
        <w:spacing w:after="0" w:line="287"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interest rate of 5.73% represents the weighted average interest rate for twelve unsecured fixed rate notes payable. These notes mature between November 15, 2014 and October 31, 2028.</w:t>
      </w:r>
    </w:p>
    <w:p>
      <w:pPr>
        <w:spacing w:after="0" w:line="1" w:lineRule="exact"/>
        <w:rPr>
          <w:rFonts w:ascii="Arial" w:cs="Arial" w:eastAsia="Arial" w:hAnsi="Arial"/>
          <w:sz w:val="17"/>
          <w:szCs w:val="17"/>
          <w:color w:val="auto"/>
        </w:rPr>
      </w:pPr>
    </w:p>
    <w:p>
      <w:pPr>
        <w:ind w:left="640" w:right="80" w:hanging="636"/>
        <w:spacing w:after="0" w:line="287"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 w:lineRule="exact"/>
        <w:rPr>
          <w:rFonts w:ascii="Arial" w:cs="Arial" w:eastAsia="Arial" w:hAnsi="Arial"/>
          <w:sz w:val="17"/>
          <w:szCs w:val="17"/>
          <w:color w:val="auto"/>
        </w:rPr>
      </w:pPr>
    </w:p>
    <w:p>
      <w:pPr>
        <w:ind w:left="640" w:right="620" w:hanging="636"/>
        <w:spacing w:after="0" w:line="287"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2013 was $76.0 million and the weighted average effective interest rate on borrowings under our revolving credit facility, before amortization of debt fees, was 1.27%.</w:t>
      </w:r>
    </w:p>
    <w:p>
      <w:pPr>
        <w:spacing w:after="0" w:line="10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December 31, 2013,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scheduled principal repayments as of December 31, 2013:</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Secured</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2014</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10,339</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29,909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40,276</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800" w:type="dxa"/>
            <w:vAlign w:val="bottom"/>
          </w:tcPr>
          <w:p>
            <w:pPr>
              <w:ind w:left="40"/>
              <w:spacing w:after="0"/>
              <w:rPr>
                <w:sz w:val="20"/>
                <w:szCs w:val="20"/>
                <w:color w:val="auto"/>
              </w:rPr>
            </w:pPr>
            <w:r>
              <w:rPr>
                <w:rFonts w:ascii="Arial" w:cs="Arial" w:eastAsia="Arial" w:hAnsi="Arial"/>
                <w:sz w:val="17"/>
                <w:szCs w:val="17"/>
                <w:color w:val="auto"/>
              </w:rPr>
              <w:t>2015</w:t>
            </w:r>
          </w:p>
        </w:tc>
        <w:tc>
          <w:tcPr>
            <w:tcW w:w="24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373</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206,007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206,407</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134,811</w:t>
            </w: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62,412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197,253</w:t>
            </w:r>
          </w:p>
        </w:tc>
        <w:tc>
          <w:tcPr>
            <w:tcW w:w="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800" w:type="dxa"/>
            <w:vAlign w:val="bottom"/>
          </w:tcPr>
          <w:p>
            <w:pPr>
              <w:ind w:left="40"/>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200,456</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177,654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378,144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2018</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275,505</w:t>
            </w: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278,324</w:t>
            </w:r>
          </w:p>
        </w:tc>
        <w:tc>
          <w:tcPr>
            <w:tcW w:w="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8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24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1,048,538</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99,727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71,515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1,219,780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1,670,022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578,491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71,671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2,320,184</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right="100" w:hanging="636"/>
        <w:spacing w:after="0" w:line="287"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$600.0 million revolving credit facility matures on April 21, 2017, subject to a one-year extension at our option. As of December 31, 2013, there was no balance outstanding under this credit facility.</w:t>
      </w:r>
    </w:p>
    <w:p>
      <w:pPr>
        <w:spacing w:after="0" w:line="1" w:lineRule="exact"/>
        <w:rPr>
          <w:rFonts w:ascii="Arial" w:cs="Arial" w:eastAsia="Arial" w:hAnsi="Arial"/>
          <w:sz w:val="17"/>
          <w:szCs w:val="17"/>
          <w:color w:val="auto"/>
        </w:rPr>
      </w:pPr>
    </w:p>
    <w:p>
      <w:pPr>
        <w:ind w:left="640" w:right="500" w:hanging="636"/>
        <w:spacing w:after="0" w:line="287"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net premium or discount on certain mortgage loans and senior notes as of December 31, 2013.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Hedging</w:t>
      </w:r>
    </w:p>
    <w:p>
      <w:pPr>
        <w:spacing w:after="0" w:line="91"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2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of December 31, 2013, we are party to two interest rate swap agreements that effectively fixed the rate on the term loan at 3.02%. Both swaps were designated and qualified as cash flow hedges and were recorded at fair value. Hedge ineffectiveness has not impacted earnings in 2013, 2012 and 2011, and we do not anticipate it will have a significant effect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REIT Qualification</w:t>
      </w:r>
    </w:p>
    <w:p>
      <w:pPr>
        <w:spacing w:after="0" w:line="9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4" w:lineRule="exact"/>
        <w:rPr>
          <w:sz w:val="20"/>
          <w:szCs w:val="20"/>
          <w:color w:val="auto"/>
        </w:rPr>
      </w:pPr>
    </w:p>
    <w:p>
      <w:pPr>
        <w:ind w:left="1640" w:right="120" w:hanging="775"/>
        <w:spacing w:after="0" w:line="287" w:lineRule="auto"/>
        <w:tabs>
          <w:tab w:leader="none" w:pos="1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Arial" w:cs="Arial" w:eastAsia="Arial" w:hAnsi="Arial"/>
          <w:sz w:val="17"/>
          <w:szCs w:val="17"/>
          <w:color w:val="auto"/>
        </w:rPr>
      </w:pPr>
    </w:p>
    <w:p>
      <w:pPr>
        <w:ind w:left="1640" w:hanging="775"/>
        <w:spacing w:after="0"/>
        <w:tabs>
          <w:tab w:leader="none" w:pos="1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should not be considered an alternative to net income as an indication of our performance; and</w:t>
      </w:r>
    </w:p>
    <w:p>
      <w:pPr>
        <w:spacing w:after="0" w:line="65" w:lineRule="exact"/>
        <w:rPr>
          <w:rFonts w:ascii="Arial" w:cs="Arial" w:eastAsia="Arial" w:hAnsi="Arial"/>
          <w:sz w:val="17"/>
          <w:szCs w:val="17"/>
          <w:color w:val="auto"/>
        </w:rPr>
      </w:pPr>
    </w:p>
    <w:p>
      <w:pPr>
        <w:ind w:left="1640" w:hanging="775"/>
        <w:spacing w:after="0"/>
        <w:tabs>
          <w:tab w:leader="none" w:pos="1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FFO, we have also included FFO excluding the current period "early extinguishment of debt" charge which relates to the early redemption of our</w:t>
      </w:r>
    </w:p>
    <w:p>
      <w:pPr>
        <w:spacing w:after="0" w:line="37"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5.40% senior notes, 5.95% senior notes, and 7.50% mortgages loans. We believe the unusual nature of this charge, being a make-whole payment on the remaining principal and interest on the redeemed notes/mortgages, is worthy of separate evaluation and consequently have provided both relevant metrics.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126" w:right="2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The reconciliation of net income to FFO available for common shareholders and to FFO available for common shareholders excluding early extinguishment of debt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center"/>
              <w:ind w:left="535"/>
              <w:spacing w:after="0"/>
              <w:rPr>
                <w:sz w:val="20"/>
                <w:szCs w:val="20"/>
                <w:color w:val="auto"/>
              </w:rPr>
            </w:pPr>
            <w:r>
              <w:rPr>
                <w:rFonts w:ascii="Arial" w:cs="Arial" w:eastAsia="Arial" w:hAnsi="Arial"/>
                <w:sz w:val="14"/>
                <w:szCs w:val="14"/>
                <w:b w:val="1"/>
                <w:bCs w:val="1"/>
                <w:color w:val="auto"/>
                <w:w w:val="88"/>
              </w:rPr>
              <w:t>(In thousands, except per share data)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167,608</w:t>
            </w:r>
          </w:p>
        </w:tc>
        <w:tc>
          <w:tcPr>
            <w:tcW w:w="44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149,612</w:t>
            </w:r>
          </w:p>
        </w:tc>
        <w:tc>
          <w:tcPr>
            <w:tcW w:w="0" w:type="dxa"/>
            <w:vAlign w:val="bottom"/>
          </w:tcPr>
          <w:p>
            <w:pPr>
              <w:spacing w:after="0"/>
              <w:rPr>
                <w:sz w:val="1"/>
                <w:szCs w:val="1"/>
                <w:color w:val="auto"/>
              </w:rPr>
            </w:pP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(5,695)</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0" w:type="dxa"/>
            <w:vAlign w:val="bottom"/>
          </w:tcPr>
          <w:p>
            <w:pPr>
              <w:spacing w:after="0"/>
              <w:rPr>
                <w:sz w:val="1"/>
                <w:szCs w:val="1"/>
                <w:color w:val="auto"/>
              </w:rPr>
            </w:pP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Gain on deconsolidation of VIE</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 of real estate assets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144,873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125,611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113,188</w:t>
            </w:r>
          </w:p>
        </w:tc>
        <w:tc>
          <w:tcPr>
            <w:tcW w:w="0" w:type="dxa"/>
            <w:vAlign w:val="bottom"/>
          </w:tcPr>
          <w:p>
            <w:pPr>
              <w:spacing w:after="0"/>
              <w:rPr>
                <w:sz w:val="1"/>
                <w:szCs w:val="1"/>
                <w:color w:val="auto"/>
              </w:rPr>
            </w:pP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Amortization of initial direct costs of leases</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10,694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10,935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10,432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of joint venture real estate assets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228"/>
        </w:trPr>
        <w:tc>
          <w:tcPr>
            <w:tcW w:w="7100" w:type="dxa"/>
            <w:vAlign w:val="bottom"/>
          </w:tcPr>
          <w:p>
            <w:pPr>
              <w:ind w:left="360"/>
              <w:spacing w:after="0"/>
              <w:rPr>
                <w:sz w:val="20"/>
                <w:szCs w:val="20"/>
                <w:color w:val="auto"/>
              </w:rPr>
            </w:pPr>
            <w:r>
              <w:rPr>
                <w:rFonts w:ascii="Arial" w:cs="Arial" w:eastAsia="Arial" w:hAnsi="Arial"/>
                <w:sz w:val="17"/>
                <w:szCs w:val="17"/>
                <w:color w:val="auto"/>
              </w:rPr>
              <w:t>Funds from operations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290,897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278,124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252,207</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Dividends on preferred shares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Income attributable to operating partnership units</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943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attributable to unvested shares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228"/>
        </w:trPr>
        <w:tc>
          <w:tcPr>
            <w:tcW w:w="7100" w:type="dxa"/>
            <w:vAlign w:val="bottom"/>
          </w:tcPr>
          <w:p>
            <w:pPr>
              <w:ind w:left="360"/>
              <w:spacing w:after="0"/>
              <w:rPr>
                <w:sz w:val="20"/>
                <w:szCs w:val="20"/>
                <w:color w:val="auto"/>
              </w:rPr>
            </w:pPr>
            <w:r>
              <w:rPr>
                <w:rFonts w:ascii="Arial" w:cs="Arial" w:eastAsia="Arial" w:hAnsi="Arial"/>
                <w:sz w:val="17"/>
                <w:szCs w:val="17"/>
                <w:color w:val="auto"/>
              </w:rPr>
              <w:t>Funds from operations available for common shareholders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289,938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277,237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251,576</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Early extinguishment of debt, net of allocation to unvested shares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13,244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100" w:type="dxa"/>
            <w:vAlign w:val="bottom"/>
          </w:tcPr>
          <w:p>
            <w:pPr>
              <w:ind w:left="360"/>
              <w:spacing w:after="0"/>
              <w:rPr>
                <w:sz w:val="20"/>
                <w:szCs w:val="20"/>
                <w:color w:val="auto"/>
              </w:rPr>
            </w:pPr>
            <w:r>
              <w:rPr>
                <w:rFonts w:ascii="Arial" w:cs="Arial" w:eastAsia="Arial" w:hAnsi="Arial"/>
                <w:sz w:val="17"/>
                <w:szCs w:val="17"/>
                <w:color w:val="auto"/>
                <w:w w:val="96"/>
              </w:rPr>
              <w:t>Funds from operations available for common shareholders excluding early extinguishment of</w:t>
            </w:r>
          </w:p>
        </w:tc>
        <w:tc>
          <w:tcPr>
            <w:tcW w:w="34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303,182</w:t>
            </w:r>
          </w:p>
        </w:tc>
        <w:tc>
          <w:tcPr>
            <w:tcW w:w="100" w:type="dxa"/>
            <w:vAlign w:val="bottom"/>
            <w:vMerge w:val="restart"/>
          </w:tcPr>
          <w:p>
            <w:pPr>
              <w:spacing w:after="0"/>
              <w:rPr>
                <w:sz w:val="17"/>
                <w:szCs w:val="17"/>
                <w:color w:val="auto"/>
              </w:rPr>
            </w:pPr>
          </w:p>
        </w:tc>
        <w:tc>
          <w:tcPr>
            <w:tcW w:w="3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277,237</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251,576</w:t>
            </w:r>
          </w:p>
        </w:tc>
        <w:tc>
          <w:tcPr>
            <w:tcW w:w="0" w:type="dxa"/>
            <w:vAlign w:val="bottom"/>
          </w:tcPr>
          <w:p>
            <w:pPr>
              <w:spacing w:after="0"/>
              <w:rPr>
                <w:sz w:val="1"/>
                <w:szCs w:val="1"/>
                <w:color w:val="auto"/>
              </w:rPr>
            </w:pPr>
          </w:p>
        </w:tc>
      </w:tr>
      <w:tr>
        <w:trPr>
          <w:trHeight w:val="267"/>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debt</w:t>
            </w:r>
          </w:p>
        </w:tc>
        <w:tc>
          <w:tcPr>
            <w:tcW w:w="340" w:type="dxa"/>
            <w:vAlign w:val="bottom"/>
            <w:tcBorders>
              <w:bottom w:val="single" w:sz="8" w:color="auto"/>
            </w:tcBorders>
            <w:vMerge w:val="continue"/>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34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vMerge w:val="continue"/>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shd w:val="clear" w:color="auto" w:fill="CCEEFF"/>
          </w:tcPr>
          <w:p>
            <w:pPr>
              <w:ind w:left="40"/>
              <w:spacing w:after="0" w:line="194" w:lineRule="exact"/>
              <w:rPr>
                <w:sz w:val="20"/>
                <w:szCs w:val="20"/>
                <w:color w:val="auto"/>
              </w:rPr>
            </w:pPr>
            <w:r>
              <w:rPr>
                <w:rFonts w:ascii="Arial" w:cs="Arial" w:eastAsia="Arial" w:hAnsi="Arial"/>
                <w:sz w:val="17"/>
                <w:szCs w:val="17"/>
                <w:color w:val="auto"/>
              </w:rPr>
              <w:t>Weighted average number of common shares, diluted (1)</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65,778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64,389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62,964</w:t>
            </w:r>
          </w:p>
        </w:tc>
        <w:tc>
          <w:tcPr>
            <w:tcW w:w="0" w:type="dxa"/>
            <w:vAlign w:val="bottom"/>
          </w:tcPr>
          <w:p>
            <w:pPr>
              <w:spacing w:after="0"/>
              <w:rPr>
                <w:sz w:val="1"/>
                <w:szCs w:val="1"/>
                <w:color w:val="auto"/>
              </w:rPr>
            </w:pPr>
          </w:p>
        </w:tc>
      </w:tr>
      <w:tr>
        <w:trPr>
          <w:trHeight w:val="313"/>
        </w:trPr>
        <w:tc>
          <w:tcPr>
            <w:tcW w:w="7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4.41</w:t>
            </w:r>
          </w:p>
        </w:tc>
        <w:tc>
          <w:tcPr>
            <w:tcW w:w="44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Funds from operations available for common shareholders excluding early extinguishment of debt,</w:t>
            </w: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4.61</w:t>
            </w:r>
          </w:p>
        </w:tc>
        <w:tc>
          <w:tcPr>
            <w:tcW w:w="440" w:type="dxa"/>
            <w:vAlign w:val="bottom"/>
            <w:gridSpan w:val="2"/>
            <w:vMerge w:val="restart"/>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 diluted share</w:t>
            </w:r>
          </w:p>
        </w:tc>
        <w:tc>
          <w:tcPr>
            <w:tcW w:w="3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_____________________</w:t>
      </w:r>
    </w:p>
    <w:p>
      <w:pPr>
        <w:spacing w:after="0" w:line="53" w:lineRule="exact"/>
        <w:rPr>
          <w:sz w:val="20"/>
          <w:szCs w:val="20"/>
          <w:color w:val="auto"/>
        </w:rPr>
      </w:pPr>
    </w:p>
    <w:p>
      <w:pPr>
        <w:jc w:val="both"/>
        <w:ind w:left="640" w:right="200" w:hanging="636"/>
        <w:spacing w:after="0" w:line="271"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9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4"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December 31, 2013, we were party to two interest rate swap agreements that effectively fix the rate on the $275.0 million term loan at 3.02%.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97"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Fixed Interest Rate Debt</w:t>
      </w:r>
    </w:p>
    <w:p>
      <w:pPr>
        <w:spacing w:after="0" w:line="9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December 31, 2013, we had $2.3 billion of fixed-rate debt outstanding, including our $275.0 million term loan as the rate is effectively fixed by two interest rate swap agreements; we also had capital lease obligations of $71.7 million. If market interest rates used to calculate the fair value on our fixed-rate debt instruments at December 31, 2013 had been 1.0% higher, the fair value of those debt instruments on that date would have decreased by approximately $101.8 million. If market interest rates used to calculate the fair value on our fixed-rate debt instruments at December 31, 2013 had been 1.0% lower, the fair value of those debt instruments on that date would have increased by approximately $109.5 million.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Rate Debt</w:t>
      </w:r>
    </w:p>
    <w:p>
      <w:pPr>
        <w:spacing w:after="0" w:line="91"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Generally, we believe that our primary interest rate risk is due to fluctuations in interest rates on our variable rate debt. At December 31, 2013, we had $9.4 million of variable rate debt outstanding which consisted of municipal bonds. Our revolving credit facility had no outstanding balance as of December 31, 2013.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37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consolidated financial statements and supplementary data are included as a separate section of this Annual Report on Form 10-K commencing on page F-1 and are incorporated herein by reference.</w:t>
      </w:r>
    </w:p>
    <w:p>
      <w:pPr>
        <w:spacing w:after="0" w:line="178" w:lineRule="exact"/>
        <w:rPr>
          <w:sz w:val="20"/>
          <w:szCs w:val="20"/>
          <w:color w:val="auto"/>
        </w:rPr>
      </w:pPr>
    </w:p>
    <w:p>
      <w:pPr>
        <w:ind w:right="1400"/>
        <w:spacing w:after="0" w:line="390"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9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Assessment</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carried out an assessment as of December 31, 2013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Executive Officer and Principal Financial Officer Certifications</w:t>
      </w:r>
    </w:p>
    <w:p>
      <w:pPr>
        <w:spacing w:after="0" w:line="9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are currently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126" w:right="27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97"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Executive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ind w:left="640" w:hanging="323"/>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13" w:lineRule="exact"/>
        <w:rPr>
          <w:rFonts w:ascii="Arial" w:cs="Arial" w:eastAsia="Arial" w:hAnsi="Arial"/>
          <w:sz w:val="17"/>
          <w:szCs w:val="17"/>
          <w:color w:val="auto"/>
        </w:rPr>
      </w:pPr>
    </w:p>
    <w:p>
      <w:pPr>
        <w:ind w:left="640" w:right="40" w:hanging="323"/>
        <w:spacing w:after="0" w:line="256"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40" w:right="40" w:hanging="323"/>
        <w:spacing w:after="0" w:line="272"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9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may not be detected.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Scope of the Evaluations</w:t>
      </w:r>
    </w:p>
    <w:p>
      <w:pPr>
        <w:spacing w:after="0" w:line="9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the 1992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1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Disclosure Controls and Procedures</w:t>
      </w:r>
    </w:p>
    <w:p>
      <w:pPr>
        <w:spacing w:after="0" w:line="9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and provides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Internal Control over Financial Reporting</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and provides reasonable assurance regarding the reliability of financial reporting and the preparation of financial statements for external purposes in accordance with generally accepted accounting principles in the United States of America.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Management</w:t>
      </w:r>
    </w:p>
    <w:p>
      <w:pPr>
        <w:spacing w:after="0" w:line="97"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Our management has issued a report on its assessment of the Trust’s internal control over financial reporting, which appears on page F-2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Independent Registered Public Accounting Firm</w:t>
      </w:r>
    </w:p>
    <w:p>
      <w:pPr>
        <w:spacing w:after="0" w:line="97" w:lineRule="exact"/>
        <w:rPr>
          <w:sz w:val="20"/>
          <w:szCs w:val="20"/>
          <w:color w:val="auto"/>
        </w:rPr>
      </w:pPr>
    </w:p>
    <w:p>
      <w:pPr>
        <w:ind w:right="320"/>
        <w:spacing w:after="0" w:line="320"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7"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There was no change in our internal control over financial reporting during our fourth fiscal quarter of 2013 that materially affected, or is reasonably likely to materially affect, our internal control over financial reporting.</w:t>
      </w:r>
    </w:p>
    <w:p>
      <w:pPr>
        <w:spacing w:after="0" w:line="38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9B.</w:t>
        <w:tab/>
        <w:t>OTHER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00"/>
          </w:cols>
          <w:pgMar w:left="240" w:top="126" w:right="2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176"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Certain information required in Part III is omitted from this Report but is incorporated herein by reference from our Proxy Statement for the 2014 Annual Meeting of Shareholders (as amended or supplemented, the “Proxy Statement”).</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tab/>
        <w:t>TRUSTEES, EXECUTIVE OFFICERS AND CORPORATE GOVERNANCE</w:t>
      </w:r>
    </w:p>
    <w:p>
      <w:pPr>
        <w:spacing w:after="0" w:line="97" w:lineRule="exact"/>
        <w:rPr>
          <w:sz w:val="20"/>
          <w:szCs w:val="20"/>
          <w:color w:val="auto"/>
        </w:rPr>
      </w:pPr>
    </w:p>
    <w:p>
      <w:pPr>
        <w:ind w:right="580"/>
        <w:spacing w:after="0" w:line="271" w:lineRule="auto"/>
        <w:rPr>
          <w:sz w:val="20"/>
          <w:szCs w:val="20"/>
          <w:color w:val="auto"/>
        </w:rPr>
      </w:pPr>
      <w:r>
        <w:rPr>
          <w:rFonts w:ascii="Arial" w:cs="Arial" w:eastAsia="Arial" w:hAnsi="Arial"/>
          <w:sz w:val="17"/>
          <w:szCs w:val="17"/>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sections of the Proxy Statement entitled “Summary Compensation Table,” “Compensation Committee Interlocks and Insider Participation,” “Compensation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Committee Report,” “Trustee Compensation” and “Compensation Discussion and Analysis” and other information included in the Proxy Statement required by this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Item 11 are incorporated herein by reference.</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SHAREHOLDER MATTERS</w:t>
      </w:r>
    </w:p>
    <w:p>
      <w:pPr>
        <w:spacing w:after="0" w:line="97"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tab/>
        <w:t>CERTAIN RELATIONSHIPS AND RELATED TRANSACTIONS, AND TRUSTEE INDEPENDENCE</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97" w:lineRule="exact"/>
        <w:rPr>
          <w:sz w:val="20"/>
          <w:szCs w:val="20"/>
          <w:color w:val="auto"/>
        </w:rPr>
      </w:pPr>
    </w:p>
    <w:p>
      <w:pPr>
        <w:ind w:right="380"/>
        <w:spacing w:after="0" w:line="320"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PART IV</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(a)(1) Financial Statements</w:t>
      </w:r>
    </w:p>
    <w:p>
      <w:pPr>
        <w:spacing w:after="0" w:line="97" w:lineRule="exact"/>
        <w:rPr>
          <w:sz w:val="20"/>
          <w:szCs w:val="20"/>
          <w:color w:val="auto"/>
        </w:rPr>
      </w:pPr>
    </w:p>
    <w:p>
      <w:pPr>
        <w:ind w:right="760"/>
        <w:spacing w:after="0" w:line="320"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Reports of Independent Registered Public Accounting Firm are included as a separate section of this Annual Report on Form 10-K commencing on page F-1.</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9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Our financial statement schedules are included in a separate section of this Annual Report on Form 10-K commencing on page </w:t>
      </w:r>
      <w:hyperlink w:anchor="page82">
        <w:r>
          <w:rPr>
            <w:rFonts w:ascii="Arial" w:cs="Arial" w:eastAsia="Arial" w:hAnsi="Arial"/>
            <w:sz w:val="17"/>
            <w:szCs w:val="17"/>
            <w:u w:val="single" w:color="auto"/>
            <w:color w:val="0000EE"/>
          </w:rPr>
          <w:t>F-31</w:t>
        </w:r>
      </w:hyperlink>
      <w:r>
        <w:rPr>
          <w:rFonts w:ascii="Arial" w:cs="Arial" w:eastAsia="Arial" w:hAnsi="Arial"/>
          <w:sz w:val="17"/>
          <w:szCs w:val="17"/>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 list of exhibits to this Annual Report on Form 10-K is set forth on the Exhibit Index immediately preceding such exhibits and is incorporated herein by reference.</w:t>
      </w:r>
    </w:p>
    <w:p>
      <w:pPr>
        <w:spacing w:after="0" w:line="181" w:lineRule="exact"/>
        <w:rPr>
          <w:sz w:val="20"/>
          <w:szCs w:val="20"/>
          <w:color w:val="auto"/>
        </w:rPr>
      </w:pPr>
    </w:p>
    <w:p>
      <w:pPr>
        <w:ind w:left="260" w:hanging="256"/>
        <w:spacing w:after="0"/>
        <w:tabs>
          <w:tab w:leader="none" w:pos="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See Exhibit Index</w:t>
      </w:r>
    </w:p>
    <w:p>
      <w:pPr>
        <w:spacing w:after="0" w:line="169" w:lineRule="exact"/>
        <w:rPr>
          <w:rFonts w:ascii="Arial" w:cs="Arial" w:eastAsia="Arial" w:hAnsi="Arial"/>
          <w:sz w:val="17"/>
          <w:szCs w:val="17"/>
          <w:color w:val="auto"/>
        </w:rPr>
      </w:pPr>
    </w:p>
    <w:p>
      <w:pPr>
        <w:ind w:left="240" w:hanging="236"/>
        <w:spacing w:after="0"/>
        <w:tabs>
          <w:tab w:leader="none" w:pos="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35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this February 11, 2014.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Federal Realty Investment Trust</w:t>
      </w:r>
    </w:p>
    <w:p>
      <w:pPr>
        <w:spacing w:after="0" w:line="378" w:lineRule="exact"/>
        <w:rPr>
          <w:sz w:val="20"/>
          <w:szCs w:val="20"/>
          <w:color w:val="auto"/>
        </w:rPr>
      </w:pPr>
    </w:p>
    <w:p>
      <w:pPr>
        <w:ind w:left="5080"/>
        <w:spacing w:after="0"/>
        <w:tabs>
          <w:tab w:leader="none" w:pos="6300" w:val="left"/>
          <w:tab w:leader="none" w:pos="66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41275</wp:posOffset>
            </wp:positionV>
            <wp:extent cx="2458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60" w:lineRule="exact"/>
        <w:rPr>
          <w:sz w:val="20"/>
          <w:szCs w:val="20"/>
          <w:color w:val="auto"/>
        </w:rPr>
      </w:pPr>
    </w:p>
    <w:p>
      <w:pPr>
        <w:jc w:val="center"/>
        <w:ind w:left="3160"/>
        <w:spacing w:after="0"/>
        <w:rPr>
          <w:sz w:val="20"/>
          <w:szCs w:val="20"/>
          <w:color w:val="auto"/>
        </w:rPr>
      </w:pPr>
      <w:r>
        <w:rPr>
          <w:rFonts w:ascii="Arial" w:cs="Arial" w:eastAsia="Arial" w:hAnsi="Arial"/>
          <w:sz w:val="14"/>
          <w:szCs w:val="14"/>
          <w:b w:val="1"/>
          <w:bCs w:val="1"/>
          <w:color w:val="auto"/>
        </w:rPr>
        <w:t>Donald C. Wood</w:t>
      </w:r>
    </w:p>
    <w:p>
      <w:pPr>
        <w:jc w:val="center"/>
        <w:ind w:left="316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7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9"/>
              </w:rPr>
              <w:t>Signature</w:t>
            </w:r>
          </w:p>
        </w:tc>
        <w:tc>
          <w:tcPr>
            <w:tcW w:w="434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2240" w:type="dxa"/>
            <w:vAlign w:val="bottom"/>
            <w:gridSpan w:val="3"/>
          </w:tcPr>
          <w:p>
            <w:pPr>
              <w:jc w:val="center"/>
              <w:ind w:left="875"/>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4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40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President, Chief Executive Officer and</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740"/>
              <w:spacing w:after="0"/>
              <w:rPr>
                <w:sz w:val="20"/>
                <w:szCs w:val="20"/>
                <w:color w:val="auto"/>
              </w:rPr>
            </w:pPr>
            <w:r>
              <w:rPr>
                <w:rFonts w:ascii="Arial" w:cs="Arial" w:eastAsia="Arial" w:hAnsi="Arial"/>
                <w:sz w:val="17"/>
                <w:szCs w:val="17"/>
                <w:color w:val="auto"/>
              </w:rPr>
              <w:t>Trustee (Principal Executive Officer)</w:t>
            </w: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0"/>
              </w:rPr>
              <w:t>Donald C. Wood</w:t>
            </w:r>
          </w:p>
        </w:tc>
        <w:tc>
          <w:tcPr>
            <w:tcW w:w="434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4460" w:type="dxa"/>
            <w:vAlign w:val="bottom"/>
            <w:gridSpan w:val="5"/>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JAMES M. TAYLOR, JR.</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Executive Vice President-Chief Financial</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340" w:type="dxa"/>
            <w:vAlign w:val="bottom"/>
            <w:gridSpan w:val="3"/>
            <w:vMerge w:val="restart"/>
          </w:tcPr>
          <w:p>
            <w:pPr>
              <w:ind w:left="740"/>
              <w:spacing w:after="0"/>
              <w:rPr>
                <w:sz w:val="20"/>
                <w:szCs w:val="20"/>
                <w:color w:val="auto"/>
              </w:rPr>
            </w:pPr>
            <w:r>
              <w:rPr>
                <w:rFonts w:ascii="Arial" w:cs="Arial" w:eastAsia="Arial" w:hAnsi="Arial"/>
                <w:sz w:val="17"/>
                <w:szCs w:val="17"/>
                <w:color w:val="auto"/>
              </w:rPr>
              <w:t>Officer and Treasurer (Principal</w:t>
            </w: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89"/>
              </w:rPr>
              <w:t>James M. Taylor, Jr.</w:t>
            </w:r>
          </w:p>
        </w:tc>
        <w:tc>
          <w:tcPr>
            <w:tcW w:w="434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340" w:type="dxa"/>
            <w:vAlign w:val="bottom"/>
            <w:gridSpan w:val="3"/>
          </w:tcPr>
          <w:p>
            <w:pPr>
              <w:ind w:left="740"/>
              <w:spacing w:after="0"/>
              <w:rPr>
                <w:sz w:val="20"/>
                <w:szCs w:val="20"/>
                <w:color w:val="auto"/>
              </w:rPr>
            </w:pPr>
            <w:r>
              <w:rPr>
                <w:rFonts w:ascii="Arial" w:cs="Arial" w:eastAsia="Arial" w:hAnsi="Arial"/>
                <w:sz w:val="17"/>
                <w:szCs w:val="17"/>
                <w:color w:val="auto"/>
              </w:rPr>
              <w:t>Financial and Accounting Officer)</w:t>
            </w: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4"/>
        </w:trPr>
        <w:tc>
          <w:tcPr>
            <w:tcW w:w="1400" w:type="dxa"/>
            <w:vAlign w:val="bottom"/>
          </w:tcPr>
          <w:p>
            <w:pPr>
              <w:ind w:left="11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060" w:type="dxa"/>
            <w:vAlign w:val="bottom"/>
            <w:gridSpan w:val="4"/>
          </w:tcPr>
          <w:p>
            <w:pPr>
              <w:jc w:val="center"/>
              <w:ind w:right="1040"/>
              <w:spacing w:after="0"/>
              <w:rPr>
                <w:sz w:val="20"/>
                <w:szCs w:val="20"/>
                <w:color w:val="auto"/>
              </w:rPr>
            </w:pPr>
            <w:r>
              <w:rPr>
                <w:rFonts w:ascii="Arial" w:cs="Arial" w:eastAsia="Arial" w:hAnsi="Arial"/>
                <w:sz w:val="17"/>
                <w:szCs w:val="17"/>
                <w:color w:val="auto"/>
                <w:w w:val="99"/>
              </w:rPr>
              <w:t>J</w:t>
            </w:r>
            <w:r>
              <w:rPr>
                <w:rFonts w:ascii="Arial" w:cs="Arial" w:eastAsia="Arial" w:hAnsi="Arial"/>
                <w:sz w:val="13"/>
                <w:szCs w:val="13"/>
                <w:color w:val="auto"/>
                <w:w w:val="99"/>
              </w:rPr>
              <w:t>OSEPH</w:t>
            </w:r>
            <w:r>
              <w:rPr>
                <w:rFonts w:ascii="Arial" w:cs="Arial" w:eastAsia="Arial" w:hAnsi="Arial"/>
                <w:sz w:val="17"/>
                <w:szCs w:val="17"/>
                <w:color w:val="auto"/>
                <w:w w:val="99"/>
              </w:rPr>
              <w:t xml:space="preserve"> S. V</w:t>
            </w:r>
            <w:r>
              <w:rPr>
                <w:rFonts w:ascii="Arial" w:cs="Arial" w:eastAsia="Arial" w:hAnsi="Arial"/>
                <w:sz w:val="13"/>
                <w:szCs w:val="13"/>
                <w:color w:val="auto"/>
                <w:w w:val="99"/>
              </w:rPr>
              <w:t>ASSALLUZZO</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Non-Executive Chairman</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4"/>
              </w:rPr>
              <w:t>Joseph S. Vassalluzzo</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3"/>
        </w:trPr>
        <w:tc>
          <w:tcPr>
            <w:tcW w:w="140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7"/>
                <w:szCs w:val="17"/>
                <w:color w:val="auto"/>
                <w:w w:val="76"/>
              </w:rPr>
              <w:t>/</w:t>
            </w:r>
            <w:r>
              <w:rPr>
                <w:rFonts w:ascii="Arial" w:cs="Arial" w:eastAsia="Arial" w:hAnsi="Arial"/>
                <w:sz w:val="13"/>
                <w:szCs w:val="13"/>
                <w:color w:val="auto"/>
                <w:w w:val="76"/>
              </w:rPr>
              <w:t>S</w:t>
            </w:r>
            <w:r>
              <w:rPr>
                <w:rFonts w:ascii="Arial" w:cs="Arial" w:eastAsia="Arial" w:hAnsi="Arial"/>
                <w:sz w:val="17"/>
                <w:szCs w:val="17"/>
                <w:color w:val="auto"/>
                <w:w w:val="76"/>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w w:val="97"/>
              </w:rPr>
              <w:t>J</w:t>
            </w:r>
            <w:r>
              <w:rPr>
                <w:rFonts w:ascii="Arial" w:cs="Arial" w:eastAsia="Arial" w:hAnsi="Arial"/>
                <w:sz w:val="13"/>
                <w:szCs w:val="13"/>
                <w:color w:val="auto"/>
                <w:w w:val="97"/>
              </w:rPr>
              <w:t>ON</w:t>
            </w:r>
            <w:r>
              <w:rPr>
                <w:rFonts w:ascii="Arial" w:cs="Arial" w:eastAsia="Arial" w:hAnsi="Arial"/>
                <w:sz w:val="17"/>
                <w:szCs w:val="17"/>
                <w:color w:val="auto"/>
                <w:w w:val="97"/>
              </w:rPr>
              <w:t xml:space="preserve"> E. B</w:t>
            </w:r>
            <w:r>
              <w:rPr>
                <w:rFonts w:ascii="Arial" w:cs="Arial" w:eastAsia="Arial" w:hAnsi="Arial"/>
                <w:sz w:val="13"/>
                <w:szCs w:val="13"/>
                <w:color w:val="auto"/>
                <w:w w:val="97"/>
              </w:rPr>
              <w:t>ORTZ</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Trustee</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0"/>
              </w:rPr>
              <w:t>Jon E. Bortz</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14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AVID</w:t>
            </w:r>
            <w:r>
              <w:rPr>
                <w:rFonts w:ascii="Arial" w:cs="Arial" w:eastAsia="Arial" w:hAnsi="Arial"/>
                <w:sz w:val="17"/>
                <w:szCs w:val="17"/>
                <w:color w:val="auto"/>
              </w:rPr>
              <w:t xml:space="preserve"> W. F</w:t>
            </w:r>
            <w:r>
              <w:rPr>
                <w:rFonts w:ascii="Arial" w:cs="Arial" w:eastAsia="Arial" w:hAnsi="Arial"/>
                <w:sz w:val="13"/>
                <w:szCs w:val="13"/>
                <w:color w:val="auto"/>
              </w:rPr>
              <w:t>AEDER</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Trustee</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91"/>
              </w:rPr>
              <w:t>David W. Faeder</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2"/>
        </w:trPr>
        <w:tc>
          <w:tcPr>
            <w:tcW w:w="14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rPr>
              <w:t>K</w:t>
            </w:r>
            <w:r>
              <w:rPr>
                <w:rFonts w:ascii="Arial" w:cs="Arial" w:eastAsia="Arial" w:hAnsi="Arial"/>
                <w:sz w:val="13"/>
                <w:szCs w:val="13"/>
                <w:color w:val="auto"/>
              </w:rPr>
              <w:t>RISTIN</w:t>
            </w:r>
            <w:r>
              <w:rPr>
                <w:rFonts w:ascii="Arial" w:cs="Arial" w:eastAsia="Arial" w:hAnsi="Arial"/>
                <w:sz w:val="17"/>
                <w:szCs w:val="17"/>
                <w:color w:val="auto"/>
              </w:rPr>
              <w:t xml:space="preserve"> G</w:t>
            </w:r>
            <w:r>
              <w:rPr>
                <w:rFonts w:ascii="Arial" w:cs="Arial" w:eastAsia="Arial" w:hAnsi="Arial"/>
                <w:sz w:val="13"/>
                <w:szCs w:val="13"/>
                <w:color w:val="auto"/>
              </w:rPr>
              <w:t>AMBLE</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Trustee</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4"/>
              </w:rPr>
              <w:t>Kristin Gamble</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3"/>
        </w:trPr>
        <w:tc>
          <w:tcPr>
            <w:tcW w:w="140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w w:val="98"/>
              </w:rPr>
              <w:t>G</w:t>
            </w:r>
            <w:r>
              <w:rPr>
                <w:rFonts w:ascii="Arial" w:cs="Arial" w:eastAsia="Arial" w:hAnsi="Arial"/>
                <w:sz w:val="13"/>
                <w:szCs w:val="13"/>
                <w:color w:val="auto"/>
                <w:w w:val="98"/>
              </w:rPr>
              <w:t>AIL</w:t>
            </w:r>
            <w:r>
              <w:rPr>
                <w:rFonts w:ascii="Arial" w:cs="Arial" w:eastAsia="Arial" w:hAnsi="Arial"/>
                <w:sz w:val="17"/>
                <w:szCs w:val="17"/>
                <w:color w:val="auto"/>
                <w:w w:val="98"/>
              </w:rPr>
              <w:t xml:space="preserve"> P. S</w:t>
            </w:r>
            <w:r>
              <w:rPr>
                <w:rFonts w:ascii="Arial" w:cs="Arial" w:eastAsia="Arial" w:hAnsi="Arial"/>
                <w:sz w:val="13"/>
                <w:szCs w:val="13"/>
                <w:color w:val="auto"/>
                <w:w w:val="98"/>
              </w:rPr>
              <w:t>TEINEL</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Trustee</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7"/>
              </w:rPr>
              <w:t>Gail P. Steinel</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3"/>
        </w:trPr>
        <w:tc>
          <w:tcPr>
            <w:tcW w:w="1400" w:type="dxa"/>
            <w:vAlign w:val="bottom"/>
          </w:tcPr>
          <w:p>
            <w:pPr>
              <w:ind w:left="1200"/>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3060" w:type="dxa"/>
            <w:vAlign w:val="bottom"/>
            <w:gridSpan w:val="4"/>
          </w:tcPr>
          <w:p>
            <w:pPr>
              <w:jc w:val="center"/>
              <w:ind w:right="1040"/>
              <w:spacing w:after="0"/>
              <w:rPr>
                <w:sz w:val="20"/>
                <w:szCs w:val="20"/>
                <w:color w:val="auto"/>
              </w:rPr>
            </w:pPr>
            <w:r>
              <w:rPr>
                <w:rFonts w:ascii="Arial" w:cs="Arial" w:eastAsia="Arial" w:hAnsi="Arial"/>
                <w:sz w:val="17"/>
                <w:szCs w:val="17"/>
                <w:color w:val="auto"/>
              </w:rPr>
              <w:t>W</w:t>
            </w:r>
            <w:r>
              <w:rPr>
                <w:rFonts w:ascii="Arial" w:cs="Arial" w:eastAsia="Arial" w:hAnsi="Arial"/>
                <w:sz w:val="13"/>
                <w:szCs w:val="13"/>
                <w:color w:val="auto"/>
              </w:rPr>
              <w:t>ARREN</w:t>
            </w:r>
            <w:r>
              <w:rPr>
                <w:rFonts w:ascii="Arial" w:cs="Arial" w:eastAsia="Arial" w:hAnsi="Arial"/>
                <w:sz w:val="17"/>
                <w:szCs w:val="17"/>
                <w:color w:val="auto"/>
              </w:rPr>
              <w:t xml:space="preserve"> M. T</w:t>
            </w:r>
            <w:r>
              <w:rPr>
                <w:rFonts w:ascii="Arial" w:cs="Arial" w:eastAsia="Arial" w:hAnsi="Arial"/>
                <w:sz w:val="13"/>
                <w:szCs w:val="13"/>
                <w:color w:val="auto"/>
              </w:rPr>
              <w:t>HOMPSON</w:t>
            </w:r>
          </w:p>
        </w:tc>
        <w:tc>
          <w:tcPr>
            <w:tcW w:w="4340" w:type="dxa"/>
            <w:vAlign w:val="bottom"/>
            <w:gridSpan w:val="3"/>
          </w:tcPr>
          <w:p>
            <w:pPr>
              <w:ind w:left="500"/>
              <w:spacing w:after="0"/>
              <w:rPr>
                <w:sz w:val="20"/>
                <w:szCs w:val="20"/>
                <w:color w:val="auto"/>
              </w:rPr>
            </w:pPr>
            <w:r>
              <w:rPr>
                <w:rFonts w:ascii="Arial" w:cs="Arial" w:eastAsia="Arial" w:hAnsi="Arial"/>
                <w:sz w:val="17"/>
                <w:szCs w:val="17"/>
                <w:color w:val="auto"/>
              </w:rPr>
              <w:t>Trustee</w:t>
            </w:r>
          </w:p>
        </w:tc>
        <w:tc>
          <w:tcPr>
            <w:tcW w:w="2240" w:type="dxa"/>
            <w:vAlign w:val="bottom"/>
            <w:gridSpan w:val="3"/>
          </w:tcPr>
          <w:p>
            <w:pPr>
              <w:jc w:val="center"/>
              <w:ind w:left="875"/>
              <w:spacing w:after="0"/>
              <w:rPr>
                <w:sz w:val="20"/>
                <w:szCs w:val="20"/>
                <w:color w:val="auto"/>
              </w:rPr>
            </w:pPr>
            <w:r>
              <w:rPr>
                <w:rFonts w:ascii="Arial" w:cs="Arial" w:eastAsia="Arial" w:hAnsi="Arial"/>
                <w:sz w:val="17"/>
                <w:szCs w:val="17"/>
                <w:color w:val="auto"/>
                <w:w w:val="92"/>
              </w:rPr>
              <w:t>February 11, 2014</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3"/>
              </w:rPr>
              <w:t>Warren M. Thompson</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5"/>
        </w:trPr>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Arial" w:cs="Arial" w:eastAsia="Arial" w:hAnsi="Arial"/>
                <w:sz w:val="17"/>
                <w:szCs w:val="17"/>
                <w:color w:val="auto"/>
              </w:rPr>
              <w:t>53</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6" w:right="2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8 and Item 15(a)(1) and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 and Schedules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960" w:type="dxa"/>
            <w:vAlign w:val="bottom"/>
            <w:shd w:val="clear" w:color="auto" w:fill="CCEEFF"/>
          </w:tcPr>
          <w:p>
            <w:pPr>
              <w:ind w:left="40"/>
              <w:spacing w:after="0"/>
              <w:rPr>
                <w:sz w:val="20"/>
                <w:szCs w:val="20"/>
                <w:color w:val="auto"/>
              </w:rPr>
            </w:pPr>
            <w:r>
              <w:rPr>
                <w:rFonts w:ascii="Arial" w:cs="Arial" w:eastAsia="Arial" w:hAnsi="Arial"/>
                <w:sz w:val="17"/>
                <w:szCs w:val="17"/>
                <w:i w:val="1"/>
                <w:iCs w:val="1"/>
                <w:color w:val="auto"/>
              </w:rPr>
              <w:t>Consolidated Financial Statements</w:t>
            </w:r>
          </w:p>
        </w:tc>
        <w:tc>
          <w:tcPr>
            <w:tcW w:w="146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Page No.</w:t>
            </w:r>
          </w:p>
        </w:tc>
      </w:tr>
      <w:tr>
        <w:trPr>
          <w:trHeight w:val="189"/>
        </w:trPr>
        <w:tc>
          <w:tcPr>
            <w:tcW w:w="9960" w:type="dxa"/>
            <w:vAlign w:val="bottom"/>
          </w:tcPr>
          <w:p>
            <w:pPr>
              <w:ind w:left="40"/>
              <w:spacing w:after="0" w:line="189" w:lineRule="exact"/>
              <w:rPr>
                <w:sz w:val="20"/>
                <w:szCs w:val="20"/>
                <w:color w:val="auto"/>
              </w:rPr>
            </w:pPr>
            <w:r>
              <w:rPr>
                <w:rFonts w:ascii="Arial" w:cs="Arial" w:eastAsia="Arial" w:hAnsi="Arial"/>
                <w:sz w:val="17"/>
                <w:szCs w:val="17"/>
                <w:color w:val="auto"/>
              </w:rPr>
              <w:t>Management Assessment Report on Internal Control over Financial Reporting</w:t>
            </w:r>
          </w:p>
        </w:tc>
        <w:tc>
          <w:tcPr>
            <w:tcW w:w="1100" w:type="dxa"/>
            <w:vAlign w:val="bottom"/>
          </w:tcPr>
          <w:p>
            <w:pPr>
              <w:spacing w:after="0"/>
              <w:rPr>
                <w:sz w:val="16"/>
                <w:szCs w:val="16"/>
                <w:color w:val="auto"/>
              </w:rPr>
            </w:pPr>
          </w:p>
        </w:tc>
        <w:tc>
          <w:tcPr>
            <w:tcW w:w="360" w:type="dxa"/>
            <w:vAlign w:val="bottom"/>
            <w:gridSpan w:val="3"/>
          </w:tcPr>
          <w:p>
            <w:pPr>
              <w:jc w:val="right"/>
              <w:ind w:right="20"/>
              <w:spacing w:after="0" w:line="189" w:lineRule="exact"/>
              <w:rPr>
                <w:rFonts w:ascii="Arial" w:cs="Arial" w:eastAsia="Arial" w:hAnsi="Arial"/>
                <w:sz w:val="17"/>
                <w:szCs w:val="17"/>
                <w:color w:val="0000EE"/>
              </w:rPr>
            </w:pPr>
            <w:hyperlink w:anchor="page54">
              <w:r>
                <w:rPr>
                  <w:rFonts w:ascii="Arial" w:cs="Arial" w:eastAsia="Arial" w:hAnsi="Arial"/>
                  <w:sz w:val="17"/>
                  <w:szCs w:val="17"/>
                  <w:color w:val="0000EE"/>
                </w:rPr>
                <w:t>F-2</w:t>
              </w:r>
            </w:hyperlink>
          </w:p>
        </w:tc>
      </w:tr>
      <w:tr>
        <w:trPr>
          <w:trHeight w:val="45"/>
        </w:trPr>
        <w:tc>
          <w:tcPr>
            <w:tcW w:w="9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9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Report of Independent Registered Public Accounting Firm</w:t>
            </w:r>
          </w:p>
        </w:tc>
        <w:tc>
          <w:tcPr>
            <w:tcW w:w="1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
              <w:spacing w:after="0"/>
              <w:rPr>
                <w:rFonts w:ascii="Arial" w:cs="Arial" w:eastAsia="Arial" w:hAnsi="Arial"/>
                <w:sz w:val="17"/>
                <w:szCs w:val="17"/>
                <w:color w:val="0000FF"/>
              </w:rPr>
            </w:pPr>
            <w:hyperlink w:anchor="page55">
              <w:r>
                <w:rPr>
                  <w:rFonts w:ascii="Arial" w:cs="Arial" w:eastAsia="Arial" w:hAnsi="Arial"/>
                  <w:sz w:val="17"/>
                  <w:szCs w:val="17"/>
                  <w:color w:val="0000FF"/>
                </w:rPr>
                <w:t>F-3</w:t>
              </w:r>
            </w:hyperlink>
          </w:p>
        </w:tc>
      </w:tr>
      <w:tr>
        <w:trPr>
          <w:trHeight w:val="45"/>
        </w:trPr>
        <w:tc>
          <w:tcPr>
            <w:tcW w:w="996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9960" w:type="dxa"/>
            <w:vAlign w:val="bottom"/>
          </w:tcPr>
          <w:p>
            <w:pPr>
              <w:ind w:left="40"/>
              <w:spacing w:after="0"/>
              <w:rPr>
                <w:sz w:val="20"/>
                <w:szCs w:val="20"/>
                <w:color w:val="auto"/>
              </w:rPr>
            </w:pPr>
            <w:r>
              <w:rPr>
                <w:rFonts w:ascii="Arial" w:cs="Arial" w:eastAsia="Arial" w:hAnsi="Arial"/>
                <w:sz w:val="17"/>
                <w:szCs w:val="17"/>
                <w:color w:val="auto"/>
              </w:rPr>
              <w:t>Report of Independent Registered Public Accounting Firm</w:t>
            </w:r>
          </w:p>
        </w:tc>
        <w:tc>
          <w:tcPr>
            <w:tcW w:w="1100" w:type="dxa"/>
            <w:vAlign w:val="bottom"/>
          </w:tcPr>
          <w:p>
            <w:pPr>
              <w:spacing w:after="0"/>
              <w:rPr>
                <w:sz w:val="17"/>
                <w:szCs w:val="17"/>
                <w:color w:val="auto"/>
              </w:rPr>
            </w:pPr>
          </w:p>
        </w:tc>
        <w:tc>
          <w:tcPr>
            <w:tcW w:w="360" w:type="dxa"/>
            <w:vAlign w:val="bottom"/>
            <w:gridSpan w:val="3"/>
          </w:tcPr>
          <w:p>
            <w:pPr>
              <w:jc w:val="right"/>
              <w:ind w:right="20"/>
              <w:spacing w:after="0"/>
              <w:rPr>
                <w:rFonts w:ascii="Arial" w:cs="Arial" w:eastAsia="Arial" w:hAnsi="Arial"/>
                <w:sz w:val="17"/>
                <w:szCs w:val="17"/>
                <w:color w:val="0000FF"/>
              </w:rPr>
            </w:pPr>
            <w:hyperlink w:anchor="page56">
              <w:r>
                <w:rPr>
                  <w:rFonts w:ascii="Arial" w:cs="Arial" w:eastAsia="Arial" w:hAnsi="Arial"/>
                  <w:sz w:val="17"/>
                  <w:szCs w:val="17"/>
                  <w:color w:val="0000FF"/>
                </w:rPr>
                <w:t>F-4</w:t>
              </w:r>
            </w:hyperlink>
          </w:p>
        </w:tc>
      </w:tr>
      <w:tr>
        <w:trPr>
          <w:trHeight w:val="45"/>
        </w:trPr>
        <w:tc>
          <w:tcPr>
            <w:tcW w:w="9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9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Consolidated Balance Sheets</w:t>
            </w:r>
          </w:p>
        </w:tc>
        <w:tc>
          <w:tcPr>
            <w:tcW w:w="1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
              <w:spacing w:after="0"/>
              <w:rPr>
                <w:rFonts w:ascii="Arial" w:cs="Arial" w:eastAsia="Arial" w:hAnsi="Arial"/>
                <w:sz w:val="17"/>
                <w:szCs w:val="17"/>
                <w:color w:val="0000FF"/>
              </w:rPr>
            </w:pPr>
            <w:hyperlink w:anchor="page57">
              <w:r>
                <w:rPr>
                  <w:rFonts w:ascii="Arial" w:cs="Arial" w:eastAsia="Arial" w:hAnsi="Arial"/>
                  <w:sz w:val="17"/>
                  <w:szCs w:val="17"/>
                  <w:color w:val="0000FF"/>
                </w:rPr>
                <w:t>F-5</w:t>
              </w:r>
            </w:hyperlink>
          </w:p>
        </w:tc>
      </w:tr>
      <w:tr>
        <w:trPr>
          <w:trHeight w:val="45"/>
        </w:trPr>
        <w:tc>
          <w:tcPr>
            <w:tcW w:w="996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9960" w:type="dxa"/>
            <w:vAlign w:val="bottom"/>
          </w:tcPr>
          <w:p>
            <w:pPr>
              <w:ind w:left="40"/>
              <w:spacing w:after="0"/>
              <w:rPr>
                <w:sz w:val="20"/>
                <w:szCs w:val="20"/>
                <w:color w:val="auto"/>
              </w:rPr>
            </w:pPr>
            <w:r>
              <w:rPr>
                <w:rFonts w:ascii="Arial" w:cs="Arial" w:eastAsia="Arial" w:hAnsi="Arial"/>
                <w:sz w:val="17"/>
                <w:szCs w:val="17"/>
                <w:color w:val="auto"/>
              </w:rPr>
              <w:t>Consolidated Statements of Comprehensive Income</w:t>
            </w:r>
          </w:p>
        </w:tc>
        <w:tc>
          <w:tcPr>
            <w:tcW w:w="1100" w:type="dxa"/>
            <w:vAlign w:val="bottom"/>
          </w:tcPr>
          <w:p>
            <w:pPr>
              <w:spacing w:after="0"/>
              <w:rPr>
                <w:sz w:val="17"/>
                <w:szCs w:val="17"/>
                <w:color w:val="auto"/>
              </w:rPr>
            </w:pPr>
          </w:p>
        </w:tc>
        <w:tc>
          <w:tcPr>
            <w:tcW w:w="360" w:type="dxa"/>
            <w:vAlign w:val="bottom"/>
            <w:gridSpan w:val="3"/>
          </w:tcPr>
          <w:p>
            <w:pPr>
              <w:jc w:val="right"/>
              <w:ind w:right="20"/>
              <w:spacing w:after="0"/>
              <w:rPr>
                <w:rFonts w:ascii="Arial" w:cs="Arial" w:eastAsia="Arial" w:hAnsi="Arial"/>
                <w:sz w:val="17"/>
                <w:szCs w:val="17"/>
                <w:color w:val="0000FF"/>
              </w:rPr>
            </w:pPr>
            <w:hyperlink w:anchor="page58">
              <w:r>
                <w:rPr>
                  <w:rFonts w:ascii="Arial" w:cs="Arial" w:eastAsia="Arial" w:hAnsi="Arial"/>
                  <w:sz w:val="17"/>
                  <w:szCs w:val="17"/>
                  <w:color w:val="0000FF"/>
                </w:rPr>
                <w:t>F-6</w:t>
              </w:r>
            </w:hyperlink>
          </w:p>
        </w:tc>
      </w:tr>
      <w:tr>
        <w:trPr>
          <w:trHeight w:val="45"/>
        </w:trPr>
        <w:tc>
          <w:tcPr>
            <w:tcW w:w="9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9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Consolidated Statement of Shareholders’ Equity</w:t>
            </w:r>
          </w:p>
        </w:tc>
        <w:tc>
          <w:tcPr>
            <w:tcW w:w="1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
              <w:spacing w:after="0"/>
              <w:rPr>
                <w:rFonts w:ascii="Arial" w:cs="Arial" w:eastAsia="Arial" w:hAnsi="Arial"/>
                <w:sz w:val="17"/>
                <w:szCs w:val="17"/>
                <w:color w:val="0000FF"/>
              </w:rPr>
            </w:pPr>
            <w:hyperlink w:anchor="page59">
              <w:r>
                <w:rPr>
                  <w:rFonts w:ascii="Arial" w:cs="Arial" w:eastAsia="Arial" w:hAnsi="Arial"/>
                  <w:sz w:val="17"/>
                  <w:szCs w:val="17"/>
                  <w:color w:val="0000FF"/>
                </w:rPr>
                <w:t>F-7</w:t>
              </w:r>
            </w:hyperlink>
          </w:p>
        </w:tc>
      </w:tr>
      <w:tr>
        <w:trPr>
          <w:trHeight w:val="45"/>
        </w:trPr>
        <w:tc>
          <w:tcPr>
            <w:tcW w:w="996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6"/>
        </w:trPr>
        <w:tc>
          <w:tcPr>
            <w:tcW w:w="9960" w:type="dxa"/>
            <w:vAlign w:val="bottom"/>
          </w:tcPr>
          <w:p>
            <w:pPr>
              <w:ind w:left="40"/>
              <w:spacing w:after="0"/>
              <w:rPr>
                <w:sz w:val="20"/>
                <w:szCs w:val="20"/>
                <w:color w:val="auto"/>
              </w:rPr>
            </w:pPr>
            <w:r>
              <w:rPr>
                <w:rFonts w:ascii="Arial" w:cs="Arial" w:eastAsia="Arial" w:hAnsi="Arial"/>
                <w:sz w:val="17"/>
                <w:szCs w:val="17"/>
                <w:color w:val="auto"/>
              </w:rPr>
              <w:t>Consolidated Statements of Cash Flows</w:t>
            </w:r>
          </w:p>
        </w:tc>
        <w:tc>
          <w:tcPr>
            <w:tcW w:w="1100" w:type="dxa"/>
            <w:vAlign w:val="bottom"/>
          </w:tcPr>
          <w:p>
            <w:pPr>
              <w:spacing w:after="0"/>
              <w:rPr>
                <w:sz w:val="17"/>
                <w:szCs w:val="17"/>
                <w:color w:val="auto"/>
              </w:rPr>
            </w:pPr>
          </w:p>
        </w:tc>
        <w:tc>
          <w:tcPr>
            <w:tcW w:w="360" w:type="dxa"/>
            <w:vAlign w:val="bottom"/>
            <w:gridSpan w:val="3"/>
          </w:tcPr>
          <w:p>
            <w:pPr>
              <w:jc w:val="right"/>
              <w:ind w:right="20"/>
              <w:spacing w:after="0"/>
              <w:rPr>
                <w:rFonts w:ascii="Arial" w:cs="Arial" w:eastAsia="Arial" w:hAnsi="Arial"/>
                <w:sz w:val="17"/>
                <w:szCs w:val="17"/>
                <w:color w:val="0000FF"/>
              </w:rPr>
            </w:pPr>
            <w:hyperlink w:anchor="page60">
              <w:r>
                <w:rPr>
                  <w:rFonts w:ascii="Arial" w:cs="Arial" w:eastAsia="Arial" w:hAnsi="Arial"/>
                  <w:sz w:val="17"/>
                  <w:szCs w:val="17"/>
                  <w:color w:val="0000FF"/>
                </w:rPr>
                <w:t>F-8</w:t>
              </w:r>
            </w:hyperlink>
          </w:p>
        </w:tc>
      </w:tr>
      <w:tr>
        <w:trPr>
          <w:trHeight w:val="45"/>
        </w:trPr>
        <w:tc>
          <w:tcPr>
            <w:tcW w:w="9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41"/>
        </w:trPr>
        <w:tc>
          <w:tcPr>
            <w:tcW w:w="9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Notes to Consolidated Financial Statements</w:t>
            </w:r>
          </w:p>
        </w:tc>
        <w:tc>
          <w:tcPr>
            <w:tcW w:w="110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0"/>
              <w:spacing w:after="0"/>
              <w:rPr>
                <w:rFonts w:ascii="Arial" w:cs="Arial" w:eastAsia="Arial" w:hAnsi="Arial"/>
                <w:sz w:val="17"/>
                <w:szCs w:val="17"/>
                <w:color w:val="0000FF"/>
              </w:rPr>
            </w:pPr>
            <w:hyperlink w:anchor="page61">
              <w:r>
                <w:rPr>
                  <w:rFonts w:ascii="Arial" w:cs="Arial" w:eastAsia="Arial" w:hAnsi="Arial"/>
                  <w:sz w:val="17"/>
                  <w:szCs w:val="17"/>
                  <w:color w:val="0000FF"/>
                </w:rPr>
                <w:t>F-9</w:t>
              </w:r>
            </w:hyperlink>
          </w:p>
        </w:tc>
      </w:tr>
      <w:tr>
        <w:trPr>
          <w:trHeight w:val="313"/>
        </w:trPr>
        <w:tc>
          <w:tcPr>
            <w:tcW w:w="99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41"/>
        </w:trPr>
        <w:tc>
          <w:tcPr>
            <w:tcW w:w="9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Financial Statement Schedules</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196"/>
        </w:trPr>
        <w:tc>
          <w:tcPr>
            <w:tcW w:w="9960" w:type="dxa"/>
            <w:vAlign w:val="bottom"/>
          </w:tcPr>
          <w:p>
            <w:pPr>
              <w:ind w:left="40"/>
              <w:spacing w:after="0"/>
              <w:rPr>
                <w:sz w:val="20"/>
                <w:szCs w:val="20"/>
                <w:color w:val="auto"/>
              </w:rPr>
            </w:pPr>
            <w:r>
              <w:rPr>
                <w:rFonts w:ascii="Arial" w:cs="Arial" w:eastAsia="Arial" w:hAnsi="Arial"/>
                <w:sz w:val="17"/>
                <w:szCs w:val="17"/>
                <w:color w:val="auto"/>
              </w:rPr>
              <w:t>Schedule III—Summary of Real Estate and Accumulated Depreciation</w:t>
            </w:r>
          </w:p>
        </w:tc>
        <w:tc>
          <w:tcPr>
            <w:tcW w:w="1100" w:type="dxa"/>
            <w:vAlign w:val="bottom"/>
          </w:tcPr>
          <w:p>
            <w:pPr>
              <w:spacing w:after="0"/>
              <w:rPr>
                <w:sz w:val="17"/>
                <w:szCs w:val="17"/>
                <w:color w:val="auto"/>
              </w:rPr>
            </w:pPr>
          </w:p>
        </w:tc>
        <w:tc>
          <w:tcPr>
            <w:tcW w:w="360" w:type="dxa"/>
            <w:vAlign w:val="bottom"/>
            <w:gridSpan w:val="3"/>
          </w:tcPr>
          <w:p>
            <w:pPr>
              <w:jc w:val="right"/>
              <w:ind w:right="20"/>
              <w:spacing w:after="0"/>
              <w:rPr>
                <w:rFonts w:ascii="Arial" w:cs="Arial" w:eastAsia="Arial" w:hAnsi="Arial"/>
                <w:sz w:val="17"/>
                <w:szCs w:val="17"/>
                <w:color w:val="0000FF"/>
                <w:w w:val="91"/>
              </w:rPr>
            </w:pPr>
            <w:hyperlink w:anchor="page82">
              <w:r>
                <w:rPr>
                  <w:rFonts w:ascii="Arial" w:cs="Arial" w:eastAsia="Arial" w:hAnsi="Arial"/>
                  <w:sz w:val="17"/>
                  <w:szCs w:val="17"/>
                  <w:color w:val="0000FF"/>
                  <w:w w:val="91"/>
                </w:rPr>
                <w:t>F-30</w:t>
              </w:r>
            </w:hyperlink>
          </w:p>
        </w:tc>
      </w:tr>
      <w:tr>
        <w:trPr>
          <w:trHeight w:val="45"/>
        </w:trPr>
        <w:tc>
          <w:tcPr>
            <w:tcW w:w="9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9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Schedule IV—Mortgage Loans on Real Estate</w:t>
            </w:r>
          </w:p>
        </w:tc>
        <w:tc>
          <w:tcPr>
            <w:tcW w:w="1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
              <w:spacing w:after="0"/>
              <w:rPr>
                <w:rFonts w:ascii="Arial" w:cs="Arial" w:eastAsia="Arial" w:hAnsi="Arial"/>
                <w:sz w:val="17"/>
                <w:szCs w:val="17"/>
                <w:color w:val="0000FF"/>
                <w:w w:val="91"/>
              </w:rPr>
            </w:pPr>
            <w:hyperlink w:anchor="page89">
              <w:r>
                <w:rPr>
                  <w:rFonts w:ascii="Arial" w:cs="Arial" w:eastAsia="Arial" w:hAnsi="Arial"/>
                  <w:sz w:val="17"/>
                  <w:szCs w:val="17"/>
                  <w:color w:val="0000FF"/>
                  <w:w w:val="91"/>
                </w:rPr>
                <w:t>F-37</w:t>
              </w:r>
            </w:hyperlink>
          </w:p>
        </w:tc>
      </w:tr>
      <w:tr>
        <w:trPr>
          <w:trHeight w:val="45"/>
        </w:trPr>
        <w:tc>
          <w:tcPr>
            <w:tcW w:w="996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bl>
    <w:p>
      <w:pPr>
        <w:spacing w:after="0" w:line="144" w:lineRule="exact"/>
        <w:rPr>
          <w:sz w:val="20"/>
          <w:szCs w:val="20"/>
          <w:color w:val="auto"/>
        </w:rPr>
      </w:pPr>
    </w:p>
    <w:p>
      <w:pPr>
        <w:ind w:right="200" w:firstLine="417"/>
        <w:spacing w:after="0" w:line="287" w:lineRule="auto"/>
        <w:rPr>
          <w:sz w:val="20"/>
          <w:szCs w:val="20"/>
          <w:color w:val="auto"/>
        </w:rPr>
      </w:pPr>
      <w:r>
        <w:rPr>
          <w:rFonts w:ascii="Arial" w:cs="Arial" w:eastAsia="Arial" w:hAnsi="Arial"/>
          <w:sz w:val="17"/>
          <w:szCs w:val="17"/>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Assessment Report on Internal Control over Financial Reporting</w:t>
      </w:r>
    </w:p>
    <w:p>
      <w:pPr>
        <w:spacing w:after="0" w:line="9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ind w:left="640" w:hanging="323"/>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13" w:lineRule="exact"/>
        <w:rPr>
          <w:rFonts w:ascii="Arial" w:cs="Arial" w:eastAsia="Arial" w:hAnsi="Arial"/>
          <w:sz w:val="17"/>
          <w:szCs w:val="17"/>
          <w:color w:val="auto"/>
        </w:rPr>
      </w:pPr>
    </w:p>
    <w:p>
      <w:pPr>
        <w:ind w:left="640" w:right="20" w:hanging="323"/>
        <w:spacing w:after="0" w:line="256"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40" w:right="20" w:hanging="323"/>
        <w:spacing w:after="0" w:line="272"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0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Management conducted an assessment of the effectiveness of the Trust’s internal control over financial reporting as of December 31, 2013. In making this assessment, it used the criteria set forth by the Committee of Sponsoring Organizations of the Treadway Commission (COSO) in the 1992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Based on this assessment, management concluded that our internal control over financial reporting is effective, based on those criteria,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w:t>
      </w:r>
    </w:p>
    <w:p>
      <w:pPr>
        <w:spacing w:after="0" w:line="124" w:lineRule="exact"/>
        <w:rPr>
          <w:sz w:val="20"/>
          <w:szCs w:val="20"/>
          <w:color w:val="auto"/>
        </w:rPr>
      </w:pPr>
    </w:p>
    <w:p>
      <w:pPr>
        <w:jc w:val="both"/>
        <w:ind w:right="20"/>
        <w:spacing w:after="0" w:line="357" w:lineRule="auto"/>
        <w:rPr>
          <w:sz w:val="20"/>
          <w:szCs w:val="20"/>
          <w:color w:val="auto"/>
        </w:rPr>
      </w:pPr>
      <w:r>
        <w:rPr>
          <w:rFonts w:ascii="Arial" w:cs="Arial" w:eastAsia="Arial" w:hAnsi="Arial"/>
          <w:sz w:val="15"/>
          <w:szCs w:val="15"/>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126" w:right="2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91"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 xml:space="preserve">We have audited the internal control over financial reporting of Federal Realty Investment Trust (a Maryland real estate investment trust) and Subsidiaries (collectively, the "Trust") as of December 31, 2013, based on criteria established in the 1992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the Trust’s internal control over financial reporting based on our audit.</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ind w:right="560"/>
        <w:spacing w:after="0" w:line="287" w:lineRule="auto"/>
        <w:rPr>
          <w:sz w:val="20"/>
          <w:szCs w:val="20"/>
          <w:color w:val="auto"/>
        </w:rPr>
      </w:pPr>
      <w:r>
        <w:rPr>
          <w:rFonts w:ascii="Arial" w:cs="Arial" w:eastAsia="Arial" w:hAnsi="Arial"/>
          <w:sz w:val="17"/>
          <w:szCs w:val="17"/>
          <w:color w:val="auto"/>
        </w:rPr>
        <w:t xml:space="preserve">In our opinion, Federal Realty Investment Trust and Subsidiaries maintained, in all material respects, effective internal control over financial reporting as of December 31, 2013, based on criteria established in the 1992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06"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financial statements of the Trust as of and for the year ended December 31, 2013 and our report dated February 11, 2014 expressed an unqualified opinion on those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11, 2014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00"/>
          </w:cols>
          <w:pgMar w:left="240" w:top="126" w:right="25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91"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We have audited the accompanying consolidated balance sheets of Federal Realty Investment Trust (a Maryland real estate investment trust) and Subsidiaries (collectively, the "Trust") as of December 31, 2013 and 2012, and the related consolidated statements of comprehensive income, shareholders’ equity, and cash flows for each of the three years in the period ended December 31, 2013. Our audits of the basic consolidated financial statements included the financial statement schedules listed in the index appearing under Item 15(a) (1) 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8"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Federal Realty Investment Trust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the related financial statement schedules, when considered in relation to the basic consolidated financial statements taken as a whole, present fairly, in all material respects, the information set forth therein.</w:t>
      </w:r>
    </w:p>
    <w:p>
      <w:pPr>
        <w:spacing w:after="0" w:line="128"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2013, based on criteria established in the 1992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11, 2014 expressed an unqualified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11, 2014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00"/>
          </w:cols>
          <w:pgMar w:left="240" w:top="126" w:right="2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5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83"/>
        </w:trPr>
        <w:tc>
          <w:tcPr>
            <w:tcW w:w="8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5"/>
              </w:rPr>
              <w:t>(In thousands, except share data)</w:t>
            </w:r>
          </w:p>
        </w:tc>
      </w:tr>
      <w:tr>
        <w:trPr>
          <w:trHeight w:val="247"/>
        </w:trPr>
        <w:tc>
          <w:tcPr>
            <w:tcW w:w="8580" w:type="dxa"/>
            <w:vAlign w:val="bottom"/>
          </w:tcPr>
          <w:p>
            <w:pPr>
              <w:ind w:left="40"/>
              <w:spacing w:after="0"/>
              <w:rPr>
                <w:sz w:val="20"/>
                <w:szCs w:val="20"/>
                <w:color w:val="auto"/>
              </w:rPr>
            </w:pPr>
            <w:r>
              <w:rPr>
                <w:rFonts w:ascii="Arial" w:cs="Arial" w:eastAsia="Arial" w:hAnsi="Arial"/>
                <w:sz w:val="17"/>
                <w:szCs w:val="17"/>
                <w:color w:val="auto"/>
              </w:rPr>
              <w:t>ASSETS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Real estate, at cost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5"/>
        </w:trPr>
        <w:tc>
          <w:tcPr>
            <w:tcW w:w="8580" w:type="dxa"/>
            <w:vAlign w:val="bottom"/>
          </w:tcPr>
          <w:p>
            <w:pPr>
              <w:ind w:left="680"/>
              <w:spacing w:after="0"/>
              <w:rPr>
                <w:sz w:val="20"/>
                <w:szCs w:val="20"/>
                <w:color w:val="auto"/>
              </w:rPr>
            </w:pPr>
            <w:r>
              <w:rPr>
                <w:rFonts w:ascii="Arial" w:cs="Arial" w:eastAsia="Arial" w:hAnsi="Arial"/>
                <w:sz w:val="17"/>
                <w:szCs w:val="17"/>
                <w:color w:val="auto"/>
              </w:rPr>
              <w:t>Operating (including $265,138 and $264,506 of consolidated variable interest entities, respectively)</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4,618,258</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4,473,813</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Construction-in-progress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531,205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288,714</w:t>
            </w:r>
          </w:p>
        </w:tc>
      </w:tr>
      <w:tr>
        <w:trPr>
          <w:trHeight w:val="235"/>
        </w:trPr>
        <w:tc>
          <w:tcPr>
            <w:tcW w:w="8580" w:type="dxa"/>
            <w:vAlign w:val="bottom"/>
          </w:tcPr>
          <w:p>
            <w:pPr>
              <w:ind w:left="680"/>
              <w:spacing w:after="0"/>
              <w:rPr>
                <w:sz w:val="20"/>
                <w:szCs w:val="20"/>
                <w:color w:val="auto"/>
              </w:rPr>
            </w:pPr>
            <w:r>
              <w:rPr>
                <w:rFonts w:ascii="Arial" w:cs="Arial" w:eastAsia="Arial" w:hAnsi="Arial"/>
                <w:sz w:val="17"/>
                <w:szCs w:val="17"/>
                <w:color w:val="auto"/>
              </w:rPr>
              <w:t>Assets held for sale (discontinued operations)</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17,147</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4"/>
        </w:trPr>
        <w:tc>
          <w:tcPr>
            <w:tcW w:w="8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5,149,463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4,779,674</w:t>
            </w:r>
          </w:p>
        </w:tc>
      </w:tr>
      <w:tr>
        <w:trPr>
          <w:trHeight w:val="222"/>
        </w:trPr>
        <w:tc>
          <w:tcPr>
            <w:tcW w:w="8580" w:type="dxa"/>
            <w:vAlign w:val="bottom"/>
          </w:tcPr>
          <w:p>
            <w:pPr>
              <w:ind w:left="680"/>
              <w:spacing w:after="0"/>
              <w:rPr>
                <w:sz w:val="20"/>
                <w:szCs w:val="20"/>
                <w:color w:val="auto"/>
              </w:rPr>
            </w:pPr>
            <w:r>
              <w:rPr>
                <w:rFonts w:ascii="Arial" w:cs="Arial" w:eastAsia="Arial" w:hAnsi="Arial"/>
                <w:sz w:val="17"/>
                <w:szCs w:val="17"/>
                <w:color w:val="auto"/>
                <w:w w:val="99"/>
              </w:rPr>
              <w:t>Less accumulated depreciation and amortization (including $19,086 and $12,024 of consolidated variable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580" w:type="dxa"/>
            <w:vAlign w:val="bottom"/>
          </w:tcPr>
          <w:p>
            <w:pPr>
              <w:ind w:left="680"/>
              <w:spacing w:after="0"/>
              <w:rPr>
                <w:sz w:val="20"/>
                <w:szCs w:val="20"/>
                <w:color w:val="auto"/>
              </w:rPr>
            </w:pPr>
            <w:r>
              <w:rPr>
                <w:rFonts w:ascii="Arial" w:cs="Arial" w:eastAsia="Arial" w:hAnsi="Arial"/>
                <w:sz w:val="17"/>
                <w:szCs w:val="17"/>
                <w:color w:val="auto"/>
              </w:rPr>
              <w:t>interest entities, respectively)</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(1,350,471)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8"/>
              </w:rPr>
              <w:t>(1,224,295)</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3,798,992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3,555,379</w:t>
            </w:r>
          </w:p>
        </w:tc>
      </w:tr>
      <w:tr>
        <w:trPr>
          <w:trHeight w:val="235"/>
        </w:trPr>
        <w:tc>
          <w:tcPr>
            <w:tcW w:w="8580" w:type="dxa"/>
            <w:vAlign w:val="bottom"/>
          </w:tcPr>
          <w:p>
            <w:pPr>
              <w:ind w:left="36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88,927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36,988</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and notes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84,838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73,861</w:t>
            </w:r>
          </w:p>
        </w:tc>
      </w:tr>
      <w:tr>
        <w:trPr>
          <w:trHeight w:val="235"/>
        </w:trPr>
        <w:tc>
          <w:tcPr>
            <w:tcW w:w="8580" w:type="dxa"/>
            <w:vAlign w:val="bottom"/>
          </w:tcPr>
          <w:p>
            <w:pPr>
              <w:ind w:left="360"/>
              <w:spacing w:after="0"/>
              <w:rPr>
                <w:sz w:val="20"/>
                <w:szCs w:val="20"/>
                <w:color w:val="auto"/>
              </w:rPr>
            </w:pPr>
            <w:r>
              <w:rPr>
                <w:rFonts w:ascii="Arial" w:cs="Arial" w:eastAsia="Arial" w:hAnsi="Arial"/>
                <w:sz w:val="17"/>
                <w:szCs w:val="17"/>
                <w:color w:val="auto"/>
              </w:rPr>
              <w:t>Mortgage notes receivable, net</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55,155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55,648</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Investment in real estate partnership</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32,264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33,169</w:t>
            </w:r>
          </w:p>
        </w:tc>
      </w:tr>
      <w:tr>
        <w:trPr>
          <w:trHeight w:val="235"/>
        </w:trPr>
        <w:tc>
          <w:tcPr>
            <w:tcW w:w="8580" w:type="dxa"/>
            <w:vAlign w:val="bottom"/>
          </w:tcPr>
          <w:p>
            <w:pPr>
              <w:ind w:left="360"/>
              <w:spacing w:after="0"/>
              <w:rPr>
                <w:sz w:val="20"/>
                <w:szCs w:val="20"/>
                <w:color w:val="auto"/>
              </w:rPr>
            </w:pPr>
            <w:r>
              <w:rPr>
                <w:rFonts w:ascii="Arial" w:cs="Arial" w:eastAsia="Arial" w:hAnsi="Arial"/>
                <w:sz w:val="17"/>
                <w:szCs w:val="17"/>
                <w:color w:val="auto"/>
              </w:rPr>
              <w:t>Prepaid expenses and other assets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145,062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132,659</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Debt issuance costs, net of accumulated amortization of $9,535 and $10,140, respectively</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14,056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10,861</w:t>
            </w:r>
          </w:p>
        </w:tc>
      </w:tr>
      <w:tr>
        <w:trPr>
          <w:trHeight w:val="228"/>
        </w:trPr>
        <w:tc>
          <w:tcPr>
            <w:tcW w:w="858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4,219,294</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3,898,565</w:t>
            </w:r>
          </w:p>
        </w:tc>
      </w:tr>
      <w:tr>
        <w:trPr>
          <w:trHeight w:val="66"/>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2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LIABILITIES AND SHAREHOLDERS’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5"/>
        </w:trPr>
        <w:tc>
          <w:tcPr>
            <w:tcW w:w="8580" w:type="dxa"/>
            <w:vAlign w:val="bottom"/>
          </w:tcPr>
          <w:p>
            <w:pPr>
              <w:ind w:left="360"/>
              <w:spacing w:after="0"/>
              <w:rPr>
                <w:sz w:val="20"/>
                <w:szCs w:val="20"/>
                <w:color w:val="auto"/>
              </w:rPr>
            </w:pPr>
            <w:r>
              <w:rPr>
                <w:rFonts w:ascii="Arial" w:cs="Arial" w:eastAsia="Arial" w:hAnsi="Arial"/>
                <w:sz w:val="17"/>
                <w:szCs w:val="17"/>
                <w:color w:val="auto"/>
              </w:rPr>
              <w:t>Liabilities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w w:val="96"/>
              </w:rPr>
              <w:t>Mortgages payable (including $202,782 and $205,299 of consolidated variable interest entities, respectively)</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588,456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760,789</w:t>
            </w:r>
          </w:p>
        </w:tc>
      </w:tr>
      <w:tr>
        <w:trPr>
          <w:trHeight w:val="235"/>
        </w:trPr>
        <w:tc>
          <w:tcPr>
            <w:tcW w:w="8580" w:type="dxa"/>
            <w:vAlign w:val="bottom"/>
          </w:tcPr>
          <w:p>
            <w:pPr>
              <w:ind w:left="680"/>
              <w:spacing w:after="0"/>
              <w:rPr>
                <w:sz w:val="20"/>
                <w:szCs w:val="20"/>
                <w:color w:val="auto"/>
              </w:rPr>
            </w:pPr>
            <w:r>
              <w:rPr>
                <w:rFonts w:ascii="Arial" w:cs="Arial" w:eastAsia="Arial" w:hAnsi="Arial"/>
                <w:sz w:val="17"/>
                <w:szCs w:val="17"/>
                <w:color w:val="auto"/>
              </w:rPr>
              <w:t>Capital lease obligations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71,671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71,693</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Notes payable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300,822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299,575</w:t>
            </w:r>
          </w:p>
        </w:tc>
      </w:tr>
      <w:tr>
        <w:trPr>
          <w:trHeight w:val="235"/>
        </w:trPr>
        <w:tc>
          <w:tcPr>
            <w:tcW w:w="8580" w:type="dxa"/>
            <w:vAlign w:val="bottom"/>
          </w:tcPr>
          <w:p>
            <w:pPr>
              <w:ind w:left="680"/>
              <w:spacing w:after="0"/>
              <w:rPr>
                <w:sz w:val="20"/>
                <w:szCs w:val="20"/>
                <w:color w:val="auto"/>
              </w:rPr>
            </w:pPr>
            <w:r>
              <w:rPr>
                <w:rFonts w:ascii="Arial" w:cs="Arial" w:eastAsia="Arial" w:hAnsi="Arial"/>
                <w:sz w:val="17"/>
                <w:szCs w:val="17"/>
                <w:color w:val="auto"/>
              </w:rPr>
              <w:t>Senior notes and debentures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1,360,913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1,076,545</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Accounts payable and 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156,270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120,929</w:t>
            </w:r>
          </w:p>
        </w:tc>
      </w:tr>
      <w:tr>
        <w:trPr>
          <w:trHeight w:val="235"/>
        </w:trPr>
        <w:tc>
          <w:tcPr>
            <w:tcW w:w="8580" w:type="dxa"/>
            <w:vAlign w:val="bottom"/>
          </w:tcPr>
          <w:p>
            <w:pPr>
              <w:ind w:left="680"/>
              <w:spacing w:after="0"/>
              <w:rPr>
                <w:sz w:val="20"/>
                <w:szCs w:val="20"/>
                <w:color w:val="auto"/>
              </w:rPr>
            </w:pPr>
            <w:r>
              <w:rPr>
                <w:rFonts w:ascii="Arial" w:cs="Arial" w:eastAsia="Arial" w:hAnsi="Arial"/>
                <w:sz w:val="17"/>
                <w:szCs w:val="17"/>
                <w:color w:val="auto"/>
              </w:rPr>
              <w:t>Dividends payable</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52,385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47,685</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Security deposits payable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12,957</w:t>
            </w:r>
          </w:p>
        </w:tc>
      </w:tr>
      <w:tr>
        <w:trPr>
          <w:trHeight w:val="235"/>
        </w:trPr>
        <w:tc>
          <w:tcPr>
            <w:tcW w:w="8580" w:type="dxa"/>
            <w:vAlign w:val="bottom"/>
          </w:tcPr>
          <w:p>
            <w:pPr>
              <w:ind w:left="680"/>
              <w:spacing w:after="0"/>
              <w:rPr>
                <w:sz w:val="20"/>
                <w:szCs w:val="20"/>
                <w:color w:val="auto"/>
              </w:rPr>
            </w:pPr>
            <w:r>
              <w:rPr>
                <w:rFonts w:ascii="Arial" w:cs="Arial" w:eastAsia="Arial" w:hAnsi="Arial"/>
                <w:sz w:val="17"/>
                <w:szCs w:val="17"/>
                <w:color w:val="auto"/>
              </w:rPr>
              <w:t>Other liabilities and deferred credits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100,283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103,379</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2,643,572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2,493,552</w:t>
            </w:r>
          </w:p>
        </w:tc>
      </w:tr>
      <w:tr>
        <w:trPr>
          <w:trHeight w:val="235"/>
        </w:trPr>
        <w:tc>
          <w:tcPr>
            <w:tcW w:w="8580" w:type="dxa"/>
            <w:vAlign w:val="bottom"/>
          </w:tcPr>
          <w:p>
            <w:pPr>
              <w:ind w:left="360"/>
              <w:spacing w:after="0"/>
              <w:rPr>
                <w:sz w:val="20"/>
                <w:szCs w:val="20"/>
                <w:color w:val="auto"/>
              </w:rPr>
            </w:pPr>
            <w:r>
              <w:rPr>
                <w:rFonts w:ascii="Arial" w:cs="Arial" w:eastAsia="Arial" w:hAnsi="Arial"/>
                <w:sz w:val="17"/>
                <w:szCs w:val="17"/>
                <w:color w:val="auto"/>
              </w:rPr>
              <w:t>Commitments and contingencies (Note 9)</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Redeemable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104,425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94,420</w:t>
            </w:r>
          </w:p>
        </w:tc>
      </w:tr>
      <w:tr>
        <w:trPr>
          <w:trHeight w:val="235"/>
        </w:trPr>
        <w:tc>
          <w:tcPr>
            <w:tcW w:w="8580" w:type="dxa"/>
            <w:vAlign w:val="bottom"/>
          </w:tcPr>
          <w:p>
            <w:pPr>
              <w:ind w:left="360"/>
              <w:spacing w:after="0"/>
              <w:rPr>
                <w:sz w:val="20"/>
                <w:szCs w:val="20"/>
                <w:color w:val="auto"/>
              </w:rPr>
            </w:pPr>
            <w:r>
              <w:rPr>
                <w:rFonts w:ascii="Arial" w:cs="Arial" w:eastAsia="Arial" w:hAnsi="Arial"/>
                <w:sz w:val="17"/>
                <w:szCs w:val="17"/>
                <w:color w:val="auto"/>
              </w:rPr>
              <w:t>Shareholders’ equity</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2"/>
        </w:trPr>
        <w:tc>
          <w:tcPr>
            <w:tcW w:w="858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5"/>
              </w:rPr>
              <w:t>Preferred shares, authorized 15,000,000 shares, $.01 par: 5.417% Series 1 Cumulative Convertible Preferred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Shares, (stated at liquidation preference $25 per share), 399,896 shares issued and outstanding</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9,997</w:t>
            </w:r>
          </w:p>
        </w:tc>
      </w:tr>
      <w:tr>
        <w:trPr>
          <w:trHeight w:val="222"/>
        </w:trPr>
        <w:tc>
          <w:tcPr>
            <w:tcW w:w="8580" w:type="dxa"/>
            <w:vAlign w:val="bottom"/>
          </w:tcPr>
          <w:p>
            <w:pPr>
              <w:ind w:left="680"/>
              <w:spacing w:after="0"/>
              <w:rPr>
                <w:sz w:val="20"/>
                <w:szCs w:val="20"/>
                <w:color w:val="auto"/>
              </w:rPr>
            </w:pPr>
            <w:r>
              <w:rPr>
                <w:rFonts w:ascii="Arial" w:cs="Arial" w:eastAsia="Arial" w:hAnsi="Arial"/>
                <w:sz w:val="17"/>
                <w:szCs w:val="17"/>
                <w:color w:val="auto"/>
                <w:w w:val="96"/>
              </w:rPr>
              <w:t>Common shares of beneficial interest, $.01 par, 100,000,000 shares authorized, 66,701,422 and 64,815,446</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580" w:type="dxa"/>
            <w:vAlign w:val="bottom"/>
          </w:tcPr>
          <w:p>
            <w:pPr>
              <w:ind w:left="680"/>
              <w:spacing w:after="0"/>
              <w:rPr>
                <w:sz w:val="20"/>
                <w:szCs w:val="20"/>
                <w:color w:val="auto"/>
              </w:rPr>
            </w:pPr>
            <w:r>
              <w:rPr>
                <w:rFonts w:ascii="Arial" w:cs="Arial" w:eastAsia="Arial" w:hAnsi="Arial"/>
                <w:sz w:val="17"/>
                <w:szCs w:val="17"/>
                <w:color w:val="auto"/>
              </w:rPr>
              <w:t>shares issued and outstanding, respectively</w:t>
            </w:r>
          </w:p>
        </w:tc>
        <w:tc>
          <w:tcPr>
            <w:tcW w:w="28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648</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2,062,708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1,875,525</w:t>
            </w:r>
          </w:p>
        </w:tc>
      </w:tr>
      <w:tr>
        <w:trPr>
          <w:trHeight w:val="235"/>
        </w:trPr>
        <w:tc>
          <w:tcPr>
            <w:tcW w:w="8580" w:type="dxa"/>
            <w:vAlign w:val="bottom"/>
          </w:tcPr>
          <w:p>
            <w:pPr>
              <w:ind w:left="680"/>
              <w:spacing w:after="0"/>
              <w:rPr>
                <w:sz w:val="20"/>
                <w:szCs w:val="20"/>
                <w:color w:val="auto"/>
              </w:rPr>
            </w:pPr>
            <w:r>
              <w:rPr>
                <w:rFonts w:ascii="Arial" w:cs="Arial" w:eastAsia="Arial" w:hAnsi="Arial"/>
                <w:sz w:val="17"/>
                <w:szCs w:val="17"/>
                <w:color w:val="auto"/>
              </w:rPr>
              <w:t>Accumulated dividends in excess of net income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(623,795)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(586,970)</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(12,388)</w:t>
            </w:r>
          </w:p>
        </w:tc>
      </w:tr>
      <w:tr>
        <w:trPr>
          <w:trHeight w:val="228"/>
        </w:trPr>
        <w:tc>
          <w:tcPr>
            <w:tcW w:w="8580" w:type="dxa"/>
            <w:vAlign w:val="bottom"/>
          </w:tcPr>
          <w:p>
            <w:pPr>
              <w:ind w:left="360"/>
              <w:spacing w:after="0"/>
              <w:rPr>
                <w:sz w:val="20"/>
                <w:szCs w:val="20"/>
                <w:color w:val="auto"/>
              </w:rPr>
            </w:pPr>
            <w:r>
              <w:rPr>
                <w:rFonts w:ascii="Arial" w:cs="Arial" w:eastAsia="Arial" w:hAnsi="Arial"/>
                <w:sz w:val="17"/>
                <w:szCs w:val="17"/>
                <w:color w:val="auto"/>
              </w:rPr>
              <w:t>Total shareholders’ equity of the Trust</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1,448,160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1,286,812</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23,137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23,781</w:t>
            </w:r>
          </w:p>
        </w:tc>
      </w:tr>
      <w:tr>
        <w:trPr>
          <w:trHeight w:val="228"/>
        </w:trPr>
        <w:tc>
          <w:tcPr>
            <w:tcW w:w="8580" w:type="dxa"/>
            <w:vAlign w:val="bottom"/>
          </w:tcPr>
          <w:p>
            <w:pPr>
              <w:ind w:left="360"/>
              <w:spacing w:after="0"/>
              <w:rPr>
                <w:sz w:val="20"/>
                <w:szCs w:val="20"/>
                <w:color w:val="auto"/>
              </w:rPr>
            </w:pPr>
            <w:r>
              <w:rPr>
                <w:rFonts w:ascii="Arial" w:cs="Arial" w:eastAsia="Arial" w:hAnsi="Arial"/>
                <w:sz w:val="17"/>
                <w:szCs w:val="17"/>
                <w:color w:val="auto"/>
              </w:rPr>
              <w:t>Total shareholders’ equity</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1,471,297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1,310,593</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 AND SHAREHOLDERS’ EQUITY</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4,219,294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3,898,565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88"/>
              </w:rPr>
              <w:t>(In thousands, except per share data)</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7100" w:type="dxa"/>
            <w:vAlign w:val="bottom"/>
          </w:tcPr>
          <w:p>
            <w:pPr>
              <w:ind w:left="40"/>
              <w:spacing w:after="0"/>
              <w:rPr>
                <w:sz w:val="20"/>
                <w:szCs w:val="20"/>
                <w:color w:val="auto"/>
              </w:rPr>
            </w:pPr>
            <w:r>
              <w:rPr>
                <w:rFonts w:ascii="Arial" w:cs="Arial" w:eastAsia="Arial" w:hAnsi="Arial"/>
                <w:sz w:val="17"/>
                <w:szCs w:val="17"/>
                <w:color w:val="auto"/>
              </w:rPr>
              <w:t>REVENUE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Rental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620,089</w:t>
            </w:r>
          </w:p>
        </w:tc>
        <w:tc>
          <w:tcPr>
            <w:tcW w:w="44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580,114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536,749</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Other property income</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12,169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20,211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9,256</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Mortgage interest income</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5,155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5,466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28"/>
        </w:trPr>
        <w:tc>
          <w:tcPr>
            <w:tcW w:w="7100" w:type="dxa"/>
            <w:vAlign w:val="bottom"/>
          </w:tcPr>
          <w:p>
            <w:pPr>
              <w:ind w:left="680"/>
              <w:spacing w:after="0"/>
              <w:rPr>
                <w:sz w:val="20"/>
                <w:szCs w:val="20"/>
                <w:color w:val="auto"/>
              </w:rPr>
            </w:pPr>
            <w:r>
              <w:rPr>
                <w:rFonts w:ascii="Arial" w:cs="Arial" w:eastAsia="Arial" w:hAnsi="Arial"/>
                <w:sz w:val="17"/>
                <w:szCs w:val="17"/>
                <w:color w:val="auto"/>
              </w:rPr>
              <w:t>Total revenue</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637,413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605,791</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551,103</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EXPENSES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Rental expenses</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118,695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112,616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109,364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Real estate taxes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71,759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66,454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60,404</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31,970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31,158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28,985</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160,828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141,701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125,888</w:t>
            </w:r>
          </w:p>
        </w:tc>
        <w:tc>
          <w:tcPr>
            <w:tcW w:w="0" w:type="dxa"/>
            <w:vAlign w:val="bottom"/>
          </w:tcPr>
          <w:p>
            <w:pPr>
              <w:spacing w:after="0"/>
              <w:rPr>
                <w:sz w:val="1"/>
                <w:szCs w:val="1"/>
                <w:color w:val="auto"/>
              </w:rPr>
            </w:pPr>
          </w:p>
        </w:tc>
      </w:tr>
      <w:tr>
        <w:trPr>
          <w:trHeight w:val="228"/>
        </w:trPr>
        <w:tc>
          <w:tcPr>
            <w:tcW w:w="710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383,252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351,929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324,641</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254,161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253,862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226,462</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Other interest income</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689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(104,977)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(113,336)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(98,465)</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Early extinguishment of debt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Income from real estate partnerships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137,811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142,972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130,319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Discontinued operations - income</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2,192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Discontinued operations - gain on deconsolidation of VIE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Discontinued operations - gain on sale of real estate</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23,861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15,075</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Results from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24,803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19,293</w:t>
            </w:r>
          </w:p>
        </w:tc>
        <w:tc>
          <w:tcPr>
            <w:tcW w:w="0" w:type="dxa"/>
            <w:vAlign w:val="bottom"/>
          </w:tcPr>
          <w:p>
            <w:pPr>
              <w:spacing w:after="0"/>
              <w:rPr>
                <w:sz w:val="1"/>
                <w:szCs w:val="1"/>
                <w:color w:val="auto"/>
              </w:rPr>
            </w:pP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INCOME BEFORE GAIN ON SALE OF REAL ESTATE</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162,614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144,372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149,612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sale of real estate</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4,994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167,608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156,232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149,612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income attributable to noncontrolling interests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(5,695)</w:t>
            </w:r>
          </w:p>
        </w:tc>
        <w:tc>
          <w:tcPr>
            <w:tcW w:w="0" w:type="dxa"/>
            <w:vAlign w:val="bottom"/>
          </w:tcPr>
          <w:p>
            <w:pPr>
              <w:spacing w:after="0"/>
              <w:rPr>
                <w:sz w:val="1"/>
                <w:szCs w:val="1"/>
                <w:color w:val="auto"/>
              </w:rPr>
            </w:pP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NET INCOME ATTRIBUTABLE TO THE TRUST</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162,681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151,925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143,917</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Dividends on preferred shares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162,140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151,384</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143,376</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EARNINGS PER COMMON SHARE, BASIC</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Continuing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2.01</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Gain on sale of real estate</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2.47</w:t>
            </w:r>
          </w:p>
        </w:tc>
        <w:tc>
          <w:tcPr>
            <w:tcW w:w="44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Weighted average number of common shares,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65,331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63,881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62,438</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EARNINGS PER COMMON SHARE, DILUTED</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Continuing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2.00</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Gain on sale of real estate</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2.46</w:t>
            </w:r>
          </w:p>
        </w:tc>
        <w:tc>
          <w:tcPr>
            <w:tcW w:w="44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Weighted average number of common shares,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65,483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64,056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62,603</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167,608</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156,232</w:t>
            </w:r>
          </w:p>
        </w:tc>
        <w:tc>
          <w:tcPr>
            <w:tcW w:w="1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149,612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comprehensive income (loss) - change in value of interest rate swaps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10,971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(3,940)</w:t>
            </w:r>
          </w:p>
        </w:tc>
        <w:tc>
          <w:tcPr>
            <w:tcW w:w="0" w:type="dxa"/>
            <w:vAlign w:val="bottom"/>
          </w:tcPr>
          <w:p>
            <w:pPr>
              <w:spacing w:after="0"/>
              <w:rPr>
                <w:sz w:val="1"/>
                <w:szCs w:val="1"/>
                <w:color w:val="auto"/>
              </w:rPr>
            </w:pP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COMPREHENSIVE INCOME</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178,579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147,784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145,672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Comprehensive income attributable to noncontrolling interests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(5,695)</w:t>
            </w:r>
          </w:p>
        </w:tc>
        <w:tc>
          <w:tcPr>
            <w:tcW w:w="0" w:type="dxa"/>
            <w:vAlign w:val="bottom"/>
          </w:tcPr>
          <w:p>
            <w:pPr>
              <w:spacing w:after="0"/>
              <w:rPr>
                <w:sz w:val="1"/>
                <w:szCs w:val="1"/>
                <w:color w:val="auto"/>
              </w:rPr>
            </w:pP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COMPREHENSIVE INCOME ATTRIBUTABLE TO THE TRUST</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173,652</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143,477</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139,977</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6" w:right="239" w:bottom="699"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Shareholders’ Equity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94"/>
              </w:rPr>
              <w:t>Shareholders’ Equity of the Trust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500" w:type="dxa"/>
            <w:vAlign w:val="bottom"/>
            <w:gridSpan w:val="4"/>
            <w:vMerge w:val="restart"/>
          </w:tcPr>
          <w:p>
            <w:pPr>
              <w:jc w:val="right"/>
              <w:ind w:right="171"/>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vMerge w:val="restart"/>
          </w:tcPr>
          <w:p>
            <w:pPr>
              <w:spacing w:after="0"/>
              <w:rPr>
                <w:sz w:val="12"/>
                <w:szCs w:val="12"/>
                <w:color w:val="auto"/>
              </w:rPr>
            </w:pPr>
          </w:p>
        </w:tc>
        <w:tc>
          <w:tcPr>
            <w:tcW w:w="1600" w:type="dxa"/>
            <w:vAlign w:val="bottom"/>
            <w:gridSpan w:val="4"/>
            <w:vMerge w:val="restart"/>
          </w:tcPr>
          <w:p>
            <w:pPr>
              <w:jc w:val="right"/>
              <w:ind w:right="231"/>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Additional</w:t>
            </w:r>
          </w:p>
        </w:tc>
        <w:tc>
          <w:tcPr>
            <w:tcW w:w="102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Dividends in</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080" w:type="dxa"/>
            <w:vAlign w:val="bottom"/>
          </w:tcPr>
          <w:p>
            <w:pPr>
              <w:spacing w:after="0"/>
              <w:rPr>
                <w:sz w:val="9"/>
                <w:szCs w:val="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5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9"/>
                <w:szCs w:val="9"/>
                <w:color w:val="auto"/>
              </w:rPr>
            </w:pPr>
          </w:p>
        </w:tc>
        <w:tc>
          <w:tcPr>
            <w:tcW w:w="920" w:type="dxa"/>
            <w:vAlign w:val="bottom"/>
            <w:gridSpan w:val="2"/>
          </w:tcPr>
          <w:p>
            <w:pPr>
              <w:jc w:val="center"/>
              <w:ind w:right="100"/>
              <w:spacing w:after="0" w:line="114" w:lineRule="exact"/>
              <w:rPr>
                <w:sz w:val="20"/>
                <w:szCs w:val="20"/>
                <w:color w:val="auto"/>
              </w:rPr>
            </w:pPr>
            <w:r>
              <w:rPr>
                <w:rFonts w:ascii="Arial" w:cs="Arial" w:eastAsia="Arial" w:hAnsi="Arial"/>
                <w:sz w:val="13"/>
                <w:szCs w:val="13"/>
                <w:b w:val="1"/>
                <w:bCs w:val="1"/>
                <w:color w:val="auto"/>
                <w:w w:val="96"/>
              </w:rPr>
              <w:t>Paid-in</w:t>
            </w:r>
          </w:p>
        </w:tc>
        <w:tc>
          <w:tcPr>
            <w:tcW w:w="1020" w:type="dxa"/>
            <w:vAlign w:val="bottom"/>
            <w:gridSpan w:val="3"/>
          </w:tcPr>
          <w:p>
            <w:pPr>
              <w:jc w:val="center"/>
              <w:ind w:right="100"/>
              <w:spacing w:after="0" w:line="114" w:lineRule="exact"/>
              <w:rPr>
                <w:sz w:val="20"/>
                <w:szCs w:val="20"/>
                <w:color w:val="auto"/>
              </w:rPr>
            </w:pPr>
            <w:r>
              <w:rPr>
                <w:rFonts w:ascii="Arial" w:cs="Arial" w:eastAsia="Arial" w:hAnsi="Arial"/>
                <w:sz w:val="13"/>
                <w:szCs w:val="13"/>
                <w:b w:val="1"/>
                <w:bCs w:val="1"/>
                <w:color w:val="auto"/>
                <w:w w:val="93"/>
              </w:rPr>
              <w:t>Excess of Net</w:t>
            </w:r>
          </w:p>
        </w:tc>
        <w:tc>
          <w:tcPr>
            <w:tcW w:w="1100" w:type="dxa"/>
            <w:vAlign w:val="bottom"/>
            <w:gridSpan w:val="3"/>
          </w:tcPr>
          <w:p>
            <w:pPr>
              <w:jc w:val="center"/>
              <w:ind w:right="100"/>
              <w:spacing w:after="0" w:line="114" w:lineRule="exact"/>
              <w:rPr>
                <w:sz w:val="20"/>
                <w:szCs w:val="20"/>
                <w:color w:val="auto"/>
              </w:rPr>
            </w:pPr>
            <w:r>
              <w:rPr>
                <w:rFonts w:ascii="Arial" w:cs="Arial" w:eastAsia="Arial" w:hAnsi="Arial"/>
                <w:sz w:val="13"/>
                <w:szCs w:val="13"/>
                <w:b w:val="1"/>
                <w:bCs w:val="1"/>
                <w:color w:val="auto"/>
                <w:w w:val="94"/>
              </w:rPr>
              <w:t>Comprehensive</w:t>
            </w:r>
          </w:p>
        </w:tc>
        <w:tc>
          <w:tcPr>
            <w:tcW w:w="104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40"/>
              <w:spacing w:after="0" w:line="114" w:lineRule="exact"/>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6"/>
          </w:tcPr>
          <w:p>
            <w:pPr>
              <w:ind w:left="80"/>
              <w:spacing w:after="0"/>
              <w:rPr>
                <w:sz w:val="20"/>
                <w:szCs w:val="20"/>
                <w:color w:val="auto"/>
              </w:rPr>
            </w:pPr>
            <w:r>
              <w:rPr>
                <w:rFonts w:ascii="Arial" w:cs="Arial" w:eastAsia="Arial" w:hAnsi="Arial"/>
                <w:sz w:val="12"/>
                <w:szCs w:val="12"/>
                <w:b w:val="1"/>
                <w:bCs w:val="1"/>
                <w:color w:val="auto"/>
              </w:rPr>
              <w:t>(In thousands, except share data)</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2010</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4"/>
              </w:rPr>
              <w:t>61,526,418</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615</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$ 1,611,706</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(527,582)</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21,032</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6"/>
              </w:rPr>
              <w:t>1,115,768</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080" w:type="dxa"/>
            <w:vAlign w:val="bottom"/>
          </w:tcPr>
          <w:p>
            <w:pPr>
              <w:ind w:left="20"/>
              <w:spacing w:after="0" w:line="151" w:lineRule="exact"/>
              <w:rPr>
                <w:sz w:val="20"/>
                <w:szCs w:val="20"/>
                <w:color w:val="auto"/>
              </w:rPr>
            </w:pPr>
            <w:r>
              <w:rPr>
                <w:rFonts w:ascii="Arial" w:cs="Arial" w:eastAsia="Arial" w:hAnsi="Arial"/>
                <w:sz w:val="14"/>
                <w:szCs w:val="14"/>
                <w:color w:val="auto"/>
              </w:rPr>
              <w:t>Net income, excluding $3,492 attributable to</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143,917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146,120</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89"/>
              </w:rPr>
              <w:t>Other comprehensive loss - change in value of interest</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rate swaps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Dividends declared to common shareholders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(171,335)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(171,335)</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(2,320)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1,662,230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139,281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139,298</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237,271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3</w:t>
            </w:r>
          </w:p>
        </w:tc>
        <w:tc>
          <w:tcPr>
            <w:tcW w:w="94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15,187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15,190</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28,823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2,374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Share-based compensation expense, net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89,408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1</w:t>
            </w:r>
          </w:p>
        </w:tc>
        <w:tc>
          <w:tcPr>
            <w:tcW w:w="94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8,246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8,247</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and redemption of OP units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Purchase of noncontrolling interest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1"/>
              <w:spacing w:after="0"/>
              <w:rPr>
                <w:sz w:val="20"/>
                <w:szCs w:val="20"/>
                <w:color w:val="auto"/>
              </w:rPr>
            </w:pPr>
            <w:r>
              <w:rPr>
                <w:rFonts w:ascii="Arial" w:cs="Arial" w:eastAsia="Arial" w:hAnsi="Arial"/>
                <w:sz w:val="14"/>
                <w:szCs w:val="14"/>
                <w:color w:val="auto"/>
              </w:rPr>
              <w:t>(2,331)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Deconsolidation of VIE</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4,279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Adjustment to redeemable noncontrolling interests</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(9,427)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80" w:type="dxa"/>
            <w:vAlign w:val="bottom"/>
          </w:tcPr>
          <w:p>
            <w:pPr>
              <w:ind w:left="20"/>
              <w:spacing w:after="0"/>
              <w:rPr>
                <w:sz w:val="20"/>
                <w:szCs w:val="20"/>
                <w:color w:val="auto"/>
              </w:rPr>
            </w:pPr>
            <w:r>
              <w:rPr>
                <w:rFonts w:ascii="Arial" w:cs="Arial" w:eastAsia="Arial" w:hAnsi="Arial"/>
                <w:sz w:val="14"/>
                <w:szCs w:val="14"/>
                <w:color w:val="auto"/>
              </w:rPr>
              <w:t>BALANCE AT DECEMBER 31, 2011</w:t>
            </w: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w w:val="94"/>
              </w:rPr>
              <w:t>63,544,150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636</w:t>
            </w:r>
          </w:p>
        </w:tc>
        <w:tc>
          <w:tcPr>
            <w:tcW w:w="94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1,764,940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(555,541)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24,512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w w:val="96"/>
              </w:rPr>
              <w:t>1,240,604</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income, excluding $2,592 attributable to</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151,925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153,640</w:t>
            </w:r>
          </w:p>
        </w:tc>
        <w:tc>
          <w:tcPr>
            <w:tcW w:w="0" w:type="dxa"/>
            <w:vAlign w:val="bottom"/>
          </w:tcPr>
          <w:p>
            <w:pPr>
              <w:spacing w:after="0"/>
              <w:rPr>
                <w:sz w:val="1"/>
                <w:szCs w:val="1"/>
                <w:color w:val="auto"/>
              </w:rPr>
            </w:pPr>
          </w:p>
        </w:tc>
      </w:tr>
      <w:tr>
        <w:trPr>
          <w:trHeight w:val="151"/>
        </w:trPr>
        <w:tc>
          <w:tcPr>
            <w:tcW w:w="3080" w:type="dxa"/>
            <w:vAlign w:val="bottom"/>
          </w:tcPr>
          <w:p>
            <w:pPr>
              <w:ind w:left="20"/>
              <w:spacing w:after="0" w:line="151" w:lineRule="exact"/>
              <w:rPr>
                <w:sz w:val="20"/>
                <w:szCs w:val="20"/>
                <w:color w:val="auto"/>
              </w:rPr>
            </w:pPr>
            <w:r>
              <w:rPr>
                <w:rFonts w:ascii="Arial" w:cs="Arial" w:eastAsia="Arial" w:hAnsi="Arial"/>
                <w:sz w:val="14"/>
                <w:szCs w:val="14"/>
                <w:color w:val="auto"/>
                <w:w w:val="89"/>
              </w:rPr>
              <w:t>Other comprehensive loss - change in value of interest</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rate swaps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(8,448)</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to common shareholders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(182,813)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(182,813)</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Common shares issued</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1,039,405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10</w:t>
            </w:r>
          </w:p>
        </w:tc>
        <w:tc>
          <w:tcPr>
            <w:tcW w:w="94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106,209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106,219</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97,430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5,666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22,814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2,248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 net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111,647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10,370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10,371</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Conversion and redemption of OP units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1"/>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interests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w w:val="97"/>
              </w:rPr>
              <w:t>Adjustment to redeemable noncontrolling interests</w:t>
            </w: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(13,469)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(13,469)</w:t>
            </w:r>
          </w:p>
        </w:tc>
        <w:tc>
          <w:tcPr>
            <w:tcW w:w="0" w:type="dxa"/>
            <w:vAlign w:val="bottom"/>
          </w:tcPr>
          <w:p>
            <w:pPr>
              <w:spacing w:after="0"/>
              <w:rPr>
                <w:sz w:val="1"/>
                <w:szCs w:val="1"/>
                <w:color w:val="auto"/>
              </w:rPr>
            </w:pPr>
          </w:p>
        </w:tc>
      </w:tr>
      <w:tr>
        <w:trPr>
          <w:trHeight w:val="71"/>
        </w:trPr>
        <w:tc>
          <w:tcPr>
            <w:tcW w:w="30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2012</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4"/>
              </w:rPr>
              <w:t>64,815,446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648</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1,875,525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(586,970)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23,781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6"/>
              </w:rPr>
              <w:t>1,310,593</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080" w:type="dxa"/>
            <w:vAlign w:val="bottom"/>
          </w:tcPr>
          <w:p>
            <w:pPr>
              <w:ind w:left="20"/>
              <w:spacing w:after="0" w:line="151" w:lineRule="exact"/>
              <w:rPr>
                <w:sz w:val="20"/>
                <w:szCs w:val="20"/>
                <w:color w:val="auto"/>
              </w:rPr>
            </w:pPr>
            <w:r>
              <w:rPr>
                <w:rFonts w:ascii="Arial" w:cs="Arial" w:eastAsia="Arial" w:hAnsi="Arial"/>
                <w:sz w:val="14"/>
                <w:szCs w:val="14"/>
                <w:color w:val="auto"/>
              </w:rPr>
              <w:t>Net income, excluding $2,887 attributable to</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162,681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2,040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164,721</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8"/>
              </w:rPr>
              <w:t>Other comprehensive income - change in value of</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10,971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10,971</w:t>
            </w: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Dividends declared to common shareholders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(198,965)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(198,965)</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(1,887)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1,735,089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185,164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185,182</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16,554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71"/>
        </w:trPr>
        <w:tc>
          <w:tcPr>
            <w:tcW w:w="30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20,026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080" w:type="dxa"/>
            <w:vAlign w:val="bottom"/>
          </w:tcPr>
          <w:p>
            <w:pPr>
              <w:ind w:left="20"/>
              <w:spacing w:after="0" w:line="151" w:lineRule="exact"/>
              <w:rPr>
                <w:sz w:val="20"/>
                <w:szCs w:val="20"/>
                <w:color w:val="auto"/>
              </w:rPr>
            </w:pPr>
            <w:r>
              <w:rPr>
                <w:rFonts w:ascii="Arial" w:cs="Arial" w:eastAsia="Arial" w:hAnsi="Arial"/>
                <w:sz w:val="14"/>
                <w:szCs w:val="14"/>
                <w:color w:val="auto"/>
                <w:w w:val="95"/>
              </w:rPr>
              <w:t>Share-based compensation expense, net of shares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withheld for employee taxes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91,831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940" w:type="dxa"/>
            <w:vAlign w:val="bottom"/>
            <w:gridSpan w:val="2"/>
          </w:tcPr>
          <w:p>
            <w:pPr>
              <w:jc w:val="right"/>
              <w:ind w:right="51"/>
              <w:spacing w:after="0"/>
              <w:rPr>
                <w:sz w:val="20"/>
                <w:szCs w:val="20"/>
                <w:color w:val="auto"/>
              </w:rPr>
            </w:pPr>
            <w:r>
              <w:rPr>
                <w:rFonts w:ascii="Arial" w:cs="Arial" w:eastAsia="Arial" w:hAnsi="Arial"/>
                <w:sz w:val="14"/>
                <w:szCs w:val="14"/>
                <w:color w:val="auto"/>
              </w:rPr>
              <w:t>9,356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9,357</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and redemption of OP units</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22,476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0" w:type="dxa"/>
            <w:vAlign w:val="bottom"/>
          </w:tcPr>
          <w:p>
            <w:pPr>
              <w:spacing w:after="0"/>
              <w:rPr>
                <w:sz w:val="1"/>
                <w:szCs w:val="1"/>
                <w:color w:val="auto"/>
              </w:rPr>
            </w:pPr>
          </w:p>
        </w:tc>
      </w:tr>
      <w:tr>
        <w:trPr>
          <w:trHeight w:val="77"/>
        </w:trPr>
        <w:tc>
          <w:tcPr>
            <w:tcW w:w="308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w w:val="97"/>
              </w:rPr>
              <w:t>Adjustment to redeemable noncontrolling interests</w:t>
            </w: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(9,857)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(9,857)</w:t>
            </w:r>
          </w:p>
        </w:tc>
        <w:tc>
          <w:tcPr>
            <w:tcW w:w="0" w:type="dxa"/>
            <w:vAlign w:val="bottom"/>
          </w:tcPr>
          <w:p>
            <w:pPr>
              <w:spacing w:after="0"/>
              <w:rPr>
                <w:sz w:val="1"/>
                <w:szCs w:val="1"/>
                <w:color w:val="auto"/>
              </w:rPr>
            </w:pPr>
          </w:p>
        </w:tc>
      </w:tr>
      <w:tr>
        <w:trPr>
          <w:trHeight w:val="71"/>
        </w:trPr>
        <w:tc>
          <w:tcPr>
            <w:tcW w:w="30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2013</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4"/>
              </w:rPr>
              <w:t>66,701,422</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667</w:t>
            </w:r>
          </w:p>
        </w:tc>
        <w:tc>
          <w:tcPr>
            <w:tcW w:w="94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$ 2,062,708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(623,795)</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23,137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6"/>
              </w:rPr>
              <w:t>1,471,297</w:t>
            </w:r>
          </w:p>
        </w:tc>
        <w:tc>
          <w:tcPr>
            <w:tcW w:w="0" w:type="dxa"/>
            <w:vAlign w:val="bottom"/>
          </w:tcPr>
          <w:p>
            <w:pPr>
              <w:spacing w:after="0"/>
              <w:rPr>
                <w:sz w:val="1"/>
                <w:szCs w:val="1"/>
                <w:color w:val="auto"/>
              </w:rPr>
            </w:pPr>
          </w:p>
        </w:tc>
      </w:tr>
      <w:tr>
        <w:trPr>
          <w:trHeight w:val="58"/>
        </w:trPr>
        <w:tc>
          <w:tcPr>
            <w:tcW w:w="308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420"/>
          </w:cols>
          <w:pgMar w:left="240" w:top="126" w:right="2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89"/>
              </w:rPr>
              <w:t>Year Ended December 31,</w:t>
            </w:r>
          </w:p>
        </w:tc>
        <w:tc>
          <w:tcPr>
            <w:tcW w:w="880" w:type="dxa"/>
            <w:vAlign w:val="bottom"/>
            <w:tcBorders>
              <w:bottom w:val="single" w:sz="8" w:color="auto"/>
            </w:tcBorders>
          </w:tcPr>
          <w:p>
            <w:pPr>
              <w:spacing w:after="0"/>
              <w:rPr>
                <w:sz w:val="16"/>
                <w:szCs w:val="16"/>
                <w:color w:val="auto"/>
              </w:rPr>
            </w:pPr>
          </w:p>
        </w:tc>
      </w:tr>
      <w:tr>
        <w:trPr>
          <w:trHeight w:val="25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183"/>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7"/>
        </w:trPr>
        <w:tc>
          <w:tcPr>
            <w:tcW w:w="7780" w:type="dxa"/>
            <w:vAlign w:val="bottom"/>
          </w:tcPr>
          <w:p>
            <w:pPr>
              <w:ind w:left="40"/>
              <w:spacing w:after="0"/>
              <w:rPr>
                <w:sz w:val="20"/>
                <w:szCs w:val="20"/>
                <w:color w:val="auto"/>
              </w:rPr>
            </w:pPr>
            <w:r>
              <w:rPr>
                <w:rFonts w:ascii="Arial" w:cs="Arial" w:eastAsia="Arial" w:hAnsi="Arial"/>
                <w:sz w:val="17"/>
                <w:szCs w:val="17"/>
                <w:color w:val="auto"/>
              </w:rPr>
              <w:t>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167,608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149,612</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Depreciation and amortization, including discontinued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161,099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142,039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126,568</w:t>
            </w:r>
          </w:p>
        </w:tc>
      </w:tr>
      <w:tr>
        <w:trPr>
          <w:trHeight w:val="235"/>
        </w:trPr>
        <w:tc>
          <w:tcPr>
            <w:tcW w:w="7780" w:type="dxa"/>
            <w:vAlign w:val="bottom"/>
          </w:tcPr>
          <w:p>
            <w:pPr>
              <w:ind w:left="680"/>
              <w:spacing w:after="0"/>
              <w:rPr>
                <w:sz w:val="20"/>
                <w:szCs w:val="20"/>
                <w:color w:val="auto"/>
              </w:rPr>
            </w:pPr>
            <w:r>
              <w:rPr>
                <w:rFonts w:ascii="Arial" w:cs="Arial" w:eastAsia="Arial" w:hAnsi="Arial"/>
                <w:sz w:val="17"/>
                <w:szCs w:val="17"/>
                <w:color w:val="auto"/>
              </w:rPr>
              <w:t>Gain on sale of real estate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(15,075)</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Gain on deconsolidation of VIE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(2,026)</w:t>
            </w:r>
          </w:p>
        </w:tc>
      </w:tr>
      <w:tr>
        <w:trPr>
          <w:trHeight w:val="235"/>
        </w:trPr>
        <w:tc>
          <w:tcPr>
            <w:tcW w:w="7780" w:type="dxa"/>
            <w:vAlign w:val="bottom"/>
          </w:tcPr>
          <w:p>
            <w:pPr>
              <w:ind w:left="680"/>
              <w:spacing w:after="0"/>
              <w:rPr>
                <w:sz w:val="20"/>
                <w:szCs w:val="20"/>
                <w:color w:val="auto"/>
              </w:rPr>
            </w:pPr>
            <w:r>
              <w:rPr>
                <w:rFonts w:ascii="Arial" w:cs="Arial" w:eastAsia="Arial" w:hAnsi="Arial"/>
                <w:sz w:val="17"/>
                <w:szCs w:val="17"/>
                <w:color w:val="auto"/>
              </w:rPr>
              <w:t>Early extinguishment of debt</w:t>
            </w:r>
          </w:p>
        </w:tc>
        <w:tc>
          <w:tcPr>
            <w:tcW w:w="26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13,304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Income from real estate partnerships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(1,808)</w:t>
            </w:r>
          </w:p>
        </w:tc>
      </w:tr>
      <w:tr>
        <w:trPr>
          <w:trHeight w:val="235"/>
        </w:trPr>
        <w:tc>
          <w:tcPr>
            <w:tcW w:w="7780" w:type="dxa"/>
            <w:vAlign w:val="bottom"/>
          </w:tcPr>
          <w:p>
            <w:pPr>
              <w:ind w:left="68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2,704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4,348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3,871</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Changes in assets and liabilities, net of effects of acquisitions and dispositions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5"/>
        </w:trPr>
        <w:tc>
          <w:tcPr>
            <w:tcW w:w="7780" w:type="dxa"/>
            <w:vAlign w:val="bottom"/>
          </w:tcPr>
          <w:p>
            <w:pPr>
              <w:ind w:left="680"/>
              <w:spacing w:after="0"/>
              <w:rPr>
                <w:sz w:val="20"/>
                <w:szCs w:val="20"/>
                <w:color w:val="auto"/>
              </w:rPr>
            </w:pPr>
            <w:r>
              <w:rPr>
                <w:rFonts w:ascii="Arial" w:cs="Arial" w:eastAsia="Arial" w:hAnsi="Arial"/>
                <w:sz w:val="17"/>
                <w:szCs w:val="17"/>
                <w:color w:val="auto"/>
              </w:rPr>
              <w:t>(Increase) decrease in accounts receivable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7,332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1,888</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Decrease (increase) in prepaid expenses and 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2,613</w:t>
            </w:r>
          </w:p>
        </w:tc>
      </w:tr>
      <w:tr>
        <w:trPr>
          <w:trHeight w:val="235"/>
        </w:trPr>
        <w:tc>
          <w:tcPr>
            <w:tcW w:w="7780" w:type="dxa"/>
            <w:vAlign w:val="bottom"/>
          </w:tcPr>
          <w:p>
            <w:pPr>
              <w:ind w:left="680"/>
              <w:spacing w:after="0"/>
              <w:rPr>
                <w:sz w:val="20"/>
                <w:szCs w:val="20"/>
                <w:color w:val="auto"/>
              </w:rPr>
            </w:pPr>
            <w:r>
              <w:rPr>
                <w:rFonts w:ascii="Arial" w:cs="Arial" w:eastAsia="Arial" w:hAnsi="Arial"/>
                <w:sz w:val="17"/>
                <w:szCs w:val="17"/>
                <w:color w:val="auto"/>
              </w:rPr>
              <w:t>Increase (decrease) in accounts payable and accrued expenses</w:t>
            </w:r>
          </w:p>
        </w:tc>
        <w:tc>
          <w:tcPr>
            <w:tcW w:w="26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5,325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3,259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(14,994)</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Increase (decrease) in security deposits and 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4,833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(5,642)</w:t>
            </w:r>
          </w:p>
        </w:tc>
      </w:tr>
      <w:tr>
        <w:trPr>
          <w:trHeight w:val="228"/>
        </w:trPr>
        <w:tc>
          <w:tcPr>
            <w:tcW w:w="7780" w:type="dxa"/>
            <w:vAlign w:val="bottom"/>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314,498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296,633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244,711</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Acquisition of real estate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(80,865)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(103,557)</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expenditures - development and redevelopment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(243,073)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(129,346)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(91,922)</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Capital expenditures -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(47,069)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(51,325)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(50,540)</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Proceeds from sale of real estate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42,866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23,695</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Investment in real estate partnerships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(6,947)</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Distribution from real estate partnership in excess of earnings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1,070</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Distribution from sale of real estate partnership properties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34,617</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Leasing costs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(12,415)</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Repayment of mortgage and other notes receivable, net</w:t>
            </w:r>
          </w:p>
        </w:tc>
        <w:tc>
          <w:tcPr>
            <w:tcW w:w="26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9,630</w:t>
            </w:r>
          </w:p>
        </w:tc>
      </w:tr>
      <w:tr>
        <w:trPr>
          <w:trHeight w:val="26"/>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(345,198)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(273,558)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(196,369)</w:t>
            </w: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repayments under revolving credit facility, net of costs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(81,159)</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Issuance of senior notes, net of costs</w:t>
            </w:r>
          </w:p>
        </w:tc>
        <w:tc>
          <w:tcPr>
            <w:tcW w:w="26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564,389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244,807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Redemption and retirement of senior notes/debentures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(293,360)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(75,000)</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Issuance of mortgages, capital leases and notes payable, net of costs</w:t>
            </w:r>
          </w:p>
        </w:tc>
        <w:tc>
          <w:tcPr>
            <w:tcW w:w="26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860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5,399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272,193</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Repayment of mortgages, capital leases and notes payable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(173,735)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(91,952)</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Issuance of common shares</w:t>
            </w:r>
          </w:p>
        </w:tc>
        <w:tc>
          <w:tcPr>
            <w:tcW w:w="26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186,548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112,270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154,921</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Dividends paid to common and preferred 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(193,016)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(178,020)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(167,313)</w:t>
            </w: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Distributions to and redemptions of noncontrolling interests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(8,023)</w:t>
            </w:r>
          </w:p>
        </w:tc>
      </w:tr>
      <w:tr>
        <w:trPr>
          <w:trHeight w:val="26"/>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4"/>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82,639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3,667</w:t>
            </w:r>
          </w:p>
        </w:tc>
      </w:tr>
      <w:tr>
        <w:trPr>
          <w:trHeight w:val="228"/>
        </w:trPr>
        <w:tc>
          <w:tcPr>
            <w:tcW w:w="7780" w:type="dxa"/>
            <w:vAlign w:val="bottom"/>
          </w:tcPr>
          <w:p>
            <w:pPr>
              <w:ind w:left="40"/>
              <w:spacing w:after="0"/>
              <w:rPr>
                <w:sz w:val="20"/>
                <w:szCs w:val="20"/>
                <w:color w:val="auto"/>
              </w:rPr>
            </w:pPr>
            <w:r>
              <w:rPr>
                <w:rFonts w:ascii="Arial" w:cs="Arial" w:eastAsia="Arial" w:hAnsi="Arial"/>
                <w:sz w:val="17"/>
                <w:szCs w:val="17"/>
                <w:color w:val="auto"/>
              </w:rPr>
              <w:t>Increase (decrease) in cash and cash equivalents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51,939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(30,818)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52,009</w:t>
            </w: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beginning of year</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36,988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67,806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15,797</w:t>
            </w:r>
          </w:p>
        </w:tc>
      </w:tr>
      <w:tr>
        <w:trPr>
          <w:trHeight w:val="228"/>
        </w:trPr>
        <w:tc>
          <w:tcPr>
            <w:tcW w:w="7780" w:type="dxa"/>
            <w:vAlign w:val="bottom"/>
          </w:tcPr>
          <w:p>
            <w:pPr>
              <w:ind w:left="40"/>
              <w:spacing w:after="0"/>
              <w:rPr>
                <w:sz w:val="20"/>
                <w:szCs w:val="20"/>
                <w:color w:val="auto"/>
              </w:rPr>
            </w:pPr>
            <w:r>
              <w:rPr>
                <w:rFonts w:ascii="Arial" w:cs="Arial" w:eastAsia="Arial" w:hAnsi="Arial"/>
                <w:sz w:val="17"/>
                <w:szCs w:val="17"/>
                <w:color w:val="auto"/>
              </w:rPr>
              <w:t>Cash and cash equivalents at end of year</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88,927</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36,988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67,806</w:t>
            </w:r>
          </w:p>
        </w:tc>
      </w:tr>
      <w:tr>
        <w:trPr>
          <w:trHeight w:val="26"/>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 2012 and 2011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1—BUSINESS AND ORGANIZATION</w:t>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December 31, 2013, we owned or had a majority interest in community and neighborhood shopping centers and mixed-use properties which are operated as 87 predominantly retail real estate projects.</w:t>
      </w:r>
    </w:p>
    <w:p>
      <w:pPr>
        <w:spacing w:after="0" w:line="108" w:lineRule="exact"/>
        <w:rPr>
          <w:sz w:val="20"/>
          <w:szCs w:val="20"/>
          <w:color w:val="auto"/>
        </w:rPr>
      </w:pPr>
    </w:p>
    <w:p>
      <w:pPr>
        <w:ind w:right="80"/>
        <w:spacing w:after="0" w:line="320"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2012 and 2011 amounts have been reclassified to conform to current period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9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and Accounts Receivable</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3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2013 and 2012, our allowance for doubtful accounts was $12.7 million and $15.9 million, respectively.</w:t>
      </w:r>
    </w:p>
    <w:p>
      <w:pPr>
        <w:spacing w:after="0" w:line="12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2013 and 2012, accounts receivable include approximately $60.6 million and $56.1 million, respectively, related to straight-line rents.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2013, 2012 and 2011, real estate depreciation expense was $147.7 million, $128.7 million and $114.2 million, respectively, including amounts from discontinued operations and assets under capital lease obligations.</w:t>
      </w:r>
    </w:p>
    <w:p>
      <w:pPr>
        <w:spacing w:after="0" w:line="12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Sales of real estate are recognized only when sufficient down payments have been obtained, possession and other attributes of ownership have been transferred to the buyer and we have no significant continuing involvement. The application of this criteria can be complex and requires us to make assumptions. We believe this criteria was met for all real estate sold during the periods presented.</w:t>
      </w:r>
    </w:p>
    <w:p>
      <w:pPr>
        <w:spacing w:after="0" w:line="4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comprehensive income. The acquisition of an operating shopping center typically qualifies as a business. For asset acquisitions not meeting the definition of a business, transaction costs are capitalized as part of the acquisition cost.</w:t>
      </w:r>
    </w:p>
    <w:p>
      <w:pPr>
        <w:spacing w:after="0" w:line="124"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The sale or disposal of a “component of an entity” is treated as discontinued operations. The operating properties sold by us typically meet the definition of a component of an entity and as such the revenues and expenses associated with sold properties are reclassified to discontinued operations for all periods presented.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9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2013, we had $85.2 million in excess of the FDIC insured limit.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Prepaid Expenses and Other Assets</w:t>
      </w:r>
    </w:p>
    <w:p>
      <w:pPr>
        <w:spacing w:after="0" w:line="9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previously capitalized lease costs are written off.</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9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Costs related to the issuance of debt instruments are capitalized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twelve months, we expect to reclassify an estimated $4.1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Hedge ineffectiveness did not impact earnings in 2013, 2012 or 2011, and we do not anticipate it will have a significant effect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See Note 8 for additional disclosures relating to our two existing interest rate swap agreements.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Notes Receivable</w:t>
      </w:r>
    </w:p>
    <w:p>
      <w:pPr>
        <w:spacing w:after="0" w:line="9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On some of the loans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2013 and 2012.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126" w:right="2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all of our loans are collateralized by either a first or second mortgage, the loans have risk characteristics similar to the risks in owning commercial real estate.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Based Compensation</w:t>
      </w:r>
    </w:p>
    <w:p>
      <w:pPr>
        <w:spacing w:after="0" w:line="9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commons shares, and options. We measure stock based compensation expense based on the grant date fair value of the award and recognize the expense ratably over the requisite service period, which is typically the vesting period. See Note 15 for further discussion regarding our share based compensation plans and policies.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Interest Entities</w:t>
      </w:r>
    </w:p>
    <w:p>
      <w:pPr>
        <w:spacing w:after="0" w:line="9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2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have evaluated our investments in certain joint ventures including our real estate partnership with affiliates of a discretionary fund created and advised by ING Clarion Partners and our Taurus Newbury Street JV II Limited Partnership and determined that these joint ventures do not meet the requirements of a variable interest entity and, therefore, consolidation of these ventures is not required. These investments are accounted for using the equity method. We have also evaluated our mortgage loans receivable and determined that entities obligated under the mortgage loans are not VIEs except from March 30, 2010 to June 29, 2011 with respect to our mortgage loans on a shopping center and adjacent building located in Norwalk, Connecticut as further discussed in Note 4. Our investment balances from our real estate partnerships and mortgage notes receivable are presented separately in our consolidated balance sheets.</w:t>
      </w:r>
    </w:p>
    <w:p>
      <w:pPr>
        <w:spacing w:after="0" w:line="11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repayment of the second mortgage. If we fail to exercise our purchase option, the owner of Melville Mall has a put option which would require us to purchase Melville Mall in 2023 for $5.0 million and the assumption of the owner’s mortgage debt. We have determined that this property is held in a variable interest entity for which we are the primary beneficiary. Accordingly, beginning October 16, 2006, we consolidated this property and its operations. As of December 31, 2013 and 2012, $20.7 million and $21.4 million, respectively, are included in mortgages payable (net of unamortized discount) for the mortgage loan secured by Melville Mall, however, the loan is not our legal obligation. At December 31, 2013 and 2012, net real estate assets related to Melville Mall included in our consolidated balance sheet are approximately $62.6 million and $63.1 million, respectively.</w:t>
      </w:r>
    </w:p>
    <w:p>
      <w:pPr>
        <w:spacing w:after="0" w:line="120"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 conjunction with the acquisitions of several of our properties, we entered into Reverse Section 1031 like-kind exchange agreements with a third party intermediary. The exchange agreements are for a maximum of 180 days and allow us, for tax purposes, to defer gains on sale of other properties sold within this period. Until the earlier of termination of the exchange agreements or 180 days after the respective acquisition dates, the third party intermediary is the legal owner of each property, although we control the activities that most significantly impact each property and retain all of the economic benefits and risks associated with each property. Each property is held by a third party intermediary in a variable interest entity for which we are the primary beneficiary. Accordingly, we consolidate these properties and their operations even during the period they are held by a third party intermediary. A summary of the significant properties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Property</w:t>
            </w:r>
          </w:p>
        </w:tc>
        <w:tc>
          <w:tcPr>
            <w:tcW w:w="140" w:type="dxa"/>
            <w:vAlign w:val="bottom"/>
            <w:tcBorders>
              <w:bottom w:val="single" w:sz="8" w:color="CCEEFF"/>
            </w:tcBorders>
          </w:tcPr>
          <w:p>
            <w:pPr>
              <w:spacing w:after="0"/>
              <w:rPr>
                <w:sz w:val="16"/>
                <w:szCs w:val="16"/>
                <w:color w:val="auto"/>
              </w:rPr>
            </w:pPr>
          </w:p>
        </w:tc>
        <w:tc>
          <w:tcPr>
            <w:tcW w:w="43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Dates Held by a Third Party Intermediary</w:t>
            </w:r>
          </w:p>
        </w:tc>
        <w:tc>
          <w:tcPr>
            <w:tcW w:w="14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Date Consolidated</w:t>
            </w:r>
          </w:p>
        </w:tc>
      </w:tr>
      <w:tr>
        <w:trPr>
          <w:trHeight w:val="24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Huntington Square</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August 16, 2010 to February 12, 2011</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August 16, 2010</w:t>
            </w:r>
          </w:p>
        </w:tc>
      </w:tr>
      <w:tr>
        <w:trPr>
          <w:trHeight w:val="235"/>
        </w:trPr>
        <w:tc>
          <w:tcPr>
            <w:tcW w:w="3660" w:type="dxa"/>
            <w:vAlign w:val="bottom"/>
            <w:gridSpan w:val="2"/>
          </w:tcPr>
          <w:p>
            <w:pPr>
              <w:ind w:left="40"/>
              <w:spacing w:after="0"/>
              <w:rPr>
                <w:sz w:val="20"/>
                <w:szCs w:val="20"/>
                <w:color w:val="auto"/>
              </w:rPr>
            </w:pPr>
            <w:r>
              <w:rPr>
                <w:rFonts w:ascii="Arial" w:cs="Arial" w:eastAsia="Arial" w:hAnsi="Arial"/>
                <w:sz w:val="17"/>
                <w:szCs w:val="17"/>
                <w:color w:val="auto"/>
              </w:rPr>
              <w:t>Tower Shops</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January 19, 2011 to July 12, 2011</w:t>
            </w:r>
          </w:p>
        </w:tc>
        <w:tc>
          <w:tcPr>
            <w:tcW w:w="3300" w:type="dxa"/>
            <w:vAlign w:val="bottom"/>
          </w:tcPr>
          <w:p>
            <w:pPr>
              <w:ind w:left="20"/>
              <w:spacing w:after="0"/>
              <w:rPr>
                <w:sz w:val="20"/>
                <w:szCs w:val="20"/>
                <w:color w:val="auto"/>
              </w:rPr>
            </w:pPr>
            <w:r>
              <w:rPr>
                <w:rFonts w:ascii="Arial" w:cs="Arial" w:eastAsia="Arial" w:hAnsi="Arial"/>
                <w:sz w:val="17"/>
                <w:szCs w:val="17"/>
                <w:color w:val="auto"/>
              </w:rPr>
              <w:t>January 19, 2011</w:t>
            </w:r>
          </w:p>
        </w:tc>
      </w:tr>
      <w:tr>
        <w:trPr>
          <w:trHeight w:val="26"/>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1"/>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Darien Shopping Center</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April 3, 2013 to September 10, 2013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April 3, 2013</w:t>
            </w:r>
          </w:p>
        </w:tc>
      </w:tr>
      <w:tr>
        <w:trPr>
          <w:trHeight w:val="652"/>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gridSpan w:val="2"/>
          </w:tcPr>
          <w:p>
            <w:pPr>
              <w:ind w:left="1880"/>
              <w:spacing w:after="0"/>
              <w:rPr>
                <w:sz w:val="20"/>
                <w:szCs w:val="20"/>
                <w:color w:val="auto"/>
              </w:rPr>
            </w:pPr>
            <w:r>
              <w:rPr>
                <w:rFonts w:ascii="Arial" w:cs="Arial" w:eastAsia="Arial" w:hAnsi="Arial"/>
                <w:sz w:val="17"/>
                <w:szCs w:val="17"/>
                <w:color w:val="auto"/>
              </w:rPr>
              <w:t>F-12</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determined the joint venture that owns Plaza El Segundo is a variable interest entity for which we are the primary beneficiary. We are the managing member and own 48.2% of the entity. We control the significant operating decisions, consequently having the power to direct the activities that most significantly impact economic performance of the VIE, and have the obligation to absorb the majority of the losses and receive the majority of the benefits. Therefore, the entity is consolidated in our financial statements as of December 30, 2011. As of December 31, 2013 and 2012, net real estate assets related to Plaza El Segundo included in our consolidated balance sheet are approximately $183.4 million and $189.4 million, respectively, and mortgages payable (net of unamortized premium) of $182.1 million and $183.9 million, respectively. Plaza El Segundo's creditors do not have recourse to our general credit. Our maximum exposure to loss is approximately $19.5 million.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Noncontrolling Interests</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rollforward of the redeemable noncontrolling interests: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0"/>
              </w:rPr>
              <w:t>Year Ended</w:t>
            </w:r>
          </w:p>
        </w:tc>
        <w:tc>
          <w:tcPr>
            <w:tcW w:w="820" w:type="dxa"/>
            <w:vAlign w:val="bottom"/>
          </w:tcPr>
          <w:p>
            <w:pPr>
              <w:spacing w:after="0"/>
              <w:rPr>
                <w:sz w:val="15"/>
                <w:szCs w:val="15"/>
                <w:color w:val="auto"/>
              </w:rPr>
            </w:pPr>
          </w:p>
        </w:tc>
      </w:tr>
      <w:tr>
        <w:trPr>
          <w:trHeight w:val="267"/>
        </w:trPr>
        <w:tc>
          <w:tcPr>
            <w:tcW w:w="8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tcBorders>
              <w:bottom w:val="single" w:sz="8" w:color="auto"/>
            </w:tcBorders>
          </w:tcPr>
          <w:p>
            <w:pPr>
              <w:spacing w:after="0"/>
              <w:rPr>
                <w:sz w:val="23"/>
                <w:szCs w:val="23"/>
                <w:color w:val="auto"/>
              </w:rPr>
            </w:pPr>
          </w:p>
        </w:tc>
      </w:tr>
      <w:tr>
        <w:trPr>
          <w:trHeight w:val="25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4"/>
                <w:szCs w:val="14"/>
                <w:color w:val="auto"/>
                <w:w w:val="87"/>
              </w:rPr>
              <w:t>(in thousands)</w:t>
            </w:r>
          </w:p>
        </w:tc>
        <w:tc>
          <w:tcPr>
            <w:tcW w:w="820" w:type="dxa"/>
            <w:vAlign w:val="bottom"/>
          </w:tcPr>
          <w:p>
            <w:pPr>
              <w:spacing w:after="0"/>
              <w:rPr>
                <w:sz w:val="20"/>
                <w:szCs w:val="20"/>
                <w:color w:val="auto"/>
              </w:rPr>
            </w:pPr>
          </w:p>
        </w:tc>
      </w:tr>
      <w:tr>
        <w:trPr>
          <w:trHeight w:val="24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balance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94,420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85,325</w:t>
            </w:r>
          </w:p>
        </w:tc>
      </w:tr>
      <w:tr>
        <w:trPr>
          <w:trHeight w:val="235"/>
        </w:trPr>
        <w:tc>
          <w:tcPr>
            <w:tcW w:w="880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7"/>
                <w:szCs w:val="17"/>
                <w:color w:val="auto"/>
              </w:rPr>
              <w:t>2,887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2,592</w:t>
            </w:r>
          </w:p>
        </w:tc>
      </w:tr>
      <w:tr>
        <w:trPr>
          <w:trHeight w:val="26"/>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Distributions &amp; Redemptions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(6,985)</w:t>
            </w:r>
          </w:p>
        </w:tc>
      </w:tr>
      <w:tr>
        <w:trPr>
          <w:trHeight w:val="235"/>
        </w:trPr>
        <w:tc>
          <w:tcPr>
            <w:tcW w:w="8800" w:type="dxa"/>
            <w:vAlign w:val="bottom"/>
          </w:tcPr>
          <w:p>
            <w:pPr>
              <w:ind w:left="260"/>
              <w:spacing w:after="0"/>
              <w:rPr>
                <w:sz w:val="20"/>
                <w:szCs w:val="20"/>
                <w:color w:val="auto"/>
              </w:rPr>
            </w:pPr>
            <w:r>
              <w:rPr>
                <w:rFonts w:ascii="Arial" w:cs="Arial" w:eastAsia="Arial" w:hAnsi="Arial"/>
                <w:sz w:val="17"/>
                <w:szCs w:val="17"/>
                <w:color w:val="auto"/>
              </w:rPr>
              <w:t>Contributions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19</w:t>
            </w:r>
          </w:p>
        </w:tc>
      </w:tr>
      <w:tr>
        <w:trPr>
          <w:trHeight w:val="26"/>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1"/>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Adjustment to redeemable 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9,857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13,469</w:t>
            </w:r>
          </w:p>
        </w:tc>
      </w:tr>
      <w:tr>
        <w:trPr>
          <w:trHeight w:val="247"/>
        </w:trPr>
        <w:tc>
          <w:tcPr>
            <w:tcW w:w="8800" w:type="dxa"/>
            <w:vAlign w:val="bottom"/>
          </w:tcPr>
          <w:p>
            <w:pPr>
              <w:ind w:left="40"/>
              <w:spacing w:after="0"/>
              <w:rPr>
                <w:sz w:val="20"/>
                <w:szCs w:val="20"/>
                <w:color w:val="auto"/>
              </w:rPr>
            </w:pPr>
            <w:r>
              <w:rPr>
                <w:rFonts w:ascii="Arial" w:cs="Arial" w:eastAsia="Arial" w:hAnsi="Arial"/>
                <w:sz w:val="17"/>
                <w:szCs w:val="17"/>
                <w:color w:val="auto"/>
              </w:rPr>
              <w:t>Ending balance</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104,425</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94,420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9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With few exceptions, we are no longer subject to U.S. federal, state, and local tax examinations by tax authorities for years before 2009. As of December 31, 2013 and 2012, we had no material unrecognized tax benefits. While we currently have no material unrecognized tax benefits, as a policy, we recognize penalties and interest accrued related to unrecognized tax benefits as income tax expense.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97"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97"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In February 2013, the FASB issued ASU 2013-2, “Comprehensive Income (Topic 220): Reporting Amounts Reclassified Out of Accumulated Other Comprehensive Income.” ASU 2013-2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Flows—Supplemental Disclosures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supplemental disclosures related to the Consolidated Statements of Cash Flows: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Total interest costs incurred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121,158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123,441</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106,562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capitalized</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(10,105)</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(8,097)</w:t>
            </w:r>
          </w:p>
        </w:tc>
        <w:tc>
          <w:tcPr>
            <w:tcW w:w="0" w:type="dxa"/>
            <w:vAlign w:val="bottom"/>
          </w:tcPr>
          <w:p>
            <w:pPr>
              <w:spacing w:after="0"/>
              <w:rPr>
                <w:sz w:val="1"/>
                <w:szCs w:val="1"/>
                <w:color w:val="auto"/>
              </w:rPr>
            </w:pPr>
          </w:p>
        </w:tc>
      </w:tr>
      <w:tr>
        <w:trPr>
          <w:trHeight w:val="228"/>
        </w:trPr>
        <w:tc>
          <w:tcPr>
            <w:tcW w:w="7100" w:type="dxa"/>
            <w:vAlign w:val="bottom"/>
          </w:tcPr>
          <w:p>
            <w:pPr>
              <w:ind w:left="680"/>
              <w:spacing w:after="0"/>
              <w:rPr>
                <w:sz w:val="20"/>
                <w:szCs w:val="20"/>
                <w:color w:val="auto"/>
              </w:rPr>
            </w:pPr>
            <w:r>
              <w:rPr>
                <w:rFonts w:ascii="Arial" w:cs="Arial" w:eastAsia="Arial" w:hAnsi="Arial"/>
                <w:sz w:val="17"/>
                <w:szCs w:val="17"/>
                <w:color w:val="auto"/>
              </w:rPr>
              <w:t>Interest expense</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104,977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113,336</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98,465</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shd w:val="clear" w:color="auto" w:fill="CCEEFF"/>
          </w:tcPr>
          <w:p>
            <w:pPr>
              <w:ind w:left="360"/>
              <w:spacing w:after="0" w:line="188" w:lineRule="exact"/>
              <w:rPr>
                <w:sz w:val="20"/>
                <w:szCs w:val="20"/>
                <w:color w:val="auto"/>
              </w:rPr>
            </w:pPr>
            <w:r>
              <w:rPr>
                <w:rFonts w:ascii="Arial" w:cs="Arial" w:eastAsia="Arial" w:hAnsi="Arial"/>
                <w:sz w:val="17"/>
                <w:szCs w:val="17"/>
                <w:color w:val="auto"/>
              </w:rPr>
              <w:t>Cash paid for interest, net of amounts capitalized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120,934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114,419</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95,424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Cash paid (refunded)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100" w:type="dxa"/>
            <w:vAlign w:val="bottom"/>
            <w:vMerge w:val="continue"/>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410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6"/>
              <w:spacing w:after="0"/>
              <w:rPr>
                <w:sz w:val="20"/>
                <w:szCs w:val="20"/>
                <w:color w:val="auto"/>
              </w:rPr>
            </w:pPr>
            <w:r>
              <w:rPr>
                <w:rFonts w:ascii="Arial" w:cs="Arial" w:eastAsia="Arial" w:hAnsi="Arial"/>
                <w:sz w:val="17"/>
                <w:szCs w:val="17"/>
                <w:color w:val="auto"/>
              </w:rPr>
              <w:t>(1,151)</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NON-CASH INVESTING AND FINANCING TRANSACTIONS: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Mortgage loan assumed/entered into with acquisition</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67,615</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308,506</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Deconsolidation of VIE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18,311</w:t>
            </w:r>
          </w:p>
        </w:tc>
        <w:tc>
          <w:tcPr>
            <w:tcW w:w="0" w:type="dxa"/>
            <w:vAlign w:val="bottom"/>
          </w:tcPr>
          <w:p>
            <w:pPr>
              <w:spacing w:after="0"/>
              <w:rPr>
                <w:sz w:val="1"/>
                <w:szCs w:val="1"/>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Capital lease obligation</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4,556</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71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issued under dividend reinvestment plan</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1,864</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1,941</w:t>
            </w:r>
          </w:p>
        </w:tc>
        <w:tc>
          <w:tcPr>
            <w:tcW w:w="0" w:type="dxa"/>
            <w:vAlign w:val="bottom"/>
          </w:tcPr>
          <w:p>
            <w:pPr>
              <w:spacing w:after="0"/>
              <w:rPr>
                <w:sz w:val="1"/>
                <w:szCs w:val="1"/>
                <w:color w:val="auto"/>
              </w:rPr>
            </w:pPr>
          </w:p>
        </w:tc>
      </w:tr>
      <w:tr>
        <w:trPr>
          <w:trHeight w:val="26"/>
        </w:trPr>
        <w:tc>
          <w:tcPr>
            <w:tcW w:w="7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3—REAL ESTATE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real estate investments and related encumbrances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9"/>
              </w:rPr>
              <w:t>Depreciation and</w:t>
            </w:r>
          </w:p>
        </w:tc>
        <w:tc>
          <w:tcPr>
            <w:tcW w:w="260" w:type="dxa"/>
            <w:vAlign w:val="bottom"/>
          </w:tcPr>
          <w:p>
            <w:pPr>
              <w:spacing w:after="0"/>
              <w:rPr>
                <w:sz w:val="12"/>
                <w:szCs w:val="12"/>
                <w:color w:val="auto"/>
              </w:rPr>
            </w:pPr>
          </w:p>
        </w:tc>
        <w:tc>
          <w:tcPr>
            <w:tcW w:w="14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Encumbrances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Amortization</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90"/>
              </w:rPr>
              <w:t>December 31, 2013</w:t>
            </w:r>
          </w:p>
        </w:tc>
        <w:tc>
          <w:tcPr>
            <w:tcW w:w="4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Retail and mixed-use properties</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5,024,800</w:t>
            </w:r>
          </w:p>
        </w:tc>
        <w:tc>
          <w:tcPr>
            <w:tcW w:w="12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(1,310,791)</w:t>
            </w:r>
          </w:p>
        </w:tc>
        <w:tc>
          <w:tcPr>
            <w:tcW w:w="100" w:type="dxa"/>
            <w:vAlign w:val="bottom"/>
          </w:tcPr>
          <w:p>
            <w:pPr>
              <w:spacing w:after="0"/>
              <w:rPr>
                <w:sz w:val="20"/>
                <w:szCs w:val="20"/>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565,935</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Retail properties under capital leases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115,028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(31,955)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71,671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Residential</w:t>
            </w:r>
          </w:p>
        </w:tc>
        <w:tc>
          <w:tcPr>
            <w:tcW w:w="42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9,635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(7,725)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22,521</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5,149,463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(1,350,471)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660,127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020" w:type="dxa"/>
            <w:vAlign w:val="bottom"/>
            <w:tcBorders>
              <w:top w:val="single" w:sz="8" w:color="CCEEFF"/>
              <w:bottom w:val="single" w:sz="8" w:color="CCEEFF"/>
            </w:tcBorders>
            <w:gridSpan w:val="2"/>
            <w:vMerge w:val="restart"/>
          </w:tcPr>
          <w:p>
            <w:pPr>
              <w:spacing w:after="0" w:line="189" w:lineRule="exact"/>
              <w:rPr>
                <w:sz w:val="20"/>
                <w:szCs w:val="20"/>
                <w:color w:val="auto"/>
              </w:rPr>
            </w:pPr>
            <w:r>
              <w:rPr>
                <w:rFonts w:ascii="Arial" w:cs="Arial" w:eastAsia="Arial" w:hAnsi="Arial"/>
                <w:sz w:val="17"/>
                <w:szCs w:val="17"/>
                <w:b w:val="1"/>
                <w:bCs w:val="1"/>
                <w:color w:val="auto"/>
              </w:rPr>
              <w:t>December 31, 2012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vMerge w:val="continue"/>
          </w:tcPr>
          <w:p>
            <w:pPr>
              <w:spacing w:after="0"/>
              <w:rPr>
                <w:sz w:val="12"/>
                <w:szCs w:val="12"/>
                <w:color w:val="auto"/>
              </w:rPr>
            </w:pPr>
          </w:p>
        </w:tc>
        <w:tc>
          <w:tcPr>
            <w:tcW w:w="60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4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4,655,943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(1,187,993)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737,899</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7"/>
                <w:szCs w:val="17"/>
                <w:color w:val="auto"/>
              </w:rPr>
              <w:t>Retail properties under capital leases</w:t>
            </w:r>
          </w:p>
        </w:tc>
        <w:tc>
          <w:tcPr>
            <w:tcW w:w="42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114,571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(29,051)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71,693</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Residential</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22,890</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20" w:type="dxa"/>
            <w:vAlign w:val="bottom"/>
            <w:tcBorders>
              <w:top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4,779,674</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(1,224,295)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832,482</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Retail and mixed-use properties includes the residential portion of Santana Row, Bethesda Row, Congressional Plaza and Chelsea Commons. The residential property investment is our investment in Rollingwood Apartments.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Significant Property Acquisitions and Dispositions</w:t>
      </w:r>
    </w:p>
    <w:p>
      <w:pPr>
        <w:spacing w:after="0" w:line="22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April 3, 2013, we acquired the fee interest in a 95,000 square foot retail property located in Darien, Connecticut for $47.3 million. Approximately $0.1 million and $1.8 million of net assets acquired were allocated to other assets for "above market leases" and other liabilities for "below market leases", respectively. We incurred $0.2 million of acquisition costs which are included in "general and administrative expenses" in 2013.</w:t>
      </w:r>
    </w:p>
    <w:p>
      <w:pPr>
        <w:spacing w:after="0" w:line="17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April 5, 2013, one of our tenants acquired our fee interest in the land under an office building at our Village of Shirlington property in Arlington, Virginia, that was subject to a long term ground lease. The ground lease included an option for the tenant to purchase the fee interest. The sales price was $6.5 million, and the gain was $5.0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On July 22, 2013, we sold the fee interest in our final building at Fifth Avenue in San Diego, California, for a sales price of $15.3 million resulting in a gain of</w:t>
      </w:r>
    </w:p>
    <w:p>
      <w:pPr>
        <w:spacing w:after="0" w:line="3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$10.7 million. On September 10, 2013 we sold the fee interest in a building in Forest Hills (Queens), New York, for a sales price of $20.4 million resulting in a gain of $13.2 million. Both sales were completed as a Section 1031 tax deferred exchange transaction with the acquisition of the property in Darien.</w:t>
      </w:r>
    </w:p>
    <w:p>
      <w:pPr>
        <w:spacing w:after="0" w:line="147" w:lineRule="exact"/>
        <w:rPr>
          <w:sz w:val="20"/>
          <w:szCs w:val="20"/>
          <w:color w:val="auto"/>
        </w:rPr>
      </w:pPr>
    </w:p>
    <w:p>
      <w:pPr>
        <w:ind w:right="460"/>
        <w:spacing w:after="0" w:line="287" w:lineRule="auto"/>
        <w:rPr>
          <w:sz w:val="20"/>
          <w:szCs w:val="20"/>
          <w:color w:val="auto"/>
        </w:rPr>
      </w:pPr>
      <w:r>
        <w:rPr>
          <w:rFonts w:ascii="Arial" w:cs="Arial" w:eastAsia="Arial" w:hAnsi="Arial"/>
          <w:sz w:val="17"/>
          <w:szCs w:val="17"/>
          <w:color w:val="auto"/>
        </w:rPr>
        <w:t>On October 1, 2013, we acquired the fee interest in an 11.8 acre land parcel adjacent to our Assembly Row development project for a purchase price of $18.0 million.</w:t>
      </w:r>
    </w:p>
    <w:p>
      <w:pPr>
        <w:spacing w:after="0" w:line="158"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On December 19, 2013, we acquired the fee interest in a land parcel contiguous with our Montrose Crossing shopping center that is encumbered by two retail ground leases. The total purchase price was $10.5 million and our 89.9% share was $9.4 million.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Significant Property Acquisitions</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In July and September 2012, we acquired three residential apartment buildings with 47 units located adjacent to Santana Row for $9.0 million. These properties provide potential future redevelopment opportunities for Santana Row.</w:t>
      </w:r>
    </w:p>
    <w:p>
      <w:pPr>
        <w:spacing w:after="0" w:line="15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On December 21, 2012, we acquired the fee interest in East Bay Bridge, a 438,000 square foot shopping center located in Emeryville and Oakland, California. The purchase price was $116.6 million which included the assumption of a mortgage loan with a face amount of $62.9 million and a fair value of approximately $67.6 million. Approximately $0.9 million and $47.8 million of net assets acquired were allocated to other assets for “above market leases” and other liabilities for “below market leases”, respectively. Additionally, we acquired a 37,000 square foot single-tenant office/warehouse building in Ontario, California for $2.5 million as part of the transaction (which was subsequently sold in 2013 for $2.5 million). We incurred a total of $0.9 million of acquisition costs which are included in “general and administrative expenses” in 2012.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4—MORTGAGE NOTES RECEIVABLE</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At December 31, 2013 and 2012, we had five mortgage notes receivable with an aggregate carrying amount of $55.2 million and $55.6 million, respectively. Approximately $44.8 million and $44.9 million of the loans are secured by first mortgages on retail buildings at December 31, 2013 and 2012, respectively. One of the loans, which is secured by a second mortgage on a hotel at our Santana Row property, was considered impaired when it was amended in August 2006. At December 31, 2013 and 2012, the loan has an outstanding face amount of $11.9 million and $12.9 million, respectively, and is carried net of a valuation allowance of $1.6 million and $2.1 million, respectively. At December 31, 2013 and 2012, our mortgages had a weighted average interest rate of 9.0% and 9.4%, respectively. Under the terms of certain of these mortgages, we receive additional interest based upon the gross income of the secured properties and upon sale, share in the appreciation of the properties.</w:t>
      </w:r>
    </w:p>
    <w:p>
      <w:pPr>
        <w:spacing w:after="0" w:line="12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had an initial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VIE. Additionally, given our investment in both the first and second mortgage on the property, the overall decline in fair market value since the loans were initiated, and the default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126" w:right="2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the operations of the entity are included in “discontinued operations”.</w:t>
      </w:r>
    </w:p>
    <w:p>
      <w:pPr>
        <w:spacing w:after="0" w:line="12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conjunction with the refinancing of the loans, we re-evaluated our status as the primary beneficiary of the VIE. Because the loan is not in default, we no longer have those certain rights that give us the ability to control the activities that most significantly impact the shopping center. Our current involvement in the property is solely as the lender on the mortgage loan with protective rights as the lender. Therefore, we are no longer the primary beneficiary and deconsolidated the entity as of June 30, 2011. The mortgage loan receivable was recorded at its estimated fair value of $11.9 million and we recognized a $2.0 million gain on deconsolidation as part of the refinancing which is included in “discontinued operations - gain on deconsolidation of VIE” for the year ended December 31, 2011. As of December 31, 2013, the loan was performing and the carrying amount of the mortgage loan of $11.7 million is included in “mortgage notes receivable” on the balance sheet. This amount also reflects our maximum exposure to loss related to this investment.</w:t>
      </w:r>
    </w:p>
    <w:p>
      <w:pPr>
        <w:spacing w:after="0" w:line="11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5—REAL ESTATE PARTNERSHIPS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Federal/Lion Venture LP</w:t>
      </w:r>
    </w:p>
    <w:p>
      <w:pPr>
        <w:spacing w:after="0" w:line="91"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2013,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 As of December 31, 2013, we have made total contributions of $42.1 million and received total distributions of $18.0 million.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summarized operating results and the financial position of the Partnership: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4"/>
        </w:trPr>
        <w:tc>
          <w:tcPr>
            <w:tcW w:w="46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r>
      <w:tr>
        <w:trPr>
          <w:trHeight w:val="189"/>
        </w:trPr>
        <w:tc>
          <w:tcPr>
            <w:tcW w:w="4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RESULTS</w:t>
            </w:r>
          </w:p>
        </w:tc>
        <w:tc>
          <w:tcPr>
            <w:tcW w:w="2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5"/>
        </w:trPr>
        <w:tc>
          <w:tcPr>
            <w:tcW w:w="4600" w:type="dxa"/>
            <w:vAlign w:val="bottom"/>
          </w:tcPr>
          <w:p>
            <w:pPr>
              <w:ind w:left="40"/>
              <w:spacing w:after="0"/>
              <w:rPr>
                <w:sz w:val="20"/>
                <w:szCs w:val="20"/>
                <w:color w:val="auto"/>
              </w:rPr>
            </w:pPr>
            <w:r>
              <w:rPr>
                <w:rFonts w:ascii="Arial" w:cs="Arial" w:eastAsia="Arial" w:hAnsi="Arial"/>
                <w:sz w:val="17"/>
                <w:szCs w:val="17"/>
                <w:color w:val="auto"/>
              </w:rPr>
              <w:t>Revenue</w:t>
            </w:r>
          </w:p>
        </w:tc>
        <w:tc>
          <w:tcPr>
            <w:tcW w:w="284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19,209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19,051</w:t>
            </w:r>
          </w:p>
        </w:tc>
        <w:tc>
          <w:tcPr>
            <w:tcW w:w="10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19,289</w:t>
            </w:r>
          </w:p>
        </w:tc>
      </w:tr>
      <w:tr>
        <w:trPr>
          <w:trHeight w:val="26"/>
        </w:trPr>
        <w:tc>
          <w:tcPr>
            <w:tcW w:w="4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Expenses</w:t>
            </w:r>
          </w:p>
        </w:tc>
        <w:tc>
          <w:tcPr>
            <w:tcW w:w="2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5"/>
        </w:trPr>
        <w:tc>
          <w:tcPr>
            <w:tcW w:w="4600" w:type="dxa"/>
            <w:vAlign w:val="bottom"/>
          </w:tcPr>
          <w:p>
            <w:pPr>
              <w:ind w:left="360"/>
              <w:spacing w:after="0"/>
              <w:rPr>
                <w:sz w:val="20"/>
                <w:szCs w:val="20"/>
                <w:color w:val="auto"/>
              </w:rPr>
            </w:pPr>
            <w:r>
              <w:rPr>
                <w:rFonts w:ascii="Arial" w:cs="Arial" w:eastAsia="Arial" w:hAnsi="Arial"/>
                <w:sz w:val="17"/>
                <w:szCs w:val="17"/>
                <w:color w:val="auto"/>
              </w:rPr>
              <w:t>Other operating expenses</w:t>
            </w:r>
          </w:p>
        </w:tc>
        <w:tc>
          <w:tcPr>
            <w:tcW w:w="2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5,999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5,234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5,593</w:t>
            </w:r>
          </w:p>
        </w:tc>
      </w:tr>
      <w:tr>
        <w:trPr>
          <w:trHeight w:val="26"/>
        </w:trPr>
        <w:tc>
          <w:tcPr>
            <w:tcW w:w="4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5,179</w:t>
            </w:r>
          </w:p>
        </w:tc>
      </w:tr>
      <w:tr>
        <w:trPr>
          <w:trHeight w:val="235"/>
        </w:trPr>
        <w:tc>
          <w:tcPr>
            <w:tcW w:w="460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2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3,376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3,388</w:t>
            </w:r>
          </w:p>
        </w:tc>
      </w:tr>
      <w:tr>
        <w:trPr>
          <w:trHeight w:val="26"/>
        </w:trPr>
        <w:tc>
          <w:tcPr>
            <w:tcW w:w="46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expenses</w:t>
            </w:r>
          </w:p>
        </w:tc>
        <w:tc>
          <w:tcPr>
            <w:tcW w:w="2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14,868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14,118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14,160</w:t>
            </w:r>
          </w:p>
        </w:tc>
      </w:tr>
      <w:tr>
        <w:trPr>
          <w:trHeight w:val="228"/>
        </w:trPr>
        <w:tc>
          <w:tcPr>
            <w:tcW w:w="46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50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4,341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4,933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5,129</w:t>
            </w:r>
          </w:p>
        </w:tc>
      </w:tr>
      <w:tr>
        <w:trPr>
          <w:trHeight w:val="66"/>
        </w:trPr>
        <w:tc>
          <w:tcPr>
            <w:tcW w:w="460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45"/>
        </w:trPr>
        <w:tc>
          <w:tcPr>
            <w:tcW w:w="460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Our share of net income from real estate partnership</w:t>
            </w:r>
          </w:p>
        </w:tc>
        <w:tc>
          <w:tcPr>
            <w:tcW w:w="284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1,771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31"/>
        </w:trPr>
        <w:tc>
          <w:tcPr>
            <w:tcW w:w="4600" w:type="dxa"/>
            <w:vAlign w:val="bottom"/>
          </w:tcPr>
          <w:p>
            <w:pPr>
              <w:spacing w:after="0"/>
              <w:rPr>
                <w:sz w:val="24"/>
                <w:szCs w:val="24"/>
                <w:color w:val="auto"/>
              </w:rPr>
            </w:pPr>
          </w:p>
        </w:tc>
        <w:tc>
          <w:tcPr>
            <w:tcW w:w="2840" w:type="dxa"/>
            <w:vAlign w:val="bottom"/>
            <w:gridSpan w:val="2"/>
          </w:tcPr>
          <w:p>
            <w:pPr>
              <w:jc w:val="right"/>
              <w:ind w:right="1473"/>
              <w:spacing w:after="0"/>
              <w:rPr>
                <w:sz w:val="20"/>
                <w:szCs w:val="20"/>
                <w:color w:val="auto"/>
              </w:rPr>
            </w:pPr>
            <w:r>
              <w:rPr>
                <w:rFonts w:ascii="Arial" w:cs="Arial" w:eastAsia="Arial" w:hAnsi="Arial"/>
                <w:sz w:val="17"/>
                <w:szCs w:val="17"/>
                <w:color w:val="auto"/>
              </w:rPr>
              <w:t>F-16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8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83"/>
        </w:trPr>
        <w:tc>
          <w:tcPr>
            <w:tcW w:w="8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8580" w:type="dxa"/>
            <w:vAlign w:val="bottom"/>
          </w:tcPr>
          <w:p>
            <w:pPr>
              <w:ind w:left="40"/>
              <w:spacing w:after="0"/>
              <w:rPr>
                <w:sz w:val="20"/>
                <w:szCs w:val="20"/>
                <w:color w:val="auto"/>
              </w:rPr>
            </w:pPr>
            <w:r>
              <w:rPr>
                <w:rFonts w:ascii="Arial" w:cs="Arial" w:eastAsia="Arial" w:hAnsi="Arial"/>
                <w:sz w:val="17"/>
                <w:szCs w:val="17"/>
                <w:color w:val="auto"/>
              </w:rPr>
              <w:t>BALANCE SHEETS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net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170,867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174,509</w:t>
            </w:r>
          </w:p>
        </w:tc>
        <w:tc>
          <w:tcPr>
            <w:tcW w:w="0" w:type="dxa"/>
            <w:vAlign w:val="bottom"/>
          </w:tcPr>
          <w:p>
            <w:pPr>
              <w:spacing w:after="0"/>
              <w:rPr>
                <w:sz w:val="1"/>
                <w:szCs w:val="1"/>
                <w:color w:val="auto"/>
              </w:rPr>
            </w:pPr>
          </w:p>
        </w:tc>
      </w:tr>
      <w:tr>
        <w:trPr>
          <w:trHeight w:val="235"/>
        </w:trPr>
        <w:tc>
          <w:tcPr>
            <w:tcW w:w="8580" w:type="dxa"/>
            <w:vAlign w:val="bottom"/>
          </w:tcPr>
          <w:p>
            <w:pPr>
              <w:ind w:left="40"/>
              <w:spacing w:after="0"/>
              <w:rPr>
                <w:sz w:val="20"/>
                <w:szCs w:val="20"/>
                <w:color w:val="auto"/>
              </w:rPr>
            </w:pPr>
            <w:r>
              <w:rPr>
                <w:rFonts w:ascii="Arial" w:cs="Arial" w:eastAsia="Arial" w:hAnsi="Arial"/>
                <w:sz w:val="17"/>
                <w:szCs w:val="17"/>
                <w:color w:val="auto"/>
              </w:rPr>
              <w:t>Cash</w:t>
            </w:r>
          </w:p>
        </w:tc>
        <w:tc>
          <w:tcPr>
            <w:tcW w:w="340" w:type="dxa"/>
            <w:vAlign w:val="bottom"/>
          </w:tcPr>
          <w:p>
            <w:pPr>
              <w:spacing w:after="0"/>
              <w:rPr>
                <w:sz w:val="20"/>
                <w:szCs w:val="20"/>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2,210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2,735</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5,536</w:t>
            </w:r>
          </w:p>
        </w:tc>
        <w:tc>
          <w:tcPr>
            <w:tcW w:w="0" w:type="dxa"/>
            <w:vAlign w:val="bottom"/>
          </w:tcPr>
          <w:p>
            <w:pPr>
              <w:spacing w:after="0"/>
              <w:rPr>
                <w:sz w:val="1"/>
                <w:szCs w:val="1"/>
                <w:color w:val="auto"/>
              </w:rPr>
            </w:pPr>
          </w:p>
        </w:tc>
      </w:tr>
      <w:tr>
        <w:trPr>
          <w:trHeight w:val="228"/>
        </w:trPr>
        <w:tc>
          <w:tcPr>
            <w:tcW w:w="8580" w:type="dxa"/>
            <w:vAlign w:val="bottom"/>
          </w:tcPr>
          <w:p>
            <w:pPr>
              <w:ind w:left="36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178,745</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182,780</w:t>
            </w:r>
          </w:p>
        </w:tc>
        <w:tc>
          <w:tcPr>
            <w:tcW w:w="0" w:type="dxa"/>
            <w:vAlign w:val="bottom"/>
          </w:tcPr>
          <w:p>
            <w:pPr>
              <w:spacing w:after="0"/>
              <w:rPr>
                <w:sz w:val="1"/>
                <w:szCs w:val="1"/>
                <w:color w:val="auto"/>
              </w:rPr>
            </w:pPr>
          </w:p>
        </w:tc>
      </w:tr>
      <w:tr>
        <w:trPr>
          <w:trHeight w:val="66"/>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58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Mortgages payable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56,922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57,155</w:t>
            </w:r>
          </w:p>
        </w:tc>
        <w:tc>
          <w:tcPr>
            <w:tcW w:w="0" w:type="dxa"/>
            <w:vAlign w:val="bottom"/>
          </w:tcPr>
          <w:p>
            <w:pPr>
              <w:spacing w:after="0"/>
              <w:rPr>
                <w:sz w:val="1"/>
                <w:szCs w:val="1"/>
                <w:color w:val="auto"/>
              </w:rPr>
            </w:pPr>
          </w:p>
        </w:tc>
      </w:tr>
      <w:tr>
        <w:trPr>
          <w:trHeight w:val="235"/>
        </w:trPr>
        <w:tc>
          <w:tcPr>
            <w:tcW w:w="8580" w:type="dxa"/>
            <w:vAlign w:val="bottom"/>
          </w:tcPr>
          <w:p>
            <w:pPr>
              <w:ind w:left="40"/>
              <w:spacing w:after="0"/>
              <w:rPr>
                <w:sz w:val="20"/>
                <w:szCs w:val="20"/>
                <w:color w:val="auto"/>
              </w:rPr>
            </w:pPr>
            <w:r>
              <w:rPr>
                <w:rFonts w:ascii="Arial" w:cs="Arial" w:eastAsia="Arial" w:hAnsi="Arial"/>
                <w:sz w:val="17"/>
                <w:szCs w:val="17"/>
                <w:color w:val="auto"/>
              </w:rPr>
              <w:t>Other liabilities</w:t>
            </w:r>
          </w:p>
        </w:tc>
        <w:tc>
          <w:tcPr>
            <w:tcW w:w="340" w:type="dxa"/>
            <w:vAlign w:val="bottom"/>
          </w:tcPr>
          <w:p>
            <w:pPr>
              <w:spacing w:after="0"/>
              <w:rPr>
                <w:sz w:val="20"/>
                <w:szCs w:val="20"/>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4,100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4,771</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Partners’ capital</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117,723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120,854</w:t>
            </w:r>
          </w:p>
        </w:tc>
        <w:tc>
          <w:tcPr>
            <w:tcW w:w="0" w:type="dxa"/>
            <w:vAlign w:val="bottom"/>
          </w:tcPr>
          <w:p>
            <w:pPr>
              <w:spacing w:after="0"/>
              <w:rPr>
                <w:sz w:val="1"/>
                <w:szCs w:val="1"/>
                <w:color w:val="auto"/>
              </w:rPr>
            </w:pPr>
          </w:p>
        </w:tc>
      </w:tr>
      <w:tr>
        <w:trPr>
          <w:trHeight w:val="228"/>
        </w:trPr>
        <w:tc>
          <w:tcPr>
            <w:tcW w:w="8580" w:type="dxa"/>
            <w:vAlign w:val="bottom"/>
          </w:tcPr>
          <w:p>
            <w:pPr>
              <w:ind w:left="360"/>
              <w:spacing w:after="0"/>
              <w:rPr>
                <w:sz w:val="20"/>
                <w:szCs w:val="20"/>
                <w:color w:val="auto"/>
              </w:rPr>
            </w:pPr>
            <w:r>
              <w:rPr>
                <w:rFonts w:ascii="Arial" w:cs="Arial" w:eastAsia="Arial" w:hAnsi="Arial"/>
                <w:sz w:val="17"/>
                <w:szCs w:val="17"/>
                <w:color w:val="auto"/>
              </w:rPr>
              <w:t>Total liabilities and partners’ capital</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178,745</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182,780</w:t>
            </w:r>
          </w:p>
        </w:tc>
        <w:tc>
          <w:tcPr>
            <w:tcW w:w="0" w:type="dxa"/>
            <w:vAlign w:val="bottom"/>
          </w:tcPr>
          <w:p>
            <w:pPr>
              <w:spacing w:after="0"/>
              <w:rPr>
                <w:sz w:val="1"/>
                <w:szCs w:val="1"/>
                <w:color w:val="auto"/>
              </w:rPr>
            </w:pPr>
          </w:p>
        </w:tc>
      </w:tr>
      <w:tr>
        <w:trPr>
          <w:trHeight w:val="66"/>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858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Our share of unconsolidated debt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17,077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17,147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Our investment in real estate partnership</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580" w:type="dxa"/>
            <w:vAlign w:val="bottom"/>
            <w:vMerge w:val="continue"/>
          </w:tcPr>
          <w:p>
            <w:pPr>
              <w:spacing w:after="0"/>
              <w:rPr>
                <w:sz w:val="18"/>
                <w:szCs w:val="18"/>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32,264</w:t>
            </w:r>
          </w:p>
        </w:tc>
        <w:tc>
          <w:tcPr>
            <w:tcW w:w="100" w:type="dxa"/>
            <w:vAlign w:val="bottom"/>
          </w:tcPr>
          <w:p>
            <w:pPr>
              <w:spacing w:after="0"/>
              <w:rPr>
                <w:sz w:val="18"/>
                <w:szCs w:val="18"/>
                <w:color w:val="auto"/>
              </w:rPr>
            </w:pP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33,169</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Taurus Newbury Street JV II Limited Partnership</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May 2010, we formed Taurus Newbury Street JV II Limited Partnership ("Newbury Street Partnership"), a joint venture with an affiliate of Taurus Investment Holdings, LLC ("Taurus"), to acquire, operate and redevelop properties located primarily in the Back Bay section of Boston, Massachusetts. We held an 85% limited partnership interest in Newbury Street Partnership and Taurus held a 15% limited partnership interest and served as general partner. As general partner, Taurus was responsible for the operation and management of the properties, subject to our approval on major decisions. We evaluated the entity and determined that it was not a VIE. Accordingly, given Taurus' role as general partner, we accounted for our interest in Newbury Street Partnership using the equity method. Accounting policies for the Newbury Street Partnership were similar to accounting policies followed by the Trust. Intercompany profit generated from the interest income on loans we provided to the partnership are eliminated in consolidation. Due to the timing of receiving financial information from the general partner, our share of earnings was recorded one quarter in arrears. Our share of earnings in the consolidated statements of comprehensive income in 2011 was income of less then $0.1 million.</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On May 26, 2010, Newbury Street Partnership acquired the fee interest in two buildings located on Newbury Street in Boston, Massachusetts for a price of $17.5 million. We contributed $7.8 million towards the acquisition and provided an $8.8 million interest only loan secured by the buildings. On May 26, 2011, Newbury Street Partnership acquired the fee interest in a third building for a purchase price of $6.2 million. We contributed approximately $2.8 million towards the acquisition and provided $3.1 million interest only loan secured by the building. The $11.8 million loans bore interest at LIBOR plus 400 basis points and were to mature on May 25, 2012.</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31, 2011, our Newbury Street Partnership sold its entire portfolio of three buildings for $44.0 million. As part of the sale, we received $34.6 million of the net proceeds which included the repayment of our $11.8 million loans. Due to our earnings being recorded one quarter in arrears, we recognized the gain on sale of $11.9 million in the first quarter of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6—ACQUIRED IN-PLACE LEASES</w:t>
      </w:r>
    </w:p>
    <w:p>
      <w:pPr>
        <w:spacing w:after="0" w:line="9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$31.1 million and $31.8 million and accumulated amortization of $16.3 million and $14.3 million at December 31, 2013 and 2012, respectively. Acquired below market leases are included in other liabilities and deferred credits and had a balance of $111.1 million and $110.1 million and accumulated amortization of $34.9 million and $29.8 million at December 31, 2013 and 2012, respectively. The value allocated to in-place leases is amortized over the related lease term and reflected as additional rental income for below market leases or a reduction of rental income for above market leases in the statement of operations. Rental income included amortization from acquired above market leases of $2.8 million, $3.4 million and $2.4 million in 2013, 2012 and 2011, respectively and amortization from acquired below market leases of $5.9 million, $4.5 million and $3.8 million in 2013, 2012 and 2011, respectively. The remaining weighted-average amortization period as of December 31, 2013, is 6 years and 21.7 years for above market leases and below market leases,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for acquired in-place leases during the next five years and thereafter, assuming no early lease terminations,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Above Market</w:t>
            </w:r>
          </w:p>
        </w:tc>
        <w:tc>
          <w:tcPr>
            <w:tcW w:w="480" w:type="dxa"/>
            <w:vAlign w:val="bottom"/>
          </w:tcPr>
          <w:p>
            <w:pPr>
              <w:spacing w:after="0"/>
              <w:rPr>
                <w:sz w:val="14"/>
                <w:szCs w:val="14"/>
                <w:color w:val="auto"/>
              </w:rPr>
            </w:pPr>
          </w:p>
        </w:tc>
        <w:tc>
          <w:tcPr>
            <w:tcW w:w="1440" w:type="dxa"/>
            <w:vAlign w:val="bottom"/>
          </w:tcPr>
          <w:p>
            <w:pPr>
              <w:jc w:val="right"/>
              <w:ind w:right="457"/>
              <w:spacing w:after="0"/>
              <w:rPr>
                <w:sz w:val="20"/>
                <w:szCs w:val="20"/>
                <w:color w:val="auto"/>
              </w:rPr>
            </w:pPr>
            <w:r>
              <w:rPr>
                <w:rFonts w:ascii="Arial" w:cs="Arial" w:eastAsia="Arial" w:hAnsi="Arial"/>
                <w:sz w:val="14"/>
                <w:szCs w:val="14"/>
                <w:b w:val="1"/>
                <w:bCs w:val="1"/>
                <w:color w:val="auto"/>
                <w:w w:val="97"/>
              </w:rPr>
              <w:t>Below Market</w:t>
            </w:r>
          </w:p>
        </w:tc>
      </w:tr>
      <w:tr>
        <w:trPr>
          <w:trHeight w:val="186"/>
        </w:trPr>
        <w:tc>
          <w:tcPr>
            <w:tcW w:w="37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79"/>
              </w:rPr>
              <w:t>Leases</w:t>
            </w: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Leases</w:t>
            </w:r>
          </w:p>
        </w:tc>
      </w:tr>
      <w:tr>
        <w:trPr>
          <w:trHeight w:val="241"/>
        </w:trPr>
        <w:tc>
          <w:tcPr>
            <w:tcW w:w="3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0"/>
                <w:szCs w:val="20"/>
                <w:color w:val="auto"/>
              </w:rPr>
            </w:pPr>
          </w:p>
        </w:tc>
      </w:tr>
      <w:tr>
        <w:trPr>
          <w:trHeight w:val="24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3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5"/>
        </w:trPr>
        <w:tc>
          <w:tcPr>
            <w:tcW w:w="3720" w:type="dxa"/>
            <w:vAlign w:val="bottom"/>
          </w:tcPr>
          <w:p>
            <w:pPr>
              <w:ind w:left="40"/>
              <w:spacing w:after="0"/>
              <w:rPr>
                <w:sz w:val="20"/>
                <w:szCs w:val="20"/>
                <w:color w:val="auto"/>
              </w:rPr>
            </w:pPr>
            <w:r>
              <w:rPr>
                <w:rFonts w:ascii="Arial" w:cs="Arial" w:eastAsia="Arial" w:hAnsi="Arial"/>
                <w:sz w:val="17"/>
                <w:szCs w:val="17"/>
                <w:color w:val="auto"/>
              </w:rPr>
              <w:t>2014</w:t>
            </w:r>
          </w:p>
        </w:tc>
        <w:tc>
          <w:tcPr>
            <w:tcW w:w="414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2,628</w:t>
            </w:r>
          </w:p>
        </w:tc>
        <w:tc>
          <w:tcPr>
            <w:tcW w:w="100" w:type="dxa"/>
            <w:vAlign w:val="bottom"/>
          </w:tcPr>
          <w:p>
            <w:pPr>
              <w:spacing w:after="0"/>
              <w:rPr>
                <w:sz w:val="20"/>
                <w:szCs w:val="20"/>
                <w:color w:val="auto"/>
              </w:rPr>
            </w:pP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7"/>
              <w:spacing w:after="0"/>
              <w:rPr>
                <w:sz w:val="20"/>
                <w:szCs w:val="20"/>
                <w:color w:val="auto"/>
              </w:rPr>
            </w:pPr>
            <w:r>
              <w:rPr>
                <w:rFonts w:ascii="Arial" w:cs="Arial" w:eastAsia="Arial" w:hAnsi="Arial"/>
                <w:sz w:val="17"/>
                <w:szCs w:val="17"/>
                <w:color w:val="auto"/>
              </w:rPr>
              <w:t>5,334</w:t>
            </w:r>
          </w:p>
        </w:tc>
      </w:tr>
      <w:tr>
        <w:trPr>
          <w:trHeight w:val="26"/>
        </w:trPr>
        <w:tc>
          <w:tcPr>
            <w:tcW w:w="3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1"/>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3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2,499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5,059</w:t>
            </w:r>
          </w:p>
        </w:tc>
      </w:tr>
      <w:tr>
        <w:trPr>
          <w:trHeight w:val="235"/>
        </w:trPr>
        <w:tc>
          <w:tcPr>
            <w:tcW w:w="3720" w:type="dxa"/>
            <w:vAlign w:val="bottom"/>
          </w:tcPr>
          <w:p>
            <w:pPr>
              <w:ind w:left="40"/>
              <w:spacing w:after="0"/>
              <w:rPr>
                <w:sz w:val="20"/>
                <w:szCs w:val="20"/>
                <w:color w:val="auto"/>
              </w:rPr>
            </w:pPr>
            <w:r>
              <w:rPr>
                <w:rFonts w:ascii="Arial" w:cs="Arial" w:eastAsia="Arial" w:hAnsi="Arial"/>
                <w:sz w:val="17"/>
                <w:szCs w:val="17"/>
                <w:color w:val="auto"/>
              </w:rPr>
              <w:t>2016</w:t>
            </w: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2,198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17"/>
              <w:spacing w:after="0"/>
              <w:rPr>
                <w:sz w:val="20"/>
                <w:szCs w:val="20"/>
                <w:color w:val="auto"/>
              </w:rPr>
            </w:pPr>
            <w:r>
              <w:rPr>
                <w:rFonts w:ascii="Arial" w:cs="Arial" w:eastAsia="Arial" w:hAnsi="Arial"/>
                <w:sz w:val="17"/>
                <w:szCs w:val="17"/>
                <w:color w:val="auto"/>
              </w:rPr>
              <w:t>4,723</w:t>
            </w:r>
          </w:p>
        </w:tc>
      </w:tr>
      <w:tr>
        <w:trPr>
          <w:trHeight w:val="26"/>
        </w:trPr>
        <w:tc>
          <w:tcPr>
            <w:tcW w:w="3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1"/>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3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1,574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4,352</w:t>
            </w:r>
          </w:p>
        </w:tc>
      </w:tr>
      <w:tr>
        <w:trPr>
          <w:trHeight w:val="235"/>
        </w:trPr>
        <w:tc>
          <w:tcPr>
            <w:tcW w:w="3720" w:type="dxa"/>
            <w:vAlign w:val="bottom"/>
          </w:tcPr>
          <w:p>
            <w:pPr>
              <w:ind w:left="40"/>
              <w:spacing w:after="0"/>
              <w:rPr>
                <w:sz w:val="20"/>
                <w:szCs w:val="20"/>
                <w:color w:val="auto"/>
              </w:rPr>
            </w:pPr>
            <w:r>
              <w:rPr>
                <w:rFonts w:ascii="Arial" w:cs="Arial" w:eastAsia="Arial" w:hAnsi="Arial"/>
                <w:sz w:val="17"/>
                <w:szCs w:val="17"/>
                <w:color w:val="auto"/>
              </w:rPr>
              <w:t>2018</w:t>
            </w: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17"/>
              <w:spacing w:after="0"/>
              <w:rPr>
                <w:sz w:val="20"/>
                <w:szCs w:val="20"/>
                <w:color w:val="auto"/>
              </w:rPr>
            </w:pPr>
            <w:r>
              <w:rPr>
                <w:rFonts w:ascii="Arial" w:cs="Arial" w:eastAsia="Arial" w:hAnsi="Arial"/>
                <w:sz w:val="17"/>
                <w:szCs w:val="17"/>
                <w:color w:val="auto"/>
              </w:rPr>
              <w:t>3,526</w:t>
            </w:r>
          </w:p>
        </w:tc>
      </w:tr>
      <w:tr>
        <w:trPr>
          <w:trHeight w:val="26"/>
        </w:trPr>
        <w:tc>
          <w:tcPr>
            <w:tcW w:w="3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1"/>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3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53,229</w:t>
            </w:r>
          </w:p>
        </w:tc>
      </w:tr>
      <w:tr>
        <w:trPr>
          <w:trHeight w:val="228"/>
        </w:trPr>
        <w:tc>
          <w:tcPr>
            <w:tcW w:w="37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0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14,802</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76,223</w:t>
            </w:r>
          </w:p>
        </w:tc>
      </w:tr>
      <w:tr>
        <w:trPr>
          <w:trHeight w:val="26"/>
        </w:trPr>
        <w:tc>
          <w:tcPr>
            <w:tcW w:w="3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31"/>
        </w:trPr>
        <w:tc>
          <w:tcPr>
            <w:tcW w:w="3720" w:type="dxa"/>
            <w:vAlign w:val="bottom"/>
          </w:tcPr>
          <w:p>
            <w:pPr>
              <w:spacing w:after="0"/>
              <w:rPr>
                <w:sz w:val="24"/>
                <w:szCs w:val="24"/>
                <w:color w:val="auto"/>
              </w:rPr>
            </w:pPr>
          </w:p>
        </w:tc>
        <w:tc>
          <w:tcPr>
            <w:tcW w:w="4140" w:type="dxa"/>
            <w:vAlign w:val="bottom"/>
            <w:gridSpan w:val="2"/>
          </w:tcPr>
          <w:p>
            <w:pPr>
              <w:jc w:val="right"/>
              <w:ind w:right="1893"/>
              <w:spacing w:after="0"/>
              <w:rPr>
                <w:sz w:val="20"/>
                <w:szCs w:val="20"/>
                <w:color w:val="auto"/>
              </w:rPr>
            </w:pPr>
            <w:r>
              <w:rPr>
                <w:rFonts w:ascii="Arial" w:cs="Arial" w:eastAsia="Arial" w:hAnsi="Arial"/>
                <w:sz w:val="17"/>
                <w:szCs w:val="17"/>
                <w:color w:val="auto"/>
              </w:rPr>
              <w:t>F-18</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7—DEBT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2013 and 2012:</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w w:val="90"/>
              </w:rPr>
              <w:t>Principal Balance as of December 31,</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Stated Interest Rate as of</w:t>
            </w:r>
          </w:p>
        </w:tc>
        <w:tc>
          <w:tcPr>
            <w:tcW w:w="2040" w:type="dxa"/>
            <w:vAlign w:val="bottom"/>
          </w:tcPr>
          <w:p>
            <w:pPr>
              <w:spacing w:after="0"/>
              <w:rPr>
                <w:sz w:val="16"/>
                <w:szCs w:val="16"/>
                <w:color w:val="auto"/>
              </w:rPr>
            </w:pPr>
          </w:p>
        </w:tc>
      </w:tr>
      <w:tr>
        <w:trPr>
          <w:trHeight w:val="18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60" w:type="dxa"/>
            <w:vAlign w:val="bottom"/>
          </w:tcPr>
          <w:p>
            <w:pPr>
              <w:spacing w:after="0"/>
              <w:rPr>
                <w:sz w:val="15"/>
                <w:szCs w:val="15"/>
                <w:color w:val="auto"/>
              </w:rPr>
            </w:pP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December 31, 2013</w:t>
            </w:r>
          </w:p>
        </w:tc>
        <w:tc>
          <w:tcPr>
            <w:tcW w:w="2040" w:type="dxa"/>
            <w:vAlign w:val="bottom"/>
          </w:tcPr>
          <w:p>
            <w:pPr>
              <w:jc w:val="right"/>
              <w:ind w:right="302"/>
              <w:spacing w:after="0"/>
              <w:rPr>
                <w:sz w:val="20"/>
                <w:szCs w:val="20"/>
                <w:color w:val="auto"/>
              </w:rPr>
            </w:pPr>
            <w:r>
              <w:rPr>
                <w:rFonts w:ascii="Arial" w:cs="Arial" w:eastAsia="Arial" w:hAnsi="Arial"/>
                <w:sz w:val="14"/>
                <w:szCs w:val="14"/>
                <w:b w:val="1"/>
                <w:bCs w:val="1"/>
                <w:color w:val="auto"/>
              </w:rPr>
              <w:t>Stated Maturity Date</w:t>
            </w:r>
          </w:p>
        </w:tc>
      </w:tr>
      <w:tr>
        <w:trPr>
          <w:trHeight w:val="77"/>
        </w:trPr>
        <w:tc>
          <w:tcPr>
            <w:tcW w:w="424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r>
      <w:tr>
        <w:trPr>
          <w:trHeight w:val="23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gridSpan w:val="4"/>
            <w:shd w:val="clear" w:color="auto" w:fill="CCEEFF"/>
          </w:tcPr>
          <w:p>
            <w:pPr>
              <w:jc w:val="right"/>
              <w:ind w:right="542"/>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White Marsh Plaza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8,970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April 1, 2013</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Crow Canyon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19,485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11, 2013</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Idylwood Plaza</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15,987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June 5, 2014</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Leesburg Plaza</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27,818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Loehmann's Plaza</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35,972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June 5, 2014</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Pentagon Row</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51,640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Melville Mall</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20,705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21,536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September 1, 2014</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54,112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55,336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2015</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Barracks Road</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37,069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38,070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Hauppauge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13,974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14,352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Lawrence Park</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26,275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26,984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Wildwood</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23,095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23,719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Wynnewood</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26,777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27,500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Brick Plaza</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27,254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28,033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East Bay Bridge</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61,980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62,946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March 1, 2016</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Rollingwood Apartments</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22,521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22,890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May 1, 2019</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61"/>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Place</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5,119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5,286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Montrose Crossing</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77,341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78,755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January 10, 2022</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6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7,454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r>
      <w:tr>
        <w:trPr>
          <w:trHeight w:val="209"/>
        </w:trPr>
        <w:tc>
          <w:tcPr>
            <w:tcW w:w="48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578,491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747,733</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61"/>
        </w:trPr>
        <w:tc>
          <w:tcPr>
            <w:tcW w:w="48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Net unamortized premium</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13,056</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r>
      <w:tr>
        <w:trPr>
          <w:trHeight w:val="209"/>
        </w:trPr>
        <w:tc>
          <w:tcPr>
            <w:tcW w:w="4820" w:type="dxa"/>
            <w:vAlign w:val="bottom"/>
            <w:gridSpan w:val="2"/>
          </w:tcPr>
          <w:p>
            <w:pPr>
              <w:ind w:left="680"/>
              <w:spacing w:after="0"/>
              <w:rPr>
                <w:sz w:val="20"/>
                <w:szCs w:val="20"/>
                <w:color w:val="auto"/>
              </w:rPr>
            </w:pPr>
            <w:r>
              <w:rPr>
                <w:rFonts w:ascii="Arial" w:cs="Arial" w:eastAsia="Arial" w:hAnsi="Arial"/>
                <w:sz w:val="16"/>
                <w:szCs w:val="16"/>
                <w:color w:val="auto"/>
              </w:rPr>
              <w:t>Total mortgages payable</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588,456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760,789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2"/>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3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Escondido (municipal bonds)</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9,400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October 1, 2016</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Revolving credit facility</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+ 0.90%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21, 2017</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Term loan</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+ 1.30%</w:t>
            </w:r>
          </w:p>
        </w:tc>
        <w:tc>
          <w:tcPr>
            <w:tcW w:w="2040" w:type="dxa"/>
            <w:vAlign w:val="bottom"/>
          </w:tcPr>
          <w:p>
            <w:pPr>
              <w:jc w:val="right"/>
              <w:spacing w:after="0"/>
              <w:rPr>
                <w:sz w:val="20"/>
                <w:szCs w:val="20"/>
                <w:color w:val="auto"/>
              </w:rPr>
            </w:pPr>
            <w:r>
              <w:rPr>
                <w:rFonts w:ascii="Arial" w:cs="Arial" w:eastAsia="Arial" w:hAnsi="Arial"/>
                <w:sz w:val="16"/>
                <w:szCs w:val="16"/>
                <w:color w:val="auto"/>
              </w:rPr>
              <w:t>November 21, 2018</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6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16,422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15,175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r>
      <w:tr>
        <w:trPr>
          <w:trHeight w:val="209"/>
        </w:trPr>
        <w:tc>
          <w:tcPr>
            <w:tcW w:w="4820" w:type="dxa"/>
            <w:vAlign w:val="bottom"/>
            <w:gridSpan w:val="2"/>
          </w:tcPr>
          <w:p>
            <w:pPr>
              <w:ind w:left="680"/>
              <w:spacing w:after="0"/>
              <w:rPr>
                <w:sz w:val="20"/>
                <w:szCs w:val="20"/>
                <w:color w:val="auto"/>
              </w:rPr>
            </w:pPr>
            <w:r>
              <w:rPr>
                <w:rFonts w:ascii="Arial" w:cs="Arial" w:eastAsia="Arial" w:hAnsi="Arial"/>
                <w:sz w:val="16"/>
                <w:szCs w:val="16"/>
                <w:color w:val="auto"/>
              </w:rPr>
              <w:t>Total notes payable</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300,822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299,575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2"/>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3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5.40% notes</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135,000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December 1, 2013</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5.95% notes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2014</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5.65% notes</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125,000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June 1, 2016</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6.20% notes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5.90% notes</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April 1, 2020</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2.75% notes</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r>
      <w:tr>
        <w:trPr>
          <w:trHeight w:val="229"/>
        </w:trPr>
        <w:tc>
          <w:tcPr>
            <w:tcW w:w="4820" w:type="dxa"/>
            <w:vAlign w:val="bottom"/>
            <w:gridSpan w:val="2"/>
          </w:tcPr>
          <w:p>
            <w:pPr>
              <w:ind w:left="360"/>
              <w:spacing w:after="0"/>
              <w:rPr>
                <w:sz w:val="20"/>
                <w:szCs w:val="20"/>
                <w:color w:val="auto"/>
              </w:rPr>
            </w:pPr>
            <w:r>
              <w:rPr>
                <w:rFonts w:ascii="Arial" w:cs="Arial" w:eastAsia="Arial" w:hAnsi="Arial"/>
                <w:sz w:val="16"/>
                <w:szCs w:val="16"/>
                <w:color w:val="auto"/>
              </w:rPr>
              <w:t>7.48% debentures</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August 15, 2026</w:t>
            </w: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61"/>
        </w:trPr>
        <w:tc>
          <w:tcPr>
            <w:tcW w:w="4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r>
      <w:tr>
        <w:trPr>
          <w:trHeight w:val="209"/>
        </w:trPr>
        <w:tc>
          <w:tcPr>
            <w:tcW w:w="48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1,369,200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1,079,200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2"/>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61"/>
        </w:trPr>
        <w:tc>
          <w:tcPr>
            <w:tcW w:w="48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Net unamortized discount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(8,287)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r>
      <w:tr>
        <w:trPr>
          <w:trHeight w:val="209"/>
        </w:trPr>
        <w:tc>
          <w:tcPr>
            <w:tcW w:w="4820" w:type="dxa"/>
            <w:vAlign w:val="bottom"/>
            <w:gridSpan w:val="2"/>
          </w:tcPr>
          <w:p>
            <w:pPr>
              <w:ind w:left="680"/>
              <w:spacing w:after="0"/>
              <w:rPr>
                <w:sz w:val="20"/>
                <w:szCs w:val="20"/>
                <w:color w:val="auto"/>
              </w:rPr>
            </w:pPr>
            <w:r>
              <w:rPr>
                <w:rFonts w:ascii="Arial" w:cs="Arial" w:eastAsia="Arial" w:hAnsi="Arial"/>
                <w:sz w:val="16"/>
                <w:szCs w:val="16"/>
                <w:color w:val="auto"/>
              </w:rPr>
              <w:t>Total senior notes and debentures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1,360,913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1,076,545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32"/>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3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29"/>
        </w:trPr>
        <w:tc>
          <w:tcPr>
            <w:tcW w:w="4820" w:type="dxa"/>
            <w:vAlign w:val="bottom"/>
            <w:gridSpan w:val="2"/>
          </w:tcPr>
          <w:p>
            <w:pPr>
              <w:ind w:left="580"/>
              <w:spacing w:after="0"/>
              <w:rPr>
                <w:sz w:val="20"/>
                <w:szCs w:val="20"/>
                <w:color w:val="auto"/>
              </w:rPr>
            </w:pPr>
            <w:r>
              <w:rPr>
                <w:rFonts w:ascii="Arial" w:cs="Arial" w:eastAsia="Arial" w:hAnsi="Arial"/>
                <w:sz w:val="16"/>
                <w:szCs w:val="16"/>
                <w:color w:val="auto"/>
              </w:rPr>
              <w:t>Various</w:t>
            </w:r>
          </w:p>
        </w:tc>
        <w:tc>
          <w:tcPr>
            <w:tcW w:w="16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71,671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71,693</w:t>
            </w:r>
          </w:p>
        </w:tc>
        <w:tc>
          <w:tcPr>
            <w:tcW w:w="1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Various</w:t>
            </w:r>
          </w:p>
        </w:tc>
        <w:tc>
          <w:tcPr>
            <w:tcW w:w="2040" w:type="dxa"/>
            <w:vAlign w:val="bottom"/>
          </w:tcPr>
          <w:p>
            <w:pPr>
              <w:jc w:val="right"/>
              <w:spacing w:after="0"/>
              <w:rPr>
                <w:sz w:val="20"/>
                <w:szCs w:val="20"/>
                <w:color w:val="auto"/>
              </w:rPr>
            </w:pPr>
            <w:r>
              <w:rPr>
                <w:rFonts w:ascii="Arial" w:cs="Arial" w:eastAsia="Arial" w:hAnsi="Arial"/>
                <w:sz w:val="16"/>
                <w:szCs w:val="16"/>
                <w:color w:val="auto"/>
              </w:rPr>
              <w:t>Various through 2106</w:t>
            </w:r>
          </w:p>
        </w:tc>
      </w:tr>
      <w:tr>
        <w:trPr>
          <w:trHeight w:val="32"/>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4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2,321,862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2,208,602</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26"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During 2013, we repaid the following mortgage loans: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Payoff</w:t>
            </w:r>
          </w:p>
        </w:tc>
        <w:tc>
          <w:tcPr>
            <w:tcW w:w="220" w:type="dxa"/>
            <w:vAlign w:val="bottom"/>
          </w:tcPr>
          <w:p>
            <w:pPr>
              <w:spacing w:after="0"/>
              <w:rPr>
                <w:sz w:val="14"/>
                <w:szCs w:val="14"/>
                <w:color w:val="auto"/>
              </w:rPr>
            </w:pP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Repayment Date</w:t>
            </w:r>
          </w:p>
        </w:tc>
        <w:tc>
          <w:tcPr>
            <w:tcW w:w="18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980" w:type="dxa"/>
            <w:vAlign w:val="bottom"/>
          </w:tcPr>
          <w:p>
            <w:pPr>
              <w:jc w:val="center"/>
              <w:ind w:left="424"/>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840" w:type="dxa"/>
            <w:vAlign w:val="bottom"/>
          </w:tcPr>
          <w:p>
            <w:pPr>
              <w:spacing w:after="0"/>
              <w:rPr>
                <w:sz w:val="22"/>
                <w:szCs w:val="22"/>
                <w:color w:val="auto"/>
              </w:rPr>
            </w:pP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White Marsh Plaza</w:t>
            </w: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January 2, 2013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April 1, 2013</w:t>
            </w:r>
          </w:p>
        </w:tc>
        <w:tc>
          <w:tcPr>
            <w:tcW w:w="0" w:type="dxa"/>
            <w:vAlign w:val="bottom"/>
          </w:tcPr>
          <w:p>
            <w:pPr>
              <w:spacing w:after="0"/>
              <w:rPr>
                <w:sz w:val="1"/>
                <w:szCs w:val="1"/>
                <w:color w:val="auto"/>
              </w:rPr>
            </w:pPr>
          </w:p>
        </w:tc>
      </w:tr>
      <w:tr>
        <w:trPr>
          <w:trHeight w:val="235"/>
        </w:trPr>
        <w:tc>
          <w:tcPr>
            <w:tcW w:w="5840" w:type="dxa"/>
            <w:vAlign w:val="bottom"/>
          </w:tcPr>
          <w:p>
            <w:pPr>
              <w:ind w:left="40"/>
              <w:spacing w:after="0"/>
              <w:rPr>
                <w:sz w:val="20"/>
                <w:szCs w:val="20"/>
                <w:color w:val="auto"/>
              </w:rPr>
            </w:pPr>
            <w:r>
              <w:rPr>
                <w:rFonts w:ascii="Arial" w:cs="Arial" w:eastAsia="Arial" w:hAnsi="Arial"/>
                <w:sz w:val="17"/>
                <w:szCs w:val="17"/>
                <w:color w:val="auto"/>
              </w:rPr>
              <w:t>Crow Canyon</w:t>
            </w:r>
          </w:p>
        </w:tc>
        <w:tc>
          <w:tcPr>
            <w:tcW w:w="980" w:type="dxa"/>
            <w:vAlign w:val="bottom"/>
          </w:tcPr>
          <w:p>
            <w:pPr>
              <w:spacing w:after="0"/>
              <w:rPr>
                <w:sz w:val="20"/>
                <w:szCs w:val="20"/>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19.3</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June 11, 2013</w:t>
            </w:r>
          </w:p>
        </w:tc>
        <w:tc>
          <w:tcPr>
            <w:tcW w:w="1820" w:type="dxa"/>
            <w:vAlign w:val="bottom"/>
          </w:tcPr>
          <w:p>
            <w:pPr>
              <w:jc w:val="right"/>
              <w:spacing w:after="0"/>
              <w:rPr>
                <w:sz w:val="20"/>
                <w:szCs w:val="20"/>
                <w:color w:val="auto"/>
              </w:rPr>
            </w:pPr>
            <w:r>
              <w:rPr>
                <w:rFonts w:ascii="Arial" w:cs="Arial" w:eastAsia="Arial" w:hAnsi="Arial"/>
                <w:sz w:val="17"/>
                <w:szCs w:val="17"/>
                <w:color w:val="auto"/>
              </w:rPr>
              <w:t>August 11, 2013</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Idylwood Plaza (1)</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15.7</w:t>
            </w:r>
          </w:p>
        </w:tc>
        <w:tc>
          <w:tcPr>
            <w:tcW w:w="2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December 5, 2013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June 5, 2014</w:t>
            </w:r>
          </w:p>
        </w:tc>
        <w:tc>
          <w:tcPr>
            <w:tcW w:w="0" w:type="dxa"/>
            <w:vAlign w:val="bottom"/>
          </w:tcPr>
          <w:p>
            <w:pPr>
              <w:spacing w:after="0"/>
              <w:rPr>
                <w:sz w:val="1"/>
                <w:szCs w:val="1"/>
                <w:color w:val="auto"/>
              </w:rPr>
            </w:pPr>
          </w:p>
        </w:tc>
      </w:tr>
      <w:tr>
        <w:trPr>
          <w:trHeight w:val="235"/>
        </w:trPr>
        <w:tc>
          <w:tcPr>
            <w:tcW w:w="5840" w:type="dxa"/>
            <w:vAlign w:val="bottom"/>
          </w:tcPr>
          <w:p>
            <w:pPr>
              <w:ind w:left="40"/>
              <w:spacing w:after="0"/>
              <w:rPr>
                <w:sz w:val="20"/>
                <w:szCs w:val="20"/>
                <w:color w:val="auto"/>
              </w:rPr>
            </w:pPr>
            <w:r>
              <w:rPr>
                <w:rFonts w:ascii="Arial" w:cs="Arial" w:eastAsia="Arial" w:hAnsi="Arial"/>
                <w:sz w:val="17"/>
                <w:szCs w:val="17"/>
                <w:color w:val="auto"/>
              </w:rPr>
              <w:t>Leesburg Plaza (1)</w:t>
            </w:r>
          </w:p>
        </w:tc>
        <w:tc>
          <w:tcPr>
            <w:tcW w:w="980" w:type="dxa"/>
            <w:vAlign w:val="bottom"/>
          </w:tcPr>
          <w:p>
            <w:pPr>
              <w:spacing w:after="0"/>
              <w:rPr>
                <w:sz w:val="20"/>
                <w:szCs w:val="20"/>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27.3</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December 5, 2013</w:t>
            </w:r>
          </w:p>
        </w:tc>
        <w:tc>
          <w:tcPr>
            <w:tcW w:w="1820" w:type="dxa"/>
            <w:vAlign w:val="bottom"/>
          </w:tcPr>
          <w:p>
            <w:pPr>
              <w:jc w:val="right"/>
              <w:spacing w:after="0"/>
              <w:rPr>
                <w:sz w:val="20"/>
                <w:szCs w:val="20"/>
                <w:color w:val="auto"/>
              </w:rPr>
            </w:pPr>
            <w:r>
              <w:rPr>
                <w:rFonts w:ascii="Arial" w:cs="Arial" w:eastAsia="Arial" w:hAnsi="Arial"/>
                <w:sz w:val="17"/>
                <w:szCs w:val="17"/>
                <w:color w:val="auto"/>
              </w:rPr>
              <w:t>June 5, 2014</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Loehmann's Plaza (1)</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35.3</w:t>
            </w:r>
          </w:p>
        </w:tc>
        <w:tc>
          <w:tcPr>
            <w:tcW w:w="2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December 5, 2013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June 5, 2014</w:t>
            </w:r>
          </w:p>
        </w:tc>
        <w:tc>
          <w:tcPr>
            <w:tcW w:w="0" w:type="dxa"/>
            <w:vAlign w:val="bottom"/>
          </w:tcPr>
          <w:p>
            <w:pPr>
              <w:spacing w:after="0"/>
              <w:rPr>
                <w:sz w:val="1"/>
                <w:szCs w:val="1"/>
                <w:color w:val="auto"/>
              </w:rPr>
            </w:pPr>
          </w:p>
        </w:tc>
      </w:tr>
      <w:tr>
        <w:trPr>
          <w:trHeight w:val="235"/>
        </w:trPr>
        <w:tc>
          <w:tcPr>
            <w:tcW w:w="5840" w:type="dxa"/>
            <w:vAlign w:val="bottom"/>
          </w:tcPr>
          <w:p>
            <w:pPr>
              <w:ind w:left="40"/>
              <w:spacing w:after="0"/>
              <w:rPr>
                <w:sz w:val="20"/>
                <w:szCs w:val="20"/>
                <w:color w:val="auto"/>
              </w:rPr>
            </w:pPr>
            <w:r>
              <w:rPr>
                <w:rFonts w:ascii="Arial" w:cs="Arial" w:eastAsia="Arial" w:hAnsi="Arial"/>
                <w:sz w:val="17"/>
                <w:szCs w:val="17"/>
                <w:color w:val="auto"/>
              </w:rPr>
              <w:t>Pentagon Row (1)</w:t>
            </w:r>
          </w:p>
        </w:tc>
        <w:tc>
          <w:tcPr>
            <w:tcW w:w="980" w:type="dxa"/>
            <w:vAlign w:val="bottom"/>
          </w:tcPr>
          <w:p>
            <w:pPr>
              <w:spacing w:after="0"/>
              <w:rPr>
                <w:sz w:val="20"/>
                <w:szCs w:val="20"/>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50.7</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December 5, 2013</w:t>
            </w:r>
          </w:p>
        </w:tc>
        <w:tc>
          <w:tcPr>
            <w:tcW w:w="1820" w:type="dxa"/>
            <w:vAlign w:val="bottom"/>
          </w:tcPr>
          <w:p>
            <w:pPr>
              <w:jc w:val="right"/>
              <w:spacing w:after="0"/>
              <w:rPr>
                <w:sz w:val="20"/>
                <w:szCs w:val="20"/>
                <w:color w:val="auto"/>
              </w:rPr>
            </w:pPr>
            <w:r>
              <w:rPr>
                <w:rFonts w:ascii="Arial" w:cs="Arial" w:eastAsia="Arial" w:hAnsi="Arial"/>
                <w:sz w:val="17"/>
                <w:szCs w:val="17"/>
                <w:color w:val="auto"/>
              </w:rPr>
              <w:t>June 5, 2014</w:t>
            </w:r>
          </w:p>
        </w:tc>
        <w:tc>
          <w:tcPr>
            <w:tcW w:w="0" w:type="dxa"/>
            <w:vAlign w:val="bottom"/>
          </w:tcPr>
          <w:p>
            <w:pPr>
              <w:spacing w:after="0"/>
              <w:rPr>
                <w:sz w:val="1"/>
                <w:szCs w:val="1"/>
                <w:color w:val="auto"/>
              </w:rPr>
            </w:pPr>
          </w:p>
        </w:tc>
      </w:tr>
      <w:tr>
        <w:trPr>
          <w:trHeight w:val="26"/>
        </w:trPr>
        <w:tc>
          <w:tcPr>
            <w:tcW w:w="5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8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9"/>
              </w:rPr>
              <w:t>157.3</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8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(1) The payoff included a prepayment premium totaling $4.4 million for all four mortgages which is included in "early extinguishment of debt" in 2013.</w:t>
      </w:r>
    </w:p>
    <w:p>
      <w:pPr>
        <w:spacing w:after="0" w:line="9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 During 2013, 2012 and 2011, the maximum amount of borrowings outstanding under our revolving credit facility was $76.0 million, $186.0 million and $265.0 million, respectively. The weighted average amount of borrowings outstanding was $10.5 million, $1.5 million and $163.5 million, respectively, and the weighted average interest rate, before amortization of debt fees, was 1.3%, 1.4% and 1.0%, respectively. The revolving credit facility requires an annual facility fee of $0.9 million. At December 31, 2013 and 2012, our revolving credit facility had no balance outstanding.</w:t>
      </w:r>
    </w:p>
    <w:p>
      <w:pPr>
        <w:spacing w:after="0" w:line="49" w:lineRule="exact"/>
        <w:rPr>
          <w:sz w:val="20"/>
          <w:szCs w:val="20"/>
          <w:color w:val="auto"/>
        </w:rPr>
      </w:pPr>
    </w:p>
    <w:p>
      <w:pPr>
        <w:ind w:right="560"/>
        <w:spacing w:after="0" w:line="287" w:lineRule="auto"/>
        <w:rPr>
          <w:sz w:val="20"/>
          <w:szCs w:val="20"/>
          <w:color w:val="auto"/>
        </w:rPr>
      </w:pPr>
      <w:r>
        <w:rPr>
          <w:rFonts w:ascii="Arial" w:cs="Arial" w:eastAsia="Arial" w:hAnsi="Arial"/>
          <w:sz w:val="17"/>
          <w:szCs w:val="17"/>
          <w:color w:val="auto"/>
        </w:rPr>
        <w:t>On May 9, 2013, we issued $275.0 million of fixed rate senior notes that mature on June 1, 2023 and bear interest at 2.75%. The net proceeds from this note offering after issuance discounts, underwriting fees and other costs were approximately $269.3 million.</w:t>
      </w:r>
    </w:p>
    <w:p>
      <w:pPr>
        <w:spacing w:after="0" w:line="28"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On June 9, 2013, we redeemed our $135.0 million 5.40% senior notes prior to the original maturity date of December 1, 2013. The redemption price of $138.5 million included a make-whole premium of approximately $3.3 million and accrued but unpaid interest of $0.2 million. The make-whole premium is included in "early extinguishment of debt" in 2013.</w:t>
      </w:r>
    </w:p>
    <w:p>
      <w:pPr>
        <w:spacing w:after="0" w:line="4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On December 9, 2013 we issued $300.0 million of fixed rate senior notes that mature on January 15, 2024 and bear interest at 3.95%. The net proceeds from this note offering after issuance discounts, underwriting fees and other costs were approximately $294.7 million.</w:t>
      </w:r>
    </w:p>
    <w:p>
      <w:pPr>
        <w:spacing w:after="0" w:line="2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27, 2013, we redeemed our $150.0 million 5.95% senior notes prior to the original maturity date of August 15, 2014. The redemption price of $158.3 million included a make-whole premium of approximately $5.0 million and accrued but unpaid interest of $3.3 million. The make-whole premium is included in "early extinguishment of debt" in 2013.</w:t>
      </w:r>
    </w:p>
    <w:p>
      <w:pPr>
        <w:spacing w:after="0" w:line="120" w:lineRule="exact"/>
        <w:rPr>
          <w:sz w:val="20"/>
          <w:szCs w:val="20"/>
          <w:color w:val="auto"/>
        </w:rPr>
      </w:pPr>
    </w:p>
    <w:p>
      <w:pPr>
        <w:ind w:right="180"/>
        <w:spacing w:after="0" w:line="320"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December 31, 2013, we were in compliance with all loan covenants.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on mortgages payable, notes payable, senior notes and debentures as of December 31, 2013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Mortgages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98"/>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Senior Notes and</w:t>
            </w:r>
          </w:p>
        </w:tc>
        <w:tc>
          <w:tcPr>
            <w:tcW w:w="280" w:type="dxa"/>
            <w:vAlign w:val="bottom"/>
          </w:tcPr>
          <w:p>
            <w:pPr>
              <w:spacing w:after="0"/>
              <w:rPr>
                <w:sz w:val="14"/>
                <w:szCs w:val="14"/>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Payable</w:t>
            </w: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Debentures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40"/>
              <w:spacing w:after="0"/>
              <w:rPr>
                <w:sz w:val="20"/>
                <w:szCs w:val="20"/>
                <w:color w:val="auto"/>
              </w:rPr>
            </w:pPr>
            <w:r>
              <w:rPr>
                <w:rFonts w:ascii="Arial" w:cs="Arial" w:eastAsia="Arial" w:hAnsi="Arial"/>
                <w:sz w:val="17"/>
                <w:szCs w:val="17"/>
                <w:color w:val="auto"/>
              </w:rPr>
              <w:t>2014</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7"/>
              <w:spacing w:after="0"/>
              <w:rPr>
                <w:sz w:val="20"/>
                <w:szCs w:val="20"/>
                <w:color w:val="auto"/>
              </w:rPr>
            </w:pPr>
            <w:r>
              <w:rPr>
                <w:rFonts w:ascii="Arial" w:cs="Arial" w:eastAsia="Arial" w:hAnsi="Arial"/>
                <w:sz w:val="17"/>
                <w:szCs w:val="17"/>
                <w:color w:val="auto"/>
              </w:rPr>
              <w:t>29,909</w:t>
            </w:r>
          </w:p>
        </w:tc>
        <w:tc>
          <w:tcPr>
            <w:tcW w:w="90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10,339</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40,248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206,007</w:t>
            </w:r>
          </w:p>
        </w:tc>
        <w:tc>
          <w:tcPr>
            <w:tcW w:w="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373</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206,380</w:t>
            </w: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40"/>
              <w:spacing w:after="0"/>
              <w:rPr>
                <w:sz w:val="20"/>
                <w:szCs w:val="20"/>
                <w:color w:val="auto"/>
              </w:rPr>
            </w:pPr>
            <w:r>
              <w:rPr>
                <w:rFonts w:ascii="Arial" w:cs="Arial" w:eastAsia="Arial" w:hAnsi="Arial"/>
                <w:sz w:val="17"/>
                <w:szCs w:val="17"/>
                <w:color w:val="auto"/>
              </w:rPr>
              <w:t>2016</w:t>
            </w:r>
          </w:p>
        </w:tc>
        <w:tc>
          <w:tcPr>
            <w:tcW w:w="28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auto"/>
              </w:rPr>
              <w:t>62,412</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9,811</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125,000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197,223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177,654</w:t>
            </w:r>
          </w:p>
        </w:tc>
        <w:tc>
          <w:tcPr>
            <w:tcW w:w="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456</w:t>
            </w:r>
          </w:p>
        </w:tc>
        <w:tc>
          <w:tcPr>
            <w:tcW w:w="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200,000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378,110</w:t>
            </w: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60" w:type="dxa"/>
            <w:vAlign w:val="bottom"/>
          </w:tcPr>
          <w:p>
            <w:pPr>
              <w:ind w:left="40"/>
              <w:spacing w:after="0"/>
              <w:rPr>
                <w:sz w:val="20"/>
                <w:szCs w:val="20"/>
                <w:color w:val="auto"/>
              </w:rPr>
            </w:pPr>
            <w:r>
              <w:rPr>
                <w:rFonts w:ascii="Arial" w:cs="Arial" w:eastAsia="Arial" w:hAnsi="Arial"/>
                <w:sz w:val="17"/>
                <w:szCs w:val="17"/>
                <w:color w:val="auto"/>
              </w:rPr>
              <w:t>2018</w:t>
            </w:r>
          </w:p>
        </w:tc>
        <w:tc>
          <w:tcPr>
            <w:tcW w:w="28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auto"/>
              </w:rPr>
              <w:t>2,782</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275,505</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278,287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99,727</w:t>
            </w: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4,338</w:t>
            </w: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1,044,200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1,148,265</w:t>
            </w: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578,491</w:t>
            </w:r>
          </w:p>
        </w:tc>
        <w:tc>
          <w:tcPr>
            <w:tcW w:w="5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300,822</w:t>
            </w:r>
          </w:p>
        </w:tc>
        <w:tc>
          <w:tcPr>
            <w:tcW w:w="5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1,369,200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2,248,513</w:t>
            </w:r>
          </w:p>
        </w:tc>
        <w:tc>
          <w:tcPr>
            <w:tcW w:w="560" w:type="dxa"/>
            <w:vAlign w:val="bottom"/>
          </w:tcPr>
          <w:p>
            <w:pPr>
              <w:jc w:val="right"/>
              <w:ind w:right="3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7"/>
                <w:szCs w:val="17"/>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gridSpan w:val="2"/>
            <w:vMerge w:val="restart"/>
          </w:tcPr>
          <w:p>
            <w:pPr>
              <w:jc w:val="right"/>
              <w:ind w:right="113"/>
              <w:spacing w:after="0"/>
              <w:rPr>
                <w:sz w:val="20"/>
                <w:szCs w:val="20"/>
                <w:color w:val="auto"/>
              </w:rPr>
            </w:pPr>
            <w:r>
              <w:rPr>
                <w:rFonts w:ascii="Arial" w:cs="Arial" w:eastAsia="Arial" w:hAnsi="Arial"/>
                <w:sz w:val="17"/>
                <w:szCs w:val="17"/>
                <w:color w:val="auto"/>
              </w:rPr>
              <w:t>F-20</w:t>
            </w: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3"/>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ind w:left="640" w:right="100" w:hanging="323"/>
        <w:spacing w:after="0" w:line="263"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$600.0 million revolving credit facility matures on April 21, 2017, subject to a one-year extension at our option. As of December 31, 2013, there was no balance outstanding under this credit facility.</w:t>
      </w:r>
    </w:p>
    <w:p>
      <w:pPr>
        <w:ind w:left="640" w:right="340" w:hanging="323"/>
        <w:spacing w:after="0" w:line="272"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total debt maturities differ from the total reported on the consolidated balance sheet due to the unamortized discount or premium on certain senior notes and mortgages payable.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and their present value for property under capital leases as of December 31, 2013, are as follows: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w w:val="93"/>
              </w:rPr>
              <w:t>(In thousands)</w:t>
            </w:r>
          </w:p>
        </w:tc>
      </w:tr>
      <w:tr>
        <w:trPr>
          <w:trHeight w:val="24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5"/>
        </w:trPr>
        <w:tc>
          <w:tcPr>
            <w:tcW w:w="10060" w:type="dxa"/>
            <w:vAlign w:val="bottom"/>
          </w:tcPr>
          <w:p>
            <w:pPr>
              <w:ind w:left="40"/>
              <w:spacing w:after="0"/>
              <w:rPr>
                <w:sz w:val="20"/>
                <w:szCs w:val="20"/>
                <w:color w:val="auto"/>
              </w:rPr>
            </w:pPr>
            <w:r>
              <w:rPr>
                <w:rFonts w:ascii="Arial" w:cs="Arial" w:eastAsia="Arial" w:hAnsi="Arial"/>
                <w:sz w:val="17"/>
                <w:szCs w:val="17"/>
                <w:color w:val="auto"/>
              </w:rPr>
              <w:t>2014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5,788</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5,787</w:t>
            </w:r>
          </w:p>
        </w:tc>
      </w:tr>
      <w:tr>
        <w:trPr>
          <w:trHeight w:val="235"/>
        </w:trPr>
        <w:tc>
          <w:tcPr>
            <w:tcW w:w="10060" w:type="dxa"/>
            <w:vAlign w:val="bottom"/>
          </w:tcPr>
          <w:p>
            <w:pPr>
              <w:ind w:left="40"/>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5,788</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5,797</w:t>
            </w:r>
          </w:p>
        </w:tc>
      </w:tr>
      <w:tr>
        <w:trPr>
          <w:trHeight w:val="235"/>
        </w:trPr>
        <w:tc>
          <w:tcPr>
            <w:tcW w:w="10060" w:type="dxa"/>
            <w:vAlign w:val="bottom"/>
          </w:tcPr>
          <w:p>
            <w:pPr>
              <w:ind w:left="40"/>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5,800</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166,010</w:t>
            </w:r>
          </w:p>
        </w:tc>
      </w:tr>
      <w:tr>
        <w:trPr>
          <w:trHeight w:val="228"/>
        </w:trPr>
        <w:tc>
          <w:tcPr>
            <w:tcW w:w="10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194,970</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(123,299)</w:t>
            </w:r>
          </w:p>
        </w:tc>
      </w:tr>
      <w:tr>
        <w:trPr>
          <w:trHeight w:val="228"/>
        </w:trPr>
        <w:tc>
          <w:tcPr>
            <w:tcW w:w="10060" w:type="dxa"/>
            <w:vAlign w:val="bottom"/>
          </w:tcPr>
          <w:p>
            <w:pPr>
              <w:ind w:left="40"/>
              <w:spacing w:after="0"/>
              <w:rPr>
                <w:sz w:val="20"/>
                <w:szCs w:val="20"/>
                <w:color w:val="auto"/>
              </w:rPr>
            </w:pPr>
            <w:r>
              <w:rPr>
                <w:rFonts w:ascii="Arial" w:cs="Arial" w:eastAsia="Arial" w:hAnsi="Arial"/>
                <w:sz w:val="17"/>
                <w:szCs w:val="17"/>
                <w:color w:val="auto"/>
              </w:rPr>
              <w:t>Present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71,671</w:t>
            </w:r>
          </w:p>
        </w:tc>
      </w:tr>
      <w:tr>
        <w:trPr>
          <w:trHeight w:val="26"/>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8—FAIR VALUE OF FINANCIAL INSTRUMENTS</w:t>
      </w:r>
    </w:p>
    <w:p>
      <w:pPr>
        <w:spacing w:after="0" w:line="97"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 fair value measurement is based on the assumptions that market participants would use in pricing an asset or liability in an orderly transaction. The hierarchy for inputs used in measuring fair value are as follows:</w:t>
      </w:r>
    </w:p>
    <w:p>
      <w:pPr>
        <w:spacing w:after="0" w:line="106" w:lineRule="exact"/>
        <w:rPr>
          <w:sz w:val="20"/>
          <w:szCs w:val="20"/>
          <w:color w:val="auto"/>
        </w:rPr>
      </w:pPr>
    </w:p>
    <w:p>
      <w:pPr>
        <w:ind w:left="560" w:hanging="530"/>
        <w:spacing w:after="0"/>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1 Inputs—quoted prices in active markets for identical assets or liabilities</w:t>
      </w:r>
    </w:p>
    <w:p>
      <w:pPr>
        <w:spacing w:after="0" w:line="195" w:lineRule="exact"/>
        <w:rPr>
          <w:rFonts w:ascii="Arial" w:cs="Arial" w:eastAsia="Arial" w:hAnsi="Arial"/>
          <w:sz w:val="17"/>
          <w:szCs w:val="17"/>
          <w:color w:val="auto"/>
        </w:rPr>
      </w:pPr>
    </w:p>
    <w:p>
      <w:pPr>
        <w:ind w:left="560" w:hanging="530"/>
        <w:spacing w:after="0"/>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2 Inputs—observable inputs other than quoted prices in active markets for identical assets and liabilities</w:t>
      </w:r>
    </w:p>
    <w:p>
      <w:pPr>
        <w:spacing w:after="0" w:line="195" w:lineRule="exact"/>
        <w:rPr>
          <w:rFonts w:ascii="Arial" w:cs="Arial" w:eastAsia="Arial" w:hAnsi="Arial"/>
          <w:sz w:val="17"/>
          <w:szCs w:val="17"/>
          <w:color w:val="auto"/>
        </w:rPr>
      </w:pPr>
    </w:p>
    <w:p>
      <w:pPr>
        <w:ind w:left="560" w:right="3480" w:hanging="530"/>
        <w:spacing w:after="0" w:line="287" w:lineRule="auto"/>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3 Inputs—prices or valuation techniques that require inputs that are both significant to the fair value measurement and unobservable</w:t>
      </w:r>
    </w:p>
    <w:p>
      <w:pPr>
        <w:spacing w:after="0" w:line="132" w:lineRule="exact"/>
        <w:rPr>
          <w:sz w:val="20"/>
          <w:szCs w:val="20"/>
          <w:color w:val="auto"/>
        </w:rPr>
      </w:pPr>
    </w:p>
    <w:p>
      <w:pPr>
        <w:ind w:right="480"/>
        <w:spacing w:after="0" w:line="320"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5" w:lineRule="exact"/>
        <w:rPr>
          <w:sz w:val="20"/>
          <w:szCs w:val="20"/>
          <w:color w:val="auto"/>
        </w:rPr>
      </w:pPr>
    </w:p>
    <w:p>
      <w:pPr>
        <w:jc w:val="both"/>
        <w:ind w:right="180"/>
        <w:spacing w:after="0" w:line="295" w:lineRule="auto"/>
        <w:rPr>
          <w:sz w:val="20"/>
          <w:szCs w:val="20"/>
          <w:color w:val="auto"/>
        </w:rPr>
      </w:pPr>
      <w:r>
        <w:rPr>
          <w:rFonts w:ascii="Arial" w:cs="Arial" w:eastAsia="Arial" w:hAnsi="Arial"/>
          <w:sz w:val="15"/>
          <w:szCs w:val="15"/>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w:t>
      </w:r>
    </w:p>
    <w:p>
      <w:pPr>
        <w:spacing w:after="0" w:line="2"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color w:val="auto"/>
        </w:rPr>
        <w:t>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64"/>
              <w:spacing w:after="0" w:line="146"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0" w:type="dxa"/>
            <w:vAlign w:val="bottom"/>
          </w:tcPr>
          <w:p>
            <w:pPr>
              <w:jc w:val="right"/>
              <w:ind w:right="344"/>
              <w:spacing w:after="0" w:line="146"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Mortgages and notes payable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7"/>
                <w:szCs w:val="17"/>
                <w:color w:val="auto"/>
              </w:rPr>
              <w:t>889,278</w:t>
            </w:r>
          </w:p>
        </w:tc>
        <w:tc>
          <w:tcPr>
            <w:tcW w:w="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912,251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1,060,364</w:t>
            </w:r>
          </w:p>
        </w:tc>
        <w:tc>
          <w:tcPr>
            <w:tcW w:w="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1,110,757</w:t>
            </w:r>
          </w:p>
        </w:tc>
        <w:tc>
          <w:tcPr>
            <w:tcW w:w="0" w:type="dxa"/>
            <w:vAlign w:val="bottom"/>
          </w:tcPr>
          <w:p>
            <w:pPr>
              <w:spacing w:after="0"/>
              <w:rPr>
                <w:sz w:val="1"/>
                <w:szCs w:val="1"/>
                <w:color w:val="auto"/>
              </w:rPr>
            </w:pP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Senior notes and debentures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64"/>
              <w:spacing w:after="0"/>
              <w:rPr>
                <w:sz w:val="20"/>
                <w:szCs w:val="20"/>
                <w:color w:val="auto"/>
              </w:rPr>
            </w:pPr>
            <w:r>
              <w:rPr>
                <w:rFonts w:ascii="Arial" w:cs="Arial" w:eastAsia="Arial" w:hAnsi="Arial"/>
                <w:sz w:val="17"/>
                <w:szCs w:val="17"/>
                <w:color w:val="auto"/>
              </w:rPr>
              <w:t>1,360,913</w:t>
            </w:r>
          </w:p>
        </w:tc>
        <w:tc>
          <w:tcPr>
            <w:tcW w:w="3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2"/>
              <w:spacing w:after="0"/>
              <w:rPr>
                <w:sz w:val="20"/>
                <w:szCs w:val="20"/>
                <w:color w:val="auto"/>
              </w:rPr>
            </w:pPr>
            <w:r>
              <w:rPr>
                <w:rFonts w:ascii="Arial" w:cs="Arial" w:eastAsia="Arial" w:hAnsi="Arial"/>
                <w:sz w:val="17"/>
                <w:szCs w:val="17"/>
                <w:color w:val="auto"/>
              </w:rPr>
              <w:t>1,397,731</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4"/>
              <w:spacing w:after="0"/>
              <w:rPr>
                <w:sz w:val="20"/>
                <w:szCs w:val="20"/>
                <w:color w:val="auto"/>
              </w:rPr>
            </w:pPr>
            <w:r>
              <w:rPr>
                <w:rFonts w:ascii="Arial" w:cs="Arial" w:eastAsia="Arial" w:hAnsi="Arial"/>
                <w:sz w:val="17"/>
                <w:szCs w:val="17"/>
                <w:color w:val="auto"/>
              </w:rPr>
              <w:t>1,076,545</w:t>
            </w:r>
          </w:p>
        </w:tc>
        <w:tc>
          <w:tcPr>
            <w:tcW w:w="3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1,190,833</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December 31, 2013, we have two interest rate swap agreements with a notional amount of $275.0 million that are measured at fair value on a recurring basis. The interest rate swap agreements fix the variable portion of our $275.0 million term loan at 1.72% from December 1, 2011 through November 1, 2018.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2013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1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and 2012, was a liability of $1.4 million, and $12.4 million, respectively, and are included in "accounts payable and accrued expenses" on our consolidated balance sheet. The changes in valuation on our interest rate swaps were an $11.0 million increase and an $8.4 million decrease (including $4.3 million and $4.1 million, respectively, reclassified from other comprehensive loss to earnings) for 2013 and 2012, and are included in "accumulated other comprehensive loss". A summary of our financial liabilities that are measured at fair value on a recurring basis, by level within the fair value hierarchy is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2012</w:t>
            </w:r>
          </w:p>
        </w:tc>
        <w:tc>
          <w:tcPr>
            <w:tcW w:w="780" w:type="dxa"/>
            <w:vAlign w:val="bottom"/>
            <w:tcBorders>
              <w:bottom w:val="single" w:sz="8" w:color="auto"/>
            </w:tcBorders>
          </w:tcPr>
          <w:p>
            <w:pPr>
              <w:spacing w:after="0"/>
              <w:rPr>
                <w:sz w:val="16"/>
                <w:szCs w:val="16"/>
                <w:color w:val="auto"/>
              </w:rPr>
            </w:pPr>
          </w:p>
        </w:tc>
      </w:tr>
      <w:tr>
        <w:trPr>
          <w:trHeight w:val="254"/>
        </w:trPr>
        <w:tc>
          <w:tcPr>
            <w:tcW w:w="28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Total</w:t>
            </w:r>
          </w:p>
        </w:tc>
      </w:tr>
      <w:tr>
        <w:trPr>
          <w:trHeight w:val="241"/>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Interest rate swaps</w:t>
            </w:r>
          </w:p>
        </w:tc>
        <w:tc>
          <w:tcPr>
            <w:tcW w:w="740" w:type="dxa"/>
            <w:vAlign w:val="bottom"/>
            <w:shd w:val="clear" w:color="auto" w:fill="CCEEFF"/>
          </w:tcPr>
          <w:p>
            <w:pPr>
              <w:jc w:val="right"/>
              <w:ind w:right="562"/>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1,417</w:t>
            </w:r>
          </w:p>
        </w:tc>
        <w:tc>
          <w:tcPr>
            <w:tcW w:w="860" w:type="dxa"/>
            <w:vAlign w:val="bottom"/>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1,417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12,388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12,388</w:t>
            </w:r>
          </w:p>
        </w:tc>
      </w:tr>
      <w:tr>
        <w:trPr>
          <w:trHeight w:val="26"/>
        </w:trPr>
        <w:tc>
          <w:tcPr>
            <w:tcW w:w="2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9—COMMITMENTS AND CONTINGENCIES</w:t>
      </w:r>
    </w:p>
    <w:p>
      <w:pPr>
        <w:spacing w:after="0" w:line="97"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Between April 2008 and December 2009, a trial on the issue of damages was held, a judgment was issued against us, and appeals were filed by both us and the plaintiff. In February 2011, the appeals were rejected and we paid the $16.2 million judgment against us.</w:t>
      </w:r>
    </w:p>
    <w:p>
      <w:pPr>
        <w:spacing w:after="0" w:line="115"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increases to our estimated warranty losses would usually result in a decrease in net income.</w:t>
      </w:r>
    </w:p>
    <w:p>
      <w:pPr>
        <w:spacing w:after="0" w:line="12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exceed these accruals, it will reduce our net income.</w:t>
      </w:r>
    </w:p>
    <w:p>
      <w:pPr>
        <w:spacing w:after="0" w:line="12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At December 31, 2013 and 2012, our reserves for warranties and general liability costs were $7.4 million and $7.1 million, respectively, and are included in “accounts payable and accrued expenses” in our consolidated balance sheets. Any potential losses which exceed our estimates would result in a decrease in our net income. During 2013 and 2012, we made payments from these reserves of $1.2 million and $1.3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At December 31, 2013, we had letters of credit outstanding of approximately $15.9 million which are collateral for existing indebtedness and other obligations of the Trust.</w:t>
      </w:r>
    </w:p>
    <w:p>
      <w:pPr>
        <w:spacing w:after="0" w:line="106" w:lineRule="exact"/>
        <w:rPr>
          <w:sz w:val="20"/>
          <w:szCs w:val="20"/>
          <w:color w:val="auto"/>
        </w:rPr>
      </w:pPr>
    </w:p>
    <w:p>
      <w:pPr>
        <w:ind w:right="1020"/>
        <w:spacing w:after="0" w:line="287" w:lineRule="auto"/>
        <w:rPr>
          <w:sz w:val="20"/>
          <w:szCs w:val="20"/>
          <w:color w:val="auto"/>
        </w:rPr>
      </w:pPr>
      <w:r>
        <w:rPr>
          <w:rFonts w:ascii="Arial" w:cs="Arial" w:eastAsia="Arial" w:hAnsi="Arial"/>
          <w:sz w:val="17"/>
          <w:szCs w:val="17"/>
          <w:color w:val="auto"/>
        </w:rPr>
        <w:t>As of December 31, 2013 in connection with capital improvement, development, and redevelopment projects, the Trust has contractual obligations of approximately $246.9 million.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2013:</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w w:val="93"/>
              </w:rPr>
              <w:t>(In thousands)</w:t>
            </w:r>
          </w:p>
        </w:tc>
      </w:tr>
      <w:tr>
        <w:trPr>
          <w:trHeight w:val="24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5"/>
        </w:trPr>
        <w:tc>
          <w:tcPr>
            <w:tcW w:w="10060" w:type="dxa"/>
            <w:vAlign w:val="bottom"/>
          </w:tcPr>
          <w:p>
            <w:pPr>
              <w:ind w:left="40"/>
              <w:spacing w:after="0"/>
              <w:rPr>
                <w:sz w:val="20"/>
                <w:szCs w:val="20"/>
                <w:color w:val="auto"/>
              </w:rPr>
            </w:pPr>
            <w:r>
              <w:rPr>
                <w:rFonts w:ascii="Arial" w:cs="Arial" w:eastAsia="Arial" w:hAnsi="Arial"/>
                <w:sz w:val="17"/>
                <w:szCs w:val="17"/>
                <w:color w:val="auto"/>
              </w:rPr>
              <w:t>2014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1,478</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1,428</w:t>
            </w:r>
          </w:p>
        </w:tc>
      </w:tr>
      <w:tr>
        <w:trPr>
          <w:trHeight w:val="235"/>
        </w:trPr>
        <w:tc>
          <w:tcPr>
            <w:tcW w:w="10060" w:type="dxa"/>
            <w:vAlign w:val="bottom"/>
          </w:tcPr>
          <w:p>
            <w:pPr>
              <w:ind w:left="40"/>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1,372</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1,088</w:t>
            </w:r>
          </w:p>
        </w:tc>
      </w:tr>
      <w:tr>
        <w:trPr>
          <w:trHeight w:val="235"/>
        </w:trPr>
        <w:tc>
          <w:tcPr>
            <w:tcW w:w="10060" w:type="dxa"/>
            <w:vAlign w:val="bottom"/>
          </w:tcPr>
          <w:p>
            <w:pPr>
              <w:ind w:left="40"/>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1,103</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1"/>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49,104</w:t>
            </w:r>
          </w:p>
        </w:tc>
      </w:tr>
      <w:tr>
        <w:trPr>
          <w:trHeight w:val="228"/>
        </w:trPr>
        <w:tc>
          <w:tcPr>
            <w:tcW w:w="100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55,573</w:t>
            </w:r>
          </w:p>
        </w:tc>
      </w:tr>
      <w:tr>
        <w:trPr>
          <w:trHeight w:val="26"/>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2013, our estimated maximum liability upon exercise of the put option would range from approximately $68 million to $75 million.</w:t>
      </w:r>
    </w:p>
    <w:p>
      <w:pPr>
        <w:spacing w:after="0" w:line="12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124"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A master lease for Melville Mall includes a fixed purchase price option in 2021 for $5 million and the assumption of the owner’s debt which is $20.7 million at December 31, 2013. If we fail to exercise our purchase option, the owner of Melville Mall has a put option which would require us to purchase Melville Mall in 2023 for $5 million and the assumption of the owner’s mortgage debt.</w:t>
      </w:r>
    </w:p>
    <w:p>
      <w:pPr>
        <w:spacing w:after="0" w:line="12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Effective December 27, 2013, 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2013, our estimated maximum liability upon exercise of the put option would range from approximately $7 million to $8 million.</w:t>
      </w:r>
    </w:p>
    <w:p>
      <w:pPr>
        <w:spacing w:after="0" w:line="12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Effective December 30, 2013, two of the members have the right to require us to purchase their 10.0% and 11.8% ownership interests in Plaza El Segundo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2013, our estimated maximum liability upon exercise of the put option would range from approximately $11 million to $13 million.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128"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the same number of our common shares, at our option. A total of 285,722 operating partnership units are outstanding which have a total fair value of $29.0 million, based on our closing stock price on December 31, 2013.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10—SHAREHOLDERS’ EQUITY</w:t>
      </w:r>
    </w:p>
    <w:p>
      <w:pPr>
        <w:spacing w:after="0" w:line="97"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We have a Dividend Reinvestment Plan (the “Plan”), whereby shareholders may use their dividends and optional cash payments to purchase shares. In 2013, 2012 and 2011, 20,026 shares, 22,814 shares and 28,823 shares, respectively, were issued under the Plan.</w:t>
      </w:r>
    </w:p>
    <w:p>
      <w:pPr>
        <w:spacing w:after="0" w:line="106"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As of December 31, 2013, 2012, and 2011, we had 399,896 shares of 5.417% Series 1 Cumulative Convertible Preferred Shares (“Series 1 Preferred Shares”) outstanding that have a liquidation preference of $25 per share and</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77"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of outstanding under our revolving credit facility and/or for general corporate purposes. For the year ended December 31, 2013, we issued 1,734,974 common shares at a weighted average price per share of $108.01 for net cash proceeds of $185.2 million and paid $2.0 million in commissions and $0.2 million in additional offering expenses related to the sales of these common shares. For the year ended December 31, 2012, we issued 1,040,946 common shares at a weighted average price per share of $103.69 for net cash proceeds of $106.4 million and paid $1.4 million in commissions and $0.2 million in additional offering expenses related to the sales of these common shares. As of December 31, 2013, we had the capacity to issue up to $26.0 million in common shares under our ATM equity program.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11—DIVIDENDS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dividends declared and paid per share: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54"/>
        </w:trPr>
        <w:tc>
          <w:tcPr>
            <w:tcW w:w="5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2012</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auto"/>
            </w:tcBorders>
          </w:tcPr>
          <w:p>
            <w:pPr>
              <w:spacing w:after="0"/>
              <w:rPr>
                <w:sz w:val="22"/>
                <w:szCs w:val="22"/>
                <w:color w:val="auto"/>
              </w:rPr>
            </w:pPr>
          </w:p>
        </w:tc>
      </w:tr>
      <w:tr>
        <w:trPr>
          <w:trHeight w:val="254"/>
        </w:trPr>
        <w:tc>
          <w:tcPr>
            <w:tcW w:w="5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7"/>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Paid</w:t>
            </w:r>
          </w:p>
        </w:tc>
      </w:tr>
      <w:tr>
        <w:trPr>
          <w:trHeight w:val="24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2.970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2.700</w:t>
            </w:r>
          </w:p>
        </w:tc>
      </w:tr>
      <w:tr>
        <w:trPr>
          <w:trHeight w:val="235"/>
        </w:trPr>
        <w:tc>
          <w:tcPr>
            <w:tcW w:w="5360" w:type="dxa"/>
            <w:vAlign w:val="bottom"/>
          </w:tcPr>
          <w:p>
            <w:pPr>
              <w:ind w:left="40"/>
              <w:spacing w:after="0"/>
              <w:rPr>
                <w:sz w:val="20"/>
                <w:szCs w:val="20"/>
                <w:color w:val="auto"/>
              </w:rPr>
            </w:pPr>
            <w:r>
              <w:rPr>
                <w:rFonts w:ascii="Arial" w:cs="Arial" w:eastAsia="Arial" w:hAnsi="Arial"/>
                <w:sz w:val="17"/>
                <w:szCs w:val="17"/>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1.354</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1.354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1.354</w:t>
            </w:r>
          </w:p>
        </w:tc>
        <w:tc>
          <w:tcPr>
            <w:tcW w:w="4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9"/>
              <w:spacing w:after="0"/>
              <w:rPr>
                <w:sz w:val="20"/>
                <w:szCs w:val="20"/>
                <w:color w:val="auto"/>
              </w:rPr>
            </w:pPr>
            <w:r>
              <w:rPr>
                <w:rFonts w:ascii="Arial" w:cs="Arial" w:eastAsia="Arial" w:hAnsi="Arial"/>
                <w:sz w:val="17"/>
                <w:szCs w:val="17"/>
                <w:color w:val="auto"/>
              </w:rPr>
              <w:t>1.354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1.354</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income tax status of dividends per share paid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4"/>
        </w:trPr>
        <w:tc>
          <w:tcPr>
            <w:tcW w:w="7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shares</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Ordinary dividend</w:t>
            </w:r>
          </w:p>
        </w:tc>
        <w:tc>
          <w:tcPr>
            <w:tcW w:w="860" w:type="dxa"/>
            <w:vAlign w:val="bottom"/>
          </w:tcPr>
          <w:p>
            <w:pPr>
              <w:jc w:val="right"/>
              <w:ind w:right="67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w w:val="93"/>
              </w:rPr>
              <w:t>2.911</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2.772</w:t>
            </w:r>
          </w:p>
        </w:tc>
        <w:tc>
          <w:tcPr>
            <w:tcW w:w="10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2.349</w:t>
            </w:r>
          </w:p>
        </w:tc>
      </w:tr>
      <w:tr>
        <w:trPr>
          <w:trHeight w:val="26"/>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Ordinary dividend eligible for 15% rate</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0.027</w:t>
            </w: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Return of capital</w:t>
            </w:r>
          </w:p>
        </w:tc>
        <w:tc>
          <w:tcPr>
            <w:tcW w:w="860" w:type="dxa"/>
            <w:vAlign w:val="bottom"/>
          </w:tcPr>
          <w:p>
            <w:pPr>
              <w:spacing w:after="0"/>
              <w:rPr>
                <w:sz w:val="20"/>
                <w:szCs w:val="20"/>
                <w:color w:val="auto"/>
              </w:rPr>
            </w:pP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0.162</w:t>
            </w:r>
          </w:p>
        </w:tc>
      </w:tr>
      <w:tr>
        <w:trPr>
          <w:trHeight w:val="26"/>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gain</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93"/>
              </w:rPr>
              <w:t>0.059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0.162</w:t>
            </w:r>
          </w:p>
        </w:tc>
      </w:tr>
      <w:tr>
        <w:trPr>
          <w:trHeight w:val="228"/>
        </w:trPr>
        <w:tc>
          <w:tcPr>
            <w:tcW w:w="7100" w:type="dxa"/>
            <w:vAlign w:val="bottom"/>
          </w:tcPr>
          <w:p>
            <w:pPr>
              <w:spacing w:after="0"/>
              <w:rPr>
                <w:sz w:val="19"/>
                <w:szCs w:val="19"/>
                <w:color w:val="auto"/>
              </w:rPr>
            </w:pP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93"/>
              </w:rPr>
              <w:t>2.970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2.800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2.700</w:t>
            </w:r>
          </w:p>
        </w:tc>
      </w:tr>
      <w:tr>
        <w:trPr>
          <w:trHeight w:val="66"/>
        </w:trPr>
        <w:tc>
          <w:tcPr>
            <w:tcW w:w="710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20"/>
        </w:trPr>
        <w:tc>
          <w:tcPr>
            <w:tcW w:w="710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5.417% Series 1 Cumulative Convertible Preferred shares</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Ordinary dividend</w:t>
            </w:r>
          </w:p>
        </w:tc>
        <w:tc>
          <w:tcPr>
            <w:tcW w:w="860" w:type="dxa"/>
            <w:vAlign w:val="bottom"/>
          </w:tcPr>
          <w:p>
            <w:pPr>
              <w:jc w:val="right"/>
              <w:ind w:right="67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w w:val="93"/>
              </w:rPr>
              <w:t>1.327</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1.340</w:t>
            </w:r>
          </w:p>
        </w:tc>
        <w:tc>
          <w:tcPr>
            <w:tcW w:w="10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1.246</w:t>
            </w:r>
          </w:p>
        </w:tc>
      </w:tr>
      <w:tr>
        <w:trPr>
          <w:trHeight w:val="26"/>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Ordinary dividend eligible for 15% rate</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0.013</w:t>
            </w: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Capital gain</w:t>
            </w:r>
          </w:p>
        </w:tc>
        <w:tc>
          <w:tcPr>
            <w:tcW w:w="860" w:type="dxa"/>
            <w:vAlign w:val="bottom"/>
          </w:tcPr>
          <w:p>
            <w:pPr>
              <w:spacing w:after="0"/>
              <w:rPr>
                <w:sz w:val="20"/>
                <w:szCs w:val="20"/>
                <w:color w:val="auto"/>
              </w:rPr>
            </w:pPr>
          </w:p>
        </w:tc>
        <w:tc>
          <w:tcPr>
            <w:tcW w:w="540" w:type="dxa"/>
            <w:vAlign w:val="bottom"/>
          </w:tcPr>
          <w:p>
            <w:pPr>
              <w:jc w:val="right"/>
              <w:ind w:right="33"/>
              <w:spacing w:after="0"/>
              <w:rPr>
                <w:sz w:val="20"/>
                <w:szCs w:val="20"/>
                <w:color w:val="auto"/>
              </w:rPr>
            </w:pPr>
            <w:r>
              <w:rPr>
                <w:rFonts w:ascii="Arial" w:cs="Arial" w:eastAsia="Arial" w:hAnsi="Arial"/>
                <w:sz w:val="17"/>
                <w:szCs w:val="17"/>
                <w:color w:val="auto"/>
                <w:w w:val="93"/>
              </w:rPr>
              <w:t>0.027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0.095</w:t>
            </w:r>
          </w:p>
        </w:tc>
      </w:tr>
      <w:tr>
        <w:trPr>
          <w:trHeight w:val="26"/>
        </w:trPr>
        <w:tc>
          <w:tcPr>
            <w:tcW w:w="7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9"/>
        </w:trPr>
        <w:tc>
          <w:tcPr>
            <w:tcW w:w="7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93"/>
              </w:rPr>
              <w:t>1.354</w:t>
            </w:r>
          </w:p>
        </w:tc>
        <w:tc>
          <w:tcPr>
            <w:tcW w:w="44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On October 31, 2013, the Trustees declared a quarterly cash dividend of $0.78 per common share, payable January 15, 2014 to common shareholders of record on January 2,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12—OPERATING LEASES</w:t>
      </w:r>
    </w:p>
    <w:p>
      <w:pPr>
        <w:spacing w:after="0" w:line="9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At December 31, 2013, our 87 predominantly retail shopping center and mixed-use properties are located in 13 states and the District of Columbia. There are approximately 2,500 leases with tenants providing a wide range of retail products and services. These tenants range from sole proprietorships to national retailers; no one tenant or corporate group of tenants accounts for more than 3.5% of annualized base rent.</w:t>
      </w:r>
    </w:p>
    <w:p>
      <w:pPr>
        <w:spacing w:after="0" w:line="12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101"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As of December 31, 2013, minimum future commercial property rentals from noncancelable operating leases, before any reserve for uncollectible amounts and assuming no early lease terminations, at our operating properties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40"/>
              <w:spacing w:after="0"/>
              <w:rPr>
                <w:sz w:val="20"/>
                <w:szCs w:val="20"/>
                <w:color w:val="auto"/>
              </w:rPr>
            </w:pPr>
            <w:r>
              <w:rPr>
                <w:rFonts w:ascii="Arial" w:cs="Arial" w:eastAsia="Arial" w:hAnsi="Arial"/>
                <w:sz w:val="17"/>
                <w:szCs w:val="17"/>
                <w:color w:val="auto"/>
              </w:rPr>
              <w:t>2014</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451,142</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1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413,798</w:t>
            </w:r>
          </w:p>
        </w:tc>
        <w:tc>
          <w:tcPr>
            <w:tcW w:w="0" w:type="dxa"/>
            <w:vAlign w:val="bottom"/>
          </w:tcPr>
          <w:p>
            <w:pPr>
              <w:spacing w:after="0"/>
              <w:rPr>
                <w:sz w:val="1"/>
                <w:szCs w:val="1"/>
                <w:color w:val="auto"/>
              </w:rPr>
            </w:pPr>
          </w:p>
        </w:tc>
      </w:tr>
      <w:tr>
        <w:trPr>
          <w:trHeight w:val="235"/>
        </w:trPr>
        <w:tc>
          <w:tcPr>
            <w:tcW w:w="5380" w:type="dxa"/>
            <w:vAlign w:val="bottom"/>
          </w:tcPr>
          <w:p>
            <w:pPr>
              <w:ind w:left="40"/>
              <w:spacing w:after="0"/>
              <w:rPr>
                <w:sz w:val="20"/>
                <w:szCs w:val="20"/>
                <w:color w:val="auto"/>
              </w:rPr>
            </w:pPr>
            <w:r>
              <w:rPr>
                <w:rFonts w:ascii="Arial" w:cs="Arial" w:eastAsia="Arial" w:hAnsi="Arial"/>
                <w:sz w:val="17"/>
                <w:szCs w:val="17"/>
                <w:color w:val="auto"/>
              </w:rPr>
              <w:t>2016</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367,433</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1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308,499</w:t>
            </w:r>
          </w:p>
        </w:tc>
        <w:tc>
          <w:tcPr>
            <w:tcW w:w="0" w:type="dxa"/>
            <w:vAlign w:val="bottom"/>
          </w:tcPr>
          <w:p>
            <w:pPr>
              <w:spacing w:after="0"/>
              <w:rPr>
                <w:sz w:val="1"/>
                <w:szCs w:val="1"/>
                <w:color w:val="auto"/>
              </w:rPr>
            </w:pPr>
          </w:p>
        </w:tc>
      </w:tr>
      <w:tr>
        <w:trPr>
          <w:trHeight w:val="235"/>
        </w:trPr>
        <w:tc>
          <w:tcPr>
            <w:tcW w:w="5380" w:type="dxa"/>
            <w:vAlign w:val="bottom"/>
          </w:tcPr>
          <w:p>
            <w:pPr>
              <w:ind w:left="40"/>
              <w:spacing w:after="0"/>
              <w:rPr>
                <w:sz w:val="20"/>
                <w:szCs w:val="20"/>
                <w:color w:val="auto"/>
              </w:rPr>
            </w:pPr>
            <w:r>
              <w:rPr>
                <w:rFonts w:ascii="Arial" w:cs="Arial" w:eastAsia="Arial" w:hAnsi="Arial"/>
                <w:sz w:val="17"/>
                <w:szCs w:val="17"/>
                <w:color w:val="auto"/>
              </w:rPr>
              <w:t>2018</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241,199</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1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1,416,073</w:t>
            </w:r>
          </w:p>
        </w:tc>
        <w:tc>
          <w:tcPr>
            <w:tcW w:w="0" w:type="dxa"/>
            <w:vAlign w:val="bottom"/>
          </w:tcPr>
          <w:p>
            <w:pPr>
              <w:spacing w:after="0"/>
              <w:rPr>
                <w:sz w:val="1"/>
                <w:szCs w:val="1"/>
                <w:color w:val="auto"/>
              </w:rPr>
            </w:pPr>
          </w:p>
        </w:tc>
      </w:tr>
      <w:tr>
        <w:trPr>
          <w:trHeight w:val="228"/>
        </w:trPr>
        <w:tc>
          <w:tcPr>
            <w:tcW w:w="5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3,198,144</w:t>
            </w:r>
          </w:p>
        </w:tc>
        <w:tc>
          <w:tcPr>
            <w:tcW w:w="0" w:type="dxa"/>
            <w:vAlign w:val="bottom"/>
          </w:tcPr>
          <w:p>
            <w:pPr>
              <w:spacing w:after="0"/>
              <w:rPr>
                <w:sz w:val="1"/>
                <w:szCs w:val="1"/>
                <w:color w:val="auto"/>
              </w:rPr>
            </w:pPr>
          </w:p>
        </w:tc>
      </w:tr>
      <w:tr>
        <w:trPr>
          <w:trHeight w:val="26"/>
        </w:trPr>
        <w:tc>
          <w:tcPr>
            <w:tcW w:w="5380" w:type="dxa"/>
            <w:vAlign w:val="bottom"/>
            <w:vMerge w:val="restart"/>
          </w:tcPr>
          <w:p>
            <w:pPr>
              <w:spacing w:after="0"/>
              <w:rPr>
                <w:sz w:val="20"/>
                <w:szCs w:val="20"/>
                <w:color w:val="auto"/>
              </w:rPr>
            </w:pPr>
            <w:r>
              <w:rPr>
                <w:rFonts w:ascii="Arial" w:cs="Arial" w:eastAsia="Arial" w:hAnsi="Arial"/>
                <w:sz w:val="17"/>
                <w:szCs w:val="17"/>
                <w:b w:val="1"/>
                <w:bCs w:val="1"/>
                <w:color w:val="auto"/>
              </w:rPr>
              <w:t>NOTE 13—COMPONENTS OF RENTAL INCOME AND EXPENSE</w:t>
            </w: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53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380" w:type="dxa"/>
            <w:vAlign w:val="bottom"/>
          </w:tcPr>
          <w:p>
            <w:pPr>
              <w:spacing w:after="0"/>
              <w:rPr>
                <w:sz w:val="20"/>
                <w:szCs w:val="20"/>
                <w:color w:val="auto"/>
              </w:rPr>
            </w:pPr>
            <w:r>
              <w:rPr>
                <w:rFonts w:ascii="Arial" w:cs="Arial" w:eastAsia="Arial" w:hAnsi="Arial"/>
                <w:sz w:val="17"/>
                <w:szCs w:val="17"/>
                <w:color w:val="auto"/>
              </w:rPr>
              <w:t>The principal components of rental income are as follows: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5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380" w:type="dxa"/>
            <w:vAlign w:val="bottom"/>
          </w:tcPr>
          <w:p>
            <w:pPr>
              <w:ind w:left="40"/>
              <w:spacing w:after="0"/>
              <w:rPr>
                <w:sz w:val="20"/>
                <w:szCs w:val="20"/>
                <w:color w:val="auto"/>
              </w:rPr>
            </w:pPr>
            <w:r>
              <w:rPr>
                <w:rFonts w:ascii="Arial" w:cs="Arial" w:eastAsia="Arial" w:hAnsi="Arial"/>
                <w:sz w:val="17"/>
                <w:szCs w:val="17"/>
                <w:color w:val="auto"/>
              </w:rPr>
              <w:t>Minimum rents</w:t>
            </w: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Retail and commercial</w:t>
            </w:r>
          </w:p>
        </w:tc>
        <w:tc>
          <w:tcPr>
            <w:tcW w:w="206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448,058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420,989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390,975</w:t>
            </w:r>
          </w:p>
        </w:tc>
        <w:tc>
          <w:tcPr>
            <w:tcW w:w="0" w:type="dxa"/>
            <w:vAlign w:val="bottom"/>
          </w:tcPr>
          <w:p>
            <w:pPr>
              <w:spacing w:after="0"/>
              <w:rPr>
                <w:sz w:val="1"/>
                <w:szCs w:val="1"/>
                <w:color w:val="auto"/>
              </w:rPr>
            </w:pPr>
          </w:p>
        </w:tc>
      </w:tr>
      <w:tr>
        <w:trPr>
          <w:trHeight w:val="235"/>
        </w:trPr>
        <w:tc>
          <w:tcPr>
            <w:tcW w:w="5380" w:type="dxa"/>
            <w:vAlign w:val="bottom"/>
          </w:tcPr>
          <w:p>
            <w:pPr>
              <w:ind w:left="360"/>
              <w:spacing w:after="0"/>
              <w:rPr>
                <w:sz w:val="20"/>
                <w:szCs w:val="20"/>
                <w:color w:val="auto"/>
              </w:rPr>
            </w:pPr>
            <w:r>
              <w:rPr>
                <w:rFonts w:ascii="Arial" w:cs="Arial" w:eastAsia="Arial" w:hAnsi="Arial"/>
                <w:sz w:val="17"/>
                <w:szCs w:val="17"/>
                <w:color w:val="auto"/>
              </w:rPr>
              <w:t>Residential</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28,902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27,611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23,101</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reimbursement</w:t>
            </w:r>
          </w:p>
        </w:tc>
        <w:tc>
          <w:tcPr>
            <w:tcW w:w="1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122,578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112,424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106,077</w:t>
            </w:r>
          </w:p>
        </w:tc>
        <w:tc>
          <w:tcPr>
            <w:tcW w:w="0" w:type="dxa"/>
            <w:vAlign w:val="bottom"/>
          </w:tcPr>
          <w:p>
            <w:pPr>
              <w:spacing w:after="0"/>
              <w:rPr>
                <w:sz w:val="1"/>
                <w:szCs w:val="1"/>
                <w:color w:val="auto"/>
              </w:rPr>
            </w:pPr>
          </w:p>
        </w:tc>
      </w:tr>
      <w:tr>
        <w:trPr>
          <w:trHeight w:val="235"/>
        </w:trPr>
        <w:tc>
          <w:tcPr>
            <w:tcW w:w="5380" w:type="dxa"/>
            <w:vAlign w:val="bottom"/>
          </w:tcPr>
          <w:p>
            <w:pPr>
              <w:ind w:left="40"/>
              <w:spacing w:after="0"/>
              <w:rPr>
                <w:sz w:val="20"/>
                <w:szCs w:val="20"/>
                <w:color w:val="auto"/>
              </w:rPr>
            </w:pPr>
            <w:r>
              <w:rPr>
                <w:rFonts w:ascii="Arial" w:cs="Arial" w:eastAsia="Arial" w:hAnsi="Arial"/>
                <w:sz w:val="17"/>
                <w:szCs w:val="17"/>
                <w:color w:val="auto"/>
              </w:rPr>
              <w:t>Percentage rent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9,359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8,568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7,576</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10,522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9,020</w:t>
            </w:r>
          </w:p>
        </w:tc>
        <w:tc>
          <w:tcPr>
            <w:tcW w:w="0" w:type="dxa"/>
            <w:vAlign w:val="bottom"/>
          </w:tcPr>
          <w:p>
            <w:pPr>
              <w:spacing w:after="0"/>
              <w:rPr>
                <w:sz w:val="1"/>
                <w:szCs w:val="1"/>
                <w:color w:val="auto"/>
              </w:rPr>
            </w:pPr>
          </w:p>
        </w:tc>
      </w:tr>
      <w:tr>
        <w:trPr>
          <w:trHeight w:val="228"/>
        </w:trPr>
        <w:tc>
          <w:tcPr>
            <w:tcW w:w="5380" w:type="dxa"/>
            <w:vAlign w:val="bottom"/>
          </w:tcPr>
          <w:p>
            <w:pPr>
              <w:ind w:left="40"/>
              <w:spacing w:after="0"/>
              <w:rPr>
                <w:sz w:val="20"/>
                <w:szCs w:val="20"/>
                <w:color w:val="auto"/>
              </w:rPr>
            </w:pPr>
            <w:r>
              <w:rPr>
                <w:rFonts w:ascii="Arial" w:cs="Arial" w:eastAsia="Arial" w:hAnsi="Arial"/>
                <w:sz w:val="17"/>
                <w:szCs w:val="17"/>
                <w:color w:val="auto"/>
              </w:rPr>
              <w:t>Total rental income</w:t>
            </w:r>
          </w:p>
        </w:tc>
        <w:tc>
          <w:tcPr>
            <w:tcW w:w="172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620,089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580,114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536,749</w:t>
            </w:r>
          </w:p>
        </w:tc>
        <w:tc>
          <w:tcPr>
            <w:tcW w:w="0" w:type="dxa"/>
            <w:vAlign w:val="bottom"/>
          </w:tcPr>
          <w:p>
            <w:pPr>
              <w:spacing w:after="0"/>
              <w:rPr>
                <w:sz w:val="1"/>
                <w:szCs w:val="1"/>
                <w:color w:val="auto"/>
              </w:rPr>
            </w:pPr>
          </w:p>
        </w:tc>
      </w:tr>
      <w:tr>
        <w:trPr>
          <w:trHeight w:val="26"/>
        </w:trPr>
        <w:tc>
          <w:tcPr>
            <w:tcW w:w="5380" w:type="dxa"/>
            <w:vAlign w:val="bottom"/>
            <w:vMerge w:val="restart"/>
          </w:tcPr>
          <w:p>
            <w:pPr>
              <w:spacing w:after="0"/>
              <w:rPr>
                <w:sz w:val="20"/>
                <w:szCs w:val="20"/>
                <w:color w:val="auto"/>
              </w:rPr>
            </w:pPr>
            <w:r>
              <w:rPr>
                <w:rFonts w:ascii="Arial" w:cs="Arial" w:eastAsia="Arial" w:hAnsi="Arial"/>
                <w:sz w:val="17"/>
                <w:szCs w:val="17"/>
                <w:color w:val="auto"/>
              </w:rPr>
              <w:t>Minimum rents include the following:</w:t>
            </w: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3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380" w:type="dxa"/>
            <w:vAlign w:val="bottom"/>
          </w:tcPr>
          <w:p>
            <w:pPr>
              <w:ind w:left="40"/>
              <w:spacing w:after="0"/>
              <w:rPr>
                <w:sz w:val="20"/>
                <w:szCs w:val="20"/>
                <w:color w:val="auto"/>
              </w:rPr>
            </w:pPr>
            <w:r>
              <w:rPr>
                <w:rFonts w:ascii="Arial" w:cs="Arial" w:eastAsia="Arial" w:hAnsi="Arial"/>
                <w:sz w:val="17"/>
                <w:szCs w:val="17"/>
                <w:color w:val="auto"/>
              </w:rPr>
              <w:t>Straight-line rents</w:t>
            </w:r>
          </w:p>
        </w:tc>
        <w:tc>
          <w:tcPr>
            <w:tcW w:w="206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5.4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amortization of above and below market leases</w:t>
            </w:r>
          </w:p>
        </w:tc>
        <w:tc>
          <w:tcPr>
            <w:tcW w:w="206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443"/>
        </w:trPr>
        <w:tc>
          <w:tcPr>
            <w:tcW w:w="5380" w:type="dxa"/>
            <w:vAlign w:val="bottom"/>
          </w:tcPr>
          <w:p>
            <w:pPr>
              <w:spacing w:after="0"/>
              <w:rPr>
                <w:sz w:val="24"/>
                <w:szCs w:val="24"/>
                <w:color w:val="auto"/>
              </w:rPr>
            </w:pPr>
          </w:p>
        </w:tc>
        <w:tc>
          <w:tcPr>
            <w:tcW w:w="2060" w:type="dxa"/>
            <w:vAlign w:val="bottom"/>
            <w:gridSpan w:val="2"/>
          </w:tcPr>
          <w:p>
            <w:pPr>
              <w:jc w:val="right"/>
              <w:ind w:right="1473"/>
              <w:spacing w:after="0"/>
              <w:rPr>
                <w:sz w:val="20"/>
                <w:szCs w:val="20"/>
                <w:color w:val="auto"/>
              </w:rPr>
            </w:pPr>
            <w:r>
              <w:rPr>
                <w:rFonts w:ascii="Arial" w:cs="Arial" w:eastAsia="Arial" w:hAnsi="Arial"/>
                <w:sz w:val="17"/>
                <w:szCs w:val="17"/>
                <w:color w:val="auto"/>
              </w:rPr>
              <w:t>F-25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The principal components of rental expenses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4"/>
        </w:trPr>
        <w:tc>
          <w:tcPr>
            <w:tcW w:w="7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r>
      <w:tr>
        <w:trPr>
          <w:trHeight w:val="189"/>
        </w:trPr>
        <w:tc>
          <w:tcPr>
            <w:tcW w:w="7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Repairs and maintenance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46,600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41,873</w:t>
            </w: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Utilities</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19,219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19,201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18,817</w:t>
            </w: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Management fees and costs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16,250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15,167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14,989</w:t>
            </w: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Payroll</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9,237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8,691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8,067</w:t>
            </w: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Bad debt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2,643</w:t>
            </w: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Ground rent</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2,189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2,047</w:t>
            </w: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Insurance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5,254</w:t>
            </w: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Marketing</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8,664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7,321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6,868</w:t>
            </w: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10,057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8,806</w:t>
            </w:r>
          </w:p>
        </w:tc>
      </w:tr>
      <w:tr>
        <w:trPr>
          <w:trHeight w:val="228"/>
        </w:trPr>
        <w:tc>
          <w:tcPr>
            <w:tcW w:w="7100" w:type="dxa"/>
            <w:vAlign w:val="bottom"/>
          </w:tcPr>
          <w:p>
            <w:pPr>
              <w:ind w:left="40"/>
              <w:spacing w:after="0"/>
              <w:rPr>
                <w:sz w:val="20"/>
                <w:szCs w:val="20"/>
                <w:color w:val="auto"/>
              </w:rPr>
            </w:pPr>
            <w:r>
              <w:rPr>
                <w:rFonts w:ascii="Arial" w:cs="Arial" w:eastAsia="Arial" w:hAnsi="Arial"/>
                <w:sz w:val="17"/>
                <w:szCs w:val="17"/>
                <w:color w:val="auto"/>
              </w:rPr>
              <w:t>Total rental expenses</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118,695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112,616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109,364</w:t>
            </w:r>
          </w:p>
        </w:tc>
      </w:tr>
      <w:tr>
        <w:trPr>
          <w:trHeight w:val="26"/>
        </w:trPr>
        <w:tc>
          <w:tcPr>
            <w:tcW w:w="7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14—DISCONTINUED OPERATIONS</w:t>
      </w:r>
    </w:p>
    <w:p>
      <w:pPr>
        <w:spacing w:after="0" w:line="97"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4"/>
        </w:trPr>
        <w:tc>
          <w:tcPr>
            <w:tcW w:w="7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r>
      <w:tr>
        <w:trPr>
          <w:trHeight w:val="183"/>
        </w:trPr>
        <w:tc>
          <w:tcPr>
            <w:tcW w:w="7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7"/>
        </w:trPr>
        <w:tc>
          <w:tcPr>
            <w:tcW w:w="7100" w:type="dxa"/>
            <w:vAlign w:val="bottom"/>
          </w:tcPr>
          <w:p>
            <w:pPr>
              <w:ind w:left="40"/>
              <w:spacing w:after="0"/>
              <w:rPr>
                <w:sz w:val="20"/>
                <w:szCs w:val="20"/>
                <w:color w:val="auto"/>
              </w:rPr>
            </w:pPr>
            <w:r>
              <w:rPr>
                <w:rFonts w:ascii="Arial" w:cs="Arial" w:eastAsia="Arial" w:hAnsi="Arial"/>
                <w:sz w:val="17"/>
                <w:szCs w:val="17"/>
                <w:color w:val="auto"/>
              </w:rPr>
              <w:t>Revenue from discontinued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2.2</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4.2</w:t>
            </w: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discontinued operations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1.4</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r>
      <w:tr>
        <w:trPr>
          <w:trHeight w:val="417"/>
        </w:trPr>
        <w:tc>
          <w:tcPr>
            <w:tcW w:w="7100" w:type="dxa"/>
            <w:vAlign w:val="bottom"/>
          </w:tcPr>
          <w:p>
            <w:pPr>
              <w:spacing w:after="0"/>
              <w:rPr>
                <w:sz w:val="20"/>
                <w:szCs w:val="20"/>
                <w:color w:val="auto"/>
              </w:rPr>
            </w:pPr>
            <w:r>
              <w:rPr>
                <w:rFonts w:ascii="Arial" w:cs="Arial" w:eastAsia="Arial" w:hAnsi="Arial"/>
                <w:sz w:val="17"/>
                <w:szCs w:val="17"/>
                <w:b w:val="1"/>
                <w:bCs w:val="1"/>
                <w:color w:val="auto"/>
              </w:rPr>
              <w:t>NOTE 15—SHARE-BASED COMPENSATION PLANS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7"/>
        </w:trPr>
        <w:tc>
          <w:tcPr>
            <w:tcW w:w="7100" w:type="dxa"/>
            <w:vAlign w:val="bottom"/>
          </w:tcPr>
          <w:p>
            <w:pPr>
              <w:spacing w:after="0"/>
              <w:rPr>
                <w:sz w:val="20"/>
                <w:szCs w:val="20"/>
                <w:color w:val="auto"/>
              </w:rPr>
            </w:pPr>
            <w:r>
              <w:rPr>
                <w:rFonts w:ascii="Arial" w:cs="Arial" w:eastAsia="Arial" w:hAnsi="Arial"/>
                <w:sz w:val="17"/>
                <w:szCs w:val="17"/>
                <w:color w:val="auto"/>
              </w:rPr>
              <w:t>A summary of share-based compensation expense included in net income is as follows: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5"/>
        </w:trPr>
        <w:tc>
          <w:tcPr>
            <w:tcW w:w="7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4"/>
        </w:trPr>
        <w:tc>
          <w:tcPr>
            <w:tcW w:w="7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r>
      <w:tr>
        <w:trPr>
          <w:trHeight w:val="183"/>
        </w:trPr>
        <w:tc>
          <w:tcPr>
            <w:tcW w:w="7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7"/>
        </w:trPr>
        <w:tc>
          <w:tcPr>
            <w:tcW w:w="7100" w:type="dxa"/>
            <w:vAlign w:val="bottom"/>
          </w:tcPr>
          <w:p>
            <w:pPr>
              <w:ind w:left="40"/>
              <w:spacing w:after="0"/>
              <w:rPr>
                <w:sz w:val="20"/>
                <w:szCs w:val="20"/>
                <w:color w:val="auto"/>
              </w:rPr>
            </w:pPr>
            <w:r>
              <w:rPr>
                <w:rFonts w:ascii="Arial" w:cs="Arial" w:eastAsia="Arial" w:hAnsi="Arial"/>
                <w:sz w:val="17"/>
                <w:szCs w:val="17"/>
                <w:color w:val="auto"/>
              </w:rPr>
              <w:t>Share-based compensation incurred</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Grants of common shares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10,907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9,846</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7,308</w:t>
            </w:r>
          </w:p>
        </w:tc>
      </w:tr>
      <w:tr>
        <w:trPr>
          <w:trHeight w:val="235"/>
        </w:trPr>
        <w:tc>
          <w:tcPr>
            <w:tcW w:w="7100" w:type="dxa"/>
            <w:vAlign w:val="bottom"/>
          </w:tcPr>
          <w:p>
            <w:pPr>
              <w:ind w:left="360"/>
              <w:spacing w:after="0"/>
              <w:rPr>
                <w:sz w:val="20"/>
                <w:szCs w:val="20"/>
                <w:color w:val="auto"/>
              </w:rPr>
            </w:pPr>
            <w:r>
              <w:rPr>
                <w:rFonts w:ascii="Arial" w:cs="Arial" w:eastAsia="Arial" w:hAnsi="Arial"/>
                <w:sz w:val="17"/>
                <w:szCs w:val="17"/>
                <w:color w:val="auto"/>
              </w:rPr>
              <w:t>Grants of options</w:t>
            </w:r>
          </w:p>
        </w:tc>
        <w:tc>
          <w:tcPr>
            <w:tcW w:w="34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525</w:t>
            </w:r>
          </w:p>
        </w:tc>
        <w:tc>
          <w:tcPr>
            <w:tcW w:w="340" w:type="dxa"/>
            <w:vAlign w:val="bottom"/>
          </w:tcPr>
          <w:p>
            <w:pPr>
              <w:spacing w:after="0"/>
              <w:rPr>
                <w:sz w:val="20"/>
                <w:szCs w:val="20"/>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939</w:t>
            </w: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7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11,199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10,371</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8,247</w:t>
            </w:r>
          </w:p>
        </w:tc>
      </w:tr>
      <w:tr>
        <w:trPr>
          <w:trHeight w:val="235"/>
        </w:trPr>
        <w:tc>
          <w:tcPr>
            <w:tcW w:w="7100" w:type="dxa"/>
            <w:vAlign w:val="bottom"/>
          </w:tcPr>
          <w:p>
            <w:pPr>
              <w:ind w:left="40"/>
              <w:spacing w:after="0"/>
              <w:rPr>
                <w:sz w:val="20"/>
                <w:szCs w:val="20"/>
                <w:color w:val="auto"/>
              </w:rPr>
            </w:pPr>
            <w:r>
              <w:rPr>
                <w:rFonts w:ascii="Arial" w:cs="Arial" w:eastAsia="Arial" w:hAnsi="Arial"/>
                <w:sz w:val="17"/>
                <w:szCs w:val="17"/>
                <w:color w:val="auto"/>
              </w:rPr>
              <w:t>Capitalized share-based compensation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7"/>
                <w:szCs w:val="17"/>
                <w:color w:val="auto"/>
              </w:rPr>
              <w:t>(908)</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(663)</w:t>
            </w: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Share-based compensation expense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10,175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9,463</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7,584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As of December 31, 2013, we have grants outstanding under two share-based compensation plans. In May 2010, our shareholders approved the 2010 Performance Incentive Plan, as amended (“the 2010 Plan”), which authorized the grant of share options, common shares and other share-based awards for up to 2,450,000 common shares of beneficial interest. Our 2001 Long Term Incentive Plan (the “2001 Plan”), which expired in May 2010, authorized the grant of share options, common shares and other share-based awards of 3,250,000 common shares of beneficial interest.</w:t>
      </w:r>
    </w:p>
    <w:p>
      <w:pPr>
        <w:spacing w:after="0" w:line="124"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Option awards under both plans are required to have an exercise price at least equal to the closing trading price of our common shares on the date of grant. Options and restricted share awards under these plans generally vest over three to six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91" w:lineRule="exact"/>
        <w:rPr>
          <w:sz w:val="20"/>
          <w:szCs w:val="20"/>
          <w:color w:val="auto"/>
        </w:rPr>
      </w:pPr>
    </w:p>
    <w:p>
      <w:pPr>
        <w:ind w:right="580"/>
        <w:spacing w:after="0" w:line="287" w:lineRule="auto"/>
        <w:rPr>
          <w:sz w:val="20"/>
          <w:szCs w:val="20"/>
          <w:color w:val="auto"/>
        </w:rPr>
      </w:pPr>
      <w:r>
        <w:rPr>
          <w:rFonts w:ascii="Arial" w:cs="Arial" w:eastAsia="Arial" w:hAnsi="Arial"/>
          <w:sz w:val="17"/>
          <w:szCs w:val="17"/>
          <w:color w:val="auto"/>
        </w:rPr>
        <w:t>based on the closing trading price of our common shares on the grant date. No options were granted in 2013, 2012 and 2011. The following table provides a summary of option activity for 2013: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center"/>
              <w:ind w:left="423"/>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left="171"/>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120" w:type="dxa"/>
            <w:vAlign w:val="bottom"/>
          </w:tcPr>
          <w:p>
            <w:pPr>
              <w:jc w:val="center"/>
              <w:ind w:left="403"/>
              <w:spacing w:after="0" w:line="143"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left="191"/>
              <w:spacing w:after="0" w:line="143"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1720" w:type="dxa"/>
            <w:vAlign w:val="bottom"/>
            <w:gridSpan w:val="2"/>
          </w:tcPr>
          <w:p>
            <w:pPr>
              <w:ind w:left="600"/>
              <w:spacing w:after="0" w:line="143" w:lineRule="exact"/>
              <w:rPr>
                <w:sz w:val="20"/>
                <w:szCs w:val="20"/>
                <w:color w:val="auto"/>
              </w:rPr>
            </w:pPr>
            <w:r>
              <w:rPr>
                <w:rFonts w:ascii="Arial" w:cs="Arial" w:eastAsia="Arial" w:hAnsi="Arial"/>
                <w:sz w:val="14"/>
                <w:szCs w:val="14"/>
                <w:b w:val="1"/>
                <w:bCs w:val="1"/>
                <w:color w:val="auto"/>
              </w:rPr>
              <w:t>Under</w:t>
            </w:r>
          </w:p>
        </w:tc>
        <w:tc>
          <w:tcPr>
            <w:tcW w:w="1120" w:type="dxa"/>
            <w:vAlign w:val="bottom"/>
          </w:tcPr>
          <w:p>
            <w:pPr>
              <w:jc w:val="center"/>
              <w:ind w:left="423"/>
              <w:spacing w:after="0" w:line="143" w:lineRule="exact"/>
              <w:rPr>
                <w:sz w:val="20"/>
                <w:szCs w:val="20"/>
                <w:color w:val="auto"/>
              </w:rPr>
            </w:pPr>
            <w:r>
              <w:rPr>
                <w:rFonts w:ascii="Arial" w:cs="Arial" w:eastAsia="Arial" w:hAnsi="Arial"/>
                <w:sz w:val="14"/>
                <w:szCs w:val="14"/>
                <w:b w:val="1"/>
                <w:bCs w:val="1"/>
                <w:color w:val="auto"/>
                <w:w w:val="86"/>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left="171"/>
              <w:spacing w:after="0" w:line="143"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5"/>
              <w:spacing w:after="0" w:line="143"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720" w:type="dxa"/>
            <w:vAlign w:val="bottom"/>
            <w:gridSpan w:val="2"/>
          </w:tcPr>
          <w:p>
            <w:pPr>
              <w:ind w:left="600"/>
              <w:spacing w:after="0"/>
              <w:rPr>
                <w:sz w:val="20"/>
                <w:szCs w:val="20"/>
                <w:color w:val="auto"/>
              </w:rPr>
            </w:pPr>
            <w:r>
              <w:rPr>
                <w:rFonts w:ascii="Arial" w:cs="Arial" w:eastAsia="Arial" w:hAnsi="Arial"/>
                <w:sz w:val="14"/>
                <w:szCs w:val="14"/>
                <w:b w:val="1"/>
                <w:bCs w:val="1"/>
                <w:color w:val="auto"/>
              </w:rPr>
              <w:t>Option</w:t>
            </w:r>
          </w:p>
        </w:tc>
        <w:tc>
          <w:tcPr>
            <w:tcW w:w="1120" w:type="dxa"/>
            <w:vAlign w:val="bottom"/>
          </w:tcPr>
          <w:p>
            <w:pPr>
              <w:jc w:val="center"/>
              <w:ind w:left="423"/>
              <w:spacing w:after="0"/>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left="171"/>
              <w:spacing w:after="0"/>
              <w:rPr>
                <w:sz w:val="20"/>
                <w:szCs w:val="20"/>
                <w:color w:val="auto"/>
              </w:rPr>
            </w:pPr>
            <w:r>
              <w:rPr>
                <w:rFonts w:ascii="Arial" w:cs="Arial" w:eastAsia="Arial" w:hAnsi="Arial"/>
                <w:sz w:val="14"/>
                <w:szCs w:val="14"/>
                <w:b w:val="1"/>
                <w:bCs w:val="1"/>
                <w:color w:val="auto"/>
                <w:w w:val="91"/>
              </w:rPr>
              <w:t>Contractual 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6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center"/>
              <w:ind w:left="171"/>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4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December 31, 2012</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392,014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9"/>
              </w:rPr>
              <w:t>62.99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40"/>
              <w:spacing w:after="0"/>
              <w:rPr>
                <w:sz w:val="20"/>
                <w:szCs w:val="20"/>
                <w:color w:val="auto"/>
              </w:rPr>
            </w:pPr>
            <w:r>
              <w:rPr>
                <w:rFonts w:ascii="Arial" w:cs="Arial" w:eastAsia="Arial" w:hAnsi="Arial"/>
                <w:sz w:val="17"/>
                <w:szCs w:val="17"/>
                <w:color w:val="auto"/>
              </w:rPr>
              <w:t>Granted</w:t>
            </w: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20"/>
                <w:szCs w:val="20"/>
                <w:color w:val="auto"/>
              </w:rPr>
            </w:pPr>
          </w:p>
        </w:tc>
        <w:tc>
          <w:tcPr>
            <w:tcW w:w="1940" w:type="dxa"/>
            <w:vAlign w:val="bottom"/>
            <w:gridSpan w:val="3"/>
          </w:tcPr>
          <w:p>
            <w:pPr>
              <w:jc w:val="right"/>
              <w:ind w:right="147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9"/>
              </w:rPr>
              <w:t>62.93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40"/>
              <w:spacing w:after="0"/>
              <w:rPr>
                <w:sz w:val="20"/>
                <w:szCs w:val="20"/>
                <w:color w:val="auto"/>
              </w:rPr>
            </w:pPr>
            <w:r>
              <w:rPr>
                <w:rFonts w:ascii="Arial" w:cs="Arial" w:eastAsia="Arial" w:hAnsi="Arial"/>
                <w:sz w:val="17"/>
                <w:szCs w:val="17"/>
                <w:color w:val="auto"/>
              </w:rPr>
              <w:t>Forfeited or expired</w:t>
            </w: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20"/>
                <w:szCs w:val="20"/>
                <w:color w:val="auto"/>
              </w:rPr>
            </w:pPr>
          </w:p>
        </w:tc>
        <w:tc>
          <w:tcPr>
            <w:tcW w:w="1940" w:type="dxa"/>
            <w:vAlign w:val="bottom"/>
            <w:gridSpan w:val="3"/>
          </w:tcPr>
          <w:p>
            <w:pPr>
              <w:jc w:val="right"/>
              <w:ind w:right="147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December 31, 2013</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375,460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9"/>
              </w:rPr>
              <w:t>63.00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14,423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Exercisable at December 31, 2013</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00" w:type="dxa"/>
            <w:vAlign w:val="bottom"/>
            <w:vMerge w:val="continue"/>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7"/>
                <w:szCs w:val="17"/>
                <w:color w:val="auto"/>
              </w:rPr>
              <w:t>339,347</w:t>
            </w:r>
          </w:p>
        </w:tc>
        <w:tc>
          <w:tcPr>
            <w:tcW w:w="120" w:type="dxa"/>
            <w:vAlign w:val="bottom"/>
          </w:tcPr>
          <w:p>
            <w:pPr>
              <w:spacing w:after="0"/>
              <w:rPr>
                <w:sz w:val="18"/>
                <w:szCs w:val="18"/>
                <w:color w:val="auto"/>
              </w:rPr>
            </w:pPr>
          </w:p>
        </w:tc>
        <w:tc>
          <w:tcPr>
            <w:tcW w:w="1120" w:type="dxa"/>
            <w:vAlign w:val="bottom"/>
          </w:tcPr>
          <w:p>
            <w:pPr>
              <w:jc w:val="right"/>
              <w:ind w:right="923"/>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3"/>
              <w:spacing w:after="0"/>
              <w:rPr>
                <w:sz w:val="20"/>
                <w:szCs w:val="20"/>
                <w:color w:val="auto"/>
              </w:rPr>
            </w:pPr>
            <w:r>
              <w:rPr>
                <w:rFonts w:ascii="Arial" w:cs="Arial" w:eastAsia="Arial" w:hAnsi="Arial"/>
                <w:sz w:val="17"/>
                <w:szCs w:val="17"/>
                <w:color w:val="auto"/>
                <w:w w:val="89"/>
              </w:rPr>
              <w:t>64.53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84"/>
              </w:rPr>
              <w:t>4.2</w:t>
            </w:r>
          </w:p>
        </w:tc>
        <w:tc>
          <w:tcPr>
            <w:tcW w:w="1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25"/>
              <w:spacing w:after="0"/>
              <w:rPr>
                <w:sz w:val="20"/>
                <w:szCs w:val="20"/>
                <w:color w:val="auto"/>
              </w:rPr>
            </w:pPr>
            <w:r>
              <w:rPr>
                <w:rFonts w:ascii="Arial" w:cs="Arial" w:eastAsia="Arial" w:hAnsi="Arial"/>
                <w:sz w:val="17"/>
                <w:szCs w:val="17"/>
                <w:color w:val="auto"/>
              </w:rPr>
              <w:t>12,514</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00"/>
        <w:spacing w:after="0" w:line="320" w:lineRule="auto"/>
        <w:rPr>
          <w:sz w:val="20"/>
          <w:szCs w:val="20"/>
          <w:color w:val="auto"/>
        </w:rPr>
      </w:pPr>
      <w:r>
        <w:rPr>
          <w:rFonts w:ascii="Arial" w:cs="Arial" w:eastAsia="Arial" w:hAnsi="Arial"/>
          <w:sz w:val="16"/>
          <w:szCs w:val="16"/>
          <w:color w:val="auto"/>
        </w:rPr>
        <w:t>The total cash received from options exercised during 2013, 2012 and 2011 was $1.0 million, $5.7 million and $15.2 million, respectively. The total intrinsic value of options exercised during the year ended December 31, 2013, 2012 and 2011 was $0.7 million, $4.2 million and $5.6 million,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restricted share activity for 2013: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3"/>
        </w:trPr>
        <w:tc>
          <w:tcPr>
            <w:tcW w:w="8120" w:type="dxa"/>
            <w:vAlign w:val="bottom"/>
          </w:tcPr>
          <w:p>
            <w:pPr>
              <w:spacing w:after="0"/>
              <w:rPr>
                <w:sz w:val="12"/>
                <w:szCs w:val="12"/>
                <w:color w:val="auto"/>
              </w:rPr>
            </w:pPr>
          </w:p>
        </w:tc>
        <w:tc>
          <w:tcPr>
            <w:tcW w:w="16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0"/>
              <w:spacing w:after="0" w:line="143" w:lineRule="exact"/>
              <w:rPr>
                <w:sz w:val="20"/>
                <w:szCs w:val="20"/>
                <w:color w:val="auto"/>
              </w:rPr>
            </w:pPr>
            <w:r>
              <w:rPr>
                <w:rFonts w:ascii="Arial" w:cs="Arial" w:eastAsia="Arial" w:hAnsi="Arial"/>
                <w:sz w:val="14"/>
                <w:szCs w:val="14"/>
                <w:b w:val="1"/>
                <w:bCs w:val="1"/>
                <w:color w:val="auto"/>
                <w:w w:val="96"/>
              </w:rPr>
              <w:t>Grant-Date Fair</w:t>
            </w:r>
          </w:p>
        </w:tc>
        <w:tc>
          <w:tcPr>
            <w:tcW w:w="0" w:type="dxa"/>
            <w:vAlign w:val="bottom"/>
          </w:tcPr>
          <w:p>
            <w:pPr>
              <w:spacing w:after="0"/>
              <w:rPr>
                <w:sz w:val="1"/>
                <w:szCs w:val="1"/>
                <w:color w:val="auto"/>
              </w:rPr>
            </w:pPr>
          </w:p>
        </w:tc>
      </w:tr>
      <w:tr>
        <w:trPr>
          <w:trHeight w:val="186"/>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Unvested at December 31, 2012</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287,680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85.28</w:t>
            </w:r>
          </w:p>
        </w:tc>
        <w:tc>
          <w:tcPr>
            <w:tcW w:w="0" w:type="dxa"/>
            <w:vAlign w:val="bottom"/>
          </w:tcPr>
          <w:p>
            <w:pPr>
              <w:spacing w:after="0"/>
              <w:rPr>
                <w:sz w:val="1"/>
                <w:szCs w:val="1"/>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7"/>
                <w:szCs w:val="17"/>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7"/>
                <w:szCs w:val="17"/>
                <w:color w:val="auto"/>
              </w:rPr>
              <w:t>109,033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106.70</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(98,280)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83.45</w:t>
            </w:r>
          </w:p>
        </w:tc>
        <w:tc>
          <w:tcPr>
            <w:tcW w:w="0" w:type="dxa"/>
            <w:vAlign w:val="bottom"/>
          </w:tcPr>
          <w:p>
            <w:pPr>
              <w:spacing w:after="0"/>
              <w:rPr>
                <w:sz w:val="1"/>
                <w:szCs w:val="1"/>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7"/>
                <w:szCs w:val="17"/>
                <w:color w:val="auto"/>
              </w:rPr>
              <w:t>Forfeited</w:t>
            </w:r>
          </w:p>
        </w:tc>
        <w:tc>
          <w:tcPr>
            <w:tcW w:w="1600" w:type="dxa"/>
            <w:vAlign w:val="bottom"/>
          </w:tcPr>
          <w:p>
            <w:pPr>
              <w:jc w:val="right"/>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86.86</w:t>
            </w:r>
          </w:p>
        </w:tc>
        <w:tc>
          <w:tcPr>
            <w:tcW w:w="0" w:type="dxa"/>
            <w:vAlign w:val="bottom"/>
          </w:tcPr>
          <w:p>
            <w:pPr>
              <w:spacing w:after="0"/>
              <w:rPr>
                <w:sz w:val="1"/>
                <w:szCs w:val="1"/>
                <w:color w:val="auto"/>
              </w:rPr>
            </w:pPr>
          </w:p>
        </w:tc>
      </w:tr>
      <w:tr>
        <w:trPr>
          <w:trHeight w:val="26"/>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Unvested at December 31, 2013</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298,203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93.71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0"/>
        <w:spacing w:after="0" w:line="320" w:lineRule="auto"/>
        <w:rPr>
          <w:sz w:val="20"/>
          <w:szCs w:val="20"/>
          <w:color w:val="auto"/>
        </w:rPr>
      </w:pPr>
      <w:r>
        <w:rPr>
          <w:rFonts w:ascii="Arial" w:cs="Arial" w:eastAsia="Arial" w:hAnsi="Arial"/>
          <w:sz w:val="16"/>
          <w:szCs w:val="16"/>
          <w:color w:val="auto"/>
        </w:rPr>
        <w:t>The weighted-average grant-date fair value of stock awarded in 2013, 2012 and 2011 was $106.70, $96.35 and $81.94, respectively. The total vesting-date fair value of shares vested during the year ended December 31, 2013, 2012 and 2011, was $10.6 million, $10.3 million and $6.3 million,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2013, there was $15.2 million of total unrecognized compensation cost related to unvested share-based compensation arrangements (i.e.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options and unvested shares) granted under our plans. This cost is expected to be recognized over the next 4.9 years with a weighted-average period of 1.9 years.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31, 2013, common shares were awarded under various compensation plans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Vesting Term</w:t>
            </w:r>
          </w:p>
        </w:tc>
        <w:tc>
          <w:tcPr>
            <w:tcW w:w="12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Beneficiary</w:t>
            </w:r>
          </w:p>
        </w:tc>
      </w:tr>
      <w:tr>
        <w:trPr>
          <w:trHeight w:val="24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February 6, 2014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110,353</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Restricted shares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3-5 years</w:t>
            </w:r>
          </w:p>
        </w:tc>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Officers and key employees</w:t>
            </w:r>
          </w:p>
        </w:tc>
      </w:tr>
      <w:tr>
        <w:trPr>
          <w:trHeight w:val="235"/>
        </w:trPr>
        <w:tc>
          <w:tcPr>
            <w:tcW w:w="2380" w:type="dxa"/>
            <w:vAlign w:val="bottom"/>
            <w:gridSpan w:val="2"/>
          </w:tcPr>
          <w:p>
            <w:pPr>
              <w:ind w:left="40"/>
              <w:spacing w:after="0"/>
              <w:rPr>
                <w:sz w:val="20"/>
                <w:szCs w:val="20"/>
                <w:color w:val="auto"/>
              </w:rPr>
            </w:pPr>
            <w:r>
              <w:rPr>
                <w:rFonts w:ascii="Arial" w:cs="Arial" w:eastAsia="Arial" w:hAnsi="Arial"/>
                <w:sz w:val="17"/>
                <w:szCs w:val="17"/>
                <w:color w:val="auto"/>
              </w:rPr>
              <w:t>January 2, 2014</w:t>
            </w:r>
          </w:p>
        </w:tc>
        <w:tc>
          <w:tcPr>
            <w:tcW w:w="980" w:type="dxa"/>
            <w:vAlign w:val="bottom"/>
          </w:tcPr>
          <w:p>
            <w:pPr>
              <w:jc w:val="right"/>
              <w:spacing w:after="0"/>
              <w:rPr>
                <w:sz w:val="20"/>
                <w:szCs w:val="20"/>
                <w:color w:val="auto"/>
              </w:rPr>
            </w:pPr>
            <w:r>
              <w:rPr>
                <w:rFonts w:ascii="Arial" w:cs="Arial" w:eastAsia="Arial" w:hAnsi="Arial"/>
                <w:sz w:val="17"/>
                <w:szCs w:val="17"/>
                <w:color w:val="auto"/>
              </w:rPr>
              <w:t>5,914</w:t>
            </w:r>
          </w:p>
        </w:tc>
        <w:tc>
          <w:tcPr>
            <w:tcW w:w="2460" w:type="dxa"/>
            <w:vAlign w:val="bottom"/>
            <w:gridSpan w:val="2"/>
          </w:tcPr>
          <w:p>
            <w:pPr>
              <w:ind w:left="80"/>
              <w:spacing w:after="0"/>
              <w:rPr>
                <w:sz w:val="20"/>
                <w:szCs w:val="20"/>
                <w:color w:val="auto"/>
              </w:rPr>
            </w:pPr>
            <w:r>
              <w:rPr>
                <w:rFonts w:ascii="Arial" w:cs="Arial" w:eastAsia="Arial" w:hAnsi="Arial"/>
                <w:sz w:val="17"/>
                <w:szCs w:val="17"/>
                <w:color w:val="auto"/>
              </w:rPr>
              <w:t>Shares</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Immediate</w:t>
            </w:r>
          </w:p>
        </w:tc>
        <w:tc>
          <w:tcPr>
            <w:tcW w:w="3200" w:type="dxa"/>
            <w:vAlign w:val="bottom"/>
          </w:tcPr>
          <w:p>
            <w:pPr>
              <w:ind w:left="40"/>
              <w:spacing w:after="0"/>
              <w:rPr>
                <w:sz w:val="20"/>
                <w:szCs w:val="20"/>
                <w:color w:val="auto"/>
              </w:rPr>
            </w:pPr>
            <w:r>
              <w:rPr>
                <w:rFonts w:ascii="Arial" w:cs="Arial" w:eastAsia="Arial" w:hAnsi="Arial"/>
                <w:sz w:val="17"/>
                <w:szCs w:val="17"/>
                <w:color w:val="auto"/>
              </w:rPr>
              <w:t>Trustees</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16—SAVINGS AND RETIREMENT PLANS</w:t>
      </w:r>
    </w:p>
    <w:p>
      <w:pPr>
        <w:spacing w:after="0" w:line="9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have a savings and retirement plan in accordance with the provisions of Section 401(k) of the Code. Generally, employees can elect, at their discretion, to contribute a portion of their compensation up to a maximum of $17,500 for 2013, $17,000 for 2012 and $16,500 for 2011.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for new employees who joined the Trust after December 31, 2011, and their first anniversary of employment for all other participants. Our expense for the years ended December 31, 2013, 2012 and 2011 was approximately $384,000, $427,000 and $365,000, respectively.</w:t>
      </w:r>
    </w:p>
    <w:p>
      <w:pPr>
        <w:spacing w:after="0" w:line="128"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2013 and 2012, we are liable to participants for approximately $9.2 million and $7.2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17—EARNINGS PER SHARE</w:t>
      </w:r>
    </w:p>
    <w:p>
      <w:pPr>
        <w:spacing w:after="0" w:line="9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2013, 2012 and 2011,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the dilutive EPS calculation, dilutive stock options were calculated using the treasury stock method consistent with prior periods. There were no anti-dilutive stock options in 2013 or 2012. Approximately 0.1 million stock options were excluded in 2011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left="355"/>
              <w:spacing w:after="0"/>
              <w:rPr>
                <w:sz w:val="20"/>
                <w:szCs w:val="20"/>
                <w:color w:val="auto"/>
              </w:rPr>
            </w:pPr>
            <w:r>
              <w:rPr>
                <w:rFonts w:ascii="Arial" w:cs="Arial" w:eastAsia="Arial" w:hAnsi="Arial"/>
                <w:sz w:val="14"/>
                <w:szCs w:val="14"/>
                <w:b w:val="1"/>
                <w:bCs w:val="1"/>
                <w:color w:val="auto"/>
                <w:w w:val="89"/>
              </w:rPr>
              <w:t>Year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5"/>
          </w:tcPr>
          <w:p>
            <w:pPr>
              <w:jc w:val="center"/>
              <w:ind w:left="375"/>
              <w:spacing w:after="0"/>
              <w:rPr>
                <w:sz w:val="20"/>
                <w:szCs w:val="20"/>
                <w:color w:val="auto"/>
              </w:rPr>
            </w:pPr>
            <w:r>
              <w:rPr>
                <w:rFonts w:ascii="Arial" w:cs="Arial" w:eastAsia="Arial" w:hAnsi="Arial"/>
                <w:sz w:val="14"/>
                <w:szCs w:val="14"/>
                <w:b w:val="1"/>
                <w:bCs w:val="1"/>
                <w:color w:val="auto"/>
                <w:w w:val="88"/>
              </w:rPr>
              <w:t>(In thousands, except per share data)</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7780" w:type="dxa"/>
            <w:vAlign w:val="bottom"/>
          </w:tcPr>
          <w:p>
            <w:pPr>
              <w:ind w:left="4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137,811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142,972</w:t>
            </w:r>
          </w:p>
        </w:tc>
        <w:tc>
          <w:tcPr>
            <w:tcW w:w="5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4"/>
              </w:rPr>
              <w:t>130,319</w:t>
            </w:r>
          </w:p>
        </w:tc>
        <w:tc>
          <w:tcPr>
            <w:tcW w:w="0" w:type="dxa"/>
            <w:vAlign w:val="bottom"/>
          </w:tcPr>
          <w:p>
            <w:pPr>
              <w:spacing w:after="0"/>
              <w:rPr>
                <w:sz w:val="1"/>
                <w:szCs w:val="1"/>
                <w:color w:val="auto"/>
              </w:rPr>
            </w:pP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Less: Preferred share dividends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(541)</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Income from continuing operations attributable to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(5,475)</w:t>
            </w:r>
          </w:p>
        </w:tc>
        <w:tc>
          <w:tcPr>
            <w:tcW w:w="0" w:type="dxa"/>
            <w:vAlign w:val="bottom"/>
          </w:tcPr>
          <w:p>
            <w:pPr>
              <w:spacing w:after="0"/>
              <w:rPr>
                <w:sz w:val="1"/>
                <w:szCs w:val="1"/>
                <w:color w:val="auto"/>
              </w:rPr>
            </w:pP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Less: Earnings allocated to unvested shares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(845)</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131,454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137,279</w:t>
            </w:r>
          </w:p>
        </w:tc>
        <w:tc>
          <w:tcPr>
            <w:tcW w:w="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4"/>
              </w:rPr>
              <w:t>123,598</w:t>
            </w:r>
          </w:p>
        </w:tc>
        <w:tc>
          <w:tcPr>
            <w:tcW w:w="0" w:type="dxa"/>
            <w:vAlign w:val="bottom"/>
          </w:tcPr>
          <w:p>
            <w:pPr>
              <w:spacing w:after="0"/>
              <w:rPr>
                <w:sz w:val="1"/>
                <w:szCs w:val="1"/>
                <w:color w:val="auto"/>
              </w:rPr>
            </w:pP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Results from discontinued operations attributable to the Trust</w:t>
            </w:r>
          </w:p>
        </w:tc>
        <w:tc>
          <w:tcPr>
            <w:tcW w:w="2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24,803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1,400</w:t>
            </w:r>
          </w:p>
        </w:tc>
        <w:tc>
          <w:tcPr>
            <w:tcW w:w="5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19,073</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11,860</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78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 basic and diluted</w:t>
            </w: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161,251</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150,539</w:t>
            </w:r>
          </w:p>
        </w:tc>
        <w:tc>
          <w:tcPr>
            <w:tcW w:w="50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94"/>
              </w:rPr>
              <w:t>142,671</w:t>
            </w:r>
          </w:p>
        </w:tc>
        <w:tc>
          <w:tcPr>
            <w:tcW w:w="0" w:type="dxa"/>
            <w:vAlign w:val="bottom"/>
          </w:tcPr>
          <w:p>
            <w:pPr>
              <w:spacing w:after="0"/>
              <w:rPr>
                <w:sz w:val="1"/>
                <w:szCs w:val="1"/>
                <w:color w:val="auto"/>
              </w:rPr>
            </w:pPr>
          </w:p>
        </w:tc>
      </w:tr>
      <w:tr>
        <w:trPr>
          <w:trHeight w:val="66"/>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DENOMINATOR</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Weighted average common shares outstanding—basic</w:t>
            </w:r>
          </w:p>
        </w:tc>
        <w:tc>
          <w:tcPr>
            <w:tcW w:w="2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65,331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63,881</w:t>
            </w:r>
          </w:p>
        </w:tc>
        <w:tc>
          <w:tcPr>
            <w:tcW w:w="5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62,438</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dilutive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360"/>
              <w:spacing w:after="0"/>
              <w:rPr>
                <w:sz w:val="20"/>
                <w:szCs w:val="20"/>
                <w:color w:val="auto"/>
              </w:rPr>
            </w:pPr>
            <w:r>
              <w:rPr>
                <w:rFonts w:ascii="Arial" w:cs="Arial" w:eastAsia="Arial" w:hAnsi="Arial"/>
                <w:sz w:val="17"/>
                <w:szCs w:val="17"/>
                <w:color w:val="auto"/>
              </w:rPr>
              <w:t>Stock options</w:t>
            </w:r>
          </w:p>
        </w:tc>
        <w:tc>
          <w:tcPr>
            <w:tcW w:w="2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175</w:t>
            </w:r>
          </w:p>
        </w:tc>
        <w:tc>
          <w:tcPr>
            <w:tcW w:w="5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common shares outstanding—diluted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65,483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64,056</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62,603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Continuing operations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2.15</w:t>
            </w:r>
          </w:p>
        </w:tc>
        <w:tc>
          <w:tcPr>
            <w:tcW w:w="5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Discontinued operations</w:t>
            </w:r>
          </w:p>
        </w:tc>
        <w:tc>
          <w:tcPr>
            <w:tcW w:w="2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0.38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0.02</w:t>
            </w:r>
          </w:p>
        </w:tc>
        <w:tc>
          <w:tcPr>
            <w:tcW w:w="5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0.19</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78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2.47</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2.36</w:t>
            </w:r>
          </w:p>
        </w:tc>
        <w:tc>
          <w:tcPr>
            <w:tcW w:w="50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66"/>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EARNINGS PER COMMON SHARE, DILUTED</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Continuing operations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2.14</w:t>
            </w:r>
          </w:p>
        </w:tc>
        <w:tc>
          <w:tcPr>
            <w:tcW w:w="50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0.02</w:t>
            </w:r>
          </w:p>
        </w:tc>
        <w:tc>
          <w:tcPr>
            <w:tcW w:w="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0.08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0.19</w:t>
            </w:r>
          </w:p>
        </w:tc>
        <w:tc>
          <w:tcPr>
            <w:tcW w:w="5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2.35</w:t>
            </w:r>
          </w:p>
        </w:tc>
        <w:tc>
          <w:tcPr>
            <w:tcW w:w="5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80" w:type="dxa"/>
            <w:vAlign w:val="bottom"/>
            <w:vMerge w:val="continue"/>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132,884</w:t>
            </w:r>
          </w:p>
        </w:tc>
        <w:tc>
          <w:tcPr>
            <w:tcW w:w="12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138,665</w:t>
            </w:r>
          </w:p>
        </w:tc>
        <w:tc>
          <w:tcPr>
            <w:tcW w:w="50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w w:val="94"/>
              </w:rPr>
              <w:t>124,844</w:t>
            </w:r>
          </w:p>
        </w:tc>
        <w:tc>
          <w:tcPr>
            <w:tcW w:w="0" w:type="dxa"/>
            <w:vAlign w:val="bottom"/>
          </w:tcPr>
          <w:p>
            <w:pPr>
              <w:spacing w:after="0"/>
              <w:rPr>
                <w:sz w:val="1"/>
                <w:szCs w:val="1"/>
                <w:color w:val="auto"/>
              </w:rPr>
            </w:pPr>
          </w:p>
        </w:tc>
      </w:tr>
      <w:tr>
        <w:trPr>
          <w:trHeight w:val="886"/>
        </w:trPr>
        <w:tc>
          <w:tcPr>
            <w:tcW w:w="7780" w:type="dxa"/>
            <w:vAlign w:val="bottom"/>
          </w:tcPr>
          <w:p>
            <w:pPr>
              <w:ind w:left="5540"/>
              <w:spacing w:after="0"/>
              <w:rPr>
                <w:sz w:val="20"/>
                <w:szCs w:val="20"/>
                <w:color w:val="auto"/>
              </w:rPr>
            </w:pPr>
            <w:r>
              <w:rPr>
                <w:rFonts w:ascii="Arial" w:cs="Arial" w:eastAsia="Arial" w:hAnsi="Arial"/>
                <w:sz w:val="17"/>
                <w:szCs w:val="17"/>
                <w:color w:val="auto"/>
              </w:rPr>
              <w:t>F-28</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18—SELECTED QUARTERLY FINANCIAL DATA (UNAUDITED)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Summarized quarterly financial data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14"/>
                <w:szCs w:val="14"/>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4"/>
                <w:szCs w:val="14"/>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Third</w:t>
            </w:r>
          </w:p>
        </w:tc>
        <w:tc>
          <w:tcPr>
            <w:tcW w:w="360" w:type="dxa"/>
            <w:vAlign w:val="bottom"/>
          </w:tcPr>
          <w:p>
            <w:pPr>
              <w:spacing w:after="0"/>
              <w:rPr>
                <w:sz w:val="14"/>
                <w:szCs w:val="14"/>
                <w:color w:val="auto"/>
              </w:rPr>
            </w:pPr>
          </w:p>
        </w:tc>
        <w:tc>
          <w:tcPr>
            <w:tcW w:w="108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Fourth</w:t>
            </w:r>
          </w:p>
        </w:tc>
      </w:tr>
      <w:tr>
        <w:trPr>
          <w:trHeight w:val="186"/>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Quarter</w:t>
            </w:r>
          </w:p>
        </w:tc>
      </w:tr>
      <w:tr>
        <w:trPr>
          <w:trHeight w:val="189"/>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2013</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Revenue(1)</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157,150</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157,387</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159,030</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163,846</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62,502</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63,488</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64,701</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63,470</w:t>
            </w: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Net income(2)</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35,842</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38,797</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63,366</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29,603</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Trust(2)</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34,588</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37,539</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62,098</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28,456</w:t>
            </w: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shareholders(2)</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34,453</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37,404</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61,962</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28,321</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per common share—basic(2)</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0.53</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0.57</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0.94</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0.43</w:t>
            </w: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Earnings per common share—diluted(2)</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0.53</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0.57</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0.94</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0.42</w:t>
            </w:r>
          </w:p>
        </w:tc>
      </w:tr>
      <w:tr>
        <w:trPr>
          <w:trHeight w:val="173"/>
        </w:trPr>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15"/>
                <w:szCs w:val="15"/>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5"/>
                <w:szCs w:val="15"/>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Third</w:t>
            </w:r>
          </w:p>
        </w:tc>
        <w:tc>
          <w:tcPr>
            <w:tcW w:w="360" w:type="dxa"/>
            <w:vAlign w:val="bottom"/>
          </w:tcPr>
          <w:p>
            <w:pPr>
              <w:spacing w:after="0"/>
              <w:rPr>
                <w:sz w:val="15"/>
                <w:szCs w:val="15"/>
                <w:color w:val="auto"/>
              </w:rPr>
            </w:pPr>
          </w:p>
        </w:tc>
        <w:tc>
          <w:tcPr>
            <w:tcW w:w="108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Fourth</w:t>
            </w:r>
          </w:p>
        </w:tc>
      </w:tr>
      <w:tr>
        <w:trPr>
          <w:trHeight w:val="186"/>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Quarter</w:t>
            </w:r>
          </w:p>
        </w:tc>
      </w:tr>
      <w:tr>
        <w:trPr>
          <w:trHeight w:val="189"/>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Revenue(1)</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145,733</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147,041</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157,232</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155,785</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60,189</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61,431</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66,752</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65,490</w:t>
            </w: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44,122</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33,596</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39,656</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38,858</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42,986</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32,603</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38,644</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37,692</w:t>
            </w: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42,851</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32,468</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38,508</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37,557</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per common share—basic</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0.67</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0.51</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0.60</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0.58</w:t>
            </w:r>
          </w:p>
        </w:tc>
      </w:tr>
      <w:tr>
        <w:trPr>
          <w:trHeight w:val="235"/>
        </w:trPr>
        <w:tc>
          <w:tcPr>
            <w:tcW w:w="5600" w:type="dxa"/>
            <w:vAlign w:val="bottom"/>
          </w:tcPr>
          <w:p>
            <w:pPr>
              <w:ind w:left="40"/>
              <w:spacing w:after="0"/>
              <w:rPr>
                <w:sz w:val="20"/>
                <w:szCs w:val="20"/>
                <w:color w:val="auto"/>
              </w:rPr>
            </w:pPr>
            <w:r>
              <w:rPr>
                <w:rFonts w:ascii="Arial" w:cs="Arial" w:eastAsia="Arial" w:hAnsi="Arial"/>
                <w:sz w:val="17"/>
                <w:szCs w:val="17"/>
                <w:color w:val="auto"/>
              </w:rPr>
              <w:t>Earnings per common share—diluted</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0.67</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0.51</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0.60</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0.58</w:t>
            </w:r>
          </w:p>
        </w:tc>
      </w:tr>
    </w:tbl>
    <w:p>
      <w:pPr>
        <w:spacing w:after="0" w:line="222" w:lineRule="exact"/>
        <w:rPr>
          <w:sz w:val="20"/>
          <w:szCs w:val="20"/>
          <w:color w:val="auto"/>
        </w:rPr>
      </w:pPr>
    </w:p>
    <w:p>
      <w:pPr>
        <w:ind w:left="640" w:hanging="63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Revenue has been reduced to reflect the results of discontinued operations. Revenue from discontinued operations, by quarter, is summarized as follows:</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82"/>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auto"/>
                <w:w w:val="86"/>
              </w:rPr>
              <w:t>Second</w:t>
            </w:r>
          </w:p>
        </w:tc>
        <w:tc>
          <w:tcPr>
            <w:tcW w:w="520" w:type="dxa"/>
            <w:vAlign w:val="bottom"/>
          </w:tcPr>
          <w:p>
            <w:pPr>
              <w:spacing w:after="0"/>
              <w:rPr>
                <w:sz w:val="14"/>
                <w:szCs w:val="14"/>
                <w:color w:val="auto"/>
              </w:rPr>
            </w:pPr>
          </w:p>
        </w:tc>
        <w:tc>
          <w:tcPr>
            <w:tcW w:w="980" w:type="dxa"/>
            <w:vAlign w:val="bottom"/>
          </w:tcPr>
          <w:p>
            <w:pPr>
              <w:jc w:val="right"/>
              <w:ind w:right="462"/>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100" w:type="dxa"/>
            <w:vAlign w:val="bottom"/>
          </w:tcPr>
          <w:p>
            <w:pPr>
              <w:jc w:val="right"/>
              <w:ind w:right="402"/>
              <w:spacing w:after="0"/>
              <w:rPr>
                <w:sz w:val="20"/>
                <w:szCs w:val="20"/>
                <w:color w:val="auto"/>
              </w:rPr>
            </w:pPr>
            <w:r>
              <w:rPr>
                <w:rFonts w:ascii="Arial" w:cs="Arial" w:eastAsia="Arial" w:hAnsi="Arial"/>
                <w:sz w:val="14"/>
                <w:szCs w:val="14"/>
                <w:b w:val="1"/>
                <w:bCs w:val="1"/>
                <w:color w:val="auto"/>
              </w:rPr>
              <w:t>Fourth</w:t>
            </w:r>
          </w:p>
        </w:tc>
      </w:tr>
      <w:tr>
        <w:trPr>
          <w:trHeight w:val="186"/>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Quarter</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4"/>
              </w:rPr>
              <w:t>Quarter</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Quarter</w:t>
            </w:r>
          </w:p>
        </w:tc>
      </w:tr>
      <w:tr>
        <w:trPr>
          <w:trHeight w:val="241"/>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ind w:left="72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2013 revenue from discontinued operations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602</w:t>
            </w:r>
          </w:p>
        </w:tc>
        <w:tc>
          <w:tcPr>
            <w:tcW w:w="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559</w:t>
            </w:r>
          </w:p>
        </w:tc>
        <w:tc>
          <w:tcPr>
            <w:tcW w:w="5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385</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r>
      <w:tr>
        <w:trPr>
          <w:trHeight w:val="235"/>
        </w:trPr>
        <w:tc>
          <w:tcPr>
            <w:tcW w:w="4800" w:type="dxa"/>
            <w:vAlign w:val="bottom"/>
          </w:tcPr>
          <w:p>
            <w:pPr>
              <w:ind w:left="40"/>
              <w:spacing w:after="0"/>
              <w:rPr>
                <w:sz w:val="20"/>
                <w:szCs w:val="20"/>
                <w:color w:val="auto"/>
              </w:rPr>
            </w:pPr>
            <w:r>
              <w:rPr>
                <w:rFonts w:ascii="Arial" w:cs="Arial" w:eastAsia="Arial" w:hAnsi="Arial"/>
                <w:sz w:val="17"/>
                <w:szCs w:val="17"/>
                <w:color w:val="auto"/>
              </w:rPr>
              <w:t>2012 revenue from discontinued operations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2"/>
              <w:spacing w:after="0"/>
              <w:rPr>
                <w:sz w:val="20"/>
                <w:szCs w:val="20"/>
                <w:color w:val="auto"/>
              </w:rPr>
            </w:pPr>
            <w:r>
              <w:rPr>
                <w:rFonts w:ascii="Arial" w:cs="Arial" w:eastAsia="Arial" w:hAnsi="Arial"/>
                <w:sz w:val="17"/>
                <w:szCs w:val="17"/>
                <w:color w:val="auto"/>
              </w:rPr>
              <w:t>556</w:t>
            </w:r>
          </w:p>
        </w:tc>
        <w:tc>
          <w:tcPr>
            <w:tcW w:w="3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00" w:type="dxa"/>
            <w:vAlign w:val="bottom"/>
          </w:tcPr>
          <w:p>
            <w:pPr>
              <w:ind w:left="720"/>
              <w:spacing w:after="0"/>
              <w:rPr>
                <w:sz w:val="20"/>
                <w:szCs w:val="20"/>
                <w:color w:val="auto"/>
              </w:rPr>
            </w:pPr>
            <w:r>
              <w:rPr>
                <w:rFonts w:ascii="Arial" w:cs="Arial" w:eastAsia="Arial" w:hAnsi="Arial"/>
                <w:sz w:val="17"/>
                <w:szCs w:val="17"/>
                <w:color w:val="auto"/>
              </w:rPr>
              <w:t>520</w:t>
            </w:r>
          </w:p>
        </w:tc>
        <w:tc>
          <w:tcPr>
            <w:tcW w:w="5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42"/>
              <w:spacing w:after="0"/>
              <w:rPr>
                <w:sz w:val="20"/>
                <w:szCs w:val="20"/>
                <w:color w:val="auto"/>
              </w:rPr>
            </w:pPr>
            <w:r>
              <w:rPr>
                <w:rFonts w:ascii="Arial" w:cs="Arial" w:eastAsia="Arial" w:hAnsi="Arial"/>
                <w:sz w:val="17"/>
                <w:szCs w:val="17"/>
                <w:color w:val="auto"/>
              </w:rPr>
              <w:t>572</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2"/>
              <w:spacing w:after="0"/>
              <w:rPr>
                <w:sz w:val="20"/>
                <w:szCs w:val="20"/>
                <w:color w:val="auto"/>
              </w:rPr>
            </w:pPr>
            <w:r>
              <w:rPr>
                <w:rFonts w:ascii="Arial" w:cs="Arial" w:eastAsia="Arial" w:hAnsi="Arial"/>
                <w:sz w:val="17"/>
                <w:szCs w:val="17"/>
                <w:color w:val="auto"/>
              </w:rPr>
              <w:t>579</w:t>
            </w:r>
          </w:p>
        </w:tc>
      </w:tr>
    </w:tbl>
    <w:p>
      <w:pPr>
        <w:spacing w:after="0" w:line="19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(2)</w:t>
        <w:tab/>
        <w:t>Third quarter 2013 includes a $23.9 million gain on sale of two retail buildings as further discussed in Note 3.</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19—SUBSEQUENT EVENT</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Effective January 1, 2014, we acquired a controlling interest in The Grove at Shrewsbury, a 187,000 square foot shopping center in Shrewsbury, New Jersey, and Brook 35 Plaza, a 99,000 square foot shopping center in Sea Girt, New Jersey for a gross value of $161 million. Our effective economic interest approximates 84% and was funded by the assumption of our share of $68 million of mortgage debt, 632,000 downREIT units, and $13 million of cash. The mortgage debt assumed is secured by the individual properties and has the following contractual terms: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180" w:type="dxa"/>
            <w:vAlign w:val="bottom"/>
          </w:tcPr>
          <w:p>
            <w:pPr>
              <w:jc w:val="center"/>
              <w:ind w:left="365"/>
              <w:spacing w:after="0"/>
              <w:rPr>
                <w:sz w:val="20"/>
                <w:szCs w:val="20"/>
                <w:color w:val="auto"/>
              </w:rPr>
            </w:pPr>
            <w:r>
              <w:rPr>
                <w:rFonts w:ascii="Arial" w:cs="Arial" w:eastAsia="Arial" w:hAnsi="Arial"/>
                <w:sz w:val="14"/>
                <w:szCs w:val="14"/>
                <w:b w:val="1"/>
                <w:bCs w:val="1"/>
                <w:color w:val="auto"/>
                <w:w w:val="91"/>
              </w:rPr>
              <w:t>Principal</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Stated Interest Rate</w:t>
            </w:r>
          </w:p>
        </w:tc>
        <w:tc>
          <w:tcPr>
            <w:tcW w:w="1820" w:type="dxa"/>
            <w:vAlign w:val="bottom"/>
          </w:tcPr>
          <w:p>
            <w:pPr>
              <w:jc w:val="right"/>
              <w:ind w:right="397"/>
              <w:spacing w:after="0"/>
              <w:rPr>
                <w:sz w:val="20"/>
                <w:szCs w:val="20"/>
                <w:color w:val="auto"/>
              </w:rPr>
            </w:pPr>
            <w:r>
              <w:rPr>
                <w:rFonts w:ascii="Arial" w:cs="Arial" w:eastAsia="Arial" w:hAnsi="Arial"/>
                <w:sz w:val="14"/>
                <w:szCs w:val="14"/>
                <w:b w:val="1"/>
                <w:bCs w:val="1"/>
                <w:color w:val="auto"/>
              </w:rPr>
              <w:t>Maturity Date</w:t>
            </w:r>
          </w:p>
        </w:tc>
      </w:tr>
      <w:tr>
        <w:trPr>
          <w:trHeight w:val="254"/>
        </w:trPr>
        <w:tc>
          <w:tcPr>
            <w:tcW w:w="5900" w:type="dxa"/>
            <w:vAlign w:val="bottom"/>
          </w:tcPr>
          <w:p>
            <w:pPr>
              <w:spacing w:after="0"/>
              <w:rPr>
                <w:sz w:val="22"/>
                <w:szCs w:val="22"/>
                <w:color w:val="auto"/>
              </w:rPr>
            </w:pPr>
          </w:p>
        </w:tc>
        <w:tc>
          <w:tcPr>
            <w:tcW w:w="1180" w:type="dxa"/>
            <w:vAlign w:val="bottom"/>
            <w:tcBorders>
              <w:top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1"/>
              </w:rPr>
              <w:t>(in millions)</w:t>
            </w: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4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Brook 35 Plaza</w:t>
            </w:r>
          </w:p>
        </w:tc>
        <w:tc>
          <w:tcPr>
            <w:tcW w:w="118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0"/>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July 1, 2014</w:t>
            </w:r>
          </w:p>
        </w:tc>
      </w:tr>
      <w:tr>
        <w:trPr>
          <w:trHeight w:val="235"/>
        </w:trPr>
        <w:tc>
          <w:tcPr>
            <w:tcW w:w="5900" w:type="dxa"/>
            <w:vAlign w:val="bottom"/>
          </w:tcPr>
          <w:p>
            <w:pPr>
              <w:ind w:left="40"/>
              <w:spacing w:after="0"/>
              <w:rPr>
                <w:sz w:val="20"/>
                <w:szCs w:val="20"/>
                <w:color w:val="auto"/>
              </w:rPr>
            </w:pPr>
            <w:r>
              <w:rPr>
                <w:rFonts w:ascii="Arial" w:cs="Arial" w:eastAsia="Arial" w:hAnsi="Arial"/>
                <w:sz w:val="17"/>
                <w:szCs w:val="17"/>
                <w:color w:val="auto"/>
              </w:rPr>
              <w:t>The Grove at Shrewsbury</w:t>
            </w:r>
          </w:p>
        </w:tc>
        <w:tc>
          <w:tcPr>
            <w:tcW w:w="1180" w:type="dxa"/>
            <w:vAlign w:val="bottom"/>
          </w:tcPr>
          <w:p>
            <w:pPr>
              <w:spacing w:after="0"/>
              <w:rPr>
                <w:sz w:val="20"/>
                <w:szCs w:val="20"/>
                <w:color w:val="auto"/>
              </w:rPr>
            </w:pPr>
          </w:p>
        </w:tc>
        <w:tc>
          <w:tcPr>
            <w:tcW w:w="420" w:type="dxa"/>
            <w:vAlign w:val="bottom"/>
          </w:tcPr>
          <w:p>
            <w:pPr>
              <w:jc w:val="right"/>
              <w:ind w:right="13"/>
              <w:spacing w:after="0"/>
              <w:rPr>
                <w:sz w:val="20"/>
                <w:szCs w:val="20"/>
                <w:color w:val="auto"/>
              </w:rPr>
            </w:pPr>
            <w:r>
              <w:rPr>
                <w:rFonts w:ascii="Arial" w:cs="Arial" w:eastAsia="Arial" w:hAnsi="Arial"/>
                <w:sz w:val="17"/>
                <w:szCs w:val="17"/>
                <w:color w:val="auto"/>
                <w:w w:val="90"/>
              </w:rPr>
              <w:t>45.4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October 1, 2017</w:t>
            </w:r>
          </w:p>
        </w:tc>
      </w:tr>
      <w:tr>
        <w:trPr>
          <w:trHeight w:val="26"/>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5"/>
        </w:trPr>
        <w:tc>
          <w:tcPr>
            <w:tcW w:w="5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The Grove at Shrewsbury (West)</w:t>
            </w: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0"/>
              </w:rPr>
              <w:t>11.4</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March 1, 2018</w:t>
            </w:r>
          </w:p>
        </w:tc>
      </w:tr>
      <w:tr>
        <w:trPr>
          <w:trHeight w:val="26"/>
        </w:trPr>
        <w:tc>
          <w:tcPr>
            <w:tcW w:w="59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 purchase price allocation will be completed after our valuation studies are complete. Additionally, we have entered into an agreement to acquire the interest of one of the non-controlling interest holders in the Grove at Shrewsbury for approximately $9 million in 2015.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DECEMBER 31, 2013</w:t>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6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5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B</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C</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D</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COLUMN 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COLUMN F</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G</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H</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8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Life on</w:t>
            </w: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6"/>
            <w:vMerge w:val="restart"/>
          </w:tcPr>
          <w:p>
            <w:pPr>
              <w:jc w:val="center"/>
              <w:ind w:right="80"/>
              <w:spacing w:after="0"/>
              <w:rPr>
                <w:sz w:val="20"/>
                <w:szCs w:val="20"/>
                <w:color w:val="auto"/>
              </w:rPr>
            </w:pPr>
            <w:r>
              <w:rPr>
                <w:rFonts w:ascii="Arial" w:cs="Arial" w:eastAsia="Arial" w:hAnsi="Arial"/>
                <w:sz w:val="12"/>
                <w:szCs w:val="12"/>
                <w:b w:val="1"/>
                <w:bCs w:val="1"/>
                <w:color w:val="auto"/>
                <w:w w:val="91"/>
              </w:rPr>
              <w:t>Gross amount at which carried at</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which</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6"/>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rPr>
              <w:t>Initial cost to company</w:t>
            </w:r>
          </w:p>
        </w:tc>
        <w:tc>
          <w:tcPr>
            <w:tcW w:w="12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Cost</w:t>
            </w:r>
          </w:p>
        </w:tc>
        <w:tc>
          <w:tcPr>
            <w:tcW w:w="7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2"/>
                <w:szCs w:val="12"/>
                <w:b w:val="1"/>
                <w:bCs w:val="1"/>
                <w:color w:val="auto"/>
                <w:w w:val="86"/>
              </w:rPr>
              <w:t>close of period</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8"/>
              </w:rPr>
              <w:t>in latest</w:t>
            </w:r>
          </w:p>
        </w:tc>
        <w:tc>
          <w:tcPr>
            <w:tcW w:w="0" w:type="dxa"/>
            <w:vAlign w:val="bottom"/>
          </w:tcPr>
          <w:p>
            <w:pPr>
              <w:spacing w:after="0"/>
              <w:rPr>
                <w:sz w:val="1"/>
                <w:szCs w:val="1"/>
                <w:color w:val="auto"/>
              </w:rPr>
            </w:pPr>
          </w:p>
        </w:tc>
      </w:tr>
      <w:tr>
        <w:trPr>
          <w:trHeight w:val="105"/>
        </w:trPr>
        <w:tc>
          <w:tcPr>
            <w:tcW w:w="1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4"/>
              </w:rPr>
              <w:t>Capitalized</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85"/>
              </w:rPr>
              <w:t>income</w:t>
            </w: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Subsequent</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Depreciation</w:t>
            </w:r>
          </w:p>
        </w:tc>
        <w:tc>
          <w:tcPr>
            <w:tcW w:w="10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statements</w:t>
            </w: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9"/>
              </w:rPr>
              <w:t>Building and</w:t>
            </w: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7"/>
              </w:rPr>
              <w:t>to</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Building and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and</w:t>
            </w:r>
          </w:p>
        </w:tc>
        <w:tc>
          <w:tcPr>
            <w:tcW w:w="10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of</w:t>
            </w:r>
          </w:p>
        </w:tc>
        <w:tc>
          <w:tcPr>
            <w:tcW w:w="84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2"/>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79"/>
              </w:rPr>
              <w:t>is</w:t>
            </w: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5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Encumbrance</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Land</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Acquisition</w:t>
            </w:r>
          </w:p>
        </w:tc>
        <w:tc>
          <w:tcPr>
            <w:tcW w:w="740" w:type="dxa"/>
            <w:vAlign w:val="bottom"/>
          </w:tcPr>
          <w:p>
            <w:pPr>
              <w:jc w:val="right"/>
              <w:ind w:right="172"/>
              <w:spacing w:after="0"/>
              <w:rPr>
                <w:sz w:val="20"/>
                <w:szCs w:val="20"/>
                <w:color w:val="auto"/>
              </w:rPr>
            </w:pPr>
            <w:r>
              <w:rPr>
                <w:rFonts w:ascii="Arial" w:cs="Arial" w:eastAsia="Arial" w:hAnsi="Arial"/>
                <w:sz w:val="12"/>
                <w:szCs w:val="12"/>
                <w:b w:val="1"/>
                <w:bCs w:val="1"/>
                <w:color w:val="auto"/>
              </w:rPr>
              <w:t>Land</w:t>
            </w:r>
          </w:p>
        </w:tc>
        <w:tc>
          <w:tcPr>
            <w:tcW w:w="1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Improvements</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Total</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Amortization</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Construction</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Acquired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51"/>
        </w:trPr>
        <w:tc>
          <w:tcPr>
            <w:tcW w:w="186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150 POST STREET</w:t>
            </w:r>
          </w:p>
        </w:tc>
        <w:tc>
          <w:tcPr>
            <w:tcW w:w="5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11,685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9,181</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16,160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11,685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25,341</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37,026</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15,265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1908, 1965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10/23/1997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55"/>
        </w:trPr>
        <w:tc>
          <w:tcPr>
            <w:tcW w:w="1860" w:type="dxa"/>
            <w:vAlign w:val="bottom"/>
          </w:tcPr>
          <w:p>
            <w:pPr>
              <w:ind w:left="40"/>
              <w:spacing w:after="0"/>
              <w:rPr>
                <w:sz w:val="20"/>
                <w:szCs w:val="20"/>
                <w:color w:val="auto"/>
              </w:rPr>
            </w:pPr>
            <w:r>
              <w:rPr>
                <w:rFonts w:ascii="Arial" w:cs="Arial" w:eastAsia="Arial" w:hAnsi="Arial"/>
                <w:sz w:val="14"/>
                <w:szCs w:val="14"/>
                <w:color w:val="auto"/>
              </w:rPr>
              <w:t>29TH PLACE (Virginia)</w:t>
            </w:r>
          </w:p>
        </w:tc>
        <w:tc>
          <w:tcPr>
            <w:tcW w:w="500" w:type="dxa"/>
            <w:vAlign w:val="bottom"/>
          </w:tcPr>
          <w:p>
            <w:pPr>
              <w:ind w:left="120"/>
              <w:spacing w:after="0"/>
              <w:rPr>
                <w:sz w:val="20"/>
                <w:szCs w:val="20"/>
                <w:color w:val="auto"/>
              </w:rPr>
            </w:pPr>
            <w:r>
              <w:rPr>
                <w:rFonts w:ascii="Arial" w:cs="Arial" w:eastAsia="Arial" w:hAnsi="Arial"/>
                <w:sz w:val="14"/>
                <w:szCs w:val="14"/>
                <w:color w:val="auto"/>
              </w:rPr>
              <w:t>VA</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5,090</w:t>
            </w:r>
          </w:p>
        </w:tc>
        <w:tc>
          <w:tcPr>
            <w:tcW w:w="1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10,211</w:t>
            </w:r>
          </w:p>
        </w:tc>
        <w:tc>
          <w:tcPr>
            <w:tcW w:w="10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18,863</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10,857</w:t>
            </w:r>
          </w:p>
        </w:tc>
        <w:tc>
          <w:tcPr>
            <w:tcW w:w="10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10,225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29,706</w:t>
            </w: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39,931</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5,793</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1975 - 2001</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67"/>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ANDORRA (Pennsylvania)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2,432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12,346</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10,768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2,432</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23,114</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25,546</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16,170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ASSEMBLY SQUARE</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4"/>
                <w:szCs w:val="14"/>
                <w:color w:val="auto"/>
                <w:w w:val="98"/>
              </w:rPr>
              <w:t>MARKETPLACE/ASSEMBLY</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2005, 2012-</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ROW (Massachusetts)</w:t>
            </w:r>
          </w:p>
        </w:tc>
        <w:tc>
          <w:tcPr>
            <w:tcW w:w="500" w:type="dxa"/>
            <w:vAlign w:val="bottom"/>
          </w:tcPr>
          <w:p>
            <w:pPr>
              <w:ind w:left="120"/>
              <w:spacing w:after="0"/>
              <w:rPr>
                <w:sz w:val="20"/>
                <w:szCs w:val="20"/>
                <w:color w:val="auto"/>
              </w:rPr>
            </w:pPr>
            <w:r>
              <w:rPr>
                <w:rFonts w:ascii="Arial" w:cs="Arial" w:eastAsia="Arial" w:hAnsi="Arial"/>
                <w:sz w:val="14"/>
                <w:szCs w:val="14"/>
                <w:color w:val="auto"/>
              </w:rPr>
              <w:t>MA</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93,252</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34,196</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232,268</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45,890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313,826</w:t>
            </w:r>
          </w:p>
        </w:tc>
        <w:tc>
          <w:tcPr>
            <w:tcW w:w="100" w:type="dxa"/>
            <w:vAlign w:val="bottom"/>
          </w:tcPr>
          <w:p>
            <w:pPr>
              <w:spacing w:after="0"/>
              <w:rPr>
                <w:sz w:val="15"/>
                <w:szCs w:val="15"/>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6"/>
              </w:rPr>
              <w:t>359,716</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17,917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2005-2011</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THE AVENUE AT WHITE</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 (Maryland)</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54,120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20,682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72,432</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4,065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20,685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76,494</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97,179</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19,278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BALA CYNWYD</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tcPr>
          <w:p>
            <w:pPr>
              <w:ind w:left="120"/>
              <w:spacing w:after="0"/>
              <w:rPr>
                <w:sz w:val="20"/>
                <w:szCs w:val="20"/>
                <w:color w:val="auto"/>
              </w:rPr>
            </w:pPr>
            <w:r>
              <w:rPr>
                <w:rFonts w:ascii="Arial" w:cs="Arial" w:eastAsia="Arial" w:hAnsi="Arial"/>
                <w:sz w:val="14"/>
                <w:szCs w:val="14"/>
                <w:color w:val="auto"/>
              </w:rPr>
              <w:t>PA</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14,466</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21,931</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3,566</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36,396</w:t>
            </w: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39,962</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15,006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67"/>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BARRACKS ROAD (Virginia)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37,069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4,363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16,459</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38,355</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4,363</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54,814</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59,177</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35,487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12/31/1985</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12/31/93,</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1/20/06,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9/25/08,</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9/30/08, &amp;</w:t>
            </w:r>
          </w:p>
        </w:tc>
        <w:tc>
          <w:tcPr>
            <w:tcW w:w="100" w:type="dxa"/>
            <w:vAlign w:val="bottom"/>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Arial" w:cs="Arial" w:eastAsia="Arial" w:hAnsi="Arial"/>
                <w:sz w:val="14"/>
                <w:szCs w:val="14"/>
                <w:color w:val="auto"/>
              </w:rPr>
              <w:t>35 - 50</w:t>
            </w: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w w:val="97"/>
              </w:rPr>
              <w:t>BETHESDA ROW (Maryland)</w:t>
            </w:r>
          </w:p>
        </w:tc>
        <w:tc>
          <w:tcPr>
            <w:tcW w:w="500" w:type="dxa"/>
            <w:vAlign w:val="bottom"/>
          </w:tcPr>
          <w:p>
            <w:pPr>
              <w:ind w:left="120"/>
              <w:spacing w:after="0"/>
              <w:rPr>
                <w:sz w:val="20"/>
                <w:szCs w:val="20"/>
                <w:color w:val="auto"/>
              </w:rPr>
            </w:pPr>
            <w:r>
              <w:rPr>
                <w:rFonts w:ascii="Arial" w:cs="Arial" w:eastAsia="Arial" w:hAnsi="Arial"/>
                <w:sz w:val="14"/>
                <w:szCs w:val="14"/>
                <w:color w:val="auto"/>
              </w:rPr>
              <w:t>MD</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46,579</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35,406</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138,402</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44,880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175,507</w:t>
            </w:r>
          </w:p>
        </w:tc>
        <w:tc>
          <w:tcPr>
            <w:tcW w:w="100" w:type="dxa"/>
            <w:vAlign w:val="bottom"/>
          </w:tcPr>
          <w:p>
            <w:pPr>
              <w:spacing w:after="0"/>
              <w:rPr>
                <w:sz w:val="15"/>
                <w:szCs w:val="15"/>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6"/>
              </w:rPr>
              <w:t>220,387</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49,469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1945-2008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67"/>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 (New Jersey)</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NJ</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27,254</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24,715</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35,040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3,939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55,816</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59,755</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40,673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12/28/1989</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55"/>
        </w:trPr>
        <w:tc>
          <w:tcPr>
            <w:tcW w:w="1860" w:type="dxa"/>
            <w:vAlign w:val="bottom"/>
          </w:tcPr>
          <w:p>
            <w:pPr>
              <w:ind w:left="40"/>
              <w:spacing w:after="0"/>
              <w:rPr>
                <w:sz w:val="20"/>
                <w:szCs w:val="20"/>
                <w:color w:val="auto"/>
              </w:rPr>
            </w:pPr>
            <w:r>
              <w:rPr>
                <w:rFonts w:ascii="Arial" w:cs="Arial" w:eastAsia="Arial" w:hAnsi="Arial"/>
                <w:sz w:val="14"/>
                <w:szCs w:val="14"/>
                <w:color w:val="auto"/>
              </w:rPr>
              <w:t>BRISTOL (Connecticut)</w:t>
            </w:r>
          </w:p>
        </w:tc>
        <w:tc>
          <w:tcPr>
            <w:tcW w:w="500" w:type="dxa"/>
            <w:vAlign w:val="bottom"/>
          </w:tcPr>
          <w:p>
            <w:pPr>
              <w:ind w:left="120"/>
              <w:spacing w:after="0"/>
              <w:rPr>
                <w:sz w:val="20"/>
                <w:szCs w:val="20"/>
                <w:color w:val="auto"/>
              </w:rPr>
            </w:pPr>
            <w:r>
              <w:rPr>
                <w:rFonts w:ascii="Arial" w:cs="Arial" w:eastAsia="Arial" w:hAnsi="Arial"/>
                <w:sz w:val="14"/>
                <w:szCs w:val="14"/>
                <w:color w:val="auto"/>
              </w:rPr>
              <w:t>CT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15,959</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9,831</w:t>
            </w:r>
          </w:p>
        </w:tc>
        <w:tc>
          <w:tcPr>
            <w:tcW w:w="10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3,856</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25,790</w:t>
            </w: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29,646</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13,521</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08/25/06,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CHELSEA COMMONS</w:t>
            </w: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1/30/07, &amp;</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6,968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9,417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19,466</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13,836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9,396</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33,323</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42,719</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4,483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1962/1969/2008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COLORADO BLVD</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12/31/96 &amp;</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00" w:type="dxa"/>
            <w:vAlign w:val="bottom"/>
          </w:tcPr>
          <w:p>
            <w:pPr>
              <w:ind w:left="120"/>
              <w:spacing w:after="0"/>
              <w:rPr>
                <w:sz w:val="20"/>
                <w:szCs w:val="20"/>
                <w:color w:val="auto"/>
              </w:rPr>
            </w:pPr>
            <w:r>
              <w:rPr>
                <w:rFonts w:ascii="Arial" w:cs="Arial" w:eastAsia="Arial" w:hAnsi="Arial"/>
                <w:sz w:val="14"/>
                <w:szCs w:val="14"/>
                <w:color w:val="auto"/>
              </w:rPr>
              <w:t>CA</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4,071</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8,788</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5,262</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12,859</w:t>
            </w: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18,121</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8,640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1905-1988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7,424</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65,584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1,020</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74,781</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75,801</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45,511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1965/2003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COURTHOUSE CENTER</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(Maryland)</w:t>
            </w:r>
          </w:p>
        </w:tc>
        <w:tc>
          <w:tcPr>
            <w:tcW w:w="500" w:type="dxa"/>
            <w:vAlign w:val="bottom"/>
          </w:tcPr>
          <w:p>
            <w:pPr>
              <w:ind w:left="120"/>
              <w:spacing w:after="0"/>
              <w:rPr>
                <w:sz w:val="20"/>
                <w:szCs w:val="20"/>
                <w:color w:val="auto"/>
              </w:rPr>
            </w:pPr>
            <w:r>
              <w:rPr>
                <w:rFonts w:ascii="Arial" w:cs="Arial" w:eastAsia="Arial" w:hAnsi="Arial"/>
                <w:sz w:val="14"/>
                <w:szCs w:val="14"/>
                <w:color w:val="auto"/>
              </w:rPr>
              <w:t>MD</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1,869</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1,750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2,944</w:t>
            </w: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4,694</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12/17/1997</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COURTYARD SHOPS</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16,862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21,851</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16,894</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23,693</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40,587</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4,694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1990/1998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9/4/2008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55"/>
        </w:trPr>
        <w:tc>
          <w:tcPr>
            <w:tcW w:w="1860" w:type="dxa"/>
            <w:vAlign w:val="bottom"/>
          </w:tcPr>
          <w:p>
            <w:pPr>
              <w:ind w:left="40"/>
              <w:spacing w:after="0"/>
              <w:rPr>
                <w:sz w:val="20"/>
                <w:szCs w:val="20"/>
                <w:color w:val="auto"/>
              </w:rPr>
            </w:pPr>
            <w:r>
              <w:rPr>
                <w:rFonts w:ascii="Arial" w:cs="Arial" w:eastAsia="Arial" w:hAnsi="Arial"/>
                <w:sz w:val="14"/>
                <w:szCs w:val="14"/>
                <w:color w:val="auto"/>
              </w:rPr>
              <w:t>CROSSROADS (Illinois)</w:t>
            </w:r>
          </w:p>
        </w:tc>
        <w:tc>
          <w:tcPr>
            <w:tcW w:w="500" w:type="dxa"/>
            <w:vAlign w:val="bottom"/>
          </w:tcPr>
          <w:p>
            <w:pPr>
              <w:ind w:left="120"/>
              <w:spacing w:after="0"/>
              <w:rPr>
                <w:sz w:val="20"/>
                <w:szCs w:val="20"/>
                <w:color w:val="auto"/>
              </w:rPr>
            </w:pPr>
            <w:r>
              <w:rPr>
                <w:rFonts w:ascii="Arial" w:cs="Arial" w:eastAsia="Arial" w:hAnsi="Arial"/>
                <w:sz w:val="14"/>
                <w:szCs w:val="14"/>
                <w:color w:val="auto"/>
              </w:rPr>
              <w:t>IL</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11,611</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14,817</w:t>
            </w:r>
          </w:p>
        </w:tc>
        <w:tc>
          <w:tcPr>
            <w:tcW w:w="10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4,635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26,428</w:t>
            </w: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31,063</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12,996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CROW CANYON COMMONS</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700"/>
              <w:spacing w:after="0" w:line="157" w:lineRule="exact"/>
              <w:rPr>
                <w:sz w:val="20"/>
                <w:szCs w:val="20"/>
                <w:color w:val="auto"/>
              </w:rPr>
            </w:pPr>
            <w:r>
              <w:rPr>
                <w:rFonts w:ascii="Arial" w:cs="Arial" w:eastAsia="Arial" w:hAnsi="Arial"/>
                <w:sz w:val="14"/>
                <w:szCs w:val="14"/>
                <w:color w:val="auto"/>
              </w:rPr>
              <w:t>Late</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12/29/05 &amp;</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27,245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54,575</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3,633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27,245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58,208</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85,453</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13,940</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1970's/2006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02/28/07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520"/>
          </w:cols>
          <w:pgMar w:left="240" w:top="126" w:right="1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2013</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5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C</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F</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G</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H</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2"/>
                <w:szCs w:val="12"/>
                <w:b w:val="1"/>
                <w:bCs w:val="1"/>
                <w:color w:val="auto"/>
                <w:w w:val="91"/>
              </w:rPr>
              <w:t>Gross amount at which carried at</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w w:val="96"/>
              </w:rPr>
              <w:t>Life on which</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9"/>
              </w:rPr>
              <w:t>Cost</w:t>
            </w:r>
          </w:p>
        </w:tc>
        <w:tc>
          <w:tcPr>
            <w:tcW w:w="25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Initial cost to company</w:t>
            </w:r>
          </w:p>
        </w:tc>
        <w:tc>
          <w:tcPr>
            <w:tcW w:w="12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Capitalized</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8"/>
              </w:rPr>
              <w:t>close of period</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Accumulated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87"/>
              </w:rPr>
              <w:t>Subsequent</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0"/>
              </w:rPr>
              <w:t>Depreciation</w:t>
            </w:r>
          </w:p>
        </w:tc>
        <w:tc>
          <w:tcPr>
            <w:tcW w:w="106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9"/>
              </w:rPr>
              <w:t>Building and</w:t>
            </w: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7"/>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Building and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4"/>
              </w:rPr>
              <w:t>and</w:t>
            </w:r>
          </w:p>
        </w:tc>
        <w:tc>
          <w:tcPr>
            <w:tcW w:w="106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7"/>
              </w:rPr>
              <w:t>of</w:t>
            </w: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statements is</w:t>
            </w:r>
          </w:p>
        </w:tc>
        <w:tc>
          <w:tcPr>
            <w:tcW w:w="0" w:type="dxa"/>
            <w:vAlign w:val="bottom"/>
          </w:tcPr>
          <w:p>
            <w:pPr>
              <w:spacing w:after="0"/>
              <w:rPr>
                <w:sz w:val="1"/>
                <w:szCs w:val="1"/>
                <w:color w:val="auto"/>
              </w:rPr>
            </w:pPr>
          </w:p>
        </w:tc>
      </w:tr>
      <w:tr>
        <w:trPr>
          <w:trHeight w:val="168"/>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5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Encumbrance</w:t>
            </w:r>
          </w:p>
        </w:tc>
        <w:tc>
          <w:tcPr>
            <w:tcW w:w="86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Acquisition</w:t>
            </w:r>
          </w:p>
        </w:tc>
        <w:tc>
          <w:tcPr>
            <w:tcW w:w="880" w:type="dxa"/>
            <w:vAlign w:val="bottom"/>
            <w:gridSpan w:val="2"/>
          </w:tcPr>
          <w:p>
            <w:pPr>
              <w:ind w:left="260"/>
              <w:spacing w:after="0"/>
              <w:rPr>
                <w:sz w:val="20"/>
                <w:szCs w:val="20"/>
                <w:color w:val="auto"/>
              </w:rPr>
            </w:pPr>
            <w:r>
              <w:rPr>
                <w:rFonts w:ascii="Arial" w:cs="Arial" w:eastAsia="Arial" w:hAnsi="Arial"/>
                <w:sz w:val="12"/>
                <w:szCs w:val="12"/>
                <w:b w:val="1"/>
                <w:bCs w:val="1"/>
                <w:color w:val="auto"/>
              </w:rPr>
              <w:t>Land</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Improvements</w:t>
            </w:r>
          </w:p>
        </w:tc>
        <w:tc>
          <w:tcPr>
            <w:tcW w:w="760" w:type="dxa"/>
            <w:vAlign w:val="bottom"/>
          </w:tcPr>
          <w:p>
            <w:pPr>
              <w:jc w:val="right"/>
              <w:ind w:right="171"/>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Amortization</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Construction</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Acquired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51"/>
        </w:trPr>
        <w:tc>
          <w:tcPr>
            <w:tcW w:w="114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DARIEN</w:t>
            </w:r>
          </w:p>
        </w:tc>
        <w:tc>
          <w:tcPr>
            <w:tcW w:w="5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29,809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18,302</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29,809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18,307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48,116</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DEDHAM</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20"/>
              <w:spacing w:after="0"/>
              <w:rPr>
                <w:sz w:val="20"/>
                <w:szCs w:val="20"/>
                <w:color w:val="auto"/>
              </w:rPr>
            </w:pPr>
            <w:r>
              <w:rPr>
                <w:rFonts w:ascii="Arial" w:cs="Arial" w:eastAsia="Arial" w:hAnsi="Arial"/>
                <w:sz w:val="14"/>
                <w:szCs w:val="14"/>
                <w:color w:val="auto"/>
              </w:rPr>
              <w:t>MA</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12,287</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12,918</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9,375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12,287</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22,293</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34,580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12,089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12/31/1993</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DEL MAR</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VILLAGE</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5/30/08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39,559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14,180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41,727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55,907</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7,982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1982/1994/2007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7/11/08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EAST BAY</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BRIDGE</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1994-2001,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20"/>
              <w:spacing w:after="0"/>
              <w:rPr>
                <w:sz w:val="20"/>
                <w:szCs w:val="20"/>
                <w:color w:val="auto"/>
              </w:rPr>
            </w:pPr>
            <w:r>
              <w:rPr>
                <w:rFonts w:ascii="Arial" w:cs="Arial" w:eastAsia="Arial" w:hAnsi="Arial"/>
                <w:sz w:val="14"/>
                <w:szCs w:val="14"/>
                <w:color w:val="auto"/>
              </w:rPr>
              <w:t>CA</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65,190</w:t>
            </w:r>
          </w:p>
        </w:tc>
        <w:tc>
          <w:tcPr>
            <w:tcW w:w="1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29,079</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138,035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29,079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138,430</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167,509</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2011-2012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12/21/2012</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EASTGATE</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Carolina)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NC</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5,775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19,444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25,219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26,827</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16,560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12/18/1986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ELLISBURG</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CIRCLE (New</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Jersey)</w:t>
            </w:r>
          </w:p>
        </w:tc>
        <w:tc>
          <w:tcPr>
            <w:tcW w:w="520" w:type="dxa"/>
            <w:vAlign w:val="bottom"/>
          </w:tcPr>
          <w:p>
            <w:pPr>
              <w:ind w:left="120"/>
              <w:spacing w:after="0"/>
              <w:rPr>
                <w:sz w:val="20"/>
                <w:szCs w:val="20"/>
                <w:color w:val="auto"/>
              </w:rPr>
            </w:pPr>
            <w:r>
              <w:rPr>
                <w:rFonts w:ascii="Arial" w:cs="Arial" w:eastAsia="Arial" w:hAnsi="Arial"/>
                <w:sz w:val="14"/>
                <w:szCs w:val="14"/>
                <w:color w:val="auto"/>
              </w:rPr>
              <w:t>NJ</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11,309</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16,224</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27,548</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31,561</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16,430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10/16/1992</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ESCONDIDO</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PROMENADE</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12/31/96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19,117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15,829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12,070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19,117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27,899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47,016</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10,400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FALLS PLAZA</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09/30/67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2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1,270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9,802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12,870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7,313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1960/1962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10/05/72</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FEDERAL</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17,895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37,539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55,434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65,650</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35,449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6/29/1989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FINLEY</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w w:val="97"/>
              </w:rPr>
              <w:t>SQUARE (Illinois)</w:t>
            </w:r>
          </w:p>
        </w:tc>
        <w:tc>
          <w:tcPr>
            <w:tcW w:w="520" w:type="dxa"/>
            <w:vAlign w:val="bottom"/>
          </w:tcPr>
          <w:p>
            <w:pPr>
              <w:ind w:left="120"/>
              <w:spacing w:after="0"/>
              <w:rPr>
                <w:sz w:val="20"/>
                <w:szCs w:val="20"/>
                <w:color w:val="auto"/>
              </w:rPr>
            </w:pPr>
            <w:r>
              <w:rPr>
                <w:rFonts w:ascii="Arial" w:cs="Arial" w:eastAsia="Arial" w:hAnsi="Arial"/>
                <w:sz w:val="14"/>
                <w:szCs w:val="14"/>
                <w:color w:val="auto"/>
              </w:rPr>
              <w:t>IL</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9,544</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13,750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23,294</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32,546</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15,971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4/27/1995</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FLOURTOWN</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3,943</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8,627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12,445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13,915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5,146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4/25/1980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FRESH</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w w:val="97"/>
              </w:rPr>
              <w:t>MEADOWS (New</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York)</w:t>
            </w:r>
          </w:p>
        </w:tc>
        <w:tc>
          <w:tcPr>
            <w:tcW w:w="520" w:type="dxa"/>
            <w:vAlign w:val="bottom"/>
          </w:tcPr>
          <w:p>
            <w:pPr>
              <w:ind w:left="120"/>
              <w:spacing w:after="0"/>
              <w:rPr>
                <w:sz w:val="20"/>
                <w:szCs w:val="20"/>
                <w:color w:val="auto"/>
              </w:rPr>
            </w:pPr>
            <w:r>
              <w:rPr>
                <w:rFonts w:ascii="Arial" w:cs="Arial" w:eastAsia="Arial" w:hAnsi="Arial"/>
                <w:sz w:val="14"/>
                <w:szCs w:val="14"/>
                <w:color w:val="auto"/>
              </w:rPr>
              <w:t>NY</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24,625</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25,255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29,490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24,628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54,742</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79,370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27,977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1946-1949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12/5/1997</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FRIENDSHIP</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CTR (District of</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DC</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12,696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20,803</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2,685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12,696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23,488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36,184</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7,997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9/21/2001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w w:val="96"/>
              </w:rPr>
              <w:t>GAITHERSBURG</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SQUARE</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7,701</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5,271</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12,623</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5,973</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19,622</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25,595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15,094</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GARDEN</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MARKET</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IL</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4,829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4,798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9,627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12,304</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5,649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7/28/1994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GOVERNOR</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4,905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19,660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24,565</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26,633</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16,032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7"/>
              </w:rPr>
              <w:t>GRATIOT PLAZA</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(Michigan)</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1,601</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16,929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18,530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19,055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14,590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3/29/1973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25.75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GREENWICH</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AVENUE</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tcPr>
          <w:p>
            <w:pPr>
              <w:ind w:left="120"/>
              <w:spacing w:after="0"/>
              <w:rPr>
                <w:sz w:val="20"/>
                <w:szCs w:val="20"/>
                <w:color w:val="auto"/>
              </w:rPr>
            </w:pPr>
            <w:r>
              <w:rPr>
                <w:rFonts w:ascii="Arial" w:cs="Arial" w:eastAsia="Arial" w:hAnsi="Arial"/>
                <w:sz w:val="14"/>
                <w:szCs w:val="14"/>
                <w:color w:val="auto"/>
              </w:rPr>
              <w:t>CT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5,444</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6,485</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13,969</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3,396</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4/12/1995</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HAUPPAUGE</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NY</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13,974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8,791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15,262</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3,746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8,426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19,373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27,799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8,918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HERMOSA AVE.</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2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280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1,368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4,467</w:t>
            </w:r>
          </w:p>
        </w:tc>
        <w:tc>
          <w:tcPr>
            <w:tcW w:w="1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5,835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9/17/1997</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2013</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5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D</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COLUMN 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F</w:t>
            </w: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G</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H</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Life on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Gross amount at which carried at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8"/>
              </w:rPr>
              <w:t>which</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ind w:left="240"/>
              <w:spacing w:after="0" w:line="130" w:lineRule="exact"/>
              <w:rPr>
                <w:sz w:val="20"/>
                <w:szCs w:val="20"/>
                <w:color w:val="auto"/>
              </w:rPr>
            </w:pPr>
            <w:r>
              <w:rPr>
                <w:rFonts w:ascii="Arial" w:cs="Arial" w:eastAsia="Arial" w:hAnsi="Arial"/>
                <w:sz w:val="12"/>
                <w:szCs w:val="12"/>
                <w:b w:val="1"/>
                <w:bCs w:val="1"/>
                <w:color w:val="auto"/>
              </w:rPr>
              <w:t>Initial cost to company</w:t>
            </w:r>
          </w:p>
        </w:tc>
        <w:tc>
          <w:tcPr>
            <w:tcW w:w="100" w:type="dxa"/>
            <w:vAlign w:val="bottom"/>
          </w:tcPr>
          <w:p>
            <w:pPr>
              <w:spacing w:after="0"/>
              <w:rPr>
                <w:sz w:val="11"/>
                <w:szCs w:val="11"/>
                <w:color w:val="auto"/>
              </w:rPr>
            </w:pPr>
          </w:p>
        </w:tc>
        <w:tc>
          <w:tcPr>
            <w:tcW w:w="84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9"/>
              </w:rPr>
              <w:t>Cost</w:t>
            </w:r>
          </w:p>
        </w:tc>
        <w:tc>
          <w:tcPr>
            <w:tcW w:w="760" w:type="dxa"/>
            <w:vAlign w:val="bottom"/>
          </w:tcPr>
          <w:p>
            <w:pPr>
              <w:spacing w:after="0"/>
              <w:rPr>
                <w:sz w:val="11"/>
                <w:szCs w:val="11"/>
                <w:color w:val="auto"/>
              </w:rPr>
            </w:pPr>
          </w:p>
        </w:tc>
        <w:tc>
          <w:tcPr>
            <w:tcW w:w="1000" w:type="dxa"/>
            <w:vAlign w:val="bottom"/>
            <w:gridSpan w:val="3"/>
          </w:tcPr>
          <w:p>
            <w:pPr>
              <w:jc w:val="center"/>
              <w:ind w:right="140"/>
              <w:spacing w:after="0" w:line="130" w:lineRule="exact"/>
              <w:rPr>
                <w:sz w:val="20"/>
                <w:szCs w:val="20"/>
                <w:color w:val="auto"/>
              </w:rPr>
            </w:pPr>
            <w:r>
              <w:rPr>
                <w:rFonts w:ascii="Arial" w:cs="Arial" w:eastAsia="Arial" w:hAnsi="Arial"/>
                <w:sz w:val="12"/>
                <w:szCs w:val="12"/>
                <w:b w:val="1"/>
                <w:bCs w:val="1"/>
                <w:color w:val="auto"/>
                <w:w w:val="86"/>
              </w:rPr>
              <w:t>close of period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52"/>
        </w:trPr>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40" w:type="dxa"/>
            <w:vAlign w:val="bottom"/>
            <w:gridSpan w:val="2"/>
            <w:vMerge w:val="restart"/>
          </w:tcPr>
          <w:p>
            <w:pPr>
              <w:jc w:val="center"/>
              <w:ind w:right="100"/>
              <w:spacing w:after="0" w:line="113" w:lineRule="exact"/>
              <w:rPr>
                <w:sz w:val="20"/>
                <w:szCs w:val="20"/>
                <w:color w:val="auto"/>
              </w:rPr>
            </w:pPr>
            <w:r>
              <w:rPr>
                <w:rFonts w:ascii="Arial" w:cs="Arial" w:eastAsia="Arial" w:hAnsi="Arial"/>
                <w:sz w:val="12"/>
                <w:szCs w:val="12"/>
                <w:b w:val="1"/>
                <w:bCs w:val="1"/>
                <w:color w:val="auto"/>
                <w:w w:val="91"/>
              </w:rPr>
              <w:t>Capitalized</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ind w:left="40"/>
              <w:spacing w:after="0" w:line="113" w:lineRule="exact"/>
              <w:rPr>
                <w:sz w:val="20"/>
                <w:szCs w:val="20"/>
                <w:color w:val="auto"/>
              </w:rPr>
            </w:pPr>
            <w:r>
              <w:rPr>
                <w:rFonts w:ascii="Arial" w:cs="Arial" w:eastAsia="Arial" w:hAnsi="Arial"/>
                <w:sz w:val="12"/>
                <w:szCs w:val="12"/>
                <w:b w:val="1"/>
                <w:bCs w:val="1"/>
                <w:color w:val="auto"/>
              </w:rPr>
              <w:t>Accumulated</w:t>
            </w: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3"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40"/>
        </w:trPr>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7"/>
              </w:rPr>
              <w:t>Subsequent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Depreciation</w:t>
            </w:r>
          </w:p>
        </w:tc>
        <w:tc>
          <w:tcPr>
            <w:tcW w:w="140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6"/>
              </w:rPr>
              <w:t>Building and</w:t>
            </w: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to</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Building and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and</w:t>
            </w:r>
          </w:p>
        </w:tc>
        <w:tc>
          <w:tcPr>
            <w:tcW w:w="14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of</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88"/>
              </w:rPr>
              <w:t>statements is</w:t>
            </w:r>
          </w:p>
        </w:tc>
        <w:tc>
          <w:tcPr>
            <w:tcW w:w="0" w:type="dxa"/>
            <w:vAlign w:val="bottom"/>
          </w:tcPr>
          <w:p>
            <w:pPr>
              <w:spacing w:after="0"/>
              <w:rPr>
                <w:sz w:val="1"/>
                <w:szCs w:val="1"/>
                <w:color w:val="auto"/>
              </w:rPr>
            </w:pPr>
          </w:p>
        </w:tc>
      </w:tr>
      <w:tr>
        <w:trPr>
          <w:trHeight w:val="168"/>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5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Encumbrance</w:t>
            </w:r>
          </w:p>
        </w:tc>
        <w:tc>
          <w:tcPr>
            <w:tcW w:w="86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Acquisition</w:t>
            </w:r>
          </w:p>
        </w:tc>
        <w:tc>
          <w:tcPr>
            <w:tcW w:w="760" w:type="dxa"/>
            <w:vAlign w:val="bottom"/>
          </w:tcPr>
          <w:p>
            <w:pPr>
              <w:jc w:val="right"/>
              <w:ind w:right="172"/>
              <w:spacing w:after="0"/>
              <w:rPr>
                <w:sz w:val="20"/>
                <w:szCs w:val="20"/>
                <w:color w:val="auto"/>
              </w:rPr>
            </w:pPr>
            <w:r>
              <w:rPr>
                <w:rFonts w:ascii="Arial" w:cs="Arial" w:eastAsia="Arial" w:hAnsi="Arial"/>
                <w:sz w:val="12"/>
                <w:szCs w:val="12"/>
                <w:b w:val="1"/>
                <w:bCs w:val="1"/>
                <w:color w:val="auto"/>
              </w:rPr>
              <w:t>Land</w:t>
            </w: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Improvements</w:t>
            </w:r>
          </w:p>
        </w:tc>
        <w:tc>
          <w:tcPr>
            <w:tcW w:w="600" w:type="dxa"/>
            <w:vAlign w:val="bottom"/>
          </w:tcPr>
          <w:p>
            <w:pPr>
              <w:jc w:val="right"/>
              <w:ind w:right="111"/>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Amortization</w:t>
            </w:r>
          </w:p>
        </w:tc>
        <w:tc>
          <w:tcPr>
            <w:tcW w:w="14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Construction</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Acquired</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51"/>
        </w:trPr>
        <w:tc>
          <w:tcPr>
            <w:tcW w:w="114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HOLLYWOOD</w:t>
            </w:r>
          </w:p>
        </w:tc>
        <w:tc>
          <w:tcPr>
            <w:tcW w:w="5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BLVD.</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3/22/99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8,300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16,920</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15,922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8,300</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32,842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41,142</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9,311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1929/1991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HOUSTON</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STREET (Texas)</w:t>
            </w:r>
          </w:p>
        </w:tc>
        <w:tc>
          <w:tcPr>
            <w:tcW w:w="500" w:type="dxa"/>
            <w:vAlign w:val="bottom"/>
          </w:tcPr>
          <w:p>
            <w:pPr>
              <w:ind w:left="120"/>
              <w:spacing w:after="0"/>
              <w:rPr>
                <w:sz w:val="20"/>
                <w:szCs w:val="20"/>
                <w:color w:val="auto"/>
              </w:rPr>
            </w:pPr>
            <w:r>
              <w:rPr>
                <w:rFonts w:ascii="Arial" w:cs="Arial" w:eastAsia="Arial" w:hAnsi="Arial"/>
                <w:sz w:val="14"/>
                <w:szCs w:val="14"/>
                <w:color w:val="auto"/>
              </w:rPr>
              <w:t>TX</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14,680</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1,976</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44,829</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14,778</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46,707</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61,485</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26,108</w:t>
            </w:r>
          </w:p>
        </w:tc>
        <w:tc>
          <w:tcPr>
            <w:tcW w:w="100" w:type="dxa"/>
            <w:vAlign w:val="bottom"/>
          </w:tcPr>
          <w:p>
            <w:pPr>
              <w:spacing w:after="0"/>
              <w:rPr>
                <w:sz w:val="15"/>
                <w:szCs w:val="15"/>
                <w:color w:val="auto"/>
              </w:rPr>
            </w:pPr>
          </w:p>
        </w:tc>
        <w:tc>
          <w:tcPr>
            <w:tcW w:w="1400" w:type="dxa"/>
            <w:vAlign w:val="bottom"/>
            <w:gridSpan w:val="2"/>
          </w:tcPr>
          <w:p>
            <w:pPr>
              <w:ind w:left="1080"/>
              <w:spacing w:after="0"/>
              <w:rPr>
                <w:sz w:val="20"/>
                <w:szCs w:val="20"/>
                <w:color w:val="auto"/>
              </w:rPr>
            </w:pPr>
            <w:r>
              <w:rPr>
                <w:rFonts w:ascii="Arial" w:cs="Arial" w:eastAsia="Arial" w:hAnsi="Arial"/>
                <w:sz w:val="14"/>
                <w:szCs w:val="14"/>
                <w:color w:val="auto"/>
              </w:rPr>
              <w:t>var</w:t>
            </w:r>
          </w:p>
        </w:tc>
        <w:tc>
          <w:tcPr>
            <w:tcW w:w="76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HUNTINGTON</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12/12/88 &amp;</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11,713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16,008</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15,769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11,713</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31,777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43,490</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10,832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HUNTINGTON</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SQUARE (New</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York)</w:t>
            </w:r>
          </w:p>
        </w:tc>
        <w:tc>
          <w:tcPr>
            <w:tcW w:w="500" w:type="dxa"/>
            <w:vAlign w:val="bottom"/>
          </w:tcPr>
          <w:p>
            <w:pPr>
              <w:ind w:left="120"/>
              <w:spacing w:after="0"/>
              <w:rPr>
                <w:sz w:val="20"/>
                <w:szCs w:val="20"/>
                <w:color w:val="auto"/>
              </w:rPr>
            </w:pPr>
            <w:r>
              <w:rPr>
                <w:rFonts w:ascii="Arial" w:cs="Arial" w:eastAsia="Arial" w:hAnsi="Arial"/>
                <w:sz w:val="14"/>
                <w:szCs w:val="14"/>
                <w:color w:val="auto"/>
              </w:rPr>
              <w:t>NY</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10,075</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11,389</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11,389</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1,281</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1980/2004-2007</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8/16/2010</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IDYLWOOD</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10,026</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2,361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4,308</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12,387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16,695</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7,058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4/15/1994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KINGS COURT</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00" w:type="dxa"/>
            <w:vAlign w:val="bottom"/>
          </w:tcPr>
          <w:p>
            <w:pPr>
              <w:ind w:left="120"/>
              <w:spacing w:after="0"/>
              <w:rPr>
                <w:sz w:val="20"/>
                <w:szCs w:val="20"/>
                <w:color w:val="auto"/>
              </w:rPr>
            </w:pPr>
            <w:r>
              <w:rPr>
                <w:rFonts w:ascii="Arial" w:cs="Arial" w:eastAsia="Arial" w:hAnsi="Arial"/>
                <w:sz w:val="14"/>
                <w:szCs w:val="14"/>
                <w:color w:val="auto"/>
              </w:rPr>
              <w:t>CA</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10,714</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11,644</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11,644</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7,054</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LANCASTER</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4,907</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2,103</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11,435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75</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13,463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6,947</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4/24/1980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LANGHORNE</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SQUARE</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tcPr>
          <w:p>
            <w:pPr>
              <w:ind w:left="120"/>
              <w:spacing w:after="0"/>
              <w:rPr>
                <w:sz w:val="20"/>
                <w:szCs w:val="20"/>
                <w:color w:val="auto"/>
              </w:rPr>
            </w:pPr>
            <w:r>
              <w:rPr>
                <w:rFonts w:ascii="Arial" w:cs="Arial" w:eastAsia="Arial" w:hAnsi="Arial"/>
                <w:sz w:val="14"/>
                <w:szCs w:val="14"/>
                <w:color w:val="auto"/>
              </w:rPr>
              <w:t>PA</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2,974</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17,133</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720</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20,107</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20,827</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12,435</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1/31/1985</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LAUREL</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7,458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22,525</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21,195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7,464</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43,714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51,178</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31,630</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8/15/1986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LAWRENCE</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PARK</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tcPr>
          <w:p>
            <w:pPr>
              <w:ind w:left="120"/>
              <w:spacing w:after="0"/>
              <w:rPr>
                <w:sz w:val="20"/>
                <w:szCs w:val="20"/>
                <w:color w:val="auto"/>
              </w:rPr>
            </w:pPr>
            <w:r>
              <w:rPr>
                <w:rFonts w:ascii="Arial" w:cs="Arial" w:eastAsia="Arial" w:hAnsi="Arial"/>
                <w:sz w:val="14"/>
                <w:szCs w:val="14"/>
                <w:color w:val="auto"/>
              </w:rPr>
              <w:t>PA</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26,275</w:t>
            </w:r>
          </w:p>
        </w:tc>
        <w:tc>
          <w:tcPr>
            <w:tcW w:w="10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5,723</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7,160</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18,433</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5,734</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25,582</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31,316</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22,446</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LEESBURG</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8,184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10,722</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16,497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8,184</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27,219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35,403</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11,085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9/15/1998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LINDEN</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SQUARE</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tcPr>
          <w:p>
            <w:pPr>
              <w:ind w:left="120"/>
              <w:spacing w:after="0"/>
              <w:rPr>
                <w:sz w:val="20"/>
                <w:szCs w:val="20"/>
                <w:color w:val="auto"/>
              </w:rPr>
            </w:pPr>
            <w:r>
              <w:rPr>
                <w:rFonts w:ascii="Arial" w:cs="Arial" w:eastAsia="Arial" w:hAnsi="Arial"/>
                <w:sz w:val="14"/>
                <w:szCs w:val="14"/>
                <w:color w:val="auto"/>
              </w:rPr>
              <w:t>MA</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79,382</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19,247</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47,749</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79,269</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67,109</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146,378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12,920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1960-2008</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LOEHMANN'S</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15,096</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17,292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1,169</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32,456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33,625</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23,512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7/21/1983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MELVILLE</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MALL (New</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York)</w:t>
            </w:r>
          </w:p>
        </w:tc>
        <w:tc>
          <w:tcPr>
            <w:tcW w:w="500" w:type="dxa"/>
            <w:vAlign w:val="bottom"/>
          </w:tcPr>
          <w:p>
            <w:pPr>
              <w:ind w:left="120"/>
              <w:spacing w:after="0"/>
              <w:rPr>
                <w:sz w:val="20"/>
                <w:szCs w:val="20"/>
                <w:color w:val="auto"/>
              </w:rPr>
            </w:pPr>
            <w:r>
              <w:rPr>
                <w:rFonts w:ascii="Arial" w:cs="Arial" w:eastAsia="Arial" w:hAnsi="Arial"/>
                <w:sz w:val="14"/>
                <w:szCs w:val="14"/>
                <w:color w:val="auto"/>
              </w:rPr>
              <w:t>NY</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20,653</w:t>
            </w:r>
          </w:p>
        </w:tc>
        <w:tc>
          <w:tcPr>
            <w:tcW w:w="10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35,622</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32,882</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35,622</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33,961</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69,583</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6,953</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1974</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10/16/2006</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MERCER MALL</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NJ</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55,794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28,684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48,028</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33,269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28,684</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81,297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109,981</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27,818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10/14/2003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MID PIKE</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PLAZA/PIKE &amp;</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05/18/82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w w:val="97"/>
              </w:rPr>
              <w:t>ROSE (Maryland)</w:t>
            </w:r>
          </w:p>
        </w:tc>
        <w:tc>
          <w:tcPr>
            <w:tcW w:w="500" w:type="dxa"/>
            <w:vAlign w:val="bottom"/>
          </w:tcPr>
          <w:p>
            <w:pPr>
              <w:ind w:left="120"/>
              <w:spacing w:after="0"/>
              <w:rPr>
                <w:sz w:val="20"/>
                <w:szCs w:val="20"/>
                <w:color w:val="auto"/>
              </w:rPr>
            </w:pPr>
            <w:r>
              <w:rPr>
                <w:rFonts w:ascii="Arial" w:cs="Arial" w:eastAsia="Arial" w:hAnsi="Arial"/>
                <w:sz w:val="14"/>
                <w:szCs w:val="14"/>
                <w:color w:val="auto"/>
              </w:rPr>
              <w:t>MD</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31,388</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10,335</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140,641</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7,517</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174,847</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182,364</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17,833</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10/26/07</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MONTROSE</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CROSSING</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1960-1979, 1996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77,341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48,624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91,819</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12,242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48,624</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104,061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152,685</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8,323</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12/27/2011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MOUNT</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w w:val="95"/>
              </w:rPr>
              <w:t>VERNON/SOUTH</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VALLEY/7770</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03/31/03,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RICHMOND</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3/21/03,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HWY. (Virginia)</w:t>
            </w:r>
          </w:p>
        </w:tc>
        <w:tc>
          <w:tcPr>
            <w:tcW w:w="500" w:type="dxa"/>
            <w:vAlign w:val="bottom"/>
          </w:tcPr>
          <w:p>
            <w:pPr>
              <w:ind w:left="120"/>
              <w:spacing w:after="0"/>
              <w:rPr>
                <w:sz w:val="20"/>
                <w:szCs w:val="20"/>
                <w:color w:val="auto"/>
              </w:rPr>
            </w:pPr>
            <w:r>
              <w:rPr>
                <w:rFonts w:ascii="Arial" w:cs="Arial" w:eastAsia="Arial" w:hAnsi="Arial"/>
                <w:sz w:val="14"/>
                <w:szCs w:val="14"/>
                <w:color w:val="auto"/>
              </w:rPr>
              <w:t>VA</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10,068</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33,501</w:t>
            </w: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36,629</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10,232</w:t>
            </w: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69,966</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80,198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23,553</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w w:val="90"/>
              </w:rPr>
              <w:t>1966/1972/1987/2001</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1/27/06</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TOWN CENTER</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OF NEW</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BRITAIN</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12,285</w:t>
            </w: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1,262</w:t>
            </w: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13,450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14,712</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3,360</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6/29/2006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2013</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5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B</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COLUMN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F</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G</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H</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1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2"/>
                <w:szCs w:val="12"/>
                <w:b w:val="1"/>
                <w:bCs w:val="1"/>
                <w:color w:val="auto"/>
                <w:w w:val="92"/>
              </w:rPr>
              <w:t>Gross amount at which carried at</w:t>
            </w: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w w:val="96"/>
              </w:rPr>
              <w:t>Life on which</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2"/>
                <w:szCs w:val="12"/>
                <w:b w:val="1"/>
                <w:bCs w:val="1"/>
                <w:color w:val="auto"/>
                <w:w w:val="89"/>
              </w:rPr>
              <w:t>Cost</w:t>
            </w:r>
          </w:p>
        </w:tc>
        <w:tc>
          <w:tcPr>
            <w:tcW w:w="25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rPr>
              <w:t>Initial cost to company</w:t>
            </w:r>
          </w:p>
        </w:tc>
        <w:tc>
          <w:tcPr>
            <w:tcW w:w="1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Capitalized</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8"/>
              </w:rPr>
              <w:t>close of period</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80"/>
              <w:spacing w:after="0" w:line="106" w:lineRule="exact"/>
              <w:rPr>
                <w:sz w:val="20"/>
                <w:szCs w:val="20"/>
                <w:color w:val="auto"/>
              </w:rPr>
            </w:pPr>
            <w:r>
              <w:rPr>
                <w:rFonts w:ascii="Arial" w:cs="Arial" w:eastAsia="Arial" w:hAnsi="Arial"/>
                <w:sz w:val="12"/>
                <w:szCs w:val="12"/>
                <w:b w:val="1"/>
                <w:bCs w:val="1"/>
                <w:color w:val="auto"/>
                <w:w w:val="87"/>
              </w:rPr>
              <w:t>Subsequent</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3"/>
              </w:rPr>
              <w:t>Depreciation</w:t>
            </w:r>
          </w:p>
        </w:tc>
        <w:tc>
          <w:tcPr>
            <w:tcW w:w="90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6"/>
              </w:rPr>
              <w:t>Building and</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and</w:t>
            </w:r>
          </w:p>
        </w:tc>
        <w:tc>
          <w:tcPr>
            <w:tcW w:w="90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7"/>
              </w:rPr>
              <w:t>of</w:t>
            </w: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statements is</w:t>
            </w:r>
          </w:p>
        </w:tc>
        <w:tc>
          <w:tcPr>
            <w:tcW w:w="0" w:type="dxa"/>
            <w:vAlign w:val="bottom"/>
          </w:tcPr>
          <w:p>
            <w:pPr>
              <w:spacing w:after="0"/>
              <w:rPr>
                <w:sz w:val="1"/>
                <w:szCs w:val="1"/>
                <w:color w:val="auto"/>
              </w:rPr>
            </w:pPr>
          </w:p>
        </w:tc>
      </w:tr>
      <w:tr>
        <w:trPr>
          <w:trHeight w:val="168"/>
        </w:trPr>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5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Encumbrance</w:t>
            </w:r>
          </w:p>
        </w:tc>
        <w:tc>
          <w:tcPr>
            <w:tcW w:w="940" w:type="dxa"/>
            <w:vAlign w:val="bottom"/>
            <w:gridSpan w:val="2"/>
          </w:tcPr>
          <w:p>
            <w:pPr>
              <w:ind w:left="280"/>
              <w:spacing w:after="0"/>
              <w:rPr>
                <w:sz w:val="20"/>
                <w:szCs w:val="20"/>
                <w:color w:val="auto"/>
              </w:rPr>
            </w:pPr>
            <w:r>
              <w:rPr>
                <w:rFonts w:ascii="Arial" w:cs="Arial" w:eastAsia="Arial" w:hAnsi="Arial"/>
                <w:sz w:val="12"/>
                <w:szCs w:val="12"/>
                <w:b w:val="1"/>
                <w:bCs w:val="1"/>
                <w:color w:val="auto"/>
              </w:rPr>
              <w:t>Land</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Acquisition</w:t>
            </w:r>
          </w:p>
        </w:tc>
        <w:tc>
          <w:tcPr>
            <w:tcW w:w="88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Improvements</w:t>
            </w:r>
          </w:p>
        </w:tc>
        <w:tc>
          <w:tcPr>
            <w:tcW w:w="780" w:type="dxa"/>
            <w:vAlign w:val="bottom"/>
          </w:tcPr>
          <w:p>
            <w:pPr>
              <w:jc w:val="right"/>
              <w:ind w:right="191"/>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Amortization</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Construction</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Acquired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51"/>
        </w:trPr>
        <w:tc>
          <w:tcPr>
            <w:tcW w:w="1120" w:type="dxa"/>
            <w:vAlign w:val="bottom"/>
            <w:tcBorders>
              <w:top w:val="single" w:sz="8" w:color="auto"/>
            </w:tcBorders>
          </w:tcPr>
          <w:p>
            <w:pPr>
              <w:ind w:left="40"/>
              <w:spacing w:after="0" w:line="151" w:lineRule="exact"/>
              <w:rPr>
                <w:sz w:val="20"/>
                <w:szCs w:val="20"/>
                <w:color w:val="auto"/>
              </w:rPr>
            </w:pPr>
            <w:r>
              <w:rPr>
                <w:rFonts w:ascii="Arial" w:cs="Arial" w:eastAsia="Arial" w:hAnsi="Arial"/>
                <w:sz w:val="14"/>
                <w:szCs w:val="14"/>
                <w:color w:val="auto"/>
              </w:rPr>
              <w:t>NORTH</w:t>
            </w:r>
          </w:p>
        </w:tc>
        <w:tc>
          <w:tcPr>
            <w:tcW w:w="5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DARTMOUTH</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80" w:type="dxa"/>
            <w:vAlign w:val="bottom"/>
          </w:tcPr>
          <w:p>
            <w:pPr>
              <w:ind w:left="140"/>
              <w:spacing w:after="0"/>
              <w:rPr>
                <w:sz w:val="20"/>
                <w:szCs w:val="20"/>
                <w:color w:val="auto"/>
              </w:rPr>
            </w:pPr>
            <w:r>
              <w:rPr>
                <w:rFonts w:ascii="Arial" w:cs="Arial" w:eastAsia="Arial" w:hAnsi="Arial"/>
                <w:sz w:val="14"/>
                <w:szCs w:val="14"/>
                <w:color w:val="auto"/>
              </w:rPr>
              <w:t>MA</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27,214</w:t>
            </w:r>
          </w:p>
        </w:tc>
        <w:tc>
          <w:tcPr>
            <w:tcW w:w="12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(17,846)</w:t>
            </w:r>
          </w:p>
        </w:tc>
        <w:tc>
          <w:tcPr>
            <w:tcW w:w="10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9,366</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9,368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NORTHEAST</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10,596</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12,896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23,491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24,644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17,270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NORTH LAKE</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COMMONS</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(Illinois)</w:t>
            </w:r>
          </w:p>
        </w:tc>
        <w:tc>
          <w:tcPr>
            <w:tcW w:w="580" w:type="dxa"/>
            <w:vAlign w:val="bottom"/>
          </w:tcPr>
          <w:p>
            <w:pPr>
              <w:ind w:left="140"/>
              <w:spacing w:after="0"/>
              <w:rPr>
                <w:sz w:val="20"/>
                <w:szCs w:val="20"/>
                <w:color w:val="auto"/>
              </w:rPr>
            </w:pPr>
            <w:r>
              <w:rPr>
                <w:rFonts w:ascii="Arial" w:cs="Arial" w:eastAsia="Arial" w:hAnsi="Arial"/>
                <w:sz w:val="14"/>
                <w:szCs w:val="14"/>
                <w:color w:val="auto"/>
              </w:rPr>
              <w:t>IL</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8,604</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5,140</w:t>
            </w:r>
          </w:p>
        </w:tc>
        <w:tc>
          <w:tcPr>
            <w:tcW w:w="10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2,628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13,898</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16,526</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6,488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4/27/1994</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OLD KEENE</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MILL (Virginia)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998</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4,935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5,933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6,571</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4,965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6/15/1976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OLD TOWN</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CENTER</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1962, 1997-</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80" w:type="dxa"/>
            <w:vAlign w:val="bottom"/>
          </w:tcPr>
          <w:p>
            <w:pPr>
              <w:ind w:left="140"/>
              <w:spacing w:after="0"/>
              <w:rPr>
                <w:sz w:val="20"/>
                <w:szCs w:val="20"/>
                <w:color w:val="auto"/>
              </w:rPr>
            </w:pPr>
            <w:r>
              <w:rPr>
                <w:rFonts w:ascii="Arial" w:cs="Arial" w:eastAsia="Arial" w:hAnsi="Arial"/>
                <w:sz w:val="14"/>
                <w:szCs w:val="14"/>
                <w:color w:val="auto"/>
              </w:rPr>
              <w:t>CA</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2,765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31,014</w:t>
            </w:r>
          </w:p>
        </w:tc>
        <w:tc>
          <w:tcPr>
            <w:tcW w:w="10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3,420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33,779</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37,199</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18,145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10/22/1997</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PAN AM</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SHOPPING</w:t>
            </w: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CENTER</w:t>
            </w: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8,694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12,929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7,061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8,695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19,989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28,684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12,654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PENTAGON</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1998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ROW (Virginia)</w:t>
            </w:r>
          </w:p>
        </w:tc>
        <w:tc>
          <w:tcPr>
            <w:tcW w:w="580" w:type="dxa"/>
            <w:vAlign w:val="bottom"/>
          </w:tcPr>
          <w:p>
            <w:pPr>
              <w:ind w:left="140"/>
              <w:spacing w:after="0"/>
              <w:rPr>
                <w:sz w:val="20"/>
                <w:szCs w:val="20"/>
                <w:color w:val="auto"/>
              </w:rPr>
            </w:pPr>
            <w:r>
              <w:rPr>
                <w:rFonts w:ascii="Arial" w:cs="Arial" w:eastAsia="Arial" w:hAnsi="Arial"/>
                <w:sz w:val="14"/>
                <w:szCs w:val="14"/>
                <w:color w:val="auto"/>
              </w:rPr>
              <w:t>VA</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2,955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93,397</w:t>
            </w: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96,352</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96,352</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36,418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1999 - 2002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11/22/10</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PERRING</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w:t>
            </w: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2,800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6,461</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20,637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27,098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29,898</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19,655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55"/>
        </w:trPr>
        <w:tc>
          <w:tcPr>
            <w:tcW w:w="1120" w:type="dxa"/>
            <w:vAlign w:val="bottom"/>
          </w:tcPr>
          <w:p>
            <w:pPr>
              <w:ind w:left="40"/>
              <w:spacing w:after="0"/>
              <w:rPr>
                <w:sz w:val="20"/>
                <w:szCs w:val="20"/>
                <w:color w:val="auto"/>
              </w:rPr>
            </w:pPr>
            <w:r>
              <w:rPr>
                <w:rFonts w:ascii="Arial" w:cs="Arial" w:eastAsia="Arial" w:hAnsi="Arial"/>
                <w:sz w:val="14"/>
                <w:szCs w:val="14"/>
                <w:color w:val="auto"/>
              </w:rPr>
              <w:t>PIKE 7 (Virginia)</w:t>
            </w:r>
          </w:p>
        </w:tc>
        <w:tc>
          <w:tcPr>
            <w:tcW w:w="580" w:type="dxa"/>
            <w:vAlign w:val="bottom"/>
          </w:tcPr>
          <w:p>
            <w:pPr>
              <w:ind w:left="140"/>
              <w:spacing w:after="0"/>
              <w:rPr>
                <w:sz w:val="20"/>
                <w:szCs w:val="20"/>
                <w:color w:val="auto"/>
              </w:rPr>
            </w:pPr>
            <w:r>
              <w:rPr>
                <w:rFonts w:ascii="Arial" w:cs="Arial" w:eastAsia="Arial" w:hAnsi="Arial"/>
                <w:sz w:val="14"/>
                <w:szCs w:val="14"/>
                <w:color w:val="auto"/>
              </w:rPr>
              <w:t>VA</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9,709</w:t>
            </w:r>
          </w:p>
        </w:tc>
        <w:tc>
          <w:tcPr>
            <w:tcW w:w="12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22,799</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9,653</w:t>
            </w:r>
          </w:p>
        </w:tc>
        <w:tc>
          <w:tcPr>
            <w:tcW w:w="10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26,519</w:t>
            </w:r>
          </w:p>
        </w:tc>
        <w:tc>
          <w:tcPr>
            <w:tcW w:w="10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36,172</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13,129</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3/31/1997</w:t>
            </w:r>
          </w:p>
        </w:tc>
        <w:tc>
          <w:tcPr>
            <w:tcW w:w="1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PLAZA EL</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SEGUNDO</w:t>
            </w: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182,129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56,606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153,556</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15,422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40,701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184,883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225,584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12,133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2006 &amp; 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12/30/2011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QUEEN ANNE</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PLAZA</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80" w:type="dxa"/>
            <w:vAlign w:val="bottom"/>
          </w:tcPr>
          <w:p>
            <w:pPr>
              <w:ind w:left="140"/>
              <w:spacing w:after="0"/>
              <w:rPr>
                <w:sz w:val="20"/>
                <w:szCs w:val="20"/>
                <w:color w:val="auto"/>
              </w:rPr>
            </w:pPr>
            <w:r>
              <w:rPr>
                <w:rFonts w:ascii="Arial" w:cs="Arial" w:eastAsia="Arial" w:hAnsi="Arial"/>
                <w:sz w:val="14"/>
                <w:szCs w:val="14"/>
                <w:color w:val="auto"/>
              </w:rPr>
              <w:t>MA</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3,319</w:t>
            </w:r>
          </w:p>
        </w:tc>
        <w:tc>
          <w:tcPr>
            <w:tcW w:w="12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8,457</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6,367</w:t>
            </w:r>
          </w:p>
        </w:tc>
        <w:tc>
          <w:tcPr>
            <w:tcW w:w="10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14,824</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18,143</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7,989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12/23/1994</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QUINCE</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ORCHARD</w:t>
            </w: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w:t>
            </w:r>
          </w:p>
        </w:tc>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7,949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16,598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2,928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24,816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27,744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13,781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ROCKVILLE</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TOWN SQUARE</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(Maryland)</w:t>
            </w:r>
          </w:p>
        </w:tc>
        <w:tc>
          <w:tcPr>
            <w:tcW w:w="580" w:type="dxa"/>
            <w:vAlign w:val="bottom"/>
          </w:tcPr>
          <w:p>
            <w:pPr>
              <w:ind w:left="140"/>
              <w:spacing w:after="0"/>
              <w:rPr>
                <w:sz w:val="20"/>
                <w:szCs w:val="20"/>
                <w:color w:val="auto"/>
              </w:rPr>
            </w:pPr>
            <w:r>
              <w:rPr>
                <w:rFonts w:ascii="Arial" w:cs="Arial" w:eastAsia="Arial" w:hAnsi="Arial"/>
                <w:sz w:val="14"/>
                <w:szCs w:val="14"/>
                <w:color w:val="auto"/>
              </w:rPr>
              <w:t>MD</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4,524</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8,092</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42,536</w:t>
            </w: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50,628</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50,628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10,249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2005 - 2007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2006 - 2007</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ROLLINGWOOD</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APTS. (Maryland)</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22,521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2,246</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6,837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9,063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9,635</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7,725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1/15/1971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SAM'S PARK &amp;</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w w:val="99"/>
              </w:rPr>
              <w:t>SHOP (District of</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Columbia)</w:t>
            </w:r>
          </w:p>
        </w:tc>
        <w:tc>
          <w:tcPr>
            <w:tcW w:w="580" w:type="dxa"/>
            <w:vAlign w:val="bottom"/>
          </w:tcPr>
          <w:p>
            <w:pPr>
              <w:ind w:left="140"/>
              <w:spacing w:after="0"/>
              <w:rPr>
                <w:sz w:val="20"/>
                <w:szCs w:val="20"/>
                <w:color w:val="auto"/>
              </w:rPr>
            </w:pPr>
            <w:r>
              <w:rPr>
                <w:rFonts w:ascii="Arial" w:cs="Arial" w:eastAsia="Arial" w:hAnsi="Arial"/>
                <w:sz w:val="14"/>
                <w:szCs w:val="14"/>
                <w:color w:val="auto"/>
              </w:rPr>
              <w:t>DC</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4,840</w:t>
            </w:r>
          </w:p>
        </w:tc>
        <w:tc>
          <w:tcPr>
            <w:tcW w:w="12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6,319</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4,840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7,990</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12,830</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12/1/1995</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1999 - 2009,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3/5/1997 &amp;</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44,562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7,502</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621,900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57,575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616,389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673,964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122,907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40 - 50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SAUGUS</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80" w:type="dxa"/>
            <w:vAlign w:val="bottom"/>
          </w:tcPr>
          <w:p>
            <w:pPr>
              <w:ind w:left="140"/>
              <w:spacing w:after="0"/>
              <w:rPr>
                <w:sz w:val="20"/>
                <w:szCs w:val="20"/>
                <w:color w:val="auto"/>
              </w:rPr>
            </w:pPr>
            <w:r>
              <w:rPr>
                <w:rFonts w:ascii="Arial" w:cs="Arial" w:eastAsia="Arial" w:hAnsi="Arial"/>
                <w:sz w:val="14"/>
                <w:szCs w:val="14"/>
                <w:color w:val="auto"/>
              </w:rPr>
              <w:t>MA</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4,383</w:t>
            </w:r>
          </w:p>
        </w:tc>
        <w:tc>
          <w:tcPr>
            <w:tcW w:w="12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8,291</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10,432</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14,815</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5,033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10/1/1996</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SHIRLINGTON</w:t>
            </w: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1940, 2006-</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6,446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9,761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14,808</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34,857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55,192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59,426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18,967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Arial" w:cs="Arial" w:eastAsia="Arial" w:hAnsi="Arial"/>
                <w:sz w:val="14"/>
                <w:szCs w:val="14"/>
                <w:color w:val="auto"/>
              </w:rPr>
              <w:t>THE SHOPPES</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AT</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NOTTINGHAM</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40"/>
              <w:spacing w:after="0" w:line="143" w:lineRule="exact"/>
              <w:rPr>
                <w:sz w:val="20"/>
                <w:szCs w:val="20"/>
                <w:color w:val="auto"/>
              </w:rPr>
            </w:pPr>
            <w:r>
              <w:rPr>
                <w:rFonts w:ascii="Arial" w:cs="Arial" w:eastAsia="Arial" w:hAnsi="Arial"/>
                <w:sz w:val="14"/>
                <w:szCs w:val="14"/>
                <w:color w:val="auto"/>
              </w:rPr>
              <w:t>SQUARE</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20" w:type="dxa"/>
            <w:vAlign w:val="bottom"/>
          </w:tcPr>
          <w:p>
            <w:pPr>
              <w:ind w:left="40"/>
              <w:spacing w:after="0"/>
              <w:rPr>
                <w:sz w:val="20"/>
                <w:szCs w:val="20"/>
                <w:color w:val="auto"/>
              </w:rPr>
            </w:pPr>
            <w:r>
              <w:rPr>
                <w:rFonts w:ascii="Arial" w:cs="Arial" w:eastAsia="Arial" w:hAnsi="Arial"/>
                <w:sz w:val="14"/>
                <w:szCs w:val="14"/>
                <w:color w:val="auto"/>
              </w:rPr>
              <w:t>(Maryland)</w:t>
            </w:r>
          </w:p>
        </w:tc>
        <w:tc>
          <w:tcPr>
            <w:tcW w:w="580" w:type="dxa"/>
            <w:vAlign w:val="bottom"/>
          </w:tcPr>
          <w:p>
            <w:pPr>
              <w:ind w:left="140"/>
              <w:spacing w:after="0"/>
              <w:rPr>
                <w:sz w:val="20"/>
                <w:szCs w:val="20"/>
                <w:color w:val="auto"/>
              </w:rPr>
            </w:pPr>
            <w:r>
              <w:rPr>
                <w:rFonts w:ascii="Arial" w:cs="Arial" w:eastAsia="Arial" w:hAnsi="Arial"/>
                <w:sz w:val="14"/>
                <w:szCs w:val="14"/>
                <w:color w:val="auto"/>
              </w:rPr>
              <w:t>MD</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4,441</w:t>
            </w:r>
          </w:p>
        </w:tc>
        <w:tc>
          <w:tcPr>
            <w:tcW w:w="12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12,849</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17,344</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3,062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2005 - 2006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2013</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COLUMN A</w:t>
            </w:r>
          </w:p>
        </w:tc>
        <w:tc>
          <w:tcPr>
            <w:tcW w:w="580" w:type="dxa"/>
            <w:vAlign w:val="bottom"/>
          </w:tcPr>
          <w:p>
            <w:pPr>
              <w:spacing w:after="0"/>
              <w:rPr>
                <w:sz w:val="14"/>
                <w:szCs w:val="14"/>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COLUMN B</w:t>
            </w: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COLUMN C</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COLUMN D</w:t>
            </w:r>
          </w:p>
        </w:tc>
        <w:tc>
          <w:tcPr>
            <w:tcW w:w="12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COLUMN E</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2"/>
                <w:szCs w:val="12"/>
                <w:b w:val="1"/>
                <w:bCs w:val="1"/>
                <w:color w:val="auto"/>
              </w:rPr>
              <w:t>COLUMN F</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COLUMN G</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COLUMN H</w:t>
            </w:r>
          </w:p>
        </w:tc>
        <w:tc>
          <w:tcPr>
            <w:tcW w:w="100" w:type="dxa"/>
            <w:vAlign w:val="bottom"/>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6"/>
            <w:vMerge w:val="restart"/>
          </w:tcPr>
          <w:p>
            <w:pPr>
              <w:jc w:val="center"/>
              <w:ind w:right="80"/>
              <w:spacing w:after="0"/>
              <w:rPr>
                <w:sz w:val="20"/>
                <w:szCs w:val="20"/>
                <w:color w:val="auto"/>
              </w:rPr>
            </w:pPr>
            <w:r>
              <w:rPr>
                <w:rFonts w:ascii="Arial" w:cs="Arial" w:eastAsia="Arial" w:hAnsi="Arial"/>
                <w:sz w:val="12"/>
                <w:szCs w:val="12"/>
                <w:b w:val="1"/>
                <w:bCs w:val="1"/>
                <w:color w:val="auto"/>
                <w:w w:val="92"/>
              </w:rPr>
              <w:t>Gross amount at which carried at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w w:val="96"/>
              </w:rPr>
              <w:t>Life on which</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9"/>
              </w:rPr>
              <w:t>Cost</w:t>
            </w:r>
          </w:p>
        </w:tc>
        <w:tc>
          <w:tcPr>
            <w:tcW w:w="2640" w:type="dxa"/>
            <w:vAlign w:val="bottom"/>
            <w:gridSpan w:val="6"/>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ind w:left="280"/>
              <w:spacing w:after="0"/>
              <w:rPr>
                <w:sz w:val="20"/>
                <w:szCs w:val="20"/>
                <w:color w:val="auto"/>
              </w:rPr>
            </w:pPr>
            <w:r>
              <w:rPr>
                <w:rFonts w:ascii="Arial" w:cs="Arial" w:eastAsia="Arial" w:hAnsi="Arial"/>
                <w:sz w:val="12"/>
                <w:szCs w:val="12"/>
                <w:b w:val="1"/>
                <w:bCs w:val="1"/>
                <w:color w:val="auto"/>
              </w:rPr>
              <w:t>Initial cost to company</w:t>
            </w: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Capitalized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close of period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105"/>
        </w:trPr>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w w:val="87"/>
              </w:rPr>
              <w:t>Subsequent</w:t>
            </w: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3"/>
              </w:rPr>
              <w:t>Depreciation</w:t>
            </w:r>
          </w:p>
        </w:tc>
        <w:tc>
          <w:tcPr>
            <w:tcW w:w="100" w:type="dxa"/>
            <w:vAlign w:val="bottom"/>
          </w:tcPr>
          <w:p>
            <w:pPr>
              <w:spacing w:after="0"/>
              <w:rPr>
                <w:sz w:val="9"/>
                <w:szCs w:val="9"/>
                <w:color w:val="auto"/>
              </w:rPr>
            </w:pPr>
          </w:p>
        </w:tc>
        <w:tc>
          <w:tcPr>
            <w:tcW w:w="900" w:type="dxa"/>
            <w:vAlign w:val="bottom"/>
            <w:gridSpan w:val="2"/>
          </w:tcPr>
          <w:p>
            <w:pPr>
              <w:jc w:val="center"/>
              <w:ind w:right="100"/>
              <w:spacing w:after="0" w:line="106"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0"/>
              </w:rPr>
              <w:t>Building and</w:t>
            </w:r>
          </w:p>
        </w:tc>
        <w:tc>
          <w:tcPr>
            <w:tcW w:w="92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and</w:t>
            </w: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7"/>
              </w:rPr>
              <w:t>of</w:t>
            </w: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statements is</w:t>
            </w:r>
          </w:p>
        </w:tc>
        <w:tc>
          <w:tcPr>
            <w:tcW w:w="0" w:type="dxa"/>
            <w:vAlign w:val="bottom"/>
          </w:tcPr>
          <w:p>
            <w:pPr>
              <w:spacing w:after="0"/>
              <w:rPr>
                <w:sz w:val="1"/>
                <w:szCs w:val="1"/>
                <w:color w:val="auto"/>
              </w:rPr>
            </w:pPr>
          </w:p>
        </w:tc>
      </w:tr>
      <w:tr>
        <w:trPr>
          <w:trHeight w:val="168"/>
        </w:trPr>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58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Encumbrance</w:t>
            </w: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Land</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Improvements</w:t>
            </w: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Acquisition</w:t>
            </w:r>
          </w:p>
        </w:tc>
        <w:tc>
          <w:tcPr>
            <w:tcW w:w="88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Improvements</w:t>
            </w:r>
          </w:p>
        </w:tc>
        <w:tc>
          <w:tcPr>
            <w:tcW w:w="880" w:type="dxa"/>
            <w:vAlign w:val="bottom"/>
            <w:gridSpan w:val="2"/>
          </w:tcPr>
          <w:p>
            <w:pPr>
              <w:ind w:left="260"/>
              <w:spacing w:after="0"/>
              <w:rPr>
                <w:sz w:val="20"/>
                <w:szCs w:val="20"/>
                <w:color w:val="auto"/>
              </w:rPr>
            </w:pPr>
            <w:r>
              <w:rPr>
                <w:rFonts w:ascii="Arial" w:cs="Arial" w:eastAsia="Arial" w:hAnsi="Arial"/>
                <w:sz w:val="12"/>
                <w:szCs w:val="12"/>
                <w:b w:val="1"/>
                <w:bCs w:val="1"/>
                <w:color w:val="auto"/>
              </w:rPr>
              <w:t>Total</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2"/>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Construction</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Acquired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51"/>
        </w:trPr>
        <w:tc>
          <w:tcPr>
            <w:tcW w:w="102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THIRD</w:t>
            </w:r>
          </w:p>
        </w:tc>
        <w:tc>
          <w:tcPr>
            <w:tcW w:w="5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STREET</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PROMENADE</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22,645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12,709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42,752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25,125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52,981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78,106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26,548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1888-2000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1996-2000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020" w:type="dxa"/>
            <w:vAlign w:val="bottom"/>
          </w:tcPr>
          <w:p>
            <w:pPr>
              <w:ind w:left="40"/>
              <w:spacing w:after="0" w:line="151" w:lineRule="exact"/>
              <w:rPr>
                <w:sz w:val="20"/>
                <w:szCs w:val="20"/>
                <w:color w:val="auto"/>
              </w:rPr>
            </w:pPr>
            <w:r>
              <w:rPr>
                <w:rFonts w:ascii="Arial" w:cs="Arial" w:eastAsia="Arial" w:hAnsi="Arial"/>
                <w:sz w:val="14"/>
                <w:szCs w:val="14"/>
                <w:color w:val="auto"/>
              </w:rPr>
              <w:t>TOWER</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40"/>
              <w:spacing w:after="0"/>
              <w:rPr>
                <w:sz w:val="20"/>
                <w:szCs w:val="20"/>
                <w:color w:val="auto"/>
              </w:rPr>
            </w:pPr>
            <w:r>
              <w:rPr>
                <w:rFonts w:ascii="Arial" w:cs="Arial" w:eastAsia="Arial" w:hAnsi="Arial"/>
                <w:sz w:val="14"/>
                <w:szCs w:val="14"/>
                <w:color w:val="auto"/>
              </w:rPr>
              <w:t>(Virginia)</w:t>
            </w:r>
          </w:p>
        </w:tc>
        <w:tc>
          <w:tcPr>
            <w:tcW w:w="580" w:type="dxa"/>
            <w:vAlign w:val="bottom"/>
          </w:tcPr>
          <w:p>
            <w:pPr>
              <w:ind w:left="140"/>
              <w:spacing w:after="0"/>
              <w:rPr>
                <w:sz w:val="20"/>
                <w:szCs w:val="20"/>
                <w:color w:val="auto"/>
              </w:rPr>
            </w:pPr>
            <w:r>
              <w:rPr>
                <w:rFonts w:ascii="Arial" w:cs="Arial" w:eastAsia="Arial" w:hAnsi="Arial"/>
                <w:sz w:val="14"/>
                <w:szCs w:val="14"/>
                <w:color w:val="auto"/>
              </w:rPr>
              <w:t>VA</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7,170</w:t>
            </w:r>
          </w:p>
        </w:tc>
        <w:tc>
          <w:tcPr>
            <w:tcW w:w="12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10,518</w:t>
            </w:r>
          </w:p>
        </w:tc>
        <w:tc>
          <w:tcPr>
            <w:tcW w:w="1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3,534</w:t>
            </w:r>
          </w:p>
        </w:tc>
        <w:tc>
          <w:tcPr>
            <w:tcW w:w="12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7,280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13,942</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21,222</w:t>
            </w:r>
          </w:p>
        </w:tc>
        <w:tc>
          <w:tcPr>
            <w:tcW w:w="10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6,852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1953-1960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1"/>
              </w:rPr>
              <w:t>TOWER SHOPS</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28,823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36,313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12,936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28,845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49,227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78,072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6,076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1/19/2011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020" w:type="dxa"/>
            <w:vAlign w:val="bottom"/>
          </w:tcPr>
          <w:p>
            <w:pPr>
              <w:ind w:left="40"/>
              <w:spacing w:after="0" w:line="151" w:lineRule="exact"/>
              <w:rPr>
                <w:sz w:val="20"/>
                <w:szCs w:val="20"/>
                <w:color w:val="auto"/>
              </w:rPr>
            </w:pPr>
            <w:r>
              <w:rPr>
                <w:rFonts w:ascii="Arial" w:cs="Arial" w:eastAsia="Arial" w:hAnsi="Arial"/>
                <w:sz w:val="14"/>
                <w:szCs w:val="14"/>
                <w:color w:val="auto"/>
              </w:rPr>
              <w:t>TROY (New</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40"/>
              <w:spacing w:after="0"/>
              <w:rPr>
                <w:sz w:val="20"/>
                <w:szCs w:val="20"/>
                <w:color w:val="auto"/>
              </w:rPr>
            </w:pPr>
            <w:r>
              <w:rPr>
                <w:rFonts w:ascii="Arial" w:cs="Arial" w:eastAsia="Arial" w:hAnsi="Arial"/>
                <w:sz w:val="14"/>
                <w:szCs w:val="14"/>
                <w:color w:val="auto"/>
              </w:rPr>
              <w:t>Jersey)</w:t>
            </w:r>
          </w:p>
        </w:tc>
        <w:tc>
          <w:tcPr>
            <w:tcW w:w="580" w:type="dxa"/>
            <w:vAlign w:val="bottom"/>
          </w:tcPr>
          <w:p>
            <w:pPr>
              <w:ind w:left="140"/>
              <w:spacing w:after="0"/>
              <w:rPr>
                <w:sz w:val="20"/>
                <w:szCs w:val="20"/>
                <w:color w:val="auto"/>
              </w:rPr>
            </w:pPr>
            <w:r>
              <w:rPr>
                <w:rFonts w:ascii="Arial" w:cs="Arial" w:eastAsia="Arial" w:hAnsi="Arial"/>
                <w:sz w:val="14"/>
                <w:szCs w:val="14"/>
                <w:color w:val="auto"/>
              </w:rPr>
              <w:t>NJ</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3,126</w:t>
            </w:r>
          </w:p>
        </w:tc>
        <w:tc>
          <w:tcPr>
            <w:tcW w:w="12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5,193</w:t>
            </w:r>
          </w:p>
        </w:tc>
        <w:tc>
          <w:tcPr>
            <w:tcW w:w="1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21,856</w:t>
            </w:r>
          </w:p>
        </w:tc>
        <w:tc>
          <w:tcPr>
            <w:tcW w:w="12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26,147</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30,175</w:t>
            </w:r>
          </w:p>
        </w:tc>
        <w:tc>
          <w:tcPr>
            <w:tcW w:w="10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18,065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0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TYSON'S</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STATION</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3,625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4,466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3,157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1/17/1978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51"/>
        </w:trPr>
        <w:tc>
          <w:tcPr>
            <w:tcW w:w="1020" w:type="dxa"/>
            <w:vAlign w:val="bottom"/>
          </w:tcPr>
          <w:p>
            <w:pPr>
              <w:ind w:left="40"/>
              <w:spacing w:after="0" w:line="151" w:lineRule="exact"/>
              <w:rPr>
                <w:sz w:val="20"/>
                <w:szCs w:val="20"/>
                <w:color w:val="auto"/>
              </w:rPr>
            </w:pPr>
            <w:r>
              <w:rPr>
                <w:rFonts w:ascii="Arial" w:cs="Arial" w:eastAsia="Arial" w:hAnsi="Arial"/>
                <w:sz w:val="14"/>
                <w:szCs w:val="14"/>
                <w:color w:val="auto"/>
              </w:rPr>
              <w:t>WESTGATE</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40"/>
              <w:spacing w:after="0" w:line="143" w:lineRule="exact"/>
              <w:rPr>
                <w:sz w:val="20"/>
                <w:szCs w:val="20"/>
                <w:color w:val="auto"/>
              </w:rPr>
            </w:pPr>
            <w:r>
              <w:rPr>
                <w:rFonts w:ascii="Arial" w:cs="Arial" w:eastAsia="Arial" w:hAnsi="Arial"/>
                <w:sz w:val="14"/>
                <w:szCs w:val="14"/>
                <w:color w:val="auto"/>
              </w:rPr>
              <w:t>CENTER</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80" w:type="dxa"/>
            <w:vAlign w:val="bottom"/>
          </w:tcPr>
          <w:p>
            <w:pPr>
              <w:ind w:left="140"/>
              <w:spacing w:after="0"/>
              <w:rPr>
                <w:sz w:val="20"/>
                <w:szCs w:val="20"/>
                <w:color w:val="auto"/>
              </w:rPr>
            </w:pPr>
            <w:r>
              <w:rPr>
                <w:rFonts w:ascii="Arial" w:cs="Arial" w:eastAsia="Arial" w:hAnsi="Arial"/>
                <w:sz w:val="14"/>
                <w:szCs w:val="14"/>
                <w:color w:val="auto"/>
              </w:rPr>
              <w:t>CA</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6,319</w:t>
            </w:r>
          </w:p>
        </w:tc>
        <w:tc>
          <w:tcPr>
            <w:tcW w:w="12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107,284</w:t>
            </w:r>
          </w:p>
        </w:tc>
        <w:tc>
          <w:tcPr>
            <w:tcW w:w="1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20,962</w:t>
            </w:r>
          </w:p>
        </w:tc>
        <w:tc>
          <w:tcPr>
            <w:tcW w:w="12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128,246</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134,565</w:t>
            </w:r>
          </w:p>
        </w:tc>
        <w:tc>
          <w:tcPr>
            <w:tcW w:w="10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29,850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1960-1966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3/31/2004</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WHITE</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MARSH</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3,478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21,413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3,478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21,611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25,089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5,494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020" w:type="dxa"/>
            <w:vAlign w:val="bottom"/>
          </w:tcPr>
          <w:p>
            <w:pPr>
              <w:ind w:left="40"/>
              <w:spacing w:after="0" w:line="151" w:lineRule="exact"/>
              <w:rPr>
                <w:sz w:val="20"/>
                <w:szCs w:val="20"/>
                <w:color w:val="auto"/>
              </w:rPr>
            </w:pPr>
            <w:r>
              <w:rPr>
                <w:rFonts w:ascii="Arial" w:cs="Arial" w:eastAsia="Arial" w:hAnsi="Arial"/>
                <w:sz w:val="14"/>
                <w:szCs w:val="14"/>
                <w:color w:val="auto"/>
              </w:rPr>
              <w:t>WHITE</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40"/>
              <w:spacing w:after="0" w:line="143" w:lineRule="exact"/>
              <w:rPr>
                <w:sz w:val="20"/>
                <w:szCs w:val="20"/>
                <w:color w:val="auto"/>
              </w:rPr>
            </w:pPr>
            <w:r>
              <w:rPr>
                <w:rFonts w:ascii="Arial" w:cs="Arial" w:eastAsia="Arial" w:hAnsi="Arial"/>
                <w:sz w:val="14"/>
                <w:szCs w:val="14"/>
                <w:color w:val="auto"/>
              </w:rPr>
              <w:t>MARSH</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40"/>
              <w:spacing w:after="0" w:line="143" w:lineRule="exact"/>
              <w:rPr>
                <w:sz w:val="20"/>
                <w:szCs w:val="20"/>
                <w:color w:val="auto"/>
              </w:rPr>
            </w:pPr>
            <w:r>
              <w:rPr>
                <w:rFonts w:ascii="Arial" w:cs="Arial" w:eastAsia="Arial" w:hAnsi="Arial"/>
                <w:sz w:val="14"/>
                <w:szCs w:val="14"/>
                <w:color w:val="auto"/>
              </w:rPr>
              <w:t>OTHER</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40"/>
              <w:spacing w:after="0"/>
              <w:rPr>
                <w:sz w:val="20"/>
                <w:szCs w:val="20"/>
                <w:color w:val="auto"/>
              </w:rPr>
            </w:pPr>
            <w:r>
              <w:rPr>
                <w:rFonts w:ascii="Arial" w:cs="Arial" w:eastAsia="Arial" w:hAnsi="Arial"/>
                <w:sz w:val="14"/>
                <w:szCs w:val="14"/>
                <w:color w:val="auto"/>
              </w:rPr>
              <w:t>(Maryland)</w:t>
            </w:r>
          </w:p>
        </w:tc>
        <w:tc>
          <w:tcPr>
            <w:tcW w:w="580" w:type="dxa"/>
            <w:vAlign w:val="bottom"/>
          </w:tcPr>
          <w:p>
            <w:pPr>
              <w:ind w:left="140"/>
              <w:spacing w:after="0"/>
              <w:rPr>
                <w:sz w:val="20"/>
                <w:szCs w:val="20"/>
                <w:color w:val="auto"/>
              </w:rPr>
            </w:pPr>
            <w:r>
              <w:rPr>
                <w:rFonts w:ascii="Arial" w:cs="Arial" w:eastAsia="Arial" w:hAnsi="Arial"/>
                <w:sz w:val="14"/>
                <w:szCs w:val="14"/>
                <w:color w:val="auto"/>
              </w:rPr>
              <w:t>MD</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60,400</w:t>
            </w:r>
          </w:p>
        </w:tc>
        <w:tc>
          <w:tcPr>
            <w:tcW w:w="12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(26,047)</w:t>
            </w:r>
          </w:p>
        </w:tc>
        <w:tc>
          <w:tcPr>
            <w:tcW w:w="12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34,311</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36,196</w:t>
            </w:r>
          </w:p>
        </w:tc>
        <w:tc>
          <w:tcPr>
            <w:tcW w:w="10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512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WILDWOOD</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23,095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9,111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8,297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9,358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18,469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51"/>
        </w:trPr>
        <w:tc>
          <w:tcPr>
            <w:tcW w:w="1020" w:type="dxa"/>
            <w:vAlign w:val="bottom"/>
          </w:tcPr>
          <w:p>
            <w:pPr>
              <w:ind w:left="40"/>
              <w:spacing w:after="0" w:line="151" w:lineRule="exact"/>
              <w:rPr>
                <w:sz w:val="20"/>
                <w:szCs w:val="20"/>
                <w:color w:val="auto"/>
              </w:rPr>
            </w:pPr>
            <w:r>
              <w:rPr>
                <w:rFonts w:ascii="Arial" w:cs="Arial" w:eastAsia="Arial" w:hAnsi="Arial"/>
                <w:sz w:val="14"/>
                <w:szCs w:val="14"/>
                <w:color w:val="auto"/>
              </w:rPr>
              <w:t>WILLOW</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Pr>
          <w:p>
            <w:pPr>
              <w:ind w:left="40"/>
              <w:spacing w:after="0" w:line="143" w:lineRule="exact"/>
              <w:rPr>
                <w:sz w:val="20"/>
                <w:szCs w:val="20"/>
                <w:color w:val="auto"/>
              </w:rPr>
            </w:pPr>
            <w:r>
              <w:rPr>
                <w:rFonts w:ascii="Arial" w:cs="Arial" w:eastAsia="Arial" w:hAnsi="Arial"/>
                <w:sz w:val="14"/>
                <w:szCs w:val="14"/>
                <w:color w:val="auto"/>
              </w:rPr>
              <w:t>GROVE</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80" w:type="dxa"/>
            <w:vAlign w:val="bottom"/>
          </w:tcPr>
          <w:p>
            <w:pPr>
              <w:ind w:left="140"/>
              <w:spacing w:after="0"/>
              <w:rPr>
                <w:sz w:val="20"/>
                <w:szCs w:val="20"/>
                <w:color w:val="auto"/>
              </w:rPr>
            </w:pPr>
            <w:r>
              <w:rPr>
                <w:rFonts w:ascii="Arial" w:cs="Arial" w:eastAsia="Arial" w:hAnsi="Arial"/>
                <w:sz w:val="14"/>
                <w:szCs w:val="14"/>
                <w:color w:val="auto"/>
              </w:rPr>
              <w:t>PA</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21,651</w:t>
            </w:r>
          </w:p>
        </w:tc>
        <w:tc>
          <w:tcPr>
            <w:tcW w:w="12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28,294</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29,793</w:t>
            </w:r>
          </w:p>
        </w:tc>
        <w:tc>
          <w:tcPr>
            <w:tcW w:w="10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22,080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11/20/1984</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WILLOW</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LAWN</w:t>
            </w: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71,601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7,790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74,726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82,516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46,038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020" w:type="dxa"/>
            <w:vAlign w:val="bottom"/>
          </w:tcPr>
          <w:p>
            <w:pPr>
              <w:ind w:left="40"/>
              <w:spacing w:after="0" w:line="151" w:lineRule="exact"/>
              <w:rPr>
                <w:sz w:val="20"/>
                <w:szCs w:val="20"/>
                <w:color w:val="auto"/>
              </w:rPr>
            </w:pPr>
            <w:r>
              <w:rPr>
                <w:rFonts w:ascii="Arial" w:cs="Arial" w:eastAsia="Arial" w:hAnsi="Arial"/>
                <w:sz w:val="14"/>
                <w:szCs w:val="14"/>
                <w:color w:val="auto"/>
                <w:w w:val="98"/>
              </w:rPr>
              <w:t>WYNNEWOOD</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(Pennsylvania)</w:t>
            </w:r>
          </w:p>
        </w:tc>
        <w:tc>
          <w:tcPr>
            <w:tcW w:w="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26,777</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8,055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13,759</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15,816</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29,575</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37,630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17,538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10/29/1996</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34"/>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TOTALS</w:t>
            </w:r>
          </w:p>
        </w:tc>
        <w:tc>
          <w:tcPr>
            <w:tcW w:w="5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  660,127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9"/>
              </w:rPr>
              <w:t>$ 1,104,678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1"/>
              </w:rPr>
              <w:t>$ 1,630,403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89"/>
              </w:rPr>
              <w:t>$ 2,414,382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  987,735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9"/>
              </w:rPr>
              <w:t>$ 4,161,728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86"/>
              </w:rPr>
              <w:t>$ 5,149,463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86"/>
              </w:rPr>
              <w:t>$ 1,350,471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126"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Table of Contents</w:t>
              </w:r>
            </w:hyperlink>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3"/>
        </w:trPr>
        <w:tc>
          <w:tcPr>
            <w:tcW w:w="1180" w:type="dxa"/>
            <w:vAlign w:val="bottom"/>
            <w:tcBorders>
              <w:top w:val="single" w:sz="8" w:color="0000EE"/>
            </w:tcBorders>
          </w:tcPr>
          <w:p>
            <w:pPr>
              <w:spacing w:after="0"/>
              <w:rPr>
                <w:sz w:val="24"/>
                <w:szCs w:val="24"/>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rPr>
              <w:t>FEDERAL REALTY INVESTMENT TRUST</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rPr>
              <w:t>SCHEDULE III</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rPr>
              <w:t>SUMMARY OF REAL ESTATE AND ACCUMULATED DEPRECIATION - CONTINUED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w w:val="92"/>
              </w:rPr>
              <w:t>Three Years Ended December 31, 2013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1"/>
              </w:rPr>
              <w:t>Reconciliation of Total Cost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8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2010</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3,895,942</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430,758</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480"/>
              <w:spacing w:after="0"/>
              <w:rPr>
                <w:sz w:val="20"/>
                <w:szCs w:val="20"/>
                <w:color w:val="auto"/>
              </w:rPr>
            </w:pPr>
            <w:r>
              <w:rPr>
                <w:rFonts w:ascii="Arial" w:cs="Arial" w:eastAsia="Arial" w:hAnsi="Arial"/>
                <w:sz w:val="17"/>
                <w:szCs w:val="17"/>
                <w:color w:val="auto"/>
              </w:rPr>
              <w:t>Improvements</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147,996</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Deconsolidation of VIE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(18,311)</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Deduction during period—disposition and retirements of property</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(29,941)</w:t>
            </w:r>
          </w:p>
        </w:tc>
        <w:tc>
          <w:tcPr>
            <w:tcW w:w="0" w:type="dxa"/>
            <w:vAlign w:val="bottom"/>
          </w:tcPr>
          <w:p>
            <w:pPr>
              <w:spacing w:after="0"/>
              <w:rPr>
                <w:sz w:val="1"/>
                <w:szCs w:val="1"/>
                <w:color w:val="auto"/>
              </w:rPr>
            </w:pPr>
          </w:p>
        </w:tc>
      </w:tr>
      <w:tr>
        <w:trPr>
          <w:trHeight w:val="26"/>
        </w:trPr>
        <w:tc>
          <w:tcPr>
            <w:tcW w:w="1180" w:type="dxa"/>
            <w:vAlign w:val="bottom"/>
            <w:tcBorders>
              <w:bottom w:val="single" w:sz="8" w:color="CCEEFF"/>
            </w:tcBorders>
          </w:tcPr>
          <w:p>
            <w:pPr>
              <w:spacing w:after="0"/>
              <w:rPr>
                <w:sz w:val="2"/>
                <w:szCs w:val="2"/>
                <w:color w:val="auto"/>
              </w:rPr>
            </w:pPr>
          </w:p>
        </w:tc>
        <w:tc>
          <w:tcPr>
            <w:tcW w:w="8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2011</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4,426,444</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193,131</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480"/>
              <w:spacing w:after="0"/>
              <w:rPr>
                <w:sz w:val="20"/>
                <w:szCs w:val="20"/>
                <w:color w:val="auto"/>
              </w:rPr>
            </w:pPr>
            <w:r>
              <w:rPr>
                <w:rFonts w:ascii="Arial" w:cs="Arial" w:eastAsia="Arial" w:hAnsi="Arial"/>
                <w:sz w:val="17"/>
                <w:szCs w:val="17"/>
                <w:color w:val="auto"/>
              </w:rPr>
              <w:t>Improvements</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187,990</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 during period—disposition and retirements of property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(27,891)</w:t>
            </w:r>
          </w:p>
        </w:tc>
        <w:tc>
          <w:tcPr>
            <w:tcW w:w="0" w:type="dxa"/>
            <w:vAlign w:val="bottom"/>
          </w:tcPr>
          <w:p>
            <w:pPr>
              <w:spacing w:after="0"/>
              <w:rPr>
                <w:sz w:val="1"/>
                <w:szCs w:val="1"/>
                <w:color w:val="auto"/>
              </w:rPr>
            </w:pPr>
          </w:p>
        </w:tc>
      </w:tr>
      <w:tr>
        <w:trPr>
          <w:trHeight w:val="228"/>
        </w:trPr>
        <w:tc>
          <w:tcPr>
            <w:tcW w:w="10060" w:type="dxa"/>
            <w:vAlign w:val="bottom"/>
            <w:gridSpan w:val="2"/>
          </w:tcPr>
          <w:p>
            <w:pPr>
              <w:ind w:left="40"/>
              <w:spacing w:after="0"/>
              <w:rPr>
                <w:sz w:val="20"/>
                <w:szCs w:val="20"/>
                <w:color w:val="auto"/>
              </w:rPr>
            </w:pPr>
            <w:r>
              <w:rPr>
                <w:rFonts w:ascii="Arial" w:cs="Arial" w:eastAsia="Arial" w:hAnsi="Arial"/>
                <w:sz w:val="17"/>
                <w:szCs w:val="17"/>
                <w:color w:val="auto"/>
              </w:rPr>
              <w:t>Balance, December 31, 2012</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4,779,674</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Additions during period</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60" w:type="dxa"/>
            <w:vAlign w:val="bottom"/>
            <w:gridSpan w:val="2"/>
          </w:tcPr>
          <w:p>
            <w:pPr>
              <w:ind w:left="480"/>
              <w:spacing w:after="0"/>
              <w:rPr>
                <w:sz w:val="20"/>
                <w:szCs w:val="20"/>
                <w:color w:val="auto"/>
              </w:rPr>
            </w:pPr>
            <w:r>
              <w:rPr>
                <w:rFonts w:ascii="Arial" w:cs="Arial" w:eastAsia="Arial" w:hAnsi="Arial"/>
                <w:sz w:val="17"/>
                <w:szCs w:val="17"/>
                <w:color w:val="auto"/>
              </w:rPr>
              <w:t>Acquisitions</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76,359</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Improvements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329,522</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Deduction during period—disposition and retirements of property</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(36,092)</w:t>
            </w:r>
          </w:p>
        </w:tc>
        <w:tc>
          <w:tcPr>
            <w:tcW w:w="0" w:type="dxa"/>
            <w:vAlign w:val="bottom"/>
          </w:tcPr>
          <w:p>
            <w:pPr>
              <w:spacing w:after="0"/>
              <w:rPr>
                <w:sz w:val="1"/>
                <w:szCs w:val="1"/>
                <w:color w:val="auto"/>
              </w:rPr>
            </w:pPr>
          </w:p>
        </w:tc>
      </w:tr>
      <w:tr>
        <w:trPr>
          <w:trHeight w:val="26"/>
        </w:trPr>
        <w:tc>
          <w:tcPr>
            <w:tcW w:w="1180" w:type="dxa"/>
            <w:vAlign w:val="bottom"/>
            <w:tcBorders>
              <w:bottom w:val="single" w:sz="8" w:color="CCEEFF"/>
            </w:tcBorders>
          </w:tcPr>
          <w:p>
            <w:pPr>
              <w:spacing w:after="0"/>
              <w:rPr>
                <w:sz w:val="2"/>
                <w:szCs w:val="2"/>
                <w:color w:val="auto"/>
              </w:rPr>
            </w:pPr>
          </w:p>
        </w:tc>
        <w:tc>
          <w:tcPr>
            <w:tcW w:w="8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2013</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5,149,463</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7"/>
                <w:szCs w:val="17"/>
                <w:color w:val="auto"/>
              </w:rPr>
              <w:t>_____________________</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10060" w:type="dxa"/>
            <w:vAlign w:val="bottom"/>
            <w:gridSpan w:val="2"/>
          </w:tcPr>
          <w:p>
            <w:pPr>
              <w:spacing w:after="0"/>
              <w:rPr>
                <w:sz w:val="20"/>
                <w:szCs w:val="20"/>
                <w:color w:val="auto"/>
              </w:rPr>
            </w:pPr>
            <w:r>
              <w:rPr>
                <w:rFonts w:ascii="Arial" w:cs="Arial" w:eastAsia="Arial" w:hAnsi="Arial"/>
                <w:sz w:val="17"/>
                <w:szCs w:val="17"/>
                <w:color w:val="auto"/>
              </w:rPr>
              <w:t>(1)  For Federal tax purposes, the aggregate cost basis is approximately $4.5 billion as of December 31, 2013.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0"/>
        </w:trPr>
        <w:tc>
          <w:tcPr>
            <w:tcW w:w="1180" w:type="dxa"/>
            <w:vAlign w:val="bottom"/>
          </w:tcPr>
          <w:p>
            <w:pPr>
              <w:spacing w:after="0"/>
              <w:rPr>
                <w:sz w:val="24"/>
                <w:szCs w:val="24"/>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color w:val="auto"/>
                <w:w w:val="97"/>
              </w:rPr>
              <w:t>F-35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Table of Contents</w:t>
              </w:r>
            </w:hyperlink>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3"/>
        </w:trPr>
        <w:tc>
          <w:tcPr>
            <w:tcW w:w="1180" w:type="dxa"/>
            <w:vAlign w:val="bottom"/>
            <w:tcBorders>
              <w:top w:val="single" w:sz="8" w:color="0000EE"/>
            </w:tcBorders>
          </w:tcPr>
          <w:p>
            <w:pPr>
              <w:spacing w:after="0"/>
              <w:rPr>
                <w:sz w:val="24"/>
                <w:szCs w:val="24"/>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rPr>
              <w:t>FEDERAL REALTY INVESTMENT TRUST</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rPr>
              <w:t>SCHEDULE III</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rPr>
              <w:t>SUMMARY OF REAL ESTATE AND ACCUMULATED DEPRECIATION - CONTINUED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w w:val="92"/>
              </w:rPr>
              <w:t>Three Years Ended December 31, 2013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w w:val="92"/>
              </w:rPr>
              <w:t>Reconciliation of Accumulated Depreciation and Amortization</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8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2010</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1,035,204</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period—depreciation and amortization expense</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114,180</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Deductions during period—disposition and retirements of property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(21,796)</w:t>
            </w:r>
          </w:p>
        </w:tc>
        <w:tc>
          <w:tcPr>
            <w:tcW w:w="0" w:type="dxa"/>
            <w:vAlign w:val="bottom"/>
          </w:tcPr>
          <w:p>
            <w:pPr>
              <w:spacing w:after="0"/>
              <w:rPr>
                <w:sz w:val="1"/>
                <w:szCs w:val="1"/>
                <w:color w:val="auto"/>
              </w:rPr>
            </w:pPr>
          </w:p>
        </w:tc>
      </w:tr>
      <w:tr>
        <w:trPr>
          <w:trHeight w:val="228"/>
        </w:trPr>
        <w:tc>
          <w:tcPr>
            <w:tcW w:w="10060" w:type="dxa"/>
            <w:vAlign w:val="bottom"/>
            <w:gridSpan w:val="2"/>
          </w:tcPr>
          <w:p>
            <w:pPr>
              <w:ind w:left="40"/>
              <w:spacing w:after="0"/>
              <w:rPr>
                <w:sz w:val="20"/>
                <w:szCs w:val="20"/>
                <w:color w:val="auto"/>
              </w:rPr>
            </w:pPr>
            <w:r>
              <w:rPr>
                <w:rFonts w:ascii="Arial" w:cs="Arial" w:eastAsia="Arial" w:hAnsi="Arial"/>
                <w:sz w:val="17"/>
                <w:szCs w:val="17"/>
                <w:color w:val="auto"/>
              </w:rPr>
              <w:t>Balance, December 31, 2011</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1,127,588</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Additions during period—depreciation and amortization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128,654</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Deductions during period—disposition and retirements of property</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(31,947)</w:t>
            </w:r>
          </w:p>
        </w:tc>
        <w:tc>
          <w:tcPr>
            <w:tcW w:w="0" w:type="dxa"/>
            <w:vAlign w:val="bottom"/>
          </w:tcPr>
          <w:p>
            <w:pPr>
              <w:spacing w:after="0"/>
              <w:rPr>
                <w:sz w:val="1"/>
                <w:szCs w:val="1"/>
                <w:color w:val="auto"/>
              </w:rPr>
            </w:pPr>
          </w:p>
        </w:tc>
      </w:tr>
      <w:tr>
        <w:trPr>
          <w:trHeight w:val="26"/>
        </w:trPr>
        <w:tc>
          <w:tcPr>
            <w:tcW w:w="1180" w:type="dxa"/>
            <w:vAlign w:val="bottom"/>
            <w:tcBorders>
              <w:bottom w:val="single" w:sz="8" w:color="CCEEFF"/>
            </w:tcBorders>
          </w:tcPr>
          <w:p>
            <w:pPr>
              <w:spacing w:after="0"/>
              <w:rPr>
                <w:sz w:val="2"/>
                <w:szCs w:val="2"/>
                <w:color w:val="auto"/>
              </w:rPr>
            </w:pPr>
          </w:p>
        </w:tc>
        <w:tc>
          <w:tcPr>
            <w:tcW w:w="8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2012</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1,224,295</w:t>
            </w:r>
          </w:p>
        </w:tc>
        <w:tc>
          <w:tcPr>
            <w:tcW w:w="0" w:type="dxa"/>
            <w:vAlign w:val="bottom"/>
          </w:tcPr>
          <w:p>
            <w:pPr>
              <w:spacing w:after="0"/>
              <w:rPr>
                <w:sz w:val="1"/>
                <w:szCs w:val="1"/>
                <w:color w:val="auto"/>
              </w:rPr>
            </w:pPr>
          </w:p>
        </w:tc>
      </w:tr>
      <w:tr>
        <w:trPr>
          <w:trHeight w:val="235"/>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period—depreciation and amortization expense</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147,730</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Deductions during period—disposition and retirements of property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(21,554)</w:t>
            </w:r>
          </w:p>
        </w:tc>
        <w:tc>
          <w:tcPr>
            <w:tcW w:w="0" w:type="dxa"/>
            <w:vAlign w:val="bottom"/>
          </w:tcPr>
          <w:p>
            <w:pPr>
              <w:spacing w:after="0"/>
              <w:rPr>
                <w:sz w:val="1"/>
                <w:szCs w:val="1"/>
                <w:color w:val="auto"/>
              </w:rPr>
            </w:pPr>
          </w:p>
        </w:tc>
      </w:tr>
      <w:tr>
        <w:trPr>
          <w:trHeight w:val="247"/>
        </w:trPr>
        <w:tc>
          <w:tcPr>
            <w:tcW w:w="10060" w:type="dxa"/>
            <w:vAlign w:val="bottom"/>
            <w:gridSpan w:val="2"/>
          </w:tcPr>
          <w:p>
            <w:pPr>
              <w:ind w:left="40"/>
              <w:spacing w:after="0"/>
              <w:rPr>
                <w:sz w:val="20"/>
                <w:szCs w:val="20"/>
                <w:color w:val="auto"/>
              </w:rPr>
            </w:pPr>
            <w:r>
              <w:rPr>
                <w:rFonts w:ascii="Arial" w:cs="Arial" w:eastAsia="Arial" w:hAnsi="Arial"/>
                <w:sz w:val="17"/>
                <w:szCs w:val="17"/>
                <w:color w:val="auto"/>
              </w:rPr>
              <w:t>Balance, December 31, 2013</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1,350,471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80" w:type="dxa"/>
            <w:vAlign w:val="bottom"/>
            <w:vMerge w:val="restart"/>
          </w:tcPr>
          <w:p>
            <w:pPr>
              <w:jc w:val="center"/>
              <w:ind w:left="93"/>
              <w:spacing w:after="0"/>
              <w:rPr>
                <w:sz w:val="20"/>
                <w:szCs w:val="20"/>
                <w:color w:val="auto"/>
              </w:rPr>
            </w:pPr>
            <w:r>
              <w:rPr>
                <w:rFonts w:ascii="Arial" w:cs="Arial" w:eastAsia="Arial" w:hAnsi="Arial"/>
                <w:sz w:val="17"/>
                <w:szCs w:val="17"/>
                <w:color w:val="auto"/>
                <w:w w:val="97"/>
              </w:rPr>
              <w:t>F-36</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118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MORTGAGE LOANS ON REAL ESTATE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gridSpan w:val="2"/>
          </w:tcPr>
          <w:p>
            <w:pPr>
              <w:ind w:left="560"/>
              <w:spacing w:after="0"/>
              <w:rPr>
                <w:sz w:val="20"/>
                <w:szCs w:val="20"/>
                <w:color w:val="auto"/>
              </w:rPr>
            </w:pPr>
            <w:r>
              <w:rPr>
                <w:rFonts w:ascii="Arial" w:cs="Arial" w:eastAsia="Arial" w:hAnsi="Arial"/>
                <w:sz w:val="14"/>
                <w:szCs w:val="14"/>
                <w:b w:val="1"/>
                <w:bCs w:val="1"/>
                <w:color w:val="auto"/>
              </w:rPr>
              <w:t>Column A</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Column B</w:t>
            </w: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Column C</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Column D</w:t>
            </w:r>
          </w:p>
        </w:tc>
        <w:tc>
          <w:tcPr>
            <w:tcW w:w="180" w:type="dxa"/>
            <w:vAlign w:val="bottom"/>
          </w:tcPr>
          <w:p>
            <w:pPr>
              <w:spacing w:after="0"/>
              <w:rPr>
                <w:sz w:val="16"/>
                <w:szCs w:val="16"/>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Column E</w:t>
            </w:r>
          </w:p>
        </w:tc>
        <w:tc>
          <w:tcPr>
            <w:tcW w:w="22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Column F</w:t>
            </w:r>
          </w:p>
        </w:tc>
        <w:tc>
          <w:tcPr>
            <w:tcW w:w="16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Column G</w:t>
            </w:r>
          </w:p>
        </w:tc>
        <w:tc>
          <w:tcPr>
            <w:tcW w:w="140" w:type="dxa"/>
            <w:vAlign w:val="bottom"/>
          </w:tcPr>
          <w:p>
            <w:pPr>
              <w:spacing w:after="0"/>
              <w:rPr>
                <w:sz w:val="16"/>
                <w:szCs w:val="16"/>
                <w:color w:val="auto"/>
              </w:rPr>
            </w:pPr>
          </w:p>
        </w:tc>
        <w:tc>
          <w:tcPr>
            <w:tcW w:w="860" w:type="dxa"/>
            <w:vAlign w:val="bottom"/>
          </w:tcPr>
          <w:p>
            <w:pPr>
              <w:jc w:val="center"/>
              <w:ind w:right="47"/>
              <w:spacing w:after="0"/>
              <w:rPr>
                <w:sz w:val="20"/>
                <w:szCs w:val="20"/>
                <w:color w:val="auto"/>
              </w:rPr>
            </w:pPr>
            <w:r>
              <w:rPr>
                <w:rFonts w:ascii="Arial" w:cs="Arial" w:eastAsia="Arial" w:hAnsi="Arial"/>
                <w:sz w:val="14"/>
                <w:szCs w:val="14"/>
                <w:b w:val="1"/>
                <w:bCs w:val="1"/>
                <w:color w:val="auto"/>
                <w:w w:val="93"/>
              </w:rPr>
              <w:t>Column H</w:t>
            </w:r>
          </w:p>
        </w:tc>
        <w:tc>
          <w:tcPr>
            <w:tcW w:w="0" w:type="dxa"/>
            <w:vAlign w:val="bottom"/>
          </w:tcPr>
          <w:p>
            <w:pPr>
              <w:spacing w:after="0"/>
              <w:rPr>
                <w:sz w:val="1"/>
                <w:szCs w:val="1"/>
                <w:color w:val="auto"/>
              </w:rPr>
            </w:pPr>
          </w:p>
        </w:tc>
      </w:tr>
      <w:tr>
        <w:trPr>
          <w:trHeight w:val="146"/>
        </w:trPr>
        <w:tc>
          <w:tcPr>
            <w:tcW w:w="1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67"/>
              <w:spacing w:after="0" w:line="146"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89"/>
              </w:rPr>
              <w:t>of Loans</w:t>
            </w: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88"/>
              </w:rPr>
              <w:t>Subject to</w:t>
            </w: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Periodic Payment</w:t>
            </w:r>
          </w:p>
        </w:tc>
        <w:tc>
          <w:tcPr>
            <w:tcW w:w="180" w:type="dxa"/>
            <w:vAlign w:val="bottom"/>
          </w:tcPr>
          <w:p>
            <w:pPr>
              <w:spacing w:after="0"/>
              <w:rPr>
                <w:sz w:val="12"/>
                <w:szCs w:val="12"/>
                <w:color w:val="auto"/>
              </w:rPr>
            </w:pPr>
          </w:p>
        </w:tc>
        <w:tc>
          <w:tcPr>
            <w:tcW w:w="700" w:type="dxa"/>
            <w:vAlign w:val="bottom"/>
            <w:gridSpan w:val="2"/>
            <w:vMerge w:val="restart"/>
          </w:tcPr>
          <w:p>
            <w:pPr>
              <w:jc w:val="center"/>
              <w:ind w:left="145"/>
              <w:spacing w:after="0"/>
              <w:rPr>
                <w:sz w:val="20"/>
                <w:szCs w:val="20"/>
                <w:color w:val="auto"/>
              </w:rPr>
            </w:pPr>
            <w:r>
              <w:rPr>
                <w:rFonts w:ascii="Arial" w:cs="Arial" w:eastAsia="Arial" w:hAnsi="Arial"/>
                <w:sz w:val="14"/>
                <w:szCs w:val="14"/>
                <w:b w:val="1"/>
                <w:bCs w:val="1"/>
                <w:color w:val="auto"/>
                <w:w w:val="97"/>
              </w:rPr>
              <w:t>Prior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Face Amount</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0"/>
              </w:rPr>
              <w:t>delinquent</w:t>
            </w:r>
          </w:p>
        </w:tc>
        <w:tc>
          <w:tcPr>
            <w:tcW w:w="0" w:type="dxa"/>
            <w:vAlign w:val="bottom"/>
          </w:tcPr>
          <w:p>
            <w:pPr>
              <w:spacing w:after="0"/>
              <w:rPr>
                <w:sz w:val="1"/>
                <w:szCs w:val="1"/>
                <w:color w:val="auto"/>
              </w:rPr>
            </w:pPr>
          </w:p>
        </w:tc>
      </w:tr>
      <w:tr>
        <w:trPr>
          <w:trHeight w:val="143"/>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2"/>
                <w:szCs w:val="12"/>
                <w:color w:val="auto"/>
              </w:rPr>
            </w:pP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left="145"/>
              <w:spacing w:after="0"/>
              <w:rPr>
                <w:sz w:val="20"/>
                <w:szCs w:val="20"/>
                <w:color w:val="auto"/>
              </w:rPr>
            </w:pPr>
            <w:r>
              <w:rPr>
                <w:rFonts w:ascii="Arial" w:cs="Arial" w:eastAsia="Arial" w:hAnsi="Arial"/>
                <w:sz w:val="14"/>
                <w:szCs w:val="14"/>
                <w:b w:val="1"/>
                <w:bCs w:val="1"/>
                <w:color w:val="auto"/>
                <w:w w:val="87"/>
              </w:rPr>
              <w:t>Liens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of Mortgages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of Mortgages(1)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3"/>
              </w:rPr>
              <w:t>or Interest</w:t>
            </w:r>
          </w:p>
        </w:tc>
        <w:tc>
          <w:tcPr>
            <w:tcW w:w="0" w:type="dxa"/>
            <w:vAlign w:val="bottom"/>
          </w:tcPr>
          <w:p>
            <w:pPr>
              <w:spacing w:after="0"/>
              <w:rPr>
                <w:sz w:val="1"/>
                <w:szCs w:val="1"/>
                <w:color w:val="auto"/>
              </w:rPr>
            </w:pPr>
          </w:p>
        </w:tc>
      </w:tr>
      <w:tr>
        <w:trPr>
          <w:trHeight w:val="211"/>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2021</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only</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20,286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20,286   (2)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monthly; balloon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payment due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at maturity</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380" w:type="dxa"/>
            <w:vAlign w:val="bottom"/>
            <w:gridSpan w:val="2"/>
          </w:tcPr>
          <w:p>
            <w:pPr>
              <w:ind w:left="40"/>
              <w:spacing w:after="0"/>
              <w:rPr>
                <w:sz w:val="20"/>
                <w:szCs w:val="20"/>
                <w:color w:val="auto"/>
              </w:rPr>
            </w:pPr>
            <w:r>
              <w:rPr>
                <w:rFonts w:ascii="Arial" w:cs="Arial" w:eastAsia="Arial" w:hAnsi="Arial"/>
                <w:sz w:val="16"/>
                <w:szCs w:val="16"/>
                <w:color w:val="auto"/>
              </w:rPr>
              <w:t>May 2021</w:t>
            </w: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Interest only monthly;</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5"/>
              <w:spacing w:after="0"/>
              <w:rPr>
                <w:sz w:val="20"/>
                <w:szCs w:val="20"/>
                <w:color w:val="auto"/>
              </w:rPr>
            </w:pPr>
            <w:r>
              <w:rPr>
                <w:rFonts w:ascii="Arial" w:cs="Arial" w:eastAsia="Arial" w:hAnsi="Arial"/>
                <w:sz w:val="16"/>
                <w:szCs w:val="16"/>
                <w:color w:val="auto"/>
              </w:rPr>
              <w:t>9,250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5"/>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buildings in Philadelphia,</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balloon payment due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PA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at maturity</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Mortgage</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2016</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Principal and interest;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w w:val="98"/>
              </w:rPr>
              <w:t>34,000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11,886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10,321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on hotel building in San</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balloon payment due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Jose, CA</w:t>
            </w: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at maturity(3)</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Mortgage on</w:t>
            </w:r>
          </w:p>
        </w:tc>
        <w:tc>
          <w:tcPr>
            <w:tcW w:w="1140" w:type="dxa"/>
            <w:vAlign w:val="bottom"/>
          </w:tcPr>
          <w:p>
            <w:pPr>
              <w:ind w:lef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color w:val="auto"/>
              </w:rPr>
              <w:t>December 2014</w:t>
            </w: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Interest only monthly</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5"/>
              <w:spacing w:after="0"/>
              <w:rPr>
                <w:sz w:val="20"/>
                <w:szCs w:val="20"/>
                <w:color w:val="auto"/>
              </w:rPr>
            </w:pPr>
            <w:r>
              <w:rPr>
                <w:rFonts w:ascii="Arial" w:cs="Arial" w:eastAsia="Arial" w:hAnsi="Arial"/>
                <w:sz w:val="16"/>
                <w:szCs w:val="16"/>
                <w:color w:val="auto"/>
              </w:rPr>
              <w:t>3,583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5"/>
              <w:spacing w:after="0"/>
              <w:rPr>
                <w:sz w:val="20"/>
                <w:szCs w:val="20"/>
                <w:color w:val="auto"/>
              </w:rPr>
            </w:pPr>
            <w:r>
              <w:rPr>
                <w:rFonts w:ascii="Arial" w:cs="Arial" w:eastAsia="Arial" w:hAnsi="Arial"/>
                <w:sz w:val="16"/>
                <w:szCs w:val="16"/>
                <w:color w:val="auto"/>
              </w:rPr>
              <w:t>3,583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restaurant building in</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through January 31,</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Rockville, MD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2011; balloon</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payment due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color w:val="auto"/>
              </w:rPr>
              <w:t>at maturity(5)</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 retail</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2014</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only; balloon</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11,715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11,715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building in Norwalk, CT</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payment due at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maturity(6)</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w w:val="98"/>
              </w:rPr>
              <w:t>34,000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56,720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55,155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
        </w:trPr>
        <w:tc>
          <w:tcPr>
            <w:tcW w:w="1840" w:type="dxa"/>
            <w:vAlign w:val="bottom"/>
            <w:gridSpan w:val="2"/>
            <w:vMerge w:val="restart"/>
          </w:tcPr>
          <w:p>
            <w:pPr>
              <w:spacing w:after="0"/>
              <w:rPr>
                <w:sz w:val="20"/>
                <w:szCs w:val="20"/>
                <w:color w:val="auto"/>
              </w:rPr>
            </w:pPr>
            <w:r>
              <w:rPr>
                <w:rFonts w:ascii="Arial" w:cs="Arial" w:eastAsia="Arial" w:hAnsi="Arial"/>
                <w:sz w:val="17"/>
                <w:szCs w:val="17"/>
                <w:color w:val="auto"/>
                <w:w w:val="91"/>
              </w:rPr>
              <w:t>_____________________</w:t>
            </w: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6"/>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$56.7 million as of December 31, 2013.</w:t>
      </w:r>
    </w:p>
    <w:p>
      <w:pPr>
        <w:spacing w:after="0" w:line="2" w:lineRule="exact"/>
        <w:rPr>
          <w:rFonts w:ascii="Arial" w:cs="Arial" w:eastAsia="Arial" w:hAnsi="Arial"/>
          <w:sz w:val="16"/>
          <w:szCs w:val="16"/>
          <w:color w:val="auto"/>
        </w:rPr>
      </w:pPr>
    </w:p>
    <w:p>
      <w:pPr>
        <w:ind w:left="320" w:hanging="316"/>
        <w:spacing w:after="0" w:line="238"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ind w:left="320" w:right="60" w:hanging="316"/>
        <w:spacing w:after="0" w:line="238"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note was amended on August 4, 2006. The amended note decreased the interest from 14% to 9% per annum, and requires monthly payments of principal and interest based on 15-year amortization schedule.</w:t>
      </w:r>
    </w:p>
    <w:p>
      <w:pPr>
        <w:ind w:left="320" w:hanging="316"/>
        <w:spacing w:after="0" w:line="238"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do not hold the first mortgage loan on this property. Accordingly, the amount of the prior lien at December 31, 2013 is estimated.</w:t>
      </w:r>
    </w:p>
    <w:p>
      <w:pPr>
        <w:ind w:left="320" w:right="60" w:hanging="316"/>
        <w:spacing w:after="0" w:line="238"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Beginning February 1, 2011, the note requires monthly payments of principal and interest based on a 30-year amortization schedule. The borrower has one, three-year extension option with an interest rate of 12% which increases 1% in each subsequent year of the extension term.</w:t>
      </w:r>
    </w:p>
    <w:p>
      <w:pPr>
        <w:ind w:left="320" w:hanging="316"/>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is subject to a one year extension option with an interest rate of 7% .</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126"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Table of Contents</w:t>
              </w:r>
            </w:hyperlink>
          </w:p>
        </w:tc>
        <w:tc>
          <w:tcPr>
            <w:tcW w:w="6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13"/>
        </w:trPr>
        <w:tc>
          <w:tcPr>
            <w:tcW w:w="11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7280" w:type="dxa"/>
            <w:vAlign w:val="bottom"/>
            <w:gridSpan w:val="2"/>
          </w:tcPr>
          <w:p>
            <w:pPr>
              <w:jc w:val="center"/>
              <w:ind w:right="2213"/>
              <w:spacing w:after="0"/>
              <w:rPr>
                <w:sz w:val="20"/>
                <w:szCs w:val="20"/>
                <w:color w:val="auto"/>
              </w:rPr>
            </w:pPr>
            <w:r>
              <w:rPr>
                <w:rFonts w:ascii="Arial" w:cs="Arial" w:eastAsia="Arial" w:hAnsi="Arial"/>
                <w:sz w:val="17"/>
                <w:szCs w:val="17"/>
                <w:b w:val="1"/>
                <w:bCs w:val="1"/>
                <w:color w:val="auto"/>
              </w:rPr>
              <w:t>FEDERAL REALTY INVESTMENT TRUST</w:t>
            </w:r>
          </w:p>
        </w:tc>
        <w:tc>
          <w:tcPr>
            <w:tcW w:w="920" w:type="dxa"/>
            <w:vAlign w:val="bottom"/>
          </w:tcPr>
          <w:p>
            <w:pPr>
              <w:spacing w:after="0"/>
              <w:rPr>
                <w:sz w:val="24"/>
                <w:szCs w:val="24"/>
                <w:color w:val="auto"/>
              </w:rPr>
            </w:pPr>
          </w:p>
        </w:tc>
      </w:tr>
      <w:tr>
        <w:trPr>
          <w:trHeight w:val="209"/>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rPr>
              <w:t>SCHEDULE IV</w:t>
            </w: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gridSpan w:val="2"/>
          </w:tcPr>
          <w:p>
            <w:pPr>
              <w:jc w:val="center"/>
              <w:ind w:right="2213"/>
              <w:spacing w:after="0"/>
              <w:rPr>
                <w:sz w:val="20"/>
                <w:szCs w:val="20"/>
                <w:color w:val="auto"/>
              </w:rPr>
            </w:pPr>
            <w:r>
              <w:rPr>
                <w:rFonts w:ascii="Arial" w:cs="Arial" w:eastAsia="Arial" w:hAnsi="Arial"/>
                <w:sz w:val="17"/>
                <w:szCs w:val="17"/>
                <w:b w:val="1"/>
                <w:bCs w:val="1"/>
                <w:color w:val="auto"/>
              </w:rPr>
              <w:t>MORTGAGE LOANS ON REAL ESTATE - CONTINUED</w:t>
            </w: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w w:val="92"/>
              </w:rPr>
              <w:t>Three Years Ended December 31, 2013</w:t>
            </w:r>
          </w:p>
        </w:tc>
        <w:tc>
          <w:tcPr>
            <w:tcW w:w="92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gridSpan w:val="2"/>
          </w:tcPr>
          <w:p>
            <w:pPr>
              <w:jc w:val="center"/>
              <w:ind w:right="2213"/>
              <w:spacing w:after="0"/>
              <w:rPr>
                <w:sz w:val="20"/>
                <w:szCs w:val="20"/>
                <w:color w:val="auto"/>
              </w:rPr>
            </w:pPr>
            <w:r>
              <w:rPr>
                <w:rFonts w:ascii="Arial" w:cs="Arial" w:eastAsia="Arial" w:hAnsi="Arial"/>
                <w:sz w:val="17"/>
                <w:szCs w:val="17"/>
                <w:b w:val="1"/>
                <w:bCs w:val="1"/>
                <w:color w:val="auto"/>
                <w:w w:val="93"/>
              </w:rPr>
              <w:t>Reconciliation of Carrying Amount</w:t>
            </w:r>
          </w:p>
        </w:tc>
        <w:tc>
          <w:tcPr>
            <w:tcW w:w="920" w:type="dxa"/>
            <w:vAlign w:val="bottom"/>
          </w:tcPr>
          <w:p>
            <w:pPr>
              <w:spacing w:after="0"/>
              <w:rPr>
                <w:sz w:val="18"/>
                <w:szCs w:val="18"/>
                <w:color w:val="auto"/>
              </w:rPr>
            </w:pPr>
          </w:p>
        </w:tc>
      </w:tr>
      <w:tr>
        <w:trPr>
          <w:trHeight w:val="227"/>
        </w:trPr>
        <w:tc>
          <w:tcPr>
            <w:tcW w:w="1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80" w:type="dxa"/>
            <w:vAlign w:val="bottom"/>
            <w:gridSpan w:val="2"/>
          </w:tcPr>
          <w:p>
            <w:pPr>
              <w:jc w:val="center"/>
              <w:ind w:right="2213"/>
              <w:spacing w:after="0"/>
              <w:rPr>
                <w:sz w:val="20"/>
                <w:szCs w:val="20"/>
                <w:color w:val="auto"/>
              </w:rPr>
            </w:pPr>
            <w:r>
              <w:rPr>
                <w:rFonts w:ascii="Arial" w:cs="Arial" w:eastAsia="Arial" w:hAnsi="Arial"/>
                <w:sz w:val="17"/>
                <w:szCs w:val="17"/>
                <w:b w:val="1"/>
                <w:bCs w:val="1"/>
                <w:color w:val="auto"/>
                <w:w w:val="90"/>
              </w:rPr>
              <w:t>(in thousands)</w:t>
            </w:r>
          </w:p>
        </w:tc>
        <w:tc>
          <w:tcPr>
            <w:tcW w:w="920" w:type="dxa"/>
            <w:vAlign w:val="bottom"/>
          </w:tcPr>
          <w:p>
            <w:pPr>
              <w:spacing w:after="0"/>
              <w:rPr>
                <w:sz w:val="19"/>
                <w:szCs w:val="19"/>
                <w:color w:val="auto"/>
              </w:rPr>
            </w:pPr>
          </w:p>
        </w:tc>
      </w:tr>
      <w:tr>
        <w:trPr>
          <w:trHeight w:val="365"/>
        </w:trPr>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1"/>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2010</w:t>
            </w:r>
          </w:p>
        </w:tc>
        <w:tc>
          <w:tcPr>
            <w:tcW w:w="7280" w:type="dxa"/>
            <w:vAlign w:val="bottom"/>
            <w:tcBorders>
              <w:bottom w:val="single" w:sz="8" w:color="CCEEFF"/>
            </w:tcBorders>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44,813</w:t>
            </w:r>
          </w:p>
        </w:tc>
      </w:tr>
      <w:tr>
        <w:trPr>
          <w:trHeight w:val="235"/>
        </w:trPr>
        <w:tc>
          <w:tcPr>
            <w:tcW w:w="322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Issuance of loans</w:t>
            </w:r>
          </w:p>
        </w:tc>
        <w:tc>
          <w:tcPr>
            <w:tcW w:w="6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130</w:t>
            </w:r>
          </w:p>
        </w:tc>
      </w:tr>
      <w:tr>
        <w:trPr>
          <w:trHeight w:val="235"/>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Deconsolidation of VIE</w:t>
            </w:r>
          </w:p>
        </w:tc>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18,311</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3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Deductions during period:</w:t>
            </w:r>
          </w:p>
        </w:tc>
        <w:tc>
          <w:tcPr>
            <w:tcW w:w="6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5"/>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Collection and satisfaction of loans</w:t>
            </w:r>
          </w:p>
        </w:tc>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(7,598)</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Amortization of discount /loan fee</w:t>
            </w:r>
          </w:p>
        </w:tc>
        <w:tc>
          <w:tcPr>
            <w:tcW w:w="6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311</w:t>
            </w:r>
          </w:p>
        </w:tc>
      </w:tr>
      <w:tr>
        <w:trPr>
          <w:trHeight w:val="228"/>
        </w:trPr>
        <w:tc>
          <w:tcPr>
            <w:tcW w:w="3220" w:type="dxa"/>
            <w:vAlign w:val="bottom"/>
            <w:gridSpan w:val="2"/>
          </w:tcPr>
          <w:p>
            <w:pPr>
              <w:ind w:left="40"/>
              <w:spacing w:after="0"/>
              <w:rPr>
                <w:sz w:val="20"/>
                <w:szCs w:val="20"/>
                <w:color w:val="auto"/>
              </w:rPr>
            </w:pPr>
            <w:r>
              <w:rPr>
                <w:rFonts w:ascii="Arial" w:cs="Arial" w:eastAsia="Arial" w:hAnsi="Arial"/>
                <w:sz w:val="17"/>
                <w:szCs w:val="17"/>
                <w:color w:val="auto"/>
              </w:rPr>
              <w:t>Balance, December 31, 2011</w:t>
            </w:r>
          </w:p>
        </w:tc>
        <w:tc>
          <w:tcPr>
            <w:tcW w:w="68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55,967</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3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Additions during period:</w:t>
            </w:r>
          </w:p>
        </w:tc>
        <w:tc>
          <w:tcPr>
            <w:tcW w:w="6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5"/>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Issuance of loans</w:t>
            </w:r>
          </w:p>
        </w:tc>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70</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3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Deductions during period:</w:t>
            </w:r>
          </w:p>
        </w:tc>
        <w:tc>
          <w:tcPr>
            <w:tcW w:w="6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5"/>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Collection and satisfaction of loans</w:t>
            </w:r>
          </w:p>
        </w:tc>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(1,161)</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Amortization of discount</w:t>
            </w:r>
          </w:p>
        </w:tc>
        <w:tc>
          <w:tcPr>
            <w:tcW w:w="6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772</w:t>
            </w:r>
          </w:p>
        </w:tc>
      </w:tr>
      <w:tr>
        <w:trPr>
          <w:trHeight w:val="228"/>
        </w:trPr>
        <w:tc>
          <w:tcPr>
            <w:tcW w:w="3220" w:type="dxa"/>
            <w:vAlign w:val="bottom"/>
            <w:gridSpan w:val="2"/>
          </w:tcPr>
          <w:p>
            <w:pPr>
              <w:ind w:left="40"/>
              <w:spacing w:after="0"/>
              <w:rPr>
                <w:sz w:val="20"/>
                <w:szCs w:val="20"/>
                <w:color w:val="auto"/>
              </w:rPr>
            </w:pPr>
            <w:r>
              <w:rPr>
                <w:rFonts w:ascii="Arial" w:cs="Arial" w:eastAsia="Arial" w:hAnsi="Arial"/>
                <w:sz w:val="17"/>
                <w:szCs w:val="17"/>
                <w:color w:val="auto"/>
              </w:rPr>
              <w:t>Balance, December 31, 2012</w:t>
            </w:r>
          </w:p>
        </w:tc>
        <w:tc>
          <w:tcPr>
            <w:tcW w:w="68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55,648</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3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Deductions during period:</w:t>
            </w:r>
          </w:p>
        </w:tc>
        <w:tc>
          <w:tcPr>
            <w:tcW w:w="6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5"/>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Collection and satisfaction of loans</w:t>
            </w:r>
          </w:p>
        </w:tc>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(1,057)</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Amortization of discount</w:t>
            </w:r>
          </w:p>
        </w:tc>
        <w:tc>
          <w:tcPr>
            <w:tcW w:w="6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564</w:t>
            </w:r>
          </w:p>
        </w:tc>
      </w:tr>
      <w:tr>
        <w:trPr>
          <w:trHeight w:val="247"/>
        </w:trPr>
        <w:tc>
          <w:tcPr>
            <w:tcW w:w="3220" w:type="dxa"/>
            <w:vAlign w:val="bottom"/>
            <w:gridSpan w:val="2"/>
          </w:tcPr>
          <w:p>
            <w:pPr>
              <w:ind w:left="40"/>
              <w:spacing w:after="0"/>
              <w:rPr>
                <w:sz w:val="20"/>
                <w:szCs w:val="20"/>
                <w:color w:val="auto"/>
              </w:rPr>
            </w:pPr>
            <w:r>
              <w:rPr>
                <w:rFonts w:ascii="Arial" w:cs="Arial" w:eastAsia="Arial" w:hAnsi="Arial"/>
                <w:sz w:val="17"/>
                <w:szCs w:val="17"/>
                <w:color w:val="auto"/>
              </w:rPr>
              <w:t>Balance, December 31, 2013</w:t>
            </w:r>
          </w:p>
        </w:tc>
        <w:tc>
          <w:tcPr>
            <w:tcW w:w="684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55,155</w:t>
            </w:r>
          </w:p>
        </w:tc>
      </w:tr>
      <w:tr>
        <w:trPr>
          <w:trHeight w:val="20"/>
        </w:trPr>
        <w:tc>
          <w:tcPr>
            <w:tcW w:w="1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20"/>
        </w:trPr>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80" w:type="dxa"/>
            <w:vAlign w:val="bottom"/>
            <w:gridSpan w:val="2"/>
          </w:tcPr>
          <w:p>
            <w:pPr>
              <w:jc w:val="center"/>
              <w:ind w:right="2213"/>
              <w:spacing w:after="0"/>
              <w:rPr>
                <w:sz w:val="20"/>
                <w:szCs w:val="20"/>
                <w:color w:val="auto"/>
              </w:rPr>
            </w:pPr>
            <w:r>
              <w:rPr>
                <w:rFonts w:ascii="Arial" w:cs="Arial" w:eastAsia="Arial" w:hAnsi="Arial"/>
                <w:sz w:val="17"/>
                <w:szCs w:val="17"/>
                <w:color w:val="auto"/>
                <w:w w:val="97"/>
              </w:rPr>
              <w:t>F-38</w:t>
            </w:r>
          </w:p>
        </w:tc>
        <w:tc>
          <w:tcPr>
            <w:tcW w:w="920" w:type="dxa"/>
            <w:vAlign w:val="bottom"/>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460"/>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95"/>
              </w:rPr>
              <w:t>Declaration of Trust of Federal Realty Investment Trust dated May 5, 1999 as amended by the Articles of Amendment of Declaration of Trust of</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Federal Realty Investment Trust dated May 6, 2004, as corrected by the Certificate of Correction of Articles of Amendment of Declaration of Trust</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7"/>
              </w:rPr>
              <w:t>of Federal Realty Investment Trust dated June 17, 2004, as amended by the Articles of Amendment of Declaration of Trust of Federal Realty</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Investment Trust dated May 6, 2009 (previously filed as Exhibit 3.1 to the Trust’s Registration Statement on Form S-3 (File No. 333-160009) and</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9"/>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February 17, 2006 and May 6, 2009 (previously filed as Exhibit 3.2 to the Trust’s Registration Statement on Form S-3 (File No. 333-160009) and</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Specimen Common Share certificate (previously filed as Exhibit 4(i) to the Trust’s Annual Report on Form 10-K for the year ended December 31,</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1999 (File No. 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483"/>
        </w:trPr>
        <w:tc>
          <w:tcPr>
            <w:tcW w:w="900" w:type="dxa"/>
            <w:vAlign w:val="bottom"/>
          </w:tcPr>
          <w:p>
            <w:pPr>
              <w:ind w:left="4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 Indenture dated December 1, 1993 related to the Trust’s 7.48% Debentures due August 15, 2026; and 6.82% Medium Term Notes due August 1,</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2027; (previously filed as Exhibit 4(a) to the Trust’s Registration Statement on Form S-3 (File No. 33-51029), and amended on Form S-3</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(File No. 33-63687), filed on December 13, 1993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 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9"/>
              </w:rPr>
              <w:t>due 2013; 5.95% Notes due 2014 and the 5.90% Notes due 2020; 3.00% Notes due 2022; 2.75% Notes due 2023; 3.95% Notes due 2024</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(previously filed as Exhibit 4(a) to the Trust’s Registration Statement on Form S-3 (File No. 333-63619) filed on September 17, 1998 and</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 Severance Agreement between the Trust and Donald C. Wood dated February 22, 1999 (previously filed as a portion of Exhibit 10 to the Trust's</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Quarterly Report on Form 10-Q for the quarter ended March 31, 1999 (File No. 1-07533) (the "1999 1Q Form 10-Q") and incorporated herein by</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 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Exhibit 10 to the 1999 1Q Form 10-Q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 Amendment to Executive Agreement between Federal Realty Investment Trust and Donald C. Wood dated February 16, 2005 (previously filed as</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Exhibit 10.12 to the Trust’s Annual Report on Form 10-K for the year ended December 31, 2004 (File No. 1-07533) (the “2004 Form 10-K”) and</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 Split Dollar Life Insurance Agreement dated August 12, 1998 between the Trust and Donald C. Wood (previously filed as a portion of Exhibit 10</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8"/>
              </w:rPr>
              <w:t>to the Trust’s Annual Report on Form 10-K for the year ended December 31, 2000 (File No. 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8"/>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 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678"/>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7"/>
              </w:rPr>
              <w:t>* 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Form 10-Q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5"/>
              </w:rPr>
              <w:t>* Amendment to Severance Agreement between the Trust and Dawn M. Becker dated February 16, 2005 (previously filed as Exhibit 10.27 to the</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2004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3"/>
              </w:rPr>
              <w:t>Form of Restricted Share Award Agreement for awards made under the Trust’s 2003 Long-Term Incentive Award Program for shares issued out of</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10.10</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6"/>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10.11</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10.12</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quarter ended June 30, 2008 (File No. 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10.13</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6"/>
              </w:rPr>
              <w:t>* 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Trust’s Annual Report on Form 10-K for the year ended December 31, 2008 (File No. 1-07533) (“the 2008 Form 10-K”) and incorporated herein by</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10.14</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 Second Amendment to Executive Agreement between the Trust and Donald C. Wood dated January 1, 2009 (previously filed as Exhibit 10.27 to</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the Trust’s 2008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10.15</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10.16</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3"/>
              </w:rPr>
              <w:t>* Second Amendment to Severance Agreement between the Trust and Dawn M. Becker dated January 1, 2009 (previously filed as Exhibit 10.30 to</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the Trust’s 2008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10.17</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Shareholders (File No. 01-07533)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10.18</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5"/>
              </w:rPr>
              <w:t>Amendment to 2010 Performance Incentive Plan (“the 2010 Plan”) (previously filed as Appendix A to the Trust’s Proxy Supplement for the 2010</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Annual Meeting of Shareholders (File No. 01-07533)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10.19</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 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8"/>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10.20</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8"/>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Trust’s Annual Report on Form 10-K for the year ended December 31, 2010 (File No. 1-07533) (the “2010 Form 10-K”) and incorporated herein by</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248"/>
        </w:trPr>
        <w:tc>
          <w:tcPr>
            <w:tcW w:w="900" w:type="dxa"/>
            <w:vAlign w:val="bottom"/>
          </w:tcPr>
          <w:p>
            <w:pPr>
              <w:ind w:left="40"/>
              <w:spacing w:after="0"/>
              <w:rPr>
                <w:sz w:val="20"/>
                <w:szCs w:val="20"/>
                <w:color w:val="auto"/>
              </w:rPr>
            </w:pPr>
            <w:r>
              <w:rPr>
                <w:rFonts w:ascii="Arial" w:cs="Arial" w:eastAsia="Arial" w:hAnsi="Arial"/>
                <w:sz w:val="17"/>
                <w:szCs w:val="17"/>
                <w:color w:val="auto"/>
              </w:rPr>
              <w:t>10.21</w:t>
            </w:r>
          </w:p>
        </w:tc>
        <w:tc>
          <w:tcPr>
            <w:tcW w:w="140" w:type="dxa"/>
            <w:vAlign w:val="bottom"/>
          </w:tcPr>
          <w:p>
            <w:pPr>
              <w:spacing w:after="0"/>
              <w:rPr>
                <w:sz w:val="21"/>
                <w:szCs w:val="21"/>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Form of Option Award Agreement for awards made under the Trust’s Long-Term Incentive Award Program for shares issued out of the 2010 Plan</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509"/>
        </w:trPr>
        <w:tc>
          <w:tcPr>
            <w:tcW w:w="900" w:type="dxa"/>
            <w:vAlign w:val="bottom"/>
          </w:tcPr>
          <w:p>
            <w:pPr>
              <w:ind w:left="40"/>
              <w:spacing w:after="0"/>
              <w:rPr>
                <w:sz w:val="20"/>
                <w:szCs w:val="20"/>
                <w:color w:val="auto"/>
              </w:rPr>
            </w:pPr>
            <w:r>
              <w:rPr>
                <w:rFonts w:ascii="Arial" w:cs="Arial" w:eastAsia="Arial" w:hAnsi="Arial"/>
                <w:sz w:val="17"/>
                <w:szCs w:val="17"/>
                <w:color w:val="auto"/>
              </w:rPr>
              <w:t>10.22</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3"/>
              </w:rPr>
              <w:t>Form of Option Award Agreement for front loaded awards made under the Trust’s Long-Term Incentive Award Program for shares issued out of the</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509"/>
        </w:trPr>
        <w:tc>
          <w:tcPr>
            <w:tcW w:w="900" w:type="dxa"/>
            <w:vAlign w:val="bottom"/>
          </w:tcPr>
          <w:p>
            <w:pPr>
              <w:ind w:left="40"/>
              <w:spacing w:after="0"/>
              <w:rPr>
                <w:sz w:val="20"/>
                <w:szCs w:val="20"/>
                <w:color w:val="auto"/>
              </w:rPr>
            </w:pPr>
            <w:r>
              <w:rPr>
                <w:rFonts w:ascii="Arial" w:cs="Arial" w:eastAsia="Arial" w:hAnsi="Arial"/>
                <w:sz w:val="17"/>
                <w:szCs w:val="17"/>
                <w:color w:val="auto"/>
              </w:rPr>
              <w:t>10.23</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Form of Option Award Agreement for basic options awarded out of the 2010 Plan (previously filed as Exhibit 10.40 to the Trust’s 2010 Form 10-K</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(File No. 1-07533) and incorporated herein by reference)</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10.24</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2"/>
              </w:rPr>
              <w:t>Form of Restricted Share Award Agreement, dated as of February 10, 2011, between the Trust and each of Dawn M. Becker, and Andrew P. Blocher</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(previously filed as Exhibit 10.41 to the Trust’s 2010 Form 10-K (File No. 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10.25</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 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10.26</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9"/>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assignees under Section 12.6., as Lenders, Wells Fargo Bank, National Association, as Administrative Agent, PNC Bank, National Association, as</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5"/>
              </w:rPr>
              <w:t>Syndication Agent, Wells Fargo Securities, LLC, as a Lead Arranger and Book Manager, and PNC Capital Markets LLC, as a Lead Arranger and</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Book Manager (previously filed as Exhibit 10.1 to the Trust’s Current Report on Form 8-K (File No. 1-07533), filed on July 11, 2011 and</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10.27</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5"/>
              </w:rPr>
              <w:t>permitted assignees under Section 12.6., as Lenders, PNC Bank, National Association, as Administrative Agent, Capital One, N.A., Syndication</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9"/>
              </w:rPr>
              <w:t>Agent, PNC Capital Markets, LLC, as a Lead Arranger and Book Manager, and Capital One, N.A., as a Lead Arranger and Book Manager</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(previously filed as Exhibit 10.1 to the Trust's Current Report on Form 8-K (File No. 1-07533), filed on November 28, 2011 and incorporated herein</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10.28</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3"/>
              </w:rPr>
              <w:t>Form of Restricted Share Award Agreement for front loaded awards made under the Trust’s Long-Term Incentive Award Program for shares issued</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out of the 2010 Plan (previously filed as Exhibit 10.35 to the Trust's Annual Report on Form 10-K for the year ended December 31, 2013 (File No.</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1-07533) (the "2012 Form 10-K")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10.29</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8"/>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10.30</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Form of Performance Share Award Agreement for shares awarded out of the 2010 Plan (previously filed as Exhibit 10.37 to the Trust's 2012 Form</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10-K (File No. 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10.31</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4"/>
              </w:rPr>
              <w:t>Annual Incentive Bonus Program and basic awards with annual vesting for shares issued out of the 2010 Plan (previously filed as Exhibit 10.38 to</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the Trust's 2012 Form 10-K (File No. 1-07533)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10.32</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5"/>
              </w:rPr>
              <w:t>First Amendment to the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7"/>
              </w:rPr>
              <w:t>thereto, and Wells Fargo Bank, National Association, as Administrative Agent (previously filed as Exhibit 10.1 to the Trust's Current Report on</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Form 8-K (File No. 1-07533), filed on April 26, 2013 and incorporated herein by reference)</w:t>
            </w:r>
          </w:p>
        </w:tc>
        <w:tc>
          <w:tcPr>
            <w:tcW w:w="0" w:type="dxa"/>
            <w:vAlign w:val="bottom"/>
          </w:tcPr>
          <w:p>
            <w:pPr>
              <w:spacing w:after="0"/>
              <w:rPr>
                <w:sz w:val="1"/>
                <w:szCs w:val="1"/>
                <w:color w:val="auto"/>
              </w:rPr>
            </w:pPr>
          </w:p>
        </w:tc>
      </w:tr>
      <w:tr>
        <w:trPr>
          <w:trHeight w:val="366"/>
        </w:trPr>
        <w:tc>
          <w:tcPr>
            <w:tcW w:w="900" w:type="dxa"/>
            <w:vAlign w:val="bottom"/>
          </w:tcPr>
          <w:p>
            <w:pPr>
              <w:ind w:left="40"/>
              <w:spacing w:after="0"/>
              <w:rPr>
                <w:sz w:val="20"/>
                <w:szCs w:val="20"/>
                <w:color w:val="auto"/>
              </w:rPr>
            </w:pPr>
            <w:r>
              <w:rPr>
                <w:rFonts w:ascii="Arial" w:cs="Arial" w:eastAsia="Arial" w:hAnsi="Arial"/>
                <w:sz w:val="17"/>
                <w:szCs w:val="17"/>
                <w:color w:val="auto"/>
              </w:rPr>
              <w:t>10.33</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5"/>
              </w:rPr>
              <w:t>First Amendment to the Term Loan Agreement, dated as of April 22, 2013, by and among Federal Relaty Investment Tryst, each of the Lenders</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w w:val="96"/>
              </w:rPr>
              <w:t>party thereto, and PNC Bank, National Association, as Administrative Agent (previously filed as Exhibit 10.40 to the Trust's Quarterly Report on</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Form 10-Q for the quarter ended March 31, 2013 (File No. 1-07533) and incorporated herein by reference</w:t>
            </w:r>
          </w:p>
        </w:tc>
        <w:tc>
          <w:tcPr>
            <w:tcW w:w="0" w:type="dxa"/>
            <w:vAlign w:val="bottom"/>
          </w:tcPr>
          <w:p>
            <w:pPr>
              <w:spacing w:after="0"/>
              <w:rPr>
                <w:sz w:val="1"/>
                <w:szCs w:val="1"/>
                <w:color w:val="auto"/>
              </w:rPr>
            </w:pPr>
          </w:p>
        </w:tc>
      </w:tr>
      <w:tr>
        <w:trPr>
          <w:trHeight w:val="42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21.1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Subsidiaries of Federal Realty Investment Trust (filed herewith)</w:t>
            </w:r>
          </w:p>
        </w:tc>
        <w:tc>
          <w:tcPr>
            <w:tcW w:w="0" w:type="dxa"/>
            <w:vAlign w:val="bottom"/>
          </w:tcPr>
          <w:p>
            <w:pPr>
              <w:spacing w:after="0"/>
              <w:rPr>
                <w:sz w:val="1"/>
                <w:szCs w:val="1"/>
                <w:color w:val="auto"/>
              </w:rPr>
            </w:pPr>
          </w:p>
        </w:tc>
      </w:tr>
      <w:tr>
        <w:trPr>
          <w:trHeight w:val="378"/>
        </w:trPr>
        <w:tc>
          <w:tcPr>
            <w:tcW w:w="900" w:type="dxa"/>
            <w:vAlign w:val="bottom"/>
          </w:tcPr>
          <w:p>
            <w:pPr>
              <w:ind w:left="40"/>
              <w:spacing w:after="0"/>
              <w:rPr>
                <w:sz w:val="20"/>
                <w:szCs w:val="20"/>
                <w:color w:val="auto"/>
              </w:rPr>
            </w:pPr>
            <w:r>
              <w:rPr>
                <w:rFonts w:ascii="Arial" w:cs="Arial" w:eastAsia="Arial" w:hAnsi="Arial"/>
                <w:sz w:val="17"/>
                <w:szCs w:val="17"/>
                <w:color w:val="auto"/>
              </w:rPr>
              <w:t>23.1</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Consent of Grant Thornton LLP (filed herewith)</w:t>
            </w:r>
          </w:p>
        </w:tc>
        <w:tc>
          <w:tcPr>
            <w:tcW w:w="0" w:type="dxa"/>
            <w:vAlign w:val="bottom"/>
          </w:tcPr>
          <w:p>
            <w:pPr>
              <w:spacing w:after="0"/>
              <w:rPr>
                <w:sz w:val="1"/>
                <w:szCs w:val="1"/>
                <w:color w:val="auto"/>
              </w:rPr>
            </w:pPr>
          </w:p>
        </w:tc>
      </w:tr>
      <w:tr>
        <w:trPr>
          <w:trHeight w:val="378"/>
        </w:trPr>
        <w:tc>
          <w:tcPr>
            <w:tcW w:w="900" w:type="dxa"/>
            <w:vAlign w:val="bottom"/>
          </w:tcPr>
          <w:p>
            <w:pPr>
              <w:ind w:left="40"/>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Rule 13a-14(a) Certification of Chief Executive Officer (filed herewith)</w:t>
            </w:r>
          </w:p>
        </w:tc>
        <w:tc>
          <w:tcPr>
            <w:tcW w:w="0" w:type="dxa"/>
            <w:vAlign w:val="bottom"/>
          </w:tcPr>
          <w:p>
            <w:pPr>
              <w:spacing w:after="0"/>
              <w:rPr>
                <w:sz w:val="1"/>
                <w:szCs w:val="1"/>
                <w:color w:val="auto"/>
              </w:rPr>
            </w:pPr>
          </w:p>
        </w:tc>
      </w:tr>
      <w:tr>
        <w:trPr>
          <w:trHeight w:val="378"/>
        </w:trPr>
        <w:tc>
          <w:tcPr>
            <w:tcW w:w="900" w:type="dxa"/>
            <w:vAlign w:val="bottom"/>
          </w:tcPr>
          <w:p>
            <w:pPr>
              <w:ind w:left="40"/>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Rule 13a-14(a) Certification of Chief Financial Officer (filed herewith)</w:t>
            </w:r>
          </w:p>
        </w:tc>
        <w:tc>
          <w:tcPr>
            <w:tcW w:w="0" w:type="dxa"/>
            <w:vAlign w:val="bottom"/>
          </w:tcPr>
          <w:p>
            <w:pPr>
              <w:spacing w:after="0"/>
              <w:rPr>
                <w:sz w:val="1"/>
                <w:szCs w:val="1"/>
                <w:color w:val="auto"/>
              </w:rPr>
            </w:pPr>
          </w:p>
        </w:tc>
      </w:tr>
      <w:tr>
        <w:trPr>
          <w:trHeight w:val="378"/>
        </w:trPr>
        <w:tc>
          <w:tcPr>
            <w:tcW w:w="900" w:type="dxa"/>
            <w:vAlign w:val="bottom"/>
          </w:tcPr>
          <w:p>
            <w:pPr>
              <w:ind w:left="40"/>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Section 1350 Certification of Chief Executive Officer (filed herewith)</w:t>
            </w:r>
          </w:p>
        </w:tc>
        <w:tc>
          <w:tcPr>
            <w:tcW w:w="0" w:type="dxa"/>
            <w:vAlign w:val="bottom"/>
          </w:tcPr>
          <w:p>
            <w:pPr>
              <w:spacing w:after="0"/>
              <w:rPr>
                <w:sz w:val="1"/>
                <w:szCs w:val="1"/>
                <w:color w:val="auto"/>
              </w:rPr>
            </w:pPr>
          </w:p>
        </w:tc>
      </w:tr>
      <w:tr>
        <w:trPr>
          <w:trHeight w:val="378"/>
        </w:trPr>
        <w:tc>
          <w:tcPr>
            <w:tcW w:w="900" w:type="dxa"/>
            <w:vAlign w:val="bottom"/>
          </w:tcPr>
          <w:p>
            <w:pPr>
              <w:ind w:left="40"/>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24"/>
                <w:szCs w:val="24"/>
                <w:color w:val="auto"/>
              </w:rPr>
            </w:pPr>
          </w:p>
        </w:tc>
        <w:tc>
          <w:tcPr>
            <w:tcW w:w="10380" w:type="dxa"/>
            <w:vAlign w:val="bottom"/>
          </w:tcPr>
          <w:p>
            <w:pPr>
              <w:ind w:left="20"/>
              <w:spacing w:after="0"/>
              <w:rPr>
                <w:sz w:val="20"/>
                <w:szCs w:val="20"/>
                <w:color w:val="auto"/>
              </w:rPr>
            </w:pPr>
            <w:r>
              <w:rPr>
                <w:rFonts w:ascii="Arial" w:cs="Arial" w:eastAsia="Arial" w:hAnsi="Arial"/>
                <w:sz w:val="17"/>
                <w:szCs w:val="17"/>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60" w:right="180" w:hanging="1030"/>
        <w:spacing w:after="0" w:line="266"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following materials from Federal Realty Investment Trust’s Quarterly Report on Form 10-K for the year ended December 31, 2013,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ectPr>
          <w:pgSz w:w="11900" w:h="16838" w:orient="portrait"/>
          <w:cols w:equalWidth="0" w:num="1">
            <w:col w:w="11420"/>
          </w:cols>
          <w:pgMar w:left="240" w:top="126" w:right="2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6" w:right="239" w:bottom="1440" w:gutter="0" w:footer="0" w:header="0"/>
          <w:type w:val="continuous"/>
        </w:sectPr>
      </w:pPr>
    </w:p>
    <w:bookmarkStart w:id="94" w:name="page95"/>
    <w:bookmarkEnd w:id="94"/>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required to be filed as an exhibit pursuant to Item 15(b) of Form 10-K.</w:t>
      </w:r>
    </w:p>
    <w:p>
      <w:pPr>
        <w:spacing w:after="0" w:line="13" w:lineRule="exact"/>
        <w:rPr>
          <w:sz w:val="20"/>
          <w:szCs w:val="20"/>
          <w:color w:val="auto"/>
        </w:rPr>
      </w:pPr>
    </w:p>
    <w:p>
      <w:pPr>
        <w:ind w:firstLine="4"/>
        <w:spacing w:after="0" w:line="272" w:lineRule="auto"/>
        <w:tabs>
          <w:tab w:leader="none" w:pos="2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19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20"/>
          </w:cols>
          <w:pgMar w:left="240" w:top="125" w:right="5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21.1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20" w:type="dxa"/>
            <w:vAlign w:val="bottom"/>
            <w:gridSpan w:val="4"/>
          </w:tcPr>
          <w:p>
            <w:pPr>
              <w:ind w:left="3160"/>
              <w:spacing w:after="0"/>
              <w:rPr>
                <w:sz w:val="20"/>
                <w:szCs w:val="20"/>
                <w:color w:val="auto"/>
              </w:rPr>
            </w:pPr>
            <w:r>
              <w:rPr>
                <w:rFonts w:ascii="Arial" w:cs="Arial" w:eastAsia="Arial" w:hAnsi="Arial"/>
                <w:sz w:val="17"/>
                <w:szCs w:val="17"/>
                <w:b w:val="1"/>
                <w:bCs w:val="1"/>
                <w:color w:val="auto"/>
              </w:rPr>
              <w:t>FEDERAL REALTY INVESTMENT TRUST AND SUBSIDIARIES</w:t>
            </w:r>
          </w:p>
        </w:tc>
      </w:tr>
      <w:tr>
        <w:trPr>
          <w:trHeight w:val="554"/>
        </w:trPr>
        <w:tc>
          <w:tcPr>
            <w:tcW w:w="3160" w:type="dxa"/>
            <w:vAlign w:val="bottom"/>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3160" w:type="dxa"/>
            <w:vAlign w:val="bottom"/>
          </w:tcPr>
          <w:p>
            <w:pPr>
              <w:jc w:val="center"/>
              <w:ind w:right="53"/>
              <w:spacing w:after="0"/>
              <w:rPr>
                <w:sz w:val="20"/>
                <w:szCs w:val="20"/>
                <w:color w:val="auto"/>
              </w:rPr>
            </w:pPr>
            <w:r>
              <w:rPr>
                <w:rFonts w:ascii="Arial" w:cs="Arial" w:eastAsia="Arial" w:hAnsi="Arial"/>
                <w:sz w:val="17"/>
                <w:szCs w:val="17"/>
                <w:color w:val="auto"/>
                <w:w w:val="95"/>
              </w:rPr>
              <w:t>STATE OF INCORPORATION OR</w:t>
            </w:r>
          </w:p>
        </w:tc>
      </w:tr>
      <w:tr>
        <w:trPr>
          <w:trHeight w:val="221"/>
        </w:trPr>
        <w:tc>
          <w:tcPr>
            <w:tcW w:w="5860" w:type="dxa"/>
            <w:vAlign w:val="bottom"/>
            <w:gridSpan w:val="2"/>
          </w:tcPr>
          <w:p>
            <w:pPr>
              <w:ind w:left="40"/>
              <w:spacing w:after="0"/>
              <w:rPr>
                <w:sz w:val="20"/>
                <w:szCs w:val="20"/>
                <w:color w:val="auto"/>
              </w:rPr>
            </w:pPr>
            <w:r>
              <w:rPr>
                <w:rFonts w:ascii="Arial" w:cs="Arial" w:eastAsia="Arial" w:hAnsi="Arial"/>
                <w:sz w:val="17"/>
                <w:szCs w:val="17"/>
                <w:color w:val="auto"/>
              </w:rPr>
              <w:t>NAME OF SUBSIDIARY</w:t>
            </w:r>
          </w:p>
        </w:tc>
        <w:tc>
          <w:tcPr>
            <w:tcW w:w="2400" w:type="dxa"/>
            <w:vAlign w:val="bottom"/>
          </w:tcPr>
          <w:p>
            <w:pPr>
              <w:spacing w:after="0"/>
              <w:rPr>
                <w:sz w:val="19"/>
                <w:szCs w:val="19"/>
                <w:color w:val="auto"/>
              </w:rPr>
            </w:pPr>
          </w:p>
        </w:tc>
        <w:tc>
          <w:tcPr>
            <w:tcW w:w="3160" w:type="dxa"/>
            <w:vAlign w:val="bottom"/>
          </w:tcPr>
          <w:p>
            <w:pPr>
              <w:jc w:val="center"/>
              <w:ind w:right="53"/>
              <w:spacing w:after="0"/>
              <w:rPr>
                <w:sz w:val="20"/>
                <w:szCs w:val="20"/>
                <w:color w:val="auto"/>
              </w:rPr>
            </w:pPr>
            <w:r>
              <w:rPr>
                <w:rFonts w:ascii="Arial" w:cs="Arial" w:eastAsia="Arial" w:hAnsi="Arial"/>
                <w:sz w:val="17"/>
                <w:szCs w:val="17"/>
                <w:color w:val="auto"/>
              </w:rPr>
              <w:t>ORGANIZATION</w:t>
            </w:r>
          </w:p>
        </w:tc>
      </w:tr>
      <w:tr>
        <w:trPr>
          <w:trHeight w:val="26"/>
        </w:trPr>
        <w:tc>
          <w:tcPr>
            <w:tcW w:w="3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505"/>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Associates Limited Partnership</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Andorra Associates</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Pennsylvania</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Governor Plaza Associates</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Pennsylvania</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Shopping Center Associates</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Pennsylvania</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Berman Enterprises II Limited Partnership</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FRIT Escondido Promenade,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California</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FRIT Leasing &amp; Development Services,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FRIT Santana Row TRS,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Congressional Plaza Associates,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Pike 7 Limited Partnership</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Federal/LPF GP,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Federal Realty Partners L.P.</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FRLP,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Federal Realty Partners,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East Bay Bridge,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East Bay Bridge Retail,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Leesburg Plaza,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Leesburg Plaza, LP</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Federal Realty Management Services,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FRIT Solar,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Santana Row ROF,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Mercer Mall,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Mercer Mall,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Westgate Mall,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Westgate Mall,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Assembly Square,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Crow Canyon Fee Owner,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Crow Canyon,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Crow Canyon,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Linden Square,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Chelsea Commons I,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Chelsea Commons I,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White Marsh,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Cordon Fairfield Business Trust</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Campbell-Philadelphia Business Trust</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Shoppes at Nottingham Square Business Trust</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Retail Properties Business Trust</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Nottingham Square Business Trust</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White Marsh Plaza,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White Marsh Plaza Limited Partnership</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White Marsh Plaza Business Trust</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Byron Station,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Byron Station Limited Partnership, LLLP</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The Avenue at White Marsh Business Trust</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80"/>
              <w:spacing w:after="0"/>
              <w:rPr>
                <w:sz w:val="20"/>
                <w:szCs w:val="20"/>
                <w:color w:val="auto"/>
              </w:rPr>
            </w:pPr>
            <w:r>
              <w:rPr>
                <w:rFonts w:ascii="Arial" w:cs="Arial" w:eastAsia="Arial" w:hAnsi="Arial"/>
                <w:sz w:val="19"/>
                <w:szCs w:val="19"/>
                <w:color w:val="auto"/>
              </w:rPr>
              <w:t>NVI-Avenue,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Retail Funding Affiliates,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Maryland</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Shoppers World,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Shoppers World,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Florida, Inc.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r>
        <w:trPr>
          <w:trHeight w:val="274"/>
        </w:trPr>
        <w:tc>
          <w:tcPr>
            <w:tcW w:w="5860" w:type="dxa"/>
            <w:vAlign w:val="bottom"/>
            <w:gridSpan w:val="2"/>
          </w:tcPr>
          <w:p>
            <w:pPr>
              <w:ind w:left="40"/>
              <w:spacing w:after="0"/>
              <w:rPr>
                <w:sz w:val="20"/>
                <w:szCs w:val="20"/>
                <w:color w:val="auto"/>
              </w:rPr>
            </w:pPr>
            <w:r>
              <w:rPr>
                <w:rFonts w:ascii="Arial" w:cs="Arial" w:eastAsia="Arial" w:hAnsi="Arial"/>
                <w:sz w:val="19"/>
                <w:szCs w:val="19"/>
                <w:color w:val="auto"/>
              </w:rPr>
              <w:t>FR Rollingwood, LLC</w:t>
            </w:r>
          </w:p>
        </w:tc>
        <w:tc>
          <w:tcPr>
            <w:tcW w:w="5560" w:type="dxa"/>
            <w:vAlign w:val="bottom"/>
            <w:gridSpan w:val="2"/>
          </w:tcPr>
          <w:p>
            <w:pPr>
              <w:ind w:left="2280"/>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420"/>
          </w:cols>
          <w:pgMar w:left="240" w:top="721" w:right="239" w:bottom="239"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FR Rollingwood,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Federal Realty Boston,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Federal Realty West Coast,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 Montrose Crossing,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 Montrose Crossing,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 Montrose Crossing Borrower,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FRIT CA Operations,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 Huntington Square,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 Darien,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Old Town,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Forest Hills I,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GP,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I,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II,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3,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4,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6,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7,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West 10,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Street Retail San Antonio,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San Antonio,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Texas, Inc.</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FRIT San Jose Town and Country Village, LLC</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San Jose Residential,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 Sturtevant Street,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FR Sturtevant Street,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Assembly Row B2,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Assembly Row B3,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Assembly Row B5,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Assembly Row B6,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Assembly Row B7,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Assembly Row B8,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 Assembly Row B9,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Santana Row Services, Inc.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SRI/Continental JV,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CCA Sepulveda,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Rosecrans-Sepulveda Partners 3, LLC</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PES Partners,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380" w:space="720"/>
            <w:col w:w="2079"/>
          </w:cols>
          <w:pgMar w:left="280" w:top="722"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23.1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7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have issued our reports dated February 11, 2014, with respect to the consolidated financial statements, schedules, and internal control over financial reporting included in the Annual Report of Federal Realty Investment Trust on Form 10-K for the year ended December 31, 2013. We hereby consent to the incorporation by reference of said reports in the Registration Statements of Federal Realty Investment Trust on Form S-3 (File No. 333-181236 effective 5/8/2012, File No. 333-181238 effective 5/8/2012, File No. 333-124195 effective 4/20/2005, File No. 333-100819 effective 10/29/2002, File No. 033-63687 effective 10/25/1995 and File No. 333-187882 effective 4/12/2013) and on Form S-8 (File No. 333-166531 effective 5/5/2010, File No. 333-60364 effective 05/07/2001, File No. 333-63617 effective 09/17/1998, File No. 333-147080 effective 11/01/2007 and File No. 333-147081 effective 11/01/2007).</w:t>
      </w:r>
    </w:p>
    <w:p>
      <w:pPr>
        <w:spacing w:after="0" w:line="200" w:lineRule="exact"/>
        <w:rPr>
          <w:sz w:val="20"/>
          <w:szCs w:val="20"/>
          <w:color w:val="auto"/>
        </w:rPr>
      </w:pP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 GRANT THORNTON LLP</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7"/>
          <w:szCs w:val="17"/>
          <w:color w:val="auto"/>
        </w:rPr>
        <w:t>McLean, Virginia</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11, 2014</w:t>
      </w:r>
    </w:p>
    <w:p>
      <w:pPr>
        <w:sectPr>
          <w:pgSz w:w="11900" w:h="16838" w:orient="portrait"/>
          <w:cols w:equalWidth="0" w:num="1">
            <w:col w:w="11420"/>
          </w:cols>
          <w:pgMar w:left="240" w:top="56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Donald C. Wood, certify that:</w:t>
      </w:r>
    </w:p>
    <w:p>
      <w:pPr>
        <w:spacing w:after="0" w:line="91" w:lineRule="exact"/>
        <w:rPr>
          <w:sz w:val="20"/>
          <w:szCs w:val="20"/>
          <w:color w:val="auto"/>
        </w:rPr>
      </w:pPr>
    </w:p>
    <w:p>
      <w:pPr>
        <w:ind w:left="840" w:hanging="445"/>
        <w:spacing w:after="0"/>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1" w:lineRule="exact"/>
        <w:rPr>
          <w:rFonts w:ascii="Arial" w:cs="Arial" w:eastAsia="Arial" w:hAnsi="Arial"/>
          <w:sz w:val="17"/>
          <w:szCs w:val="17"/>
          <w:color w:val="auto"/>
        </w:rPr>
      </w:pPr>
    </w:p>
    <w:p>
      <w:pPr>
        <w:jc w:val="both"/>
        <w:ind w:left="840" w:right="480" w:hanging="445"/>
        <w:spacing w:after="0" w:line="271" w:lineRule="auto"/>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7"/>
          <w:szCs w:val="17"/>
          <w:color w:val="auto"/>
        </w:rPr>
      </w:pPr>
    </w:p>
    <w:p>
      <w:pPr>
        <w:ind w:left="840" w:right="440" w:hanging="445"/>
        <w:spacing w:after="0" w:line="320" w:lineRule="auto"/>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840" w:right="60" w:hanging="445"/>
        <w:spacing w:after="0" w:line="271" w:lineRule="auto"/>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jc w:val="both"/>
        <w:ind w:left="1380" w:right="220" w:hanging="437"/>
        <w:spacing w:after="0" w:line="271" w:lineRule="auto"/>
        <w:tabs>
          <w:tab w:leader="none" w:pos="13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380" w:right="500" w:hanging="437"/>
        <w:spacing w:after="0" w:line="271" w:lineRule="auto"/>
        <w:tabs>
          <w:tab w:leader="none" w:pos="13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380" w:right="660" w:hanging="437"/>
        <w:spacing w:after="0" w:line="344" w:lineRule="auto"/>
        <w:tabs>
          <w:tab w:leader="none" w:pos="13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80" w:right="260" w:hanging="437"/>
        <w:spacing w:after="0" w:line="271" w:lineRule="auto"/>
        <w:tabs>
          <w:tab w:leader="none" w:pos="13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7"/>
          <w:szCs w:val="17"/>
          <w:color w:val="auto"/>
        </w:rPr>
      </w:pPr>
    </w:p>
    <w:p>
      <w:pPr>
        <w:ind w:left="840" w:right="380" w:hanging="445"/>
        <w:spacing w:after="0" w:line="320" w:lineRule="auto"/>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380" w:right="140" w:hanging="437"/>
        <w:spacing w:after="0" w:line="287" w:lineRule="auto"/>
        <w:tabs>
          <w:tab w:leader="none" w:pos="13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7"/>
          <w:szCs w:val="17"/>
          <w:color w:val="auto"/>
        </w:rPr>
      </w:pPr>
    </w:p>
    <w:p>
      <w:pPr>
        <w:ind w:left="1380" w:right="120" w:hanging="437"/>
        <w:spacing w:after="0" w:line="287" w:lineRule="auto"/>
        <w:tabs>
          <w:tab w:leader="none" w:pos="13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17"/>
          <w:szCs w:val="17"/>
          <w:color w:val="auto"/>
        </w:rPr>
        <w:t>February 11, 2014</w:t>
      </w:r>
      <w:r>
        <w:rPr>
          <w:sz w:val="20"/>
          <w:szCs w:val="20"/>
          <w:color w:val="auto"/>
        </w:rPr>
        <w:tab/>
      </w:r>
      <w:r>
        <w:rPr>
          <w:rFonts w:ascii="Arial" w:cs="Arial" w:eastAsia="Arial" w:hAnsi="Arial"/>
          <w:sz w:val="15"/>
          <w:szCs w:val="15"/>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33020</wp:posOffset>
            </wp:positionV>
            <wp:extent cx="3550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Donald C. Wood,</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President, Chief Executive Officer and Trustee</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420"/>
          </w:cols>
          <w:pgMar w:left="240" w:top="56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i w:val="1"/>
          <w:iCs w:val="1"/>
          <w:color w:val="auto"/>
        </w:rPr>
        <w:t>James M. Taylor, Jr.</w:t>
      </w:r>
      <w:r>
        <w:rPr>
          <w:rFonts w:ascii="Arial" w:cs="Arial" w:eastAsia="Arial" w:hAnsi="Arial"/>
          <w:sz w:val="17"/>
          <w:szCs w:val="17"/>
          <w:color w:val="auto"/>
        </w:rPr>
        <w:t>, certify that:</w:t>
      </w:r>
    </w:p>
    <w:p>
      <w:pPr>
        <w:spacing w:after="0" w:line="91" w:lineRule="exact"/>
        <w:rPr>
          <w:sz w:val="20"/>
          <w:szCs w:val="20"/>
          <w:color w:val="auto"/>
        </w:rPr>
      </w:pPr>
    </w:p>
    <w:p>
      <w:pPr>
        <w:ind w:left="840" w:hanging="445"/>
        <w:spacing w:after="0"/>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1" w:lineRule="exact"/>
        <w:rPr>
          <w:rFonts w:ascii="Arial" w:cs="Arial" w:eastAsia="Arial" w:hAnsi="Arial"/>
          <w:sz w:val="17"/>
          <w:szCs w:val="17"/>
          <w:color w:val="auto"/>
        </w:rPr>
      </w:pPr>
    </w:p>
    <w:p>
      <w:pPr>
        <w:jc w:val="both"/>
        <w:ind w:left="840" w:right="480" w:hanging="445"/>
        <w:spacing w:after="0" w:line="271"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7"/>
          <w:szCs w:val="17"/>
          <w:color w:val="auto"/>
        </w:rPr>
      </w:pPr>
    </w:p>
    <w:p>
      <w:pPr>
        <w:ind w:left="840" w:right="440" w:hanging="445"/>
        <w:spacing w:after="0" w:line="320" w:lineRule="auto"/>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840" w:right="60" w:hanging="445"/>
        <w:spacing w:after="0" w:line="271"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jc w:val="both"/>
        <w:ind w:left="1380" w:right="220" w:hanging="437"/>
        <w:spacing w:after="0" w:line="271" w:lineRule="auto"/>
        <w:tabs>
          <w:tab w:leader="none" w:pos="1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380" w:right="500" w:hanging="437"/>
        <w:spacing w:after="0" w:line="271" w:lineRule="auto"/>
        <w:tabs>
          <w:tab w:leader="none" w:pos="1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380" w:right="660" w:hanging="437"/>
        <w:spacing w:after="0" w:line="344" w:lineRule="auto"/>
        <w:tabs>
          <w:tab w:leader="none" w:pos="13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80" w:right="260" w:hanging="437"/>
        <w:spacing w:after="0" w:line="271" w:lineRule="auto"/>
        <w:tabs>
          <w:tab w:leader="none" w:pos="1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7"/>
          <w:szCs w:val="17"/>
          <w:color w:val="auto"/>
        </w:rPr>
      </w:pPr>
    </w:p>
    <w:p>
      <w:pPr>
        <w:ind w:left="840" w:right="380" w:hanging="445"/>
        <w:spacing w:after="0" w:line="320" w:lineRule="auto"/>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380" w:right="140" w:hanging="437"/>
        <w:spacing w:after="0" w:line="287" w:lineRule="auto"/>
        <w:tabs>
          <w:tab w:leader="none" w:pos="1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7"/>
          <w:szCs w:val="17"/>
          <w:color w:val="auto"/>
        </w:rPr>
      </w:pPr>
    </w:p>
    <w:p>
      <w:pPr>
        <w:ind w:left="1380" w:right="120" w:hanging="437"/>
        <w:spacing w:after="0" w:line="287" w:lineRule="auto"/>
        <w:tabs>
          <w:tab w:leader="none" w:pos="13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7"/>
          <w:szCs w:val="17"/>
          <w:color w:val="auto"/>
        </w:rPr>
        <w:t>February 11,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33020</wp:posOffset>
            </wp:positionV>
            <wp:extent cx="3550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spacing w:after="0" w:line="52"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James M. Taylor, Jr.,</w:t>
      </w:r>
    </w:p>
    <w:p>
      <w:pPr>
        <w:spacing w:after="0" w:line="65"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Executive Vice President -</w:t>
      </w:r>
    </w:p>
    <w:p>
      <w:pPr>
        <w:spacing w:after="0" w:line="31"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Chief Financial Officer and Treasurer</w:t>
      </w:r>
    </w:p>
    <w:p>
      <w:pPr>
        <w:spacing w:after="0" w:line="47"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Financial and Accounting Officer)</w:t>
      </w:r>
    </w:p>
    <w:p>
      <w:pPr>
        <w:sectPr>
          <w:pgSz w:w="11900" w:h="16838" w:orient="portrait"/>
          <w:cols w:equalWidth="0" w:num="1">
            <w:col w:w="11420"/>
          </w:cols>
          <w:pgMar w:left="240" w:top="56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32.1</w:t>
      </w:r>
    </w:p>
    <w:p>
      <w:pPr>
        <w:spacing w:after="0" w:line="170"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CERTIFICATION</w:t>
      </w:r>
    </w:p>
    <w:p>
      <w:pPr>
        <w:spacing w:after="0" w:line="170"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7" w:lineRule="exact"/>
        <w:rPr>
          <w:sz w:val="20"/>
          <w:szCs w:val="20"/>
          <w:color w:val="auto"/>
        </w:rPr>
      </w:pPr>
    </w:p>
    <w:p>
      <w:pPr>
        <w:ind w:right="440" w:firstLine="417"/>
        <w:spacing w:after="0" w:line="271" w:lineRule="auto"/>
        <w:rPr>
          <w:sz w:val="20"/>
          <w:szCs w:val="20"/>
          <w:color w:val="auto"/>
        </w:rPr>
      </w:pPr>
      <w:r>
        <w:rPr>
          <w:rFonts w:ascii="Arial" w:cs="Arial" w:eastAsia="Arial" w:hAnsi="Arial"/>
          <w:sz w:val="17"/>
          <w:szCs w:val="17"/>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2013 (the “Report”). The undersigned hereby certifies, to the best of his knowledge, that:</w:t>
      </w:r>
    </w:p>
    <w:p>
      <w:pPr>
        <w:spacing w:after="0" w:line="68" w:lineRule="exact"/>
        <w:rPr>
          <w:sz w:val="20"/>
          <w:szCs w:val="20"/>
          <w:color w:val="auto"/>
        </w:rPr>
      </w:pPr>
    </w:p>
    <w:p>
      <w:pPr>
        <w:ind w:left="1260" w:hanging="865"/>
        <w:spacing w:after="0"/>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7" w:lineRule="exact"/>
        <w:rPr>
          <w:rFonts w:ascii="Arial" w:cs="Arial" w:eastAsia="Arial" w:hAnsi="Arial"/>
          <w:sz w:val="17"/>
          <w:szCs w:val="17"/>
          <w:color w:val="auto"/>
        </w:rPr>
      </w:pPr>
    </w:p>
    <w:p>
      <w:pPr>
        <w:ind w:left="1260" w:hanging="865"/>
        <w:spacing w:after="0"/>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0"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17"/>
          <w:szCs w:val="17"/>
          <w:color w:val="auto"/>
        </w:rPr>
        <w:t>February 11, 2014</w:t>
      </w:r>
      <w:r>
        <w:rPr>
          <w:sz w:val="20"/>
          <w:szCs w:val="20"/>
          <w:color w:val="auto"/>
        </w:rPr>
        <w:tab/>
      </w:r>
      <w:r>
        <w:rPr>
          <w:rFonts w:ascii="Arial" w:cs="Arial" w:eastAsia="Arial" w:hAnsi="Arial"/>
          <w:sz w:val="15"/>
          <w:szCs w:val="15"/>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33020</wp:posOffset>
            </wp:positionV>
            <wp:extent cx="3550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Donald C. Wood,</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President, Chief Executive Officer and Trustee</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420"/>
          </w:cols>
          <w:pgMar w:left="240" w:top="56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32.2</w:t>
      </w:r>
    </w:p>
    <w:p>
      <w:pPr>
        <w:spacing w:after="0" w:line="170"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CERTIFICATION</w:t>
      </w:r>
    </w:p>
    <w:p>
      <w:pPr>
        <w:spacing w:after="0" w:line="170"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7" w:lineRule="exact"/>
        <w:rPr>
          <w:sz w:val="20"/>
          <w:szCs w:val="20"/>
          <w:color w:val="auto"/>
        </w:rPr>
      </w:pPr>
    </w:p>
    <w:p>
      <w:pPr>
        <w:ind w:right="100" w:firstLine="417"/>
        <w:spacing w:after="0" w:line="296"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2013 (the “Report”). The undersigned hereby certifies, to the best of his knowledge, that:</w:t>
      </w:r>
    </w:p>
    <w:p>
      <w:pPr>
        <w:spacing w:after="0" w:line="49" w:lineRule="exact"/>
        <w:rPr>
          <w:sz w:val="20"/>
          <w:szCs w:val="20"/>
          <w:color w:val="auto"/>
        </w:rPr>
      </w:pPr>
    </w:p>
    <w:p>
      <w:pPr>
        <w:ind w:left="1260" w:hanging="865"/>
        <w:spacing w:after="0"/>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7" w:lineRule="exact"/>
        <w:rPr>
          <w:rFonts w:ascii="Arial" w:cs="Arial" w:eastAsia="Arial" w:hAnsi="Arial"/>
          <w:sz w:val="17"/>
          <w:szCs w:val="17"/>
          <w:color w:val="auto"/>
        </w:rPr>
      </w:pPr>
    </w:p>
    <w:p>
      <w:pPr>
        <w:ind w:left="1260" w:hanging="865"/>
        <w:spacing w:after="0"/>
        <w:tabs>
          <w:tab w:leader="none" w:pos="1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0"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7"/>
          <w:szCs w:val="17"/>
          <w:color w:val="auto"/>
        </w:rPr>
        <w:t>February 11, 2014</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33020</wp:posOffset>
            </wp:positionV>
            <wp:extent cx="3550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920" cy="8255"/>
                    </a:xfrm>
                    <a:prstGeom prst="rect">
                      <a:avLst/>
                    </a:prstGeom>
                    <a:noFill/>
                  </pic:spPr>
                </pic:pic>
              </a:graphicData>
            </a:graphic>
          </wp:anchor>
        </w:drawing>
      </w:r>
    </w:p>
    <w:p>
      <w:pPr>
        <w:spacing w:after="0" w:line="52"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James M. Taylor, Jr.,</w:t>
      </w:r>
    </w:p>
    <w:p>
      <w:pPr>
        <w:spacing w:after="0" w:line="65"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Executive Vice President -</w:t>
      </w:r>
    </w:p>
    <w:p>
      <w:pPr>
        <w:spacing w:after="0" w:line="31"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Chief Financial Officer and Treasurer</w:t>
      </w:r>
    </w:p>
    <w:p>
      <w:pPr>
        <w:spacing w:after="0" w:line="47"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Financial and Accounting Officer)</w:t>
      </w:r>
    </w:p>
    <w:sectPr>
      <w:pgSz w:w="11900" w:h="16838" w:orient="portrait"/>
      <w:cols w:equalWidth="0" w:num="1">
        <w:col w:w="11420"/>
      </w:cols>
      <w:pgMar w:left="240" w:top="5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lvl w:ilvl="1">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2"/>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3"/>
    </w:lvl>
  </w:abstractNum>
  <w:abstractNum w:abstractNumId="30">
    <w:nsid w:val="684A481A"/>
    <w:multiLevelType w:val="hybridMultilevel"/>
    <w:lvl w:ilvl="0">
      <w:lvlJc w:val="left"/>
      <w:lvlText w:val="(%1)"/>
      <w:numFmt w:val="decimal"/>
      <w:start w:val="4"/>
    </w:lvl>
  </w:abstractNum>
  <w:abstractNum w:abstractNumId="31">
    <w:nsid w:val="579478FE"/>
    <w:multiLevelType w:val="hybridMultilevel"/>
    <w:lvl w:ilvl="0">
      <w:lvlJc w:val="left"/>
      <w:lvlText w:val="(%1)"/>
      <w:numFmt w:val="decimal"/>
      <w:start w:val="5"/>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lowerLetter"/>
      <w:start w:val="1"/>
    </w:lvl>
    <w:lvl w:ilvl="1">
      <w:lvlJc w:val="left"/>
      <w:lvlText w:val="(%2)"/>
      <w:numFmt w:val="lowerLetter"/>
      <w:start w:val="2"/>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lowerLetter"/>
      <w:start w:val="2"/>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0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2019-12-05T09:12:56Z</dcterms:created>
  <dcterms:modified xsi:type="dcterms:W3CDTF">2019-12-05T09:12:56Z</dcterms:modified>
</cp:coreProperties>
</file>