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Dated July 7, 2016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333-203999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Preliminary Prospectus Supplement Dated July 7, 2016 to</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Prospectus dated May 8, 2015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Federal Realty Investment Trust</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3.625% Notes due 2046</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 sheet dated July 7, 2016</w:t>
      </w:r>
    </w:p>
    <w:p>
      <w:pPr>
        <w:sectPr>
          <w:pgSz w:w="11900" w:h="16838" w:orient="portrait"/>
          <w:cols w:equalWidth="0" w:num="1">
            <w:col w:w="11420"/>
          </w:cols>
          <w:pgMar w:left="240" w:top="229" w:right="239" w:bottom="1440" w:gutter="0" w:footer="0" w:header="0"/>
        </w:sect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Federal Realty Investment Trust</w:t>
      </w:r>
    </w:p>
    <w:p>
      <w:pPr>
        <w:spacing w:after="0" w:line="128" w:lineRule="exact"/>
        <w:rPr>
          <w:sz w:val="24"/>
          <w:szCs w:val="24"/>
          <w:color w:val="auto"/>
        </w:rPr>
      </w:pPr>
    </w:p>
    <w:p>
      <w:pPr>
        <w:sectPr>
          <w:pgSz w:w="11900" w:h="16838" w:orient="portrait"/>
          <w:cols w:equalWidth="0" w:num="2">
            <w:col w:w="2780" w:space="720"/>
            <w:col w:w="792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3.625% Notes due 2046</w:t>
      </w:r>
    </w:p>
    <w:p>
      <w:pPr>
        <w:spacing w:after="0" w:line="117" w:lineRule="exact"/>
        <w:rPr>
          <w:sz w:val="24"/>
          <w:szCs w:val="24"/>
          <w:color w:val="auto"/>
        </w:rPr>
      </w:pPr>
    </w:p>
    <w:p>
      <w:pPr>
        <w:sectPr>
          <w:pgSz w:w="11900" w:h="16838" w:orient="portrait"/>
          <w:cols w:equalWidth="0" w:num="2">
            <w:col w:w="2780" w:space="720"/>
            <w:col w:w="792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Expected Ratings*: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A3/A-</w:t>
      </w:r>
    </w:p>
    <w:p>
      <w:pPr>
        <w:spacing w:after="0" w:line="27" w:lineRule="exact"/>
        <w:rPr>
          <w:sz w:val="24"/>
          <w:szCs w:val="24"/>
          <w:color w:val="auto"/>
        </w:rPr>
      </w:pPr>
    </w:p>
    <w:p>
      <w:pPr>
        <w:sectPr>
          <w:pgSz w:w="11900" w:h="16838" w:orient="portrait"/>
          <w:cols w:equalWidth="0" w:num="2">
            <w:col w:w="2780" w:space="720"/>
            <w:col w:w="792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(Moody’s / S&amp;P)</w:t>
      </w:r>
    </w:p>
    <w:p>
      <w:pPr>
        <w:sectPr>
          <w:pgSz w:w="11900" w:h="16838" w:orient="portrait"/>
          <w:cols w:equalWidth="0" w:num="1">
            <w:col w:w="11420"/>
          </w:cols>
          <w:pgMar w:left="240" w:top="229" w:right="239" w:bottom="1440" w:gutter="0" w:footer="0" w:header="0"/>
          <w:type w:val="continuous"/>
        </w:sectPr>
      </w:pP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$250,000,000</w:t>
      </w:r>
    </w:p>
    <w:p>
      <w:pPr>
        <w:spacing w:after="0" w:line="117" w:lineRule="exact"/>
        <w:rPr>
          <w:sz w:val="24"/>
          <w:szCs w:val="24"/>
          <w:color w:val="auto"/>
        </w:rPr>
      </w:pPr>
    </w:p>
    <w:p>
      <w:pPr>
        <w:sectPr>
          <w:pgSz w:w="11900" w:h="16838" w:orient="portrait"/>
          <w:cols w:equalWidth="0" w:num="2">
            <w:col w:w="2780" w:space="720"/>
            <w:col w:w="792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July 7, 2016</w:t>
      </w:r>
    </w:p>
    <w:p>
      <w:pPr>
        <w:spacing w:after="0" w:line="117" w:lineRule="exact"/>
        <w:rPr>
          <w:sz w:val="24"/>
          <w:szCs w:val="24"/>
          <w:color w:val="auto"/>
        </w:rPr>
      </w:pPr>
    </w:p>
    <w:p>
      <w:pPr>
        <w:sectPr>
          <w:pgSz w:w="11900" w:h="16838" w:orient="portrait"/>
          <w:cols w:equalWidth="0" w:num="2">
            <w:col w:w="2780" w:space="720"/>
            <w:col w:w="792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July 12, 2016 (T+3)</w:t>
      </w:r>
    </w:p>
    <w:p>
      <w:pPr>
        <w:spacing w:after="0" w:line="128" w:lineRule="exact"/>
        <w:rPr>
          <w:sz w:val="24"/>
          <w:szCs w:val="24"/>
          <w:color w:val="auto"/>
        </w:rPr>
      </w:pPr>
    </w:p>
    <w:p>
      <w:pPr>
        <w:sectPr>
          <w:pgSz w:w="11900" w:h="16838" w:orient="portrait"/>
          <w:cols w:equalWidth="0" w:num="2">
            <w:col w:w="2780" w:space="720"/>
            <w:col w:w="792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August 1, 2046</w:t>
      </w:r>
    </w:p>
    <w:p>
      <w:pPr>
        <w:spacing w:after="0" w:line="117" w:lineRule="exact"/>
        <w:rPr>
          <w:sz w:val="24"/>
          <w:szCs w:val="24"/>
          <w:color w:val="auto"/>
        </w:rPr>
      </w:pPr>
    </w:p>
    <w:p>
      <w:pPr>
        <w:sectPr>
          <w:pgSz w:w="11900" w:h="16838" w:orient="portrait"/>
          <w:cols w:equalWidth="0" w:num="2">
            <w:col w:w="2780" w:space="720"/>
            <w:col w:w="792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February 1 and August 1, beginning on February 1, 2017</w:t>
      </w:r>
    </w:p>
    <w:p>
      <w:pPr>
        <w:spacing w:after="0" w:line="117" w:lineRule="exact"/>
        <w:rPr>
          <w:sz w:val="24"/>
          <w:szCs w:val="24"/>
          <w:color w:val="auto"/>
        </w:rPr>
      </w:pPr>
    </w:p>
    <w:p>
      <w:pPr>
        <w:sectPr>
          <w:pgSz w:w="11900" w:h="16838" w:orient="portrait"/>
          <w:cols w:equalWidth="0" w:num="2">
            <w:col w:w="2780" w:space="720"/>
            <w:col w:w="792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2.500% due February 15, 2046</w:t>
      </w:r>
    </w:p>
    <w:p>
      <w:pPr>
        <w:spacing w:after="0" w:line="117" w:lineRule="exact"/>
        <w:rPr>
          <w:sz w:val="24"/>
          <w:szCs w:val="24"/>
          <w:color w:val="auto"/>
        </w:rPr>
      </w:pPr>
    </w:p>
    <w:p>
      <w:pPr>
        <w:sectPr>
          <w:pgSz w:w="11900" w:h="16838" w:orient="portrait"/>
          <w:cols w:equalWidth="0" w:num="2">
            <w:col w:w="2780" w:space="720"/>
            <w:col w:w="792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Price/Yield: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107-20 / 2.150%</w:t>
      </w:r>
    </w:p>
    <w:p>
      <w:pPr>
        <w:spacing w:after="0" w:line="117" w:lineRule="exact"/>
        <w:rPr>
          <w:sz w:val="24"/>
          <w:szCs w:val="24"/>
          <w:color w:val="auto"/>
        </w:rPr>
      </w:pPr>
    </w:p>
    <w:p>
      <w:pPr>
        <w:sectPr>
          <w:pgSz w:w="11900" w:h="16838" w:orient="portrait"/>
          <w:cols w:equalWidth="0" w:num="2">
            <w:col w:w="2780" w:space="720"/>
            <w:col w:w="792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+160 basis points</w:t>
      </w:r>
    </w:p>
    <w:p>
      <w:pPr>
        <w:spacing w:after="0" w:line="128" w:lineRule="exact"/>
        <w:rPr>
          <w:sz w:val="24"/>
          <w:szCs w:val="24"/>
          <w:color w:val="auto"/>
        </w:rPr>
      </w:pPr>
    </w:p>
    <w:p>
      <w:pPr>
        <w:sectPr>
          <w:pgSz w:w="11900" w:h="16838" w:orient="portrait"/>
          <w:cols w:equalWidth="0" w:num="2">
            <w:col w:w="2780" w:space="720"/>
            <w:col w:w="792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3.750%</w:t>
      </w:r>
    </w:p>
    <w:p>
      <w:pPr>
        <w:spacing w:after="0" w:line="117" w:lineRule="exact"/>
        <w:rPr>
          <w:sz w:val="24"/>
          <w:szCs w:val="24"/>
          <w:color w:val="auto"/>
        </w:rPr>
      </w:pPr>
    </w:p>
    <w:p>
      <w:pPr>
        <w:sectPr>
          <w:pgSz w:w="11900" w:h="16838" w:orient="portrait"/>
          <w:cols w:equalWidth="0" w:num="2">
            <w:col w:w="2780" w:space="720"/>
            <w:col w:w="792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3.625% per year</w:t>
      </w:r>
    </w:p>
    <w:p>
      <w:pPr>
        <w:spacing w:after="0" w:line="117" w:lineRule="exact"/>
        <w:rPr>
          <w:sz w:val="24"/>
          <w:szCs w:val="24"/>
          <w:color w:val="auto"/>
        </w:rPr>
      </w:pPr>
    </w:p>
    <w:p>
      <w:pPr>
        <w:sectPr>
          <w:pgSz w:w="11900" w:h="16838" w:orient="portrait"/>
          <w:cols w:equalWidth="0" w:num="2">
            <w:col w:w="2780" w:space="720"/>
            <w:col w:w="792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0" w:lineRule="exact"/>
        <w:rPr>
          <w:sz w:val="24"/>
          <w:szCs w:val="24"/>
          <w:color w:val="auto"/>
        </w:rPr>
      </w:pPr>
      <w:r>
        <w:rPr>
          <w:sz w:val="24"/>
          <w:szCs w:val="24"/>
          <w:color w:val="auto"/>
        </w:rPr>
        <w:br w:type="column"/>
      </w:r>
    </w:p>
    <w:p>
      <w:pPr>
        <w:jc w:val="center"/>
        <w:ind w:right="2280"/>
        <w:spacing w:after="0"/>
        <w:rPr>
          <w:sz w:val="20"/>
          <w:szCs w:val="20"/>
          <w:color w:val="auto"/>
        </w:rPr>
      </w:pPr>
      <w:r>
        <w:rPr>
          <w:rFonts w:ascii="Times New Roman" w:cs="Times New Roman" w:eastAsia="Times New Roman" w:hAnsi="Times New Roman"/>
          <w:sz w:val="17"/>
          <w:szCs w:val="17"/>
          <w:color w:val="auto"/>
        </w:rPr>
        <w:t>97.756% of principal amount, plus accrued interest, if any, from July 12, 2016</w:t>
      </w:r>
    </w:p>
    <w:p>
      <w:pPr>
        <w:spacing w:after="0" w:line="128" w:lineRule="exact"/>
        <w:rPr>
          <w:sz w:val="24"/>
          <w:szCs w:val="24"/>
          <w:color w:val="auto"/>
        </w:rPr>
      </w:pPr>
    </w:p>
    <w:p>
      <w:pPr>
        <w:sectPr>
          <w:pgSz w:w="11900" w:h="16838" w:orient="portrait"/>
          <w:cols w:equalWidth="0" w:num="2">
            <w:col w:w="2780" w:space="720"/>
            <w:col w:w="792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Redemption Provision:</w:t>
      </w:r>
    </w:p>
    <w:p>
      <w:pPr>
        <w:spacing w:after="0" w:line="20" w:lineRule="exact"/>
        <w:rPr>
          <w:sz w:val="24"/>
          <w:szCs w:val="24"/>
          <w:color w:val="auto"/>
        </w:rPr>
      </w:pPr>
      <w:r>
        <w:rPr>
          <w:sz w:val="24"/>
          <w:szCs w:val="24"/>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At any time before February 1, 2046, make-whole call based on U.S. Treasury plus 25 basis points (0.25%); if redeemed on or after February 1, 2046, at 100% of the principal amount of the notes being redeemed, in each case plus accrued and unpaid interest thereon to, but excluding, the redemption date</w:t>
      </w:r>
    </w:p>
    <w:p>
      <w:pPr>
        <w:sectPr>
          <w:pgSz w:w="11900" w:h="16838" w:orient="portrait"/>
          <w:cols w:equalWidth="0" w:num="2">
            <w:col w:w="2780" w:space="720"/>
            <w:col w:w="7920"/>
          </w:cols>
          <w:pgMar w:left="240" w:top="229"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313747AX5 / US313747AX55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-206375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2680" w:space="720"/>
            <w:col w:w="7960"/>
          </w:cols>
          <w:pgMar w:left="240" w:top="270" w:right="29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9" w:lineRule="exact"/>
        <w:rPr>
          <w:sz w:val="20"/>
          <w:szCs w:val="20"/>
          <w:color w:val="auto"/>
        </w:rPr>
      </w:pPr>
    </w:p>
    <w:p>
      <w:pPr>
        <w:sectPr>
          <w:pgSz w:w="11900" w:h="16838" w:orient="portrait"/>
          <w:cols w:equalWidth="0" w:num="2">
            <w:col w:w="2680" w:space="720"/>
            <w:col w:w="7960"/>
          </w:cols>
          <w:pgMar w:left="240" w:top="270"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00" w:lineRule="exact"/>
        <w:rPr>
          <w:sz w:val="20"/>
          <w:szCs w:val="20"/>
          <w:color w:val="auto"/>
        </w:rPr>
      </w:pPr>
    </w:p>
    <w:p>
      <w:pPr>
        <w:sectPr>
          <w:pgSz w:w="11900" w:h="16838" w:orient="portrait"/>
          <w:cols w:equalWidth="0" w:num="2">
            <w:col w:w="2680" w:space="720"/>
            <w:col w:w="7960"/>
          </w:cols>
          <w:pgMar w:left="240" w:top="270" w:right="2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revision or withdrawal at any time.</w:t>
      </w: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lternatively, the issuer, any underwriter or any dealer participating in the offering will arrange to send you the prospectus supplement and prospectus if you request it from (i) Wells Fargo Securities, LLC toll free at 1-800-645-3751, (ii) Deutsche Bank Securities Inc. toll free at 1-800-503-4611, or (iii) U.S. Bancorp Investments, Inc. toll free at 1-877-558-2607.</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360"/>
      </w:cols>
      <w:pgMar w:left="240" w:top="27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2019-12-05T05:45:03Z</dcterms:created>
  <dcterms:modified xsi:type="dcterms:W3CDTF">2019-12-05T05:45:03Z</dcterms:modified>
</cp:coreProperties>
</file>