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(Amendment No.</w:t>
        <w:tab/>
        <w:t>)*</w:t>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Federal Realty Investments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69215</wp:posOffset>
            </wp:positionV>
            <wp:extent cx="684784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69215</wp:posOffset>
            </wp:positionV>
            <wp:extent cx="68478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313747206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69215</wp:posOffset>
            </wp:positionV>
            <wp:extent cx="68478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Calendar Year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69215</wp:posOffset>
            </wp:positionV>
            <wp:extent cx="68478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100" w:hanging="273"/>
        <w:spacing w:after="0"/>
        <w:tabs>
          <w:tab w:leader="none" w:pos="1100" w:val="left"/>
        </w:tabs>
        <w:numPr>
          <w:ilvl w:val="1"/>
          <w:numId w:val="1"/>
        </w:numPr>
        <w:rPr>
          <w:rFonts w:ascii="Arial" w:cs="Arial" w:eastAsia="Arial" w:hAnsi="Arial"/>
          <w:sz w:val="18"/>
          <w:szCs w:val="18"/>
          <w:color w:val="auto"/>
        </w:rPr>
      </w:pPr>
      <w:r>
        <w:rPr>
          <w:rFonts w:ascii="Arial" w:cs="Arial" w:eastAsia="Arial" w:hAnsi="Arial"/>
          <w:sz w:val="18"/>
          <w:szCs w:val="18"/>
          <w:color w:val="auto"/>
        </w:rPr>
        <w:t>] Rule 13d-1(b)</w:t>
      </w:r>
    </w:p>
    <w:p>
      <w:pPr>
        <w:spacing w:after="0" w:line="15" w:lineRule="exact"/>
        <w:rPr>
          <w:rFonts w:ascii="Arial" w:cs="Arial" w:eastAsia="Arial" w:hAnsi="Arial"/>
          <w:sz w:val="18"/>
          <w:szCs w:val="18"/>
          <w:color w:val="auto"/>
        </w:rPr>
      </w:pPr>
    </w:p>
    <w:p>
      <w:pPr>
        <w:ind w:left="940" w:hanging="113"/>
        <w:spacing w:after="0"/>
        <w:tabs>
          <w:tab w:leader="none" w:pos="940" w:val="left"/>
        </w:tabs>
        <w:numPr>
          <w:ilvl w:val="1"/>
          <w:numId w:val="1"/>
        </w:numPr>
        <w:rPr>
          <w:rFonts w:ascii="Arial" w:cs="Arial" w:eastAsia="Arial" w:hAnsi="Arial"/>
          <w:sz w:val="18"/>
          <w:szCs w:val="18"/>
          <w:color w:val="auto"/>
        </w:rPr>
      </w:pPr>
      <w:r>
        <w:rPr>
          <w:rFonts w:ascii="Arial" w:cs="Arial" w:eastAsia="Arial" w:hAnsi="Arial"/>
          <w:sz w:val="18"/>
          <w:szCs w:val="18"/>
          <w:color w:val="auto"/>
        </w:rPr>
        <w:t>X ] Rule 13d-1(c)</w:t>
      </w:r>
    </w:p>
    <w:p>
      <w:pPr>
        <w:spacing w:after="0" w:line="9" w:lineRule="exact"/>
        <w:rPr>
          <w:rFonts w:ascii="Arial" w:cs="Arial" w:eastAsia="Arial" w:hAnsi="Arial"/>
          <w:sz w:val="18"/>
          <w:szCs w:val="18"/>
          <w:color w:val="auto"/>
        </w:rPr>
      </w:pPr>
    </w:p>
    <w:p>
      <w:pPr>
        <w:ind w:left="1100" w:hanging="273"/>
        <w:spacing w:after="0"/>
        <w:tabs>
          <w:tab w:leader="none" w:pos="1100" w:val="left"/>
        </w:tabs>
        <w:numPr>
          <w:ilvl w:val="1"/>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45" w:lineRule="exact"/>
        <w:rPr>
          <w:rFonts w:ascii="Arial" w:cs="Arial" w:eastAsia="Arial" w:hAnsi="Arial"/>
          <w:sz w:val="18"/>
          <w:szCs w:val="18"/>
          <w:color w:val="auto"/>
        </w:rPr>
      </w:pPr>
    </w:p>
    <w:p>
      <w:pPr>
        <w:spacing w:after="0" w:line="268"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68821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21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13G</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No. 313747206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111760</wp:posOffset>
            </wp:positionV>
            <wp:extent cx="684784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340" w:lineRule="exact"/>
        <w:rPr>
          <w:sz w:val="24"/>
          <w:szCs w:val="24"/>
          <w:color w:val="auto"/>
        </w:rPr>
      </w:pPr>
    </w:p>
    <w:p>
      <w:pPr>
        <w:jc w:val="both"/>
        <w:ind w:left="1600" w:right="7160" w:hanging="674"/>
        <w:spacing w:after="0" w:line="305" w:lineRule="auto"/>
        <w:tabs>
          <w:tab w:leader="none" w:pos="1600" w:val="left"/>
        </w:tabs>
        <w:numPr>
          <w:ilvl w:val="0"/>
          <w:numId w:val="2"/>
        </w:numPr>
        <w:rPr>
          <w:rFonts w:ascii="Arial" w:cs="Arial" w:eastAsia="Arial" w:hAnsi="Arial"/>
          <w:sz w:val="15"/>
          <w:szCs w:val="15"/>
          <w:color w:val="auto"/>
        </w:rPr>
      </w:pPr>
      <w:r>
        <w:rPr>
          <w:rFonts w:ascii="Arial" w:cs="Arial" w:eastAsia="Arial" w:hAnsi="Arial"/>
          <w:sz w:val="15"/>
          <w:szCs w:val="15"/>
          <w:color w:val="auto"/>
        </w:rPr>
        <w:t>Names of Reporting Persons. Stichting Pensioenfonds ABP</w:t>
      </w:r>
    </w:p>
    <w:p>
      <w:pPr>
        <w:ind w:left="1600"/>
        <w:spacing w:after="0"/>
        <w:rPr>
          <w:rFonts w:ascii="Arial" w:cs="Arial" w:eastAsia="Arial" w:hAnsi="Arial"/>
          <w:sz w:val="15"/>
          <w:szCs w:val="15"/>
          <w:color w:val="auto"/>
        </w:rPr>
      </w:pPr>
      <w:r>
        <w:rPr>
          <w:rFonts w:ascii="Arial" w:cs="Arial" w:eastAsia="Arial" w:hAnsi="Arial"/>
          <w:sz w:val="18"/>
          <w:szCs w:val="18"/>
          <w:color w:val="auto"/>
        </w:rPr>
        <w:t>I.R.S. Identification Nos. of above persons (entities only).</w:t>
      </w:r>
    </w:p>
    <w:p>
      <w:pPr>
        <w:spacing w:after="0" w:line="9" w:lineRule="exact"/>
        <w:rPr>
          <w:rFonts w:ascii="Arial" w:cs="Arial" w:eastAsia="Arial" w:hAnsi="Arial"/>
          <w:sz w:val="15"/>
          <w:szCs w:val="15"/>
          <w:color w:val="auto"/>
        </w:rPr>
      </w:pPr>
    </w:p>
    <w:p>
      <w:pPr>
        <w:ind w:left="1600"/>
        <w:spacing w:after="0"/>
        <w:rPr>
          <w:rFonts w:ascii="Arial" w:cs="Arial" w:eastAsia="Arial" w:hAnsi="Arial"/>
          <w:sz w:val="15"/>
          <w:szCs w:val="15"/>
          <w:color w:val="auto"/>
        </w:rPr>
      </w:pPr>
      <w:r>
        <w:rPr>
          <w:rFonts w:ascii="Arial" w:cs="Arial" w:eastAsia="Arial" w:hAnsi="Arial"/>
          <w:sz w:val="18"/>
          <w:szCs w:val="18"/>
          <w:color w:val="auto"/>
        </w:rPr>
        <w:t>98-0140331</w:t>
      </w:r>
    </w:p>
    <w:p>
      <w:pPr>
        <w:spacing w:after="0" w:line="353" w:lineRule="exact"/>
        <w:rPr>
          <w:rFonts w:ascii="Arial" w:cs="Arial" w:eastAsia="Arial" w:hAnsi="Arial"/>
          <w:sz w:val="15"/>
          <w:szCs w:val="15"/>
          <w:color w:val="auto"/>
        </w:rPr>
      </w:pPr>
    </w:p>
    <w:p>
      <w:pPr>
        <w:ind w:left="1600" w:hanging="674"/>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-247650</wp:posOffset>
            </wp:positionV>
            <wp:extent cx="684784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ind w:left="1600"/>
        <w:spacing w:after="0"/>
        <w:tabs>
          <w:tab w:leader="none" w:pos="2100" w:val="left"/>
          <w:tab w:leader="none" w:pos="2460" w:val="left"/>
          <w:tab w:leader="none" w:pos="3000" w:val="left"/>
        </w:tabs>
        <w:rPr>
          <w:sz w:val="20"/>
          <w:szCs w:val="20"/>
          <w:color w:val="auto"/>
        </w:rPr>
      </w:pPr>
      <w:r>
        <w:rPr>
          <w:rFonts w:ascii="Arial" w:cs="Arial" w:eastAsia="Arial" w:hAnsi="Arial"/>
          <w:sz w:val="18"/>
          <w:szCs w:val="18"/>
          <w:color w:val="auto"/>
        </w:rPr>
        <w:t>(a) [</w:t>
        <w:tab/>
        <w:t>]</w:t>
      </w:r>
      <w:r>
        <w:rPr>
          <w:sz w:val="20"/>
          <w:szCs w:val="20"/>
          <w:color w:val="auto"/>
        </w:rPr>
        <w:tab/>
      </w:r>
      <w:r>
        <w:rPr>
          <w:rFonts w:ascii="Arial" w:cs="Arial" w:eastAsia="Arial" w:hAnsi="Arial"/>
          <w:sz w:val="18"/>
          <w:szCs w:val="18"/>
          <w:color w:val="auto"/>
        </w:rPr>
        <w:t>(b) [</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107950</wp:posOffset>
            </wp:positionV>
            <wp:extent cx="684784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347" w:lineRule="exact"/>
        <w:rPr>
          <w:sz w:val="24"/>
          <w:szCs w:val="24"/>
          <w:color w:val="auto"/>
        </w:rPr>
      </w:pPr>
    </w:p>
    <w:p>
      <w:pPr>
        <w:ind w:left="1600" w:hanging="674"/>
        <w:spacing w:after="0"/>
        <w:tabs>
          <w:tab w:leader="none" w:pos="1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73" w:lineRule="exact"/>
        <w:rPr>
          <w:rFonts w:ascii="Arial" w:cs="Arial" w:eastAsia="Arial" w:hAnsi="Arial"/>
          <w:sz w:val="18"/>
          <w:szCs w:val="18"/>
          <w:color w:val="auto"/>
        </w:rPr>
      </w:pPr>
    </w:p>
    <w:p>
      <w:pPr>
        <w:ind w:left="1600" w:right="6680" w:hanging="674"/>
        <w:spacing w:after="0" w:line="332" w:lineRule="auto"/>
        <w:tabs>
          <w:tab w:leader="none" w:pos="1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Citizenship or Place of Organization The Kingdom of the Netherlands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-439420</wp:posOffset>
            </wp:positionV>
            <wp:extent cx="684784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47840" cy="215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57150</wp:posOffset>
            </wp:positionV>
            <wp:extent cx="684784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254"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Number of</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8880" w:type="dxa"/>
            <w:vAlign w:val="bottom"/>
          </w:tcPr>
          <w:p>
            <w:pPr>
              <w:ind w:left="2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Shares</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80" w:type="dxa"/>
            <w:vAlign w:val="bottom"/>
          </w:tcPr>
          <w:p>
            <w:pPr>
              <w:ind w:left="220"/>
              <w:spacing w:after="0"/>
              <w:rPr>
                <w:sz w:val="20"/>
                <w:szCs w:val="20"/>
                <w:color w:val="auto"/>
              </w:rPr>
            </w:pPr>
            <w:r>
              <w:rPr>
                <w:rFonts w:ascii="Arial" w:cs="Arial" w:eastAsia="Arial" w:hAnsi="Arial"/>
                <w:sz w:val="18"/>
                <w:szCs w:val="18"/>
                <w:color w:val="auto"/>
              </w:rPr>
              <w:t>2,724,243</w:t>
            </w:r>
          </w:p>
        </w:tc>
        <w:tc>
          <w:tcPr>
            <w:tcW w:w="0" w:type="dxa"/>
            <w:vAlign w:val="bottom"/>
          </w:tcPr>
          <w:p>
            <w:pPr>
              <w:spacing w:after="0"/>
              <w:rPr>
                <w:sz w:val="1"/>
                <w:szCs w:val="1"/>
                <w:color w:val="auto"/>
              </w:rPr>
            </w:pPr>
          </w:p>
        </w:tc>
      </w:tr>
      <w:tr>
        <w:trPr>
          <w:trHeight w:val="181"/>
        </w:trPr>
        <w:tc>
          <w:tcPr>
            <w:tcW w:w="1320" w:type="dxa"/>
            <w:vAlign w:val="bottom"/>
          </w:tcPr>
          <w:p>
            <w:pPr>
              <w:spacing w:after="0" w:line="181" w:lineRule="exact"/>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5"/>
                <w:szCs w:val="15"/>
                <w:color w:val="auto"/>
              </w:rPr>
            </w:pPr>
          </w:p>
        </w:tc>
        <w:tc>
          <w:tcPr>
            <w:tcW w:w="340" w:type="dxa"/>
            <w:vAlign w:val="bottom"/>
            <w:tcBorders>
              <w:bottom w:val="single" w:sz="8" w:color="808080"/>
            </w:tcBorders>
          </w:tcPr>
          <w:p>
            <w:pPr>
              <w:spacing w:after="0"/>
              <w:rPr>
                <w:sz w:val="15"/>
                <w:szCs w:val="15"/>
                <w:color w:val="auto"/>
              </w:rPr>
            </w:pPr>
          </w:p>
        </w:tc>
        <w:tc>
          <w:tcPr>
            <w:tcW w:w="888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320" w:type="dxa"/>
            <w:vAlign w:val="bottom"/>
          </w:tcPr>
          <w:p>
            <w:pPr>
              <w:spacing w:after="0"/>
              <w:rPr>
                <w:sz w:val="20"/>
                <w:szCs w:val="20"/>
                <w:color w:val="auto"/>
              </w:rPr>
            </w:pPr>
            <w:r>
              <w:rPr>
                <w:rFonts w:ascii="Arial" w:cs="Arial" w:eastAsia="Arial" w:hAnsi="Arial"/>
                <w:sz w:val="18"/>
                <w:szCs w:val="18"/>
                <w:color w:val="auto"/>
              </w:rPr>
              <w:t>Owned by</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w:t>
            </w:r>
          </w:p>
        </w:tc>
        <w:tc>
          <w:tcPr>
            <w:tcW w:w="8880" w:type="dxa"/>
            <w:vAlign w:val="bottom"/>
            <w:vMerge w:val="restart"/>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5"/>
        </w:trPr>
        <w:tc>
          <w:tcPr>
            <w:tcW w:w="1320" w:type="dxa"/>
            <w:vAlign w:val="bottom"/>
            <w:vMerge w:val="restart"/>
          </w:tcPr>
          <w:p>
            <w:pPr>
              <w:spacing w:after="0"/>
              <w:rPr>
                <w:sz w:val="20"/>
                <w:szCs w:val="20"/>
                <w:color w:val="auto"/>
              </w:rPr>
            </w:pPr>
            <w:r>
              <w:rPr>
                <w:rFonts w:ascii="Arial" w:cs="Arial" w:eastAsia="Arial" w:hAnsi="Arial"/>
                <w:sz w:val="18"/>
                <w:szCs w:val="18"/>
                <w:color w:val="auto"/>
              </w:rPr>
              <w:t>Each Reporting</w:t>
            </w:r>
          </w:p>
        </w:tc>
        <w:tc>
          <w:tcPr>
            <w:tcW w:w="580" w:type="dxa"/>
            <w:vAlign w:val="bottom"/>
            <w:gridSpan w:val="2"/>
            <w:vMerge w:val="continue"/>
          </w:tcPr>
          <w:p>
            <w:pPr>
              <w:spacing w:after="0"/>
              <w:rPr>
                <w:sz w:val="11"/>
                <w:szCs w:val="11"/>
                <w:color w:val="auto"/>
              </w:rPr>
            </w:pPr>
          </w:p>
        </w:tc>
        <w:tc>
          <w:tcPr>
            <w:tcW w:w="8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3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80" w:type="dxa"/>
            <w:vAlign w:val="bottom"/>
            <w:vMerge w:val="restart"/>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1"/>
        </w:trPr>
        <w:tc>
          <w:tcPr>
            <w:tcW w:w="13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3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8880" w:type="dxa"/>
            <w:vAlign w:val="bottom"/>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80" w:type="dxa"/>
            <w:vAlign w:val="bottom"/>
          </w:tcPr>
          <w:p>
            <w:pPr>
              <w:ind w:left="220"/>
              <w:spacing w:after="0"/>
              <w:rPr>
                <w:sz w:val="20"/>
                <w:szCs w:val="20"/>
                <w:color w:val="auto"/>
              </w:rPr>
            </w:pPr>
            <w:r>
              <w:rPr>
                <w:rFonts w:ascii="Arial" w:cs="Arial" w:eastAsia="Arial" w:hAnsi="Arial"/>
                <w:sz w:val="18"/>
                <w:szCs w:val="18"/>
                <w:color w:val="auto"/>
              </w:rPr>
              <w:t>2,724,243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6854825</wp:posOffset>
            </wp:positionH>
            <wp:positionV relativeFrom="paragraph">
              <wp:posOffset>-885825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1014730</wp:posOffset>
            </wp:positionH>
            <wp:positionV relativeFrom="paragraph">
              <wp:posOffset>-885825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-387985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1014730</wp:posOffset>
            </wp:positionH>
            <wp:positionV relativeFrom="paragraph">
              <wp:posOffset>-387985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9" w:orient="portrait"/>
          <w:cols w:equalWidth="0" w:num="1">
            <w:col w:w="10840"/>
          </w:cols>
          <w:pgMar w:left="240" w:top="307" w:right="819" w:bottom="0" w:gutter="0" w:footer="0" w:header="0"/>
        </w:sectPr>
      </w:pPr>
    </w:p>
    <w:bookmarkStart w:id="1" w:name="page2"/>
    <w:bookmarkEnd w:id="1"/>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1167130</wp:posOffset>
            </wp:positionH>
            <wp:positionV relativeFrom="page">
              <wp:posOffset>189865</wp:posOffset>
            </wp:positionV>
            <wp:extent cx="585279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52795" cy="21590"/>
                    </a:xfrm>
                    <a:prstGeom prst="rect">
                      <a:avLst/>
                    </a:prstGeom>
                    <a:noFill/>
                  </pic:spPr>
                </pic:pic>
              </a:graphicData>
            </a:graphic>
          </wp:anchor>
        </w:drawing>
      </w:r>
    </w:p>
    <w:p>
      <w:pPr>
        <w:ind w:left="2120" w:right="6820" w:hanging="558"/>
        <w:spacing w:after="0" w:line="268" w:lineRule="auto"/>
        <w:tabs>
          <w:tab w:leader="none" w:pos="2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321" w:lineRule="exact"/>
        <w:rPr>
          <w:rFonts w:ascii="Arial" w:cs="Arial" w:eastAsia="Arial" w:hAnsi="Arial"/>
          <w:sz w:val="18"/>
          <w:szCs w:val="18"/>
          <w:color w:val="auto"/>
        </w:rPr>
      </w:pPr>
    </w:p>
    <w:p>
      <w:pPr>
        <w:ind w:left="1560" w:right="4520" w:hanging="674"/>
        <w:spacing w:after="0" w:line="268" w:lineRule="auto"/>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2,724,243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-409575</wp:posOffset>
            </wp:positionV>
            <wp:extent cx="684784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47840" cy="215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86995</wp:posOffset>
            </wp:positionV>
            <wp:extent cx="684784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301" w:lineRule="exact"/>
        <w:rPr>
          <w:sz w:val="20"/>
          <w:szCs w:val="20"/>
          <w:color w:val="auto"/>
        </w:rPr>
      </w:pPr>
    </w:p>
    <w:p>
      <w:pPr>
        <w:ind w:left="880"/>
        <w:spacing w:after="0"/>
        <w:tabs>
          <w:tab w:leader="none" w:pos="1540" w:val="left"/>
          <w:tab w:leader="none" w:pos="796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6"/>
          <w:szCs w:val="16"/>
          <w:color w:val="auto"/>
        </w:rPr>
        <w:t>Check if the Aggregate Amount in Row (9) Excludes Certain Shares (See Instructions)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128905</wp:posOffset>
            </wp:positionV>
            <wp:extent cx="684784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367" w:lineRule="exact"/>
        <w:rPr>
          <w:sz w:val="20"/>
          <w:szCs w:val="20"/>
          <w:color w:val="auto"/>
        </w:rPr>
      </w:pPr>
    </w:p>
    <w:p>
      <w:pPr>
        <w:ind w:left="1560" w:right="5500" w:hanging="674"/>
        <w:spacing w:after="0" w:line="268" w:lineRule="auto"/>
        <w:tabs>
          <w:tab w:leader="none" w:pos="1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4.65%</w:t>
      </w:r>
    </w:p>
    <w:p>
      <w:pPr>
        <w:spacing w:after="0" w:line="321" w:lineRule="exact"/>
        <w:rPr>
          <w:rFonts w:ascii="Arial" w:cs="Arial" w:eastAsia="Arial" w:hAnsi="Arial"/>
          <w:sz w:val="18"/>
          <w:szCs w:val="18"/>
          <w:color w:val="auto"/>
        </w:rPr>
      </w:pPr>
    </w:p>
    <w:p>
      <w:pPr>
        <w:ind w:left="1560" w:hanging="674"/>
        <w:spacing w:after="0"/>
        <w:tabs>
          <w:tab w:leader="none" w:pos="1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15"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-388620</wp:posOffset>
            </wp:positionV>
            <wp:extent cx="684784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4784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146050</wp:posOffset>
            </wp:positionV>
            <wp:extent cx="684784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4784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260" w:type="dxa"/>
            <w:vAlign w:val="bottom"/>
          </w:tcPr>
          <w:p>
            <w:pPr>
              <w:spacing w:after="0"/>
              <w:rPr>
                <w:sz w:val="19"/>
                <w:szCs w:val="19"/>
                <w:color w:val="auto"/>
              </w:rPr>
            </w:pPr>
          </w:p>
        </w:tc>
        <w:tc>
          <w:tcPr>
            <w:tcW w:w="9740" w:type="dxa"/>
            <w:vAlign w:val="bottom"/>
          </w:tcPr>
          <w:p>
            <w:pPr>
              <w:spacing w:after="0"/>
              <w:rPr>
                <w:sz w:val="19"/>
                <w:szCs w:val="19"/>
                <w:color w:val="auto"/>
              </w:rPr>
            </w:pP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(a)</w:t>
            </w: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Name of Issuer</w:t>
            </w:r>
          </w:p>
        </w:tc>
      </w:tr>
      <w:tr>
        <w:trPr>
          <w:trHeight w:val="432"/>
        </w:trPr>
        <w:tc>
          <w:tcPr>
            <w:tcW w:w="760" w:type="dxa"/>
            <w:vAlign w:val="bottom"/>
          </w:tcPr>
          <w:p>
            <w:pPr>
              <w:spacing w:after="0"/>
              <w:rPr>
                <w:sz w:val="24"/>
                <w:szCs w:val="24"/>
                <w:color w:val="auto"/>
              </w:rPr>
            </w:pP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Federal Realty Investments Trust</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(b)</w:t>
            </w: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Address of Issuer's Principal Executive Offices</w:t>
            </w:r>
          </w:p>
        </w:tc>
      </w:tr>
      <w:tr>
        <w:trPr>
          <w:trHeight w:val="426"/>
        </w:trPr>
        <w:tc>
          <w:tcPr>
            <w:tcW w:w="760" w:type="dxa"/>
            <w:vAlign w:val="bottom"/>
          </w:tcPr>
          <w:p>
            <w:pPr>
              <w:spacing w:after="0"/>
              <w:rPr>
                <w:sz w:val="24"/>
                <w:szCs w:val="24"/>
                <w:color w:val="auto"/>
              </w:rPr>
            </w:pP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1625 East Jefferson Street</w:t>
            </w:r>
          </w:p>
        </w:tc>
      </w:tr>
      <w:tr>
        <w:trPr>
          <w:trHeight w:val="222"/>
        </w:trPr>
        <w:tc>
          <w:tcPr>
            <w:tcW w:w="760" w:type="dxa"/>
            <w:vAlign w:val="bottom"/>
          </w:tcPr>
          <w:p>
            <w:pPr>
              <w:spacing w:after="0"/>
              <w:rPr>
                <w:sz w:val="19"/>
                <w:szCs w:val="19"/>
                <w:color w:val="auto"/>
              </w:rPr>
            </w:pP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Rockville MD 20852-4041</w:t>
            </w:r>
          </w:p>
        </w:tc>
      </w:tr>
      <w:tr>
        <w:trPr>
          <w:trHeight w:val="567"/>
        </w:trPr>
        <w:tc>
          <w:tcPr>
            <w:tcW w:w="7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260" w:type="dxa"/>
            <w:vAlign w:val="bottom"/>
          </w:tcPr>
          <w:p>
            <w:pPr>
              <w:spacing w:after="0"/>
              <w:rPr>
                <w:sz w:val="24"/>
                <w:szCs w:val="24"/>
                <w:color w:val="auto"/>
              </w:rPr>
            </w:pPr>
          </w:p>
        </w:tc>
        <w:tc>
          <w:tcPr>
            <w:tcW w:w="9740" w:type="dxa"/>
            <w:vAlign w:val="bottom"/>
          </w:tcPr>
          <w:p>
            <w:pPr>
              <w:spacing w:after="0"/>
              <w:rPr>
                <w:sz w:val="24"/>
                <w:szCs w:val="24"/>
                <w:color w:val="auto"/>
              </w:rPr>
            </w:pP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(a)</w:t>
            </w: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Name of Person Filing</w:t>
            </w:r>
          </w:p>
        </w:tc>
      </w:tr>
      <w:tr>
        <w:trPr>
          <w:trHeight w:val="432"/>
        </w:trPr>
        <w:tc>
          <w:tcPr>
            <w:tcW w:w="760" w:type="dxa"/>
            <w:vAlign w:val="bottom"/>
          </w:tcPr>
          <w:p>
            <w:pPr>
              <w:spacing w:after="0"/>
              <w:rPr>
                <w:sz w:val="24"/>
                <w:szCs w:val="24"/>
                <w:color w:val="auto"/>
              </w:rPr>
            </w:pP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Stichting Pensioenfonds ABP</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(b)</w:t>
            </w: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432"/>
        </w:trPr>
        <w:tc>
          <w:tcPr>
            <w:tcW w:w="760" w:type="dxa"/>
            <w:vAlign w:val="bottom"/>
          </w:tcPr>
          <w:p>
            <w:pPr>
              <w:spacing w:after="0"/>
              <w:rPr>
                <w:sz w:val="24"/>
                <w:szCs w:val="24"/>
                <w:color w:val="auto"/>
              </w:rPr>
            </w:pP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Oude Lindestraat 70, Postbus 2889, 6401 DL The Kingdom of the Netherlands</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(c)</w:t>
            </w: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Citizenship</w:t>
            </w:r>
          </w:p>
        </w:tc>
      </w:tr>
      <w:tr>
        <w:trPr>
          <w:trHeight w:val="432"/>
        </w:trPr>
        <w:tc>
          <w:tcPr>
            <w:tcW w:w="760" w:type="dxa"/>
            <w:vAlign w:val="bottom"/>
          </w:tcPr>
          <w:p>
            <w:pPr>
              <w:spacing w:after="0"/>
              <w:rPr>
                <w:sz w:val="24"/>
                <w:szCs w:val="24"/>
                <w:color w:val="auto"/>
              </w:rPr>
            </w:pP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The Kingdom of the Netherlands</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(d)</w:t>
            </w: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Title of Class of Securities</w:t>
            </w:r>
          </w:p>
        </w:tc>
      </w:tr>
      <w:tr>
        <w:trPr>
          <w:trHeight w:val="432"/>
        </w:trPr>
        <w:tc>
          <w:tcPr>
            <w:tcW w:w="760" w:type="dxa"/>
            <w:vAlign w:val="bottom"/>
          </w:tcPr>
          <w:p>
            <w:pPr>
              <w:spacing w:after="0"/>
              <w:rPr>
                <w:sz w:val="24"/>
                <w:szCs w:val="24"/>
                <w:color w:val="auto"/>
              </w:rPr>
            </w:pP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Common Stock, par valu $0.01 per share</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(e)</w:t>
            </w: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CUSIP Number</w:t>
            </w:r>
          </w:p>
        </w:tc>
      </w:tr>
      <w:tr>
        <w:trPr>
          <w:trHeight w:val="432"/>
        </w:trPr>
        <w:tc>
          <w:tcPr>
            <w:tcW w:w="760" w:type="dxa"/>
            <w:vAlign w:val="bottom"/>
          </w:tcPr>
          <w:p>
            <w:pPr>
              <w:spacing w:after="0"/>
              <w:rPr>
                <w:sz w:val="24"/>
                <w:szCs w:val="24"/>
                <w:color w:val="auto"/>
              </w:rPr>
            </w:pPr>
          </w:p>
        </w:tc>
        <w:tc>
          <w:tcPr>
            <w:tcW w:w="10000" w:type="dxa"/>
            <w:vAlign w:val="bottom"/>
            <w:gridSpan w:val="2"/>
          </w:tcPr>
          <w:p>
            <w:pPr>
              <w:ind w:left="120"/>
              <w:spacing w:after="0"/>
              <w:rPr>
                <w:sz w:val="20"/>
                <w:szCs w:val="20"/>
                <w:color w:val="auto"/>
              </w:rPr>
            </w:pPr>
            <w:r>
              <w:rPr>
                <w:rFonts w:ascii="Arial" w:cs="Arial" w:eastAsia="Arial" w:hAnsi="Arial"/>
                <w:sz w:val="18"/>
                <w:szCs w:val="18"/>
                <w:color w:val="auto"/>
              </w:rPr>
              <w:t>313747206</w:t>
            </w:r>
          </w:p>
        </w:tc>
      </w:tr>
      <w:tr>
        <w:trPr>
          <w:trHeight w:val="567"/>
        </w:trPr>
        <w:tc>
          <w:tcPr>
            <w:tcW w:w="7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000" w:type="dxa"/>
            <w:vAlign w:val="bottom"/>
            <w:gridSpan w:val="2"/>
          </w:tcPr>
          <w:p>
            <w:pPr>
              <w:ind w:left="120"/>
              <w:spacing w:after="0"/>
              <w:rPr>
                <w:sz w:val="20"/>
                <w:szCs w:val="20"/>
                <w:color w:val="auto"/>
              </w:rPr>
            </w:pPr>
            <w:r>
              <w:rPr>
                <w:rFonts w:ascii="Arial" w:cs="Arial" w:eastAsia="Arial" w:hAnsi="Arial"/>
                <w:sz w:val="18"/>
                <w:szCs w:val="18"/>
                <w:b w:val="1"/>
                <w:bCs w:val="1"/>
                <w:color w:val="auto"/>
              </w:rPr>
              <w:t>If this statement is filed pursuant to §§240.13d-1(b) or 240.13d-2(b) or (c), check whether the person filing is a:</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(a)</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40" w:type="dxa"/>
            <w:vAlign w:val="bottom"/>
          </w:tcPr>
          <w:p>
            <w:pPr>
              <w:ind w:left="80"/>
              <w:spacing w:after="0"/>
              <w:rPr>
                <w:sz w:val="20"/>
                <w:szCs w:val="20"/>
                <w:color w:val="auto"/>
              </w:rPr>
            </w:pPr>
            <w:r>
              <w:rPr>
                <w:rFonts w:ascii="Arial" w:cs="Arial" w:eastAsia="Arial" w:hAnsi="Arial"/>
                <w:sz w:val="18"/>
                <w:szCs w:val="18"/>
                <w:color w:val="auto"/>
              </w:rPr>
              <w:t>]  Broker or dealer registered under section 15 of the Act (15 U.S.C. 78o).</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(b)</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40" w:type="dxa"/>
            <w:vAlign w:val="bottom"/>
          </w:tcPr>
          <w:p>
            <w:pPr>
              <w:ind w:left="80"/>
              <w:spacing w:after="0"/>
              <w:rPr>
                <w:sz w:val="20"/>
                <w:szCs w:val="20"/>
                <w:color w:val="auto"/>
              </w:rPr>
            </w:pPr>
            <w:r>
              <w:rPr>
                <w:rFonts w:ascii="Arial" w:cs="Arial" w:eastAsia="Arial" w:hAnsi="Arial"/>
                <w:sz w:val="18"/>
                <w:szCs w:val="18"/>
                <w:color w:val="auto"/>
              </w:rPr>
              <w:t>]  Bank as defined in section 3(a)(6) of the Act (15 U.S.C. 78c).</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(c)</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40" w:type="dxa"/>
            <w:vAlign w:val="bottom"/>
          </w:tcPr>
          <w:p>
            <w:pPr>
              <w:ind w:left="80"/>
              <w:spacing w:after="0"/>
              <w:rPr>
                <w:sz w:val="20"/>
                <w:szCs w:val="20"/>
                <w:color w:val="auto"/>
              </w:rPr>
            </w:pPr>
            <w:r>
              <w:rPr>
                <w:rFonts w:ascii="Arial" w:cs="Arial" w:eastAsia="Arial" w:hAnsi="Arial"/>
                <w:sz w:val="18"/>
                <w:szCs w:val="18"/>
                <w:color w:val="auto"/>
              </w:rPr>
              <w:t>]  Insurance company as defined in section 3(a)(19) of the Act (15 U.S.C. 78c).</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(d)</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40" w:type="dxa"/>
            <w:vAlign w:val="bottom"/>
          </w:tcPr>
          <w:p>
            <w:pPr>
              <w:ind w:left="80"/>
              <w:spacing w:after="0"/>
              <w:rPr>
                <w:sz w:val="20"/>
                <w:szCs w:val="20"/>
                <w:color w:val="auto"/>
              </w:rPr>
            </w:pPr>
            <w:r>
              <w:rPr>
                <w:rFonts w:ascii="Arial" w:cs="Arial" w:eastAsia="Arial" w:hAnsi="Arial"/>
                <w:sz w:val="18"/>
                <w:szCs w:val="18"/>
                <w:color w:val="auto"/>
              </w:rPr>
              <w:t>]  Investment company registered under section 8 of the Investment Company Act of 1940 (15 U.S.C 80a-8).</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(e)</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40" w:type="dxa"/>
            <w:vAlign w:val="bottom"/>
          </w:tcPr>
          <w:p>
            <w:pPr>
              <w:ind w:left="80"/>
              <w:spacing w:after="0"/>
              <w:rPr>
                <w:sz w:val="20"/>
                <w:szCs w:val="20"/>
                <w:color w:val="auto"/>
              </w:rPr>
            </w:pPr>
            <w:r>
              <w:rPr>
                <w:rFonts w:ascii="Arial" w:cs="Arial" w:eastAsia="Arial" w:hAnsi="Arial"/>
                <w:sz w:val="18"/>
                <w:szCs w:val="18"/>
                <w:color w:val="auto"/>
              </w:rPr>
              <w:t>]  An investment adviser in accordance with §240.13d-1(b)(1)(ii)(E);</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(f)</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40" w:type="dxa"/>
            <w:vAlign w:val="bottom"/>
          </w:tcPr>
          <w:p>
            <w:pPr>
              <w:ind w:left="80"/>
              <w:spacing w:after="0"/>
              <w:rPr>
                <w:sz w:val="20"/>
                <w:szCs w:val="20"/>
                <w:color w:val="auto"/>
              </w:rPr>
            </w:pPr>
            <w:r>
              <w:rPr>
                <w:rFonts w:ascii="Arial" w:cs="Arial" w:eastAsia="Arial" w:hAnsi="Arial"/>
                <w:sz w:val="18"/>
                <w:szCs w:val="18"/>
                <w:color w:val="auto"/>
              </w:rPr>
              <w:t>]  An employee benefit plan or endowment fund in accordance with §240.13d-1(b)(1)(ii)(F);</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(g)</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40" w:type="dxa"/>
            <w:vAlign w:val="bottom"/>
          </w:tcPr>
          <w:p>
            <w:pPr>
              <w:ind w:left="80"/>
              <w:spacing w:after="0"/>
              <w:rPr>
                <w:sz w:val="20"/>
                <w:szCs w:val="20"/>
                <w:color w:val="auto"/>
              </w:rPr>
            </w:pPr>
            <w:r>
              <w:rPr>
                <w:rFonts w:ascii="Arial" w:cs="Arial" w:eastAsia="Arial" w:hAnsi="Arial"/>
                <w:sz w:val="18"/>
                <w:szCs w:val="18"/>
                <w:color w:val="auto"/>
              </w:rPr>
              <w:t>]  A parent holding company or control person in accordance with § 240.13d-1(b)(1)(ii)(G);</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(h)</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40" w:type="dxa"/>
            <w:vAlign w:val="bottom"/>
          </w:tcPr>
          <w:p>
            <w:pPr>
              <w:ind w:left="80"/>
              <w:spacing w:after="0"/>
              <w:rPr>
                <w:sz w:val="20"/>
                <w:szCs w:val="20"/>
                <w:color w:val="auto"/>
              </w:rPr>
            </w:pPr>
            <w:r>
              <w:rPr>
                <w:rFonts w:ascii="Arial" w:cs="Arial" w:eastAsia="Arial" w:hAnsi="Arial"/>
                <w:sz w:val="18"/>
                <w:szCs w:val="18"/>
                <w:color w:val="auto"/>
              </w:rPr>
              <w:t>]  A savings associations as defined in Section 3(b) of the Federal Deposit Insurance Act (12 U.S.C. 1813);</w:t>
            </w:r>
          </w:p>
        </w:tc>
      </w:tr>
      <w:tr>
        <w:trPr>
          <w:trHeight w:val="264"/>
        </w:trPr>
        <w:tc>
          <w:tcPr>
            <w:tcW w:w="760" w:type="dxa"/>
            <w:vAlign w:val="bottom"/>
          </w:tcPr>
          <w:p>
            <w:pPr>
              <w:ind w:left="440"/>
              <w:spacing w:after="0"/>
              <w:rPr>
                <w:sz w:val="20"/>
                <w:szCs w:val="20"/>
                <w:color w:val="auto"/>
              </w:rPr>
            </w:pPr>
            <w:r>
              <w:rPr>
                <w:rFonts w:ascii="Arial" w:cs="Arial" w:eastAsia="Arial" w:hAnsi="Arial"/>
                <w:sz w:val="18"/>
                <w:szCs w:val="18"/>
                <w:color w:val="auto"/>
              </w:rPr>
              <w:t>(i)</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40" w:type="dxa"/>
            <w:vAlign w:val="bottom"/>
          </w:tcPr>
          <w:p>
            <w:pPr>
              <w:ind w:left="80"/>
              <w:spacing w:after="0"/>
              <w:rPr>
                <w:sz w:val="20"/>
                <w:szCs w:val="20"/>
                <w:color w:val="auto"/>
              </w:rPr>
            </w:pPr>
            <w:r>
              <w:rPr>
                <w:rFonts w:ascii="Arial" w:cs="Arial" w:eastAsia="Arial" w:hAnsi="Arial"/>
                <w:sz w:val="18"/>
                <w:szCs w:val="18"/>
                <w:color w:val="auto"/>
                <w:w w:val="91"/>
              </w:rPr>
              <w:t>]  A church plan that is excluded from the definition of an investment company under section 3(c)(14) of the Investment Company Act</w:t>
            </w:r>
          </w:p>
        </w:tc>
      </w:tr>
      <w:tr>
        <w:trPr>
          <w:trHeight w:val="222"/>
        </w:trPr>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740" w:type="dxa"/>
            <w:vAlign w:val="bottom"/>
          </w:tcPr>
          <w:p>
            <w:pPr>
              <w:ind w:left="280"/>
              <w:spacing w:after="0"/>
              <w:rPr>
                <w:sz w:val="20"/>
                <w:szCs w:val="20"/>
                <w:color w:val="auto"/>
              </w:rPr>
            </w:pPr>
            <w:r>
              <w:rPr>
                <w:rFonts w:ascii="Arial" w:cs="Arial" w:eastAsia="Arial" w:hAnsi="Arial"/>
                <w:sz w:val="18"/>
                <w:szCs w:val="18"/>
                <w:color w:val="auto"/>
              </w:rPr>
              <w:t>of 1940 (15 U.S.C. 80a-3);</w:t>
            </w:r>
          </w:p>
        </w:tc>
      </w:tr>
      <w:tr>
        <w:trPr>
          <w:trHeight w:val="270"/>
        </w:trPr>
        <w:tc>
          <w:tcPr>
            <w:tcW w:w="760" w:type="dxa"/>
            <w:vAlign w:val="bottom"/>
          </w:tcPr>
          <w:p>
            <w:pPr>
              <w:ind w:left="440"/>
              <w:spacing w:after="0"/>
              <w:rPr>
                <w:sz w:val="20"/>
                <w:szCs w:val="20"/>
                <w:color w:val="auto"/>
              </w:rPr>
            </w:pPr>
            <w:r>
              <w:rPr>
                <w:rFonts w:ascii="Arial" w:cs="Arial" w:eastAsia="Arial" w:hAnsi="Arial"/>
                <w:sz w:val="18"/>
                <w:szCs w:val="18"/>
                <w:color w:val="auto"/>
              </w:rPr>
              <w:t>(j)</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740" w:type="dxa"/>
            <w:vAlign w:val="bottom"/>
          </w:tcPr>
          <w:p>
            <w:pPr>
              <w:ind w:left="80"/>
              <w:spacing w:after="0"/>
              <w:rPr>
                <w:sz w:val="20"/>
                <w:szCs w:val="20"/>
                <w:color w:val="auto"/>
              </w:rPr>
            </w:pPr>
            <w:r>
              <w:rPr>
                <w:rFonts w:ascii="Arial" w:cs="Arial" w:eastAsia="Arial" w:hAnsi="Arial"/>
                <w:sz w:val="18"/>
                <w:szCs w:val="18"/>
                <w:color w:val="auto"/>
              </w:rPr>
              <w:t>]  Group, in accordance with §240.13d-1(b)(1)(ii)(J).</w:t>
            </w:r>
          </w:p>
        </w:tc>
      </w:tr>
    </w:tbl>
    <w:p>
      <w:pPr>
        <w:spacing w:after="0" w:line="33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69" w:lineRule="exact"/>
        <w:rPr>
          <w:sz w:val="20"/>
          <w:szCs w:val="20"/>
          <w:color w:val="auto"/>
        </w:rPr>
      </w:pPr>
    </w:p>
    <w:p>
      <w:pPr>
        <w:ind w:left="880" w:right="7880" w:hanging="439"/>
        <w:spacing w:after="0" w:line="407"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2,724,243</w:t>
      </w:r>
    </w:p>
    <w:p>
      <w:pPr>
        <w:ind w:left="880" w:hanging="439"/>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ectPr>
          <w:pgSz w:w="11900" w:h="16866" w:orient="portrait"/>
          <w:cols w:equalWidth="0" w:num="1">
            <w:col w:w="10760"/>
          </w:cols>
          <w:pgMar w:left="280" w:top="482" w:right="859" w:bottom="0" w:gutter="0" w:footer="0" w:header="0"/>
        </w:sectPr>
      </w:pPr>
    </w:p>
    <w:bookmarkStart w:id="2" w:name="page3"/>
    <w:bookmarkEnd w:id="2"/>
    <w:p>
      <w:pPr>
        <w:ind w:left="880"/>
        <w:spacing w:after="0"/>
        <w:rPr>
          <w:sz w:val="20"/>
          <w:szCs w:val="20"/>
          <w:color w:val="auto"/>
        </w:rPr>
      </w:pPr>
      <w:r>
        <w:rPr>
          <w:rFonts w:ascii="Arial" w:cs="Arial" w:eastAsia="Arial" w:hAnsi="Arial"/>
          <w:sz w:val="18"/>
          <w:szCs w:val="18"/>
          <w:color w:val="auto"/>
        </w:rPr>
        <w:t>4.65%</w:t>
      </w:r>
    </w:p>
    <w:p>
      <w:pPr>
        <w:spacing w:after="0" w:line="63" w:lineRule="exact"/>
        <w:rPr>
          <w:sz w:val="20"/>
          <w:szCs w:val="20"/>
          <w:color w:val="auto"/>
        </w:rPr>
      </w:pPr>
    </w:p>
    <w:p>
      <w:pPr>
        <w:ind w:left="880" w:hanging="439"/>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63" w:lineRule="exact"/>
        <w:rPr>
          <w:rFonts w:ascii="Arial" w:cs="Arial" w:eastAsia="Arial" w:hAnsi="Arial"/>
          <w:sz w:val="18"/>
          <w:szCs w:val="18"/>
          <w:color w:val="auto"/>
        </w:rPr>
      </w:pPr>
    </w:p>
    <w:p>
      <w:pPr>
        <w:ind w:left="1300" w:right="6740" w:hanging="427"/>
        <w:spacing w:after="0" w:line="40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2,724,243</w:t>
      </w:r>
    </w:p>
    <w:p>
      <w:pPr>
        <w:ind w:left="1300" w:right="6560" w:hanging="427"/>
        <w:spacing w:after="0" w:line="40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ind w:left="1300" w:right="5860" w:hanging="427"/>
        <w:spacing w:after="0" w:line="40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2,724,243</w:t>
      </w:r>
    </w:p>
    <w:p>
      <w:pPr>
        <w:ind w:left="1300" w:right="5680" w:hanging="427"/>
        <w:spacing w:after="0" w:line="519"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9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69" w:lineRule="exact"/>
        <w:rPr>
          <w:sz w:val="20"/>
          <w:szCs w:val="20"/>
          <w:color w:val="auto"/>
        </w:rPr>
      </w:pPr>
    </w:p>
    <w:p>
      <w:pPr>
        <w:ind w:left="880" w:right="2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X ].</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80" w:hanging="877"/>
        <w:spacing w:after="0" w:line="275" w:lineRule="auto"/>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37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85" w:lineRule="exact"/>
        <w:rPr>
          <w:sz w:val="20"/>
          <w:szCs w:val="20"/>
          <w:color w:val="auto"/>
        </w:rPr>
      </w:pPr>
    </w:p>
    <w:p>
      <w:pPr>
        <w:ind w:firstLine="392"/>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Date:  January 24, 2008</w:t>
      </w:r>
    </w:p>
    <w:p>
      <w:pPr>
        <w:spacing w:after="0" w:line="3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Stichting Pensioenfonds ABP</w:t>
      </w:r>
    </w:p>
    <w:p>
      <w:pPr>
        <w:spacing w:after="0" w:line="200" w:lineRule="exact"/>
        <w:rPr>
          <w:sz w:val="20"/>
          <w:szCs w:val="20"/>
          <w:color w:val="auto"/>
        </w:rPr>
      </w:pPr>
    </w:p>
    <w:p>
      <w:pPr>
        <w:spacing w:after="0" w:line="322" w:lineRule="exact"/>
        <w:rPr>
          <w:sz w:val="20"/>
          <w:szCs w:val="20"/>
          <w:color w:val="auto"/>
        </w:rPr>
      </w:pPr>
    </w:p>
    <w:p>
      <w:pPr>
        <w:ind w:left="5440"/>
        <w:spacing w:after="0"/>
        <w:tabs>
          <w:tab w:leader="none" w:pos="5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Kim Killion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58420</wp:posOffset>
            </wp:positionV>
            <wp:extent cx="3048635"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48635" cy="34290"/>
                    </a:xfrm>
                    <a:prstGeom prst="rect">
                      <a:avLst/>
                    </a:prstGeom>
                    <a:noFill/>
                  </pic:spPr>
                </pic:pic>
              </a:graphicData>
            </a:graphic>
          </wp:anchor>
        </w:drawing>
      </w:r>
    </w:p>
    <w:p>
      <w:pPr>
        <w:spacing w:after="0" w:line="178"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Kim Killion</w:t>
      </w:r>
    </w:p>
    <w:p>
      <w:pPr>
        <w:spacing w:after="0" w:line="36"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Acting Chief Compliance Officer</w:t>
      </w:r>
    </w:p>
    <w:p>
      <w:pPr>
        <w:sectPr>
          <w:pgSz w:w="11900" w:h="16838" w:orient="portrait"/>
          <w:cols w:equalWidth="0" w:num="1">
            <w:col w:w="10780"/>
          </w:cols>
          <w:pgMar w:left="280" w:top="347"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175260</wp:posOffset>
            </wp:positionV>
            <wp:extent cx="684784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47840" cy="29845"/>
                    </a:xfrm>
                    <a:prstGeom prst="rect">
                      <a:avLst/>
                    </a:prstGeom>
                    <a:noFill/>
                  </pic:spPr>
                </pic:pic>
              </a:graphicData>
            </a:graphic>
          </wp:anchor>
        </w:drawing>
      </w:r>
    </w:p>
    <w:sectPr>
      <w:pgSz w:w="11900" w:h="16838" w:orient="portrait"/>
      <w:cols w:equalWidth="0" w:num="1">
        <w:col w:w="10780"/>
      </w:cols>
      <w:pgMar w:left="280" w:top="347" w:right="8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1"/>
    </w:lvl>
    <w:lvl w:ilvl="1">
      <w:lvlJc w:val="left"/>
      <w:lvlText w:val="%2."/>
      <w:numFmt w:val="decimal"/>
      <w:start w:val="8"/>
    </w:lvl>
  </w:abstractNum>
  <w:abstractNum w:abstractNumId="4">
    <w:nsid w:val="2EB141F2"/>
    <w:multiLevelType w:val="hybridMultilevel"/>
    <w:lvl w:ilvl="0">
      <w:lvlJc w:val="left"/>
      <w:lvlText w:val="%1."/>
      <w:numFmt w:val="decimal"/>
      <w:start w:val="9"/>
    </w:lvl>
    <w:lvl w:ilvl="1">
      <w:lvlJc w:val="left"/>
      <w:lvlText w:val="%2"/>
      <w:numFmt w:val="decimal"/>
      <w:start w:val="1"/>
    </w:lvl>
  </w:abstractNum>
  <w:abstractNum w:abstractNumId="5">
    <w:nsid w:val="41B71EFB"/>
    <w:multiLevelType w:val="hybridMultilevel"/>
    <w:lvl w:ilvl="0">
      <w:lvlJc w:val="left"/>
      <w:lvlText w:val="%1."/>
      <w:numFmt w:val="decimal"/>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2019-12-11T12:02:22Z</dcterms:created>
  <dcterms:modified xsi:type="dcterms:W3CDTF">2019-12-11T12:02:22Z</dcterms:modified>
</cp:coreProperties>
</file>