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January 13, 2004</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Federal Realty Investment Trust</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52" w:lineRule="exact"/>
        <w:rPr>
          <w:sz w:val="20"/>
          <w:szCs w:val="20"/>
          <w:color w:val="auto"/>
        </w:rPr>
      </w:pPr>
    </w:p>
    <w:tbl>
      <w:tblPr>
        <w:tblLayout w:type="fixed"/>
        <w:tblInd w:w="800" w:type="dxa"/>
        <w:tblCellMar>
          <w:top w:w="0" w:type="dxa"/>
          <w:left w:w="0" w:type="dxa"/>
          <w:bottom w:w="0" w:type="dxa"/>
          <w:right w:w="0" w:type="dxa"/>
        </w:tblCellMar>
      </w:tblPr>
      <w:tr>
        <w:trPr>
          <w:trHeight w:val="222"/>
        </w:trPr>
        <w:tc>
          <w:tcPr>
            <w:tcW w:w="3540" w:type="dxa"/>
            <w:vAlign w:val="bottom"/>
          </w:tcPr>
          <w:p>
            <w:pPr>
              <w:ind w:left="1420"/>
              <w:spacing w:after="0"/>
              <w:rPr>
                <w:sz w:val="20"/>
                <w:szCs w:val="20"/>
                <w:color w:val="auto"/>
              </w:rPr>
            </w:pPr>
            <w:r>
              <w:rPr>
                <w:rFonts w:ascii="Arial" w:cs="Arial" w:eastAsia="Arial" w:hAnsi="Arial"/>
                <w:sz w:val="18"/>
                <w:szCs w:val="18"/>
                <w:color w:val="auto"/>
              </w:rPr>
              <w:t>Maryland</w:t>
            </w: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1-07533</w:t>
            </w:r>
          </w:p>
        </w:tc>
        <w:tc>
          <w:tcPr>
            <w:tcW w:w="2420" w:type="dxa"/>
            <w:vAlign w:val="bottom"/>
            <w:gridSpan w:val="2"/>
          </w:tcPr>
          <w:p>
            <w:pPr>
              <w:jc w:val="right"/>
              <w:ind w:right="532"/>
              <w:spacing w:after="0"/>
              <w:rPr>
                <w:sz w:val="20"/>
                <w:szCs w:val="20"/>
                <w:color w:val="auto"/>
              </w:rPr>
            </w:pPr>
            <w:r>
              <w:rPr>
                <w:rFonts w:ascii="Arial" w:cs="Arial" w:eastAsia="Arial" w:hAnsi="Arial"/>
                <w:sz w:val="18"/>
                <w:szCs w:val="18"/>
                <w:color w:val="auto"/>
              </w:rPr>
              <w:t>52-0782497</w:t>
            </w:r>
          </w:p>
        </w:tc>
      </w:tr>
      <w:tr>
        <w:trPr>
          <w:trHeight w:val="110"/>
        </w:trPr>
        <w:tc>
          <w:tcPr>
            <w:tcW w:w="35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080" w:type="dxa"/>
            <w:vAlign w:val="bottom"/>
            <w:tcBorders>
              <w:bottom w:val="single" w:sz="8" w:color="808080"/>
            </w:tcBorders>
          </w:tcPr>
          <w:p>
            <w:pPr>
              <w:spacing w:after="0"/>
              <w:rPr>
                <w:sz w:val="9"/>
                <w:szCs w:val="9"/>
                <w:color w:val="auto"/>
              </w:rPr>
            </w:pPr>
          </w:p>
        </w:tc>
      </w:tr>
      <w:tr>
        <w:trPr>
          <w:trHeight w:val="309"/>
        </w:trPr>
        <w:tc>
          <w:tcPr>
            <w:tcW w:w="3540" w:type="dxa"/>
            <w:vAlign w:val="bottom"/>
          </w:tcPr>
          <w:p>
            <w:pPr>
              <w:spacing w:after="0"/>
              <w:rPr>
                <w:sz w:val="20"/>
                <w:szCs w:val="20"/>
                <w:color w:val="auto"/>
              </w:rPr>
            </w:pPr>
            <w:r>
              <w:rPr>
                <w:rFonts w:ascii="Arial" w:cs="Arial" w:eastAsia="Arial" w:hAnsi="Arial"/>
                <w:sz w:val="18"/>
                <w:szCs w:val="18"/>
                <w:color w:val="auto"/>
              </w:rPr>
              <w:t>(State or other jurisdiction</w:t>
            </w:r>
          </w:p>
        </w:tc>
        <w:tc>
          <w:tcPr>
            <w:tcW w:w="1480" w:type="dxa"/>
            <w:vAlign w:val="bottom"/>
            <w:gridSpan w:val="2"/>
          </w:tcPr>
          <w:p>
            <w:pPr>
              <w:ind w:left="340"/>
              <w:spacing w:after="0"/>
              <w:rPr>
                <w:sz w:val="20"/>
                <w:szCs w:val="20"/>
                <w:color w:val="auto"/>
              </w:rPr>
            </w:pPr>
            <w:r>
              <w:rPr>
                <w:rFonts w:ascii="Arial" w:cs="Arial" w:eastAsia="Arial" w:hAnsi="Arial"/>
                <w:sz w:val="18"/>
                <w:szCs w:val="18"/>
                <w:color w:val="auto"/>
              </w:rPr>
              <w:t>(Commission</w:t>
            </w:r>
          </w:p>
        </w:tc>
        <w:tc>
          <w:tcPr>
            <w:tcW w:w="2420" w:type="dxa"/>
            <w:vAlign w:val="bottom"/>
            <w:gridSpan w:val="2"/>
          </w:tcPr>
          <w:p>
            <w:pPr>
              <w:ind w:left="340"/>
              <w:spacing w:after="0"/>
              <w:rPr>
                <w:sz w:val="20"/>
                <w:szCs w:val="20"/>
                <w:color w:val="auto"/>
              </w:rPr>
            </w:pPr>
            <w:r>
              <w:rPr>
                <w:rFonts w:ascii="Arial" w:cs="Arial" w:eastAsia="Arial" w:hAnsi="Arial"/>
                <w:sz w:val="18"/>
                <w:szCs w:val="18"/>
                <w:color w:val="auto"/>
              </w:rPr>
              <w:t>(IRS Employer</w:t>
            </w:r>
          </w:p>
        </w:tc>
      </w:tr>
      <w:tr>
        <w:trPr>
          <w:trHeight w:val="222"/>
        </w:trPr>
        <w:tc>
          <w:tcPr>
            <w:tcW w:w="3540" w:type="dxa"/>
            <w:vAlign w:val="bottom"/>
          </w:tcPr>
          <w:p>
            <w:pPr>
              <w:spacing w:after="0"/>
              <w:rPr>
                <w:sz w:val="20"/>
                <w:szCs w:val="20"/>
                <w:color w:val="auto"/>
              </w:rPr>
            </w:pPr>
            <w:r>
              <w:rPr>
                <w:rFonts w:ascii="Arial" w:cs="Arial" w:eastAsia="Arial" w:hAnsi="Arial"/>
                <w:sz w:val="18"/>
                <w:szCs w:val="18"/>
                <w:color w:val="auto"/>
              </w:rPr>
              <w:t>of incorporation)</w:t>
            </w:r>
          </w:p>
        </w:tc>
        <w:tc>
          <w:tcPr>
            <w:tcW w:w="1480" w:type="dxa"/>
            <w:vAlign w:val="bottom"/>
            <w:gridSpan w:val="2"/>
          </w:tcPr>
          <w:p>
            <w:pPr>
              <w:ind w:left="340"/>
              <w:spacing w:after="0"/>
              <w:rPr>
                <w:sz w:val="20"/>
                <w:szCs w:val="20"/>
                <w:color w:val="auto"/>
              </w:rPr>
            </w:pPr>
            <w:r>
              <w:rPr>
                <w:rFonts w:ascii="Arial" w:cs="Arial" w:eastAsia="Arial" w:hAnsi="Arial"/>
                <w:sz w:val="18"/>
                <w:szCs w:val="18"/>
                <w:color w:val="auto"/>
              </w:rPr>
              <w:t>File Number)</w:t>
            </w:r>
          </w:p>
        </w:tc>
        <w:tc>
          <w:tcPr>
            <w:tcW w:w="2420" w:type="dxa"/>
            <w:vAlign w:val="bottom"/>
            <w:gridSpan w:val="2"/>
          </w:tcPr>
          <w:p>
            <w:pPr>
              <w:ind w:left="340"/>
              <w:spacing w:after="0"/>
              <w:rPr>
                <w:sz w:val="20"/>
                <w:szCs w:val="20"/>
                <w:color w:val="auto"/>
              </w:rPr>
            </w:pPr>
            <w:r>
              <w:rPr>
                <w:rFonts w:ascii="Arial" w:cs="Arial" w:eastAsia="Arial" w:hAnsi="Arial"/>
                <w:sz w:val="18"/>
                <w:szCs w:val="18"/>
                <w:color w:val="auto"/>
              </w:rPr>
              <w:t>Identification No.)</w:t>
            </w:r>
          </w:p>
        </w:tc>
      </w:tr>
      <w:tr>
        <w:trPr>
          <w:trHeight w:val="459"/>
        </w:trPr>
        <w:tc>
          <w:tcPr>
            <w:tcW w:w="3540" w:type="dxa"/>
            <w:vAlign w:val="bottom"/>
          </w:tcPr>
          <w:p>
            <w:pPr>
              <w:spacing w:after="0"/>
              <w:rPr>
                <w:sz w:val="20"/>
                <w:szCs w:val="20"/>
                <w:color w:val="auto"/>
              </w:rPr>
            </w:pPr>
            <w:r>
              <w:rPr>
                <w:rFonts w:ascii="Arial" w:cs="Arial" w:eastAsia="Arial" w:hAnsi="Arial"/>
                <w:sz w:val="18"/>
                <w:szCs w:val="18"/>
                <w:color w:val="auto"/>
                <w:w w:val="92"/>
              </w:rPr>
              <w:t>1626 East Jefferson Street, Rockville, Maryland</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20" w:type="dxa"/>
            <w:vAlign w:val="bottom"/>
            <w:gridSpan w:val="2"/>
          </w:tcPr>
          <w:p>
            <w:pPr>
              <w:ind w:left="1380"/>
              <w:spacing w:after="0"/>
              <w:rPr>
                <w:sz w:val="20"/>
                <w:szCs w:val="20"/>
                <w:color w:val="auto"/>
              </w:rPr>
            </w:pPr>
            <w:r>
              <w:rPr>
                <w:rFonts w:ascii="Arial" w:cs="Arial" w:eastAsia="Arial" w:hAnsi="Arial"/>
                <w:sz w:val="18"/>
                <w:szCs w:val="18"/>
                <w:color w:val="auto"/>
              </w:rPr>
              <w:t>20852-4041</w:t>
            </w:r>
          </w:p>
        </w:tc>
      </w:tr>
      <w:tr>
        <w:trPr>
          <w:trHeight w:val="110"/>
        </w:trPr>
        <w:tc>
          <w:tcPr>
            <w:tcW w:w="35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080" w:type="dxa"/>
            <w:vAlign w:val="bottom"/>
            <w:tcBorders>
              <w:bottom w:val="single" w:sz="8" w:color="808080"/>
            </w:tcBorders>
          </w:tcPr>
          <w:p>
            <w:pPr>
              <w:spacing w:after="0"/>
              <w:rPr>
                <w:sz w:val="9"/>
                <w:szCs w:val="9"/>
                <w:color w:val="auto"/>
              </w:rPr>
            </w:pPr>
          </w:p>
        </w:tc>
      </w:tr>
      <w:tr>
        <w:trPr>
          <w:trHeight w:val="316"/>
        </w:trPr>
        <w:tc>
          <w:tcPr>
            <w:tcW w:w="3540" w:type="dxa"/>
            <w:vAlign w:val="bottom"/>
          </w:tcPr>
          <w:p>
            <w:pPr>
              <w:spacing w:after="0"/>
              <w:rPr>
                <w:sz w:val="20"/>
                <w:szCs w:val="20"/>
                <w:color w:val="auto"/>
              </w:rPr>
            </w:pPr>
            <w:r>
              <w:rPr>
                <w:rFonts w:ascii="Arial" w:cs="Arial" w:eastAsia="Arial" w:hAnsi="Arial"/>
                <w:sz w:val="18"/>
                <w:szCs w:val="18"/>
                <w:color w:val="auto"/>
              </w:rPr>
              <w:t>(Address of principal executive offices)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80" w:type="dxa"/>
            <w:vAlign w:val="bottom"/>
          </w:tcPr>
          <w:p>
            <w:pPr>
              <w:ind w:left="1040"/>
              <w:spacing w:after="0"/>
              <w:rPr>
                <w:sz w:val="20"/>
                <w:szCs w:val="20"/>
                <w:color w:val="auto"/>
              </w:rPr>
            </w:pPr>
            <w:r>
              <w:rPr>
                <w:rFonts w:ascii="Arial" w:cs="Arial" w:eastAsia="Arial" w:hAnsi="Arial"/>
                <w:sz w:val="18"/>
                <w:szCs w:val="18"/>
                <w:color w:val="auto"/>
              </w:rPr>
              <w:t>(Zip Code)</w:t>
            </w:r>
          </w:p>
        </w:tc>
      </w:tr>
    </w:tbl>
    <w:p>
      <w:pPr>
        <w:spacing w:after="0" w:line="210"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301/998-8100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420370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638"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7. Financial Statements and Exhibits.</w:t>
      </w:r>
    </w:p>
    <w:p>
      <w:pPr>
        <w:spacing w:after="0" w:line="2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 Exhibits</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January 13, 2004, of Federal Realty Investment Trust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Results of Operations and Financial Condition.</w:t>
      </w:r>
    </w:p>
    <w:p>
      <w:pPr>
        <w:spacing w:after="0" w:line="231" w:lineRule="exact"/>
        <w:rPr>
          <w:sz w:val="20"/>
          <w:szCs w:val="20"/>
          <w:color w:val="auto"/>
        </w:rPr>
      </w:pPr>
    </w:p>
    <w:p>
      <w:pPr>
        <w:ind w:firstLine="216"/>
        <w:spacing w:after="0" w:line="294" w:lineRule="auto"/>
        <w:rPr>
          <w:sz w:val="20"/>
          <w:szCs w:val="20"/>
          <w:color w:val="auto"/>
        </w:rPr>
      </w:pPr>
      <w:r>
        <w:rPr>
          <w:rFonts w:ascii="Arial" w:cs="Arial" w:eastAsia="Arial" w:hAnsi="Arial"/>
          <w:sz w:val="16"/>
          <w:szCs w:val="16"/>
          <w:color w:val="auto"/>
        </w:rPr>
        <w:t>The following information is being furnished under Item 12. Results of Operations and Financial Condition. This information, including the exhibits attached hereto, shall not be deemed “filed” for any purpose, including for the purposes of Section 18 of the Securities Exchange Act of 1934, as amended (the “Exchange Act”), or otherwise subject to the liabilities of that Section. The information in this Current Report on Form 8-K shall not be deemed incorporated by reference into any filing under the Securities Act of 1933, as amended, or under the Exchange Act, regardless of any general incorporation language in such filing, except to the extent, if any, expressly set forth by specific reference in such filing.</w:t>
      </w:r>
    </w:p>
    <w:p>
      <w:pPr>
        <w:spacing w:after="0" w:line="170" w:lineRule="exact"/>
        <w:rPr>
          <w:sz w:val="20"/>
          <w:szCs w:val="20"/>
          <w:color w:val="auto"/>
        </w:rPr>
      </w:pPr>
    </w:p>
    <w:p>
      <w:pPr>
        <w:ind w:right="420" w:firstLine="220"/>
        <w:spacing w:after="0" w:line="268" w:lineRule="auto"/>
        <w:rPr>
          <w:sz w:val="20"/>
          <w:szCs w:val="20"/>
          <w:color w:val="auto"/>
        </w:rPr>
      </w:pPr>
      <w:r>
        <w:rPr>
          <w:rFonts w:ascii="Arial" w:cs="Arial" w:eastAsia="Arial" w:hAnsi="Arial"/>
          <w:sz w:val="18"/>
          <w:szCs w:val="18"/>
          <w:color w:val="auto"/>
        </w:rPr>
        <w:t>On January 13, 2004, Federal Realty Investment Trust issued supplemental data in the form of a press release to update its earning guidance for 2003 and 2004. This press release is furnished as Exhibit 99.1 hereto.</w:t>
      </w:r>
    </w:p>
    <w:p>
      <w:pPr>
        <w:spacing w:after="0" w:line="200" w:lineRule="exact"/>
        <w:rPr>
          <w:sz w:val="20"/>
          <w:szCs w:val="20"/>
          <w:color w:val="auto"/>
        </w:rPr>
      </w:pPr>
    </w:p>
    <w:p>
      <w:pPr>
        <w:spacing w:after="0" w:line="223"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60" w:firstLine="2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3"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spacing w:after="0"/>
        <w:tabs>
          <w:tab w:leader="none" w:pos="4680" w:val="left"/>
        </w:tabs>
        <w:rPr>
          <w:sz w:val="20"/>
          <w:szCs w:val="20"/>
          <w:color w:val="auto"/>
        </w:rPr>
      </w:pPr>
      <w:r>
        <w:rPr>
          <w:rFonts w:ascii="Arial" w:cs="Arial" w:eastAsia="Arial" w:hAnsi="Arial"/>
          <w:sz w:val="18"/>
          <w:szCs w:val="18"/>
          <w:color w:val="auto"/>
        </w:rPr>
        <w:t>Date: January 13, 2004</w:t>
      </w:r>
      <w:r>
        <w:rPr>
          <w:sz w:val="20"/>
          <w:szCs w:val="20"/>
          <w:color w:val="auto"/>
        </w:rPr>
        <w:tab/>
      </w:r>
      <w:r>
        <w:rPr>
          <w:rFonts w:ascii="Arial" w:cs="Arial" w:eastAsia="Arial" w:hAnsi="Arial"/>
          <w:sz w:val="16"/>
          <w:szCs w:val="16"/>
          <w:u w:val="single" w:color="auto"/>
          <w:color w:val="auto"/>
        </w:rPr>
        <w:t>/s/ Larry E. Finger</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Larry E. Finger</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Chief Financial Officer and Treasurer</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2"/>
        </w:trPr>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40" w:type="dxa"/>
            <w:vAlign w:val="bottom"/>
          </w:tcPr>
          <w:p>
            <w:pPr>
              <w:jc w:val="center"/>
              <w:ind w:right="12"/>
              <w:spacing w:after="0"/>
              <w:rPr>
                <w:sz w:val="20"/>
                <w:szCs w:val="20"/>
                <w:color w:val="auto"/>
              </w:rPr>
            </w:pPr>
            <w:r>
              <w:rPr>
                <w:rFonts w:ascii="Arial" w:cs="Arial" w:eastAsia="Arial" w:hAnsi="Arial"/>
                <w:sz w:val="18"/>
                <w:szCs w:val="18"/>
                <w:color w:val="auto"/>
                <w:w w:val="99"/>
              </w:rPr>
              <w:t>EXHIBIT INDEX</w:t>
            </w:r>
          </w:p>
        </w:tc>
        <w:tc>
          <w:tcPr>
            <w:tcW w:w="640" w:type="dxa"/>
            <w:vAlign w:val="bottom"/>
          </w:tcPr>
          <w:p>
            <w:pPr>
              <w:spacing w:after="0"/>
              <w:rPr>
                <w:sz w:val="19"/>
                <w:szCs w:val="19"/>
                <w:color w:val="auto"/>
              </w:rPr>
            </w:pPr>
          </w:p>
        </w:tc>
      </w:tr>
      <w:tr>
        <w:trPr>
          <w:trHeight w:val="637"/>
        </w:trPr>
        <w:tc>
          <w:tcPr>
            <w:tcW w:w="920" w:type="dxa"/>
            <w:vAlign w:val="bottom"/>
            <w:gridSpan w:val="2"/>
          </w:tcPr>
          <w:p>
            <w:pPr>
              <w:spacing w:after="0"/>
              <w:rPr>
                <w:sz w:val="20"/>
                <w:szCs w:val="20"/>
                <w:color w:val="auto"/>
              </w:rPr>
            </w:pPr>
            <w:r>
              <w:rPr>
                <w:rFonts w:ascii="Arial" w:cs="Arial" w:eastAsia="Arial" w:hAnsi="Arial"/>
                <w:sz w:val="18"/>
                <w:szCs w:val="18"/>
                <w:color w:val="auto"/>
              </w:rPr>
              <w:t>Exh No.</w:t>
            </w:r>
          </w:p>
        </w:tc>
        <w:tc>
          <w:tcPr>
            <w:tcW w:w="916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640" w:type="dxa"/>
            <w:vAlign w:val="bottom"/>
          </w:tcPr>
          <w:p>
            <w:pPr>
              <w:jc w:val="center"/>
              <w:spacing w:after="0"/>
              <w:rPr>
                <w:sz w:val="20"/>
                <w:szCs w:val="20"/>
                <w:color w:val="auto"/>
              </w:rPr>
            </w:pPr>
            <w:r>
              <w:rPr>
                <w:rFonts w:ascii="Arial" w:cs="Arial" w:eastAsia="Arial" w:hAnsi="Arial"/>
                <w:sz w:val="18"/>
                <w:szCs w:val="18"/>
                <w:color w:val="auto"/>
                <w:w w:val="85"/>
              </w:rPr>
              <w:t>Page No.</w:t>
            </w:r>
          </w:p>
        </w:tc>
      </w:tr>
      <w:tr>
        <w:trPr>
          <w:trHeight w:val="235"/>
        </w:trPr>
        <w:tc>
          <w:tcPr>
            <w:tcW w:w="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320" w:type="dxa"/>
            <w:vAlign w:val="bottom"/>
          </w:tcPr>
          <w:p>
            <w:pPr>
              <w:spacing w:after="0"/>
              <w:rPr>
                <w:sz w:val="20"/>
                <w:szCs w:val="20"/>
                <w:color w:val="auto"/>
              </w:rPr>
            </w:pPr>
          </w:p>
        </w:tc>
        <w:tc>
          <w:tcPr>
            <w:tcW w:w="91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Press release, dated January 13, 2004, of Federal Realty Investment Trust</w:t>
            </w:r>
          </w:p>
        </w:tc>
        <w:tc>
          <w:tcPr>
            <w:tcW w:w="640" w:type="dxa"/>
            <w:vAlign w:val="bottom"/>
            <w:tcBorders>
              <w:top w:val="single" w:sz="8" w:color="auto"/>
            </w:tcBorders>
          </w:tcPr>
          <w:p>
            <w:pPr>
              <w:jc w:val="right"/>
              <w:ind w:right="192"/>
              <w:spacing w:after="0"/>
              <w:rPr>
                <w:sz w:val="20"/>
                <w:szCs w:val="20"/>
                <w:color w:val="auto"/>
              </w:rPr>
            </w:pPr>
            <w:r>
              <w:rPr>
                <w:rFonts w:ascii="Arial" w:cs="Arial" w:eastAsia="Arial" w:hAnsi="Arial"/>
                <w:sz w:val="18"/>
                <w:szCs w:val="18"/>
                <w:color w:val="auto"/>
              </w:rPr>
              <w:t>3</w:t>
            </w:r>
          </w:p>
        </w:tc>
      </w:tr>
      <w:tr>
        <w:trPr>
          <w:trHeight w:val="432"/>
        </w:trPr>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160" w:type="dxa"/>
            <w:vAlign w:val="bottom"/>
            <w:gridSpan w:val="2"/>
          </w:tcPr>
          <w:p>
            <w:pPr>
              <w:jc w:val="right"/>
              <w:ind w:right="4172"/>
              <w:spacing w:after="0"/>
              <w:rPr>
                <w:sz w:val="20"/>
                <w:szCs w:val="20"/>
                <w:color w:val="auto"/>
              </w:rPr>
            </w:pPr>
            <w:r>
              <w:rPr>
                <w:rFonts w:ascii="Arial" w:cs="Arial" w:eastAsia="Arial" w:hAnsi="Arial"/>
                <w:sz w:val="18"/>
                <w:szCs w:val="18"/>
                <w:color w:val="auto"/>
              </w:rPr>
              <w:t>-3-</w:t>
            </w:r>
          </w:p>
        </w:tc>
        <w:tc>
          <w:tcPr>
            <w:tcW w:w="640" w:type="dxa"/>
            <w:vAlign w:val="bottom"/>
          </w:tcPr>
          <w:p>
            <w:pPr>
              <w:spacing w:after="0"/>
              <w:rPr>
                <w:sz w:val="24"/>
                <w:szCs w:val="24"/>
                <w:color w:val="auto"/>
              </w:rPr>
            </w:pPr>
          </w:p>
        </w:tc>
      </w:tr>
    </w:tbl>
    <w:p>
      <w:pPr>
        <w:sectPr>
          <w:pgSz w:w="11900" w:h="16838" w:orient="portrait"/>
          <w:cols w:equalWidth="0" w:num="1">
            <w:col w:w="10720"/>
          </w:cols>
          <w:pgMar w:left="240" w:top="941" w:right="939" w:bottom="1440" w:gutter="0" w:footer="0" w:header="0"/>
        </w:sectPr>
      </w:pPr>
    </w:p>
    <w:bookmarkStart w:id="4" w:name="page5"/>
    <w:bookmarkEnd w:id="4"/>
    <w:p>
      <w:pPr>
        <w:ind w:left="10560"/>
        <w:spacing w:after="0"/>
        <w:rPr>
          <w:sz w:val="20"/>
          <w:szCs w:val="20"/>
          <w:color w:val="auto"/>
        </w:rPr>
      </w:pPr>
      <w:r>
        <w:rPr>
          <w:rFonts w:ascii="Arial" w:cs="Arial" w:eastAsia="Arial" w:hAnsi="Arial"/>
          <w:sz w:val="16"/>
          <w:szCs w:val="16"/>
          <w:color w:val="auto"/>
        </w:rPr>
        <w:t>Exhibit 99.1</w:t>
      </w:r>
    </w:p>
    <w:p>
      <w:pPr>
        <w:sectPr>
          <w:pgSz w:w="11900" w:h="16838" w:orient="portrait"/>
          <w:cols w:equalWidth="0" w:num="1">
            <w:col w:w="11420"/>
          </w:cols>
          <w:pgMar w:left="240" w:top="941" w:right="239" w:bottom="1440" w:gutter="0" w:footer="0" w:header="0"/>
        </w:sectPr>
      </w:pPr>
    </w:p>
    <w:p>
      <w:pPr>
        <w:spacing w:after="0" w:line="200" w:lineRule="exact"/>
        <w:rPr>
          <w:sz w:val="20"/>
          <w:szCs w:val="20"/>
          <w:color w:val="auto"/>
        </w:rPr>
      </w:pPr>
    </w:p>
    <w:p>
      <w:pPr>
        <w:spacing w:after="0" w:line="258" w:lineRule="exact"/>
        <w:rPr>
          <w:sz w:val="20"/>
          <w:szCs w:val="20"/>
          <w:color w:val="auto"/>
        </w:rPr>
      </w:pPr>
    </w:p>
    <w:p>
      <w:pPr>
        <w:ind w:right="100"/>
        <w:spacing w:after="0" w:line="295" w:lineRule="auto"/>
        <w:rPr>
          <w:sz w:val="20"/>
          <w:szCs w:val="20"/>
          <w:color w:val="auto"/>
        </w:rPr>
      </w:pPr>
      <w:r>
        <w:rPr>
          <w:rFonts w:ascii="Arial" w:cs="Arial" w:eastAsia="Arial" w:hAnsi="Arial"/>
          <w:sz w:val="61"/>
          <w:szCs w:val="61"/>
          <w:color w:val="auto"/>
        </w:rPr>
        <w:t>NEWS RELEASE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Federal Realty Investment Trust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Rockville, MD 20852</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www.federalrealty.com</w:t>
      </w:r>
    </w:p>
    <w:p>
      <w:pPr>
        <w:spacing w:after="0" w:line="259" w:lineRule="exact"/>
        <w:rPr>
          <w:sz w:val="20"/>
          <w:szCs w:val="20"/>
          <w:color w:val="auto"/>
        </w:rPr>
      </w:pPr>
    </w:p>
    <w:p>
      <w:pPr>
        <w:sectPr>
          <w:pgSz w:w="11900" w:h="16838" w:orient="portrait"/>
          <w:cols w:equalWidth="0" w:num="2">
            <w:col w:w="2960" w:space="720"/>
            <w:col w:w="7740"/>
          </w:cols>
          <w:pgMar w:left="240" w:top="941" w:right="239" w:bottom="1440" w:gutter="0" w:footer="0" w:header="0"/>
          <w:type w:val="continuous"/>
        </w:sectPr>
      </w:pPr>
    </w:p>
    <w:tbl>
      <w:tblPr>
        <w:tblLayout w:type="fixed"/>
        <w:tblInd w:w="0" w:type="dxa"/>
        <w:tblCellMar>
          <w:top w:w="0" w:type="dxa"/>
          <w:left w:w="0" w:type="dxa"/>
          <w:bottom w:w="0" w:type="dxa"/>
          <w:right w:w="0" w:type="dxa"/>
        </w:tblCellMar>
      </w:tblPr>
      <w:tr>
        <w:trPr>
          <w:trHeight w:val="228"/>
        </w:trPr>
        <w:tc>
          <w:tcPr>
            <w:tcW w:w="6740" w:type="dxa"/>
            <w:vAlign w:val="bottom"/>
            <w:gridSpan w:val="4"/>
          </w:tcPr>
          <w:p>
            <w:pPr>
              <w:spacing w:after="0"/>
              <w:rPr>
                <w:sz w:val="20"/>
                <w:szCs w:val="20"/>
                <w:color w:val="auto"/>
              </w:rPr>
            </w:pPr>
            <w:r>
              <w:rPr>
                <w:rFonts w:ascii="Arial" w:cs="Arial" w:eastAsia="Arial" w:hAnsi="Arial"/>
                <w:sz w:val="18"/>
                <w:szCs w:val="18"/>
                <w:b w:val="1"/>
                <w:bCs w:val="1"/>
                <w:color w:val="auto"/>
              </w:rPr>
              <w:t>FOR IMMEDIATE RELEASE</w:t>
            </w:r>
          </w:p>
        </w:tc>
        <w:tc>
          <w:tcPr>
            <w:tcW w:w="1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18"/>
        </w:trPr>
        <w:tc>
          <w:tcPr>
            <w:tcW w:w="40" w:type="dxa"/>
            <w:vAlign w:val="bottom"/>
          </w:tcPr>
          <w:p>
            <w:pPr>
              <w:spacing w:after="0"/>
              <w:rPr>
                <w:sz w:val="18"/>
                <w:szCs w:val="18"/>
                <w:color w:val="auto"/>
              </w:rPr>
            </w:pPr>
          </w:p>
        </w:tc>
        <w:tc>
          <w:tcPr>
            <w:tcW w:w="6700" w:type="dxa"/>
            <w:vAlign w:val="bottom"/>
            <w:gridSpan w:val="3"/>
          </w:tcPr>
          <w:p>
            <w:pPr>
              <w:spacing w:after="0"/>
              <w:rPr>
                <w:sz w:val="20"/>
                <w:szCs w:val="20"/>
                <w:color w:val="auto"/>
              </w:rPr>
            </w:pPr>
            <w:r>
              <w:rPr>
                <w:rFonts w:ascii="Arial" w:cs="Arial" w:eastAsia="Arial" w:hAnsi="Arial"/>
                <w:sz w:val="18"/>
                <w:szCs w:val="18"/>
                <w:i w:val="1"/>
                <w:iCs w:val="1"/>
                <w:color w:val="auto"/>
              </w:rPr>
              <w:t>Investor Inquiries</w:t>
            </w:r>
          </w:p>
        </w:tc>
        <w:tc>
          <w:tcPr>
            <w:tcW w:w="2660" w:type="dxa"/>
            <w:vAlign w:val="bottom"/>
            <w:gridSpan w:val="3"/>
          </w:tcPr>
          <w:p>
            <w:pPr>
              <w:spacing w:after="0"/>
              <w:rPr>
                <w:sz w:val="20"/>
                <w:szCs w:val="20"/>
                <w:color w:val="auto"/>
              </w:rPr>
            </w:pPr>
            <w:r>
              <w:rPr>
                <w:rFonts w:ascii="Arial" w:cs="Arial" w:eastAsia="Arial" w:hAnsi="Arial"/>
                <w:sz w:val="18"/>
                <w:szCs w:val="18"/>
                <w:i w:val="1"/>
                <w:iCs w:val="1"/>
                <w:color w:val="auto"/>
              </w:rPr>
              <w:t>Media Inquiries</w:t>
            </w:r>
          </w:p>
        </w:tc>
      </w:tr>
      <w:tr>
        <w:trPr>
          <w:trHeight w:val="289"/>
        </w:trPr>
        <w:tc>
          <w:tcPr>
            <w:tcW w:w="40" w:type="dxa"/>
            <w:vAlign w:val="bottom"/>
          </w:tcPr>
          <w:p>
            <w:pPr>
              <w:spacing w:after="0"/>
              <w:rPr>
                <w:sz w:val="24"/>
                <w:szCs w:val="24"/>
                <w:color w:val="auto"/>
              </w:rPr>
            </w:pPr>
          </w:p>
        </w:tc>
        <w:tc>
          <w:tcPr>
            <w:tcW w:w="12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7"/>
              </w:rPr>
              <w:t>Andrew Blocher</w:t>
            </w:r>
          </w:p>
        </w:tc>
        <w:tc>
          <w:tcPr>
            <w:tcW w:w="5440" w:type="dxa"/>
            <w:vAlign w:val="bottom"/>
            <w:gridSpan w:val="2"/>
          </w:tcPr>
          <w:p>
            <w:pPr>
              <w:spacing w:after="0"/>
              <w:rPr>
                <w:sz w:val="24"/>
                <w:szCs w:val="24"/>
                <w:color w:val="auto"/>
              </w:rPr>
            </w:pPr>
          </w:p>
        </w:tc>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0"/>
              </w:rPr>
              <w:t>Kristine Warner</w:t>
            </w:r>
          </w:p>
        </w:tc>
        <w:tc>
          <w:tcPr>
            <w:tcW w:w="1520" w:type="dxa"/>
            <w:vAlign w:val="bottom"/>
            <w:gridSpan w:val="2"/>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6700" w:type="dxa"/>
            <w:vAlign w:val="bottom"/>
            <w:gridSpan w:val="3"/>
          </w:tcPr>
          <w:p>
            <w:pPr>
              <w:spacing w:after="0"/>
              <w:rPr>
                <w:sz w:val="20"/>
                <w:szCs w:val="20"/>
                <w:color w:val="auto"/>
              </w:rPr>
            </w:pPr>
            <w:r>
              <w:rPr>
                <w:rFonts w:ascii="Arial" w:cs="Arial" w:eastAsia="Arial" w:hAnsi="Arial"/>
                <w:sz w:val="18"/>
                <w:szCs w:val="18"/>
                <w:color w:val="auto"/>
              </w:rPr>
              <w:t>Vice President, Capital Markets &amp; Investor Relations</w:t>
            </w:r>
          </w:p>
        </w:tc>
        <w:tc>
          <w:tcPr>
            <w:tcW w:w="2660" w:type="dxa"/>
            <w:vAlign w:val="bottom"/>
            <w:gridSpan w:val="3"/>
          </w:tcPr>
          <w:p>
            <w:pPr>
              <w:ind w:left="60"/>
              <w:spacing w:after="0"/>
              <w:rPr>
                <w:sz w:val="20"/>
                <w:szCs w:val="20"/>
                <w:color w:val="auto"/>
              </w:rPr>
            </w:pPr>
            <w:r>
              <w:rPr>
                <w:rFonts w:ascii="Arial" w:cs="Arial" w:eastAsia="Arial" w:hAnsi="Arial"/>
                <w:sz w:val="18"/>
                <w:szCs w:val="18"/>
                <w:color w:val="auto"/>
                <w:w w:val="88"/>
              </w:rPr>
              <w:t>Director, Corporate Communications</w:t>
            </w:r>
          </w:p>
        </w:tc>
      </w:tr>
      <w:tr>
        <w:trPr>
          <w:trHeight w:val="270"/>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301/998-8166</w:t>
            </w:r>
          </w:p>
        </w:tc>
        <w:tc>
          <w:tcPr>
            <w:tcW w:w="760" w:type="dxa"/>
            <w:vAlign w:val="bottom"/>
          </w:tcPr>
          <w:p>
            <w:pPr>
              <w:spacing w:after="0"/>
              <w:rPr>
                <w:sz w:val="23"/>
                <w:szCs w:val="23"/>
                <w:color w:val="auto"/>
              </w:rPr>
            </w:pPr>
          </w:p>
        </w:tc>
        <w:tc>
          <w:tcPr>
            <w:tcW w:w="468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301/998-8212</w:t>
            </w:r>
          </w:p>
        </w:tc>
        <w:tc>
          <w:tcPr>
            <w:tcW w:w="84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32"/>
        </w:trPr>
        <w:tc>
          <w:tcPr>
            <w:tcW w:w="40" w:type="dxa"/>
            <w:vAlign w:val="bottom"/>
          </w:tcPr>
          <w:p>
            <w:pPr>
              <w:spacing w:after="0"/>
              <w:rPr>
                <w:sz w:val="20"/>
                <w:szCs w:val="20"/>
                <w:color w:val="auto"/>
              </w:rPr>
            </w:pPr>
          </w:p>
        </w:tc>
        <w:tc>
          <w:tcPr>
            <w:tcW w:w="6700" w:type="dxa"/>
            <w:vAlign w:val="bottom"/>
            <w:gridSpan w:val="3"/>
          </w:tcPr>
          <w:p>
            <w:pPr>
              <w:spacing w:after="0"/>
              <w:rPr>
                <w:sz w:val="20"/>
                <w:szCs w:val="20"/>
                <w:color w:val="auto"/>
              </w:rPr>
            </w:pPr>
            <w:r>
              <w:rPr>
                <w:rFonts w:ascii="Arial" w:cs="Arial" w:eastAsia="Arial" w:hAnsi="Arial"/>
                <w:sz w:val="18"/>
                <w:szCs w:val="18"/>
                <w:i w:val="1"/>
                <w:iCs w:val="1"/>
                <w:color w:val="auto"/>
              </w:rPr>
              <w:t>ablocher@federalrealty.com</w:t>
            </w:r>
          </w:p>
        </w:tc>
        <w:tc>
          <w:tcPr>
            <w:tcW w:w="2660" w:type="dxa"/>
            <w:vAlign w:val="bottom"/>
            <w:gridSpan w:val="3"/>
          </w:tcPr>
          <w:p>
            <w:pPr>
              <w:spacing w:after="0"/>
              <w:rPr>
                <w:sz w:val="20"/>
                <w:szCs w:val="20"/>
                <w:color w:val="auto"/>
              </w:rPr>
            </w:pPr>
            <w:r>
              <w:rPr>
                <w:rFonts w:ascii="Arial" w:cs="Arial" w:eastAsia="Arial" w:hAnsi="Arial"/>
                <w:sz w:val="18"/>
                <w:szCs w:val="18"/>
                <w:i w:val="1"/>
                <w:iCs w:val="1"/>
                <w:color w:val="auto"/>
              </w:rPr>
              <w:t>kwarner@federalrealty.com</w:t>
            </w:r>
          </w:p>
        </w:tc>
      </w:tr>
      <w:tr>
        <w:trPr>
          <w:trHeight w:val="20"/>
        </w:trPr>
        <w:tc>
          <w:tcPr>
            <w:tcW w:w="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FEDERAL REALTY INCREASES 2003 AND 2004 EARNINGS EXPECTATIONS</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Santana Row Fire Insurance Claim Settled For $129 Million -</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ROCKVILLE, Md. (January 13, 2004) – Federal Realty Investment Trust (NYSE:FRT) today increased its previously issued Funds From Operations (“FFO”) per diluted share guidance to $2.69 in 2003, and to a range of $2.78 to $2.82 in 2004. The increase in FFO guidance results from the final settlement of the Santana Row fire insurance claim, and is net of the $0.07 per diluted share impact related to the redemption of preferred shares in the second quarter of 2003 pursuant to EITF Issue D-42. The final $27 million insurance payment, stemming from the August 2002 fire at Santana Row, brings total payments received as a result of the Trust’s claims to $129 million.</w:t>
      </w:r>
    </w:p>
    <w:p>
      <w:pPr>
        <w:spacing w:after="0" w:line="19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worked extremely hard to get this very satisfactory outcome to our fire insurance claim and are pleased to bring this chapter of the property’s history to a close” commented Donald C. Wood, Federal Realty’s president and chief executive officer. “Santana Row is progressing from Federal Realty’s greatest risk to our greatest opportunity.”</w:t>
      </w:r>
    </w:p>
    <w:p>
      <w:pPr>
        <w:spacing w:after="0" w:line="194" w:lineRule="exact"/>
        <w:rPr>
          <w:sz w:val="20"/>
          <w:szCs w:val="20"/>
          <w:color w:val="auto"/>
        </w:rPr>
      </w:pPr>
    </w:p>
    <w:p>
      <w:pPr>
        <w:jc w:val="both"/>
        <w:ind w:right="160"/>
        <w:spacing w:after="0" w:line="298" w:lineRule="auto"/>
        <w:rPr>
          <w:sz w:val="20"/>
          <w:szCs w:val="20"/>
          <w:color w:val="auto"/>
        </w:rPr>
      </w:pPr>
      <w:r>
        <w:rPr>
          <w:rFonts w:ascii="Arial" w:cs="Arial" w:eastAsia="Arial" w:hAnsi="Arial"/>
          <w:sz w:val="16"/>
          <w:szCs w:val="16"/>
          <w:color w:val="auto"/>
        </w:rPr>
        <w:t>Federal Realty has accounted for the previous $102 million of fire insurance proceeds received as a reduction to the cost basis of Santana Row. With respect to this final payment of insurance proceeds, Federal Realty will realize lost income and operating expense recovery of approximately $8 million and $3 million, in 2003 and 2004 respectively, with the remainder of the insurance proceeds credited to Santana Row’s cost basis. The Trust’s total cost estimate for the first phase of Santana Row, net of insurance proceeds, remains unchanged at $443 million.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type w:val="continuous"/>
        </w:sectPr>
      </w:pPr>
    </w:p>
    <w:bookmarkStart w:id="5" w:name="page6"/>
    <w:bookmarkEnd w:id="5"/>
    <w:p>
      <w:pPr>
        <w:ind w:right="600"/>
        <w:spacing w:after="0" w:line="332" w:lineRule="auto"/>
        <w:rPr>
          <w:sz w:val="20"/>
          <w:szCs w:val="20"/>
          <w:color w:val="auto"/>
        </w:rPr>
      </w:pPr>
      <w:r>
        <w:rPr>
          <w:rFonts w:ascii="Arial" w:cs="Arial" w:eastAsia="Arial" w:hAnsi="Arial"/>
          <w:sz w:val="16"/>
          <w:szCs w:val="16"/>
          <w:color w:val="auto"/>
        </w:rPr>
        <w:t>The income portion of the insurance reimbursement was specifically excluded from previous net income and funds from operations guidance provided by management. As a result, Federal Realty has increased both its FFO per diluted share and net income per diluted share guidance as detailed below.</w:t>
      </w:r>
    </w:p>
    <w:p>
      <w:pPr>
        <w:spacing w:after="0" w:line="3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Federal Realty Investment Trust</w:t>
      </w:r>
    </w:p>
    <w:p>
      <w:pPr>
        <w:spacing w:after="0" w:line="223" w:lineRule="auto"/>
        <w:rPr>
          <w:sz w:val="20"/>
          <w:szCs w:val="20"/>
          <w:color w:val="auto"/>
        </w:rPr>
      </w:pPr>
      <w:r>
        <w:rPr>
          <w:rFonts w:ascii="Arial" w:cs="Arial" w:eastAsia="Arial" w:hAnsi="Arial"/>
          <w:sz w:val="14"/>
          <w:szCs w:val="14"/>
          <w:b w:val="1"/>
          <w:bCs w:val="1"/>
          <w:color w:val="auto"/>
        </w:rPr>
        <w:t>Reconciliation of EPS to FFO Guidance</w:t>
      </w:r>
    </w:p>
    <w:p>
      <w:pPr>
        <w:spacing w:after="0"/>
        <w:rPr>
          <w:sz w:val="20"/>
          <w:szCs w:val="20"/>
          <w:color w:val="auto"/>
        </w:rPr>
      </w:pPr>
      <w:r>
        <w:rPr>
          <w:rFonts w:ascii="Arial" w:cs="Arial" w:eastAsia="Arial" w:hAnsi="Arial"/>
          <w:sz w:val="14"/>
          <w:szCs w:val="14"/>
          <w:color w:val="auto"/>
        </w:rPr>
        <w:t>(in $ millions, except per share data)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jc w:val="center"/>
              <w:spacing w:after="0"/>
              <w:rPr>
                <w:sz w:val="20"/>
                <w:szCs w:val="20"/>
                <w:color w:val="auto"/>
              </w:rPr>
            </w:pPr>
            <w:r>
              <w:rPr>
                <w:rFonts w:ascii="Arial" w:cs="Arial" w:eastAsia="Arial" w:hAnsi="Arial"/>
                <w:sz w:val="14"/>
                <w:szCs w:val="14"/>
                <w:b w:val="1"/>
                <w:bCs w:val="1"/>
                <w:color w:val="auto"/>
                <w:w w:val="89"/>
              </w:rPr>
              <w:t>2003</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center"/>
              <w:ind w:right="14"/>
              <w:spacing w:after="0"/>
              <w:rPr>
                <w:sz w:val="20"/>
                <w:szCs w:val="20"/>
                <w:color w:val="auto"/>
              </w:rPr>
            </w:pPr>
            <w:r>
              <w:rPr>
                <w:rFonts w:ascii="Arial" w:cs="Arial" w:eastAsia="Arial" w:hAnsi="Arial"/>
                <w:sz w:val="14"/>
                <w:szCs w:val="14"/>
                <w:b w:val="1"/>
                <w:bCs w:val="1"/>
                <w:color w:val="auto"/>
                <w:w w:val="83"/>
              </w:rPr>
              <w:t>2003</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42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Annual Forecast</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6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Annual Forecast</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4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7"/>
              </w:rPr>
              <w:t>Funds from Operations</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8"/>
              </w:rPr>
              <w:t>FFO per share</w:t>
            </w: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EEEEEE"/>
          </w:tcPr>
          <w:p>
            <w:pPr>
              <w:spacing w:after="0"/>
              <w:rPr>
                <w:sz w:val="20"/>
                <w:szCs w:val="20"/>
                <w:color w:val="auto"/>
              </w:rPr>
            </w:pPr>
            <w:r>
              <w:rPr>
                <w:rFonts w:ascii="Arial" w:cs="Arial" w:eastAsia="Arial" w:hAnsi="Arial"/>
                <w:sz w:val="18"/>
                <w:szCs w:val="18"/>
                <w:color w:val="auto"/>
              </w:rPr>
              <w:t>Net Income Available to Common Shareholders</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77</w:t>
            </w:r>
          </w:p>
        </w:tc>
        <w:tc>
          <w:tcPr>
            <w:tcW w:w="5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1.59</w:t>
            </w:r>
          </w:p>
        </w:tc>
        <w:tc>
          <w:tcPr>
            <w:tcW w:w="3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(Gain) on Sale of Real Estate</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 (0.41)</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EEEEEE"/>
          </w:tcPr>
          <w:p>
            <w:pPr>
              <w:spacing w:after="0"/>
              <w:rPr>
                <w:sz w:val="20"/>
                <w:szCs w:val="20"/>
                <w:color w:val="auto"/>
              </w:rPr>
            </w:pPr>
            <w:r>
              <w:rPr>
                <w:rFonts w:ascii="Arial" w:cs="Arial" w:eastAsia="Arial" w:hAnsi="Arial"/>
                <w:sz w:val="18"/>
                <w:szCs w:val="18"/>
                <w:color w:val="auto"/>
              </w:rPr>
              <w:t>Depreciation and Amortization of Real Estate</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72</w:t>
            </w:r>
          </w:p>
        </w:tc>
        <w:tc>
          <w:tcPr>
            <w:tcW w:w="5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1.48</w:t>
            </w:r>
          </w:p>
        </w:tc>
        <w:tc>
          <w:tcPr>
            <w:tcW w:w="3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Income Attributable to Operating Partnership Units</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0.03</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Funds from Operations</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130</w:t>
            </w:r>
          </w:p>
        </w:tc>
        <w:tc>
          <w:tcPr>
            <w:tcW w:w="5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2.69</w:t>
            </w:r>
          </w:p>
        </w:tc>
        <w:tc>
          <w:tcPr>
            <w:tcW w:w="3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320" w:type="dxa"/>
            <w:vAlign w:val="bottom"/>
            <w:gridSpan w:val="2"/>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320" w:type="dxa"/>
            <w:vAlign w:val="bottom"/>
            <w:gridSpan w:val="2"/>
          </w:tcPr>
          <w:p>
            <w:pPr>
              <w:spacing w:after="0"/>
              <w:rPr>
                <w:sz w:val="5"/>
                <w:szCs w:val="5"/>
                <w:color w:val="auto"/>
              </w:rPr>
            </w:pPr>
          </w:p>
        </w:tc>
        <w:tc>
          <w:tcPr>
            <w:tcW w:w="500" w:type="dxa"/>
            <w:vAlign w:val="bottom"/>
            <w:tcBorders>
              <w:right w:val="single" w:sz="8" w:color="808080"/>
            </w:tcBorders>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9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320" w:type="dxa"/>
            <w:vAlign w:val="bottom"/>
            <w:gridSpan w:val="2"/>
          </w:tcPr>
          <w:p>
            <w:pPr>
              <w:spacing w:after="0"/>
              <w:rPr>
                <w:sz w:val="20"/>
                <w:szCs w:val="20"/>
                <w:color w:val="auto"/>
              </w:rPr>
            </w:pPr>
            <w:r>
              <w:rPr>
                <w:rFonts w:ascii="Arial" w:cs="Arial" w:eastAsia="Arial" w:hAnsi="Arial"/>
                <w:sz w:val="18"/>
                <w:szCs w:val="18"/>
                <w:color w:val="auto"/>
              </w:rPr>
              <w:t>Weighted Average Shares (diluted)</w:t>
            </w:r>
          </w:p>
        </w:tc>
        <w:tc>
          <w:tcPr>
            <w:tcW w:w="5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48.6</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gridSpan w:val="3"/>
          </w:tcPr>
          <w:p>
            <w:pPr>
              <w:jc w:val="center"/>
              <w:ind w:left="494"/>
              <w:spacing w:after="0"/>
              <w:rPr>
                <w:sz w:val="20"/>
                <w:szCs w:val="20"/>
                <w:color w:val="auto"/>
              </w:rPr>
            </w:pPr>
            <w:r>
              <w:rPr>
                <w:rFonts w:ascii="Arial" w:cs="Arial" w:eastAsia="Arial" w:hAnsi="Arial"/>
                <w:sz w:val="18"/>
                <w:szCs w:val="18"/>
                <w:b w:val="1"/>
                <w:bCs w:val="1"/>
                <w:color w:val="auto"/>
                <w:w w:val="84"/>
              </w:rPr>
              <w:t>2004</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gridSpan w:val="3"/>
          </w:tcPr>
          <w:p>
            <w:pPr>
              <w:jc w:val="center"/>
              <w:ind w:left="474"/>
              <w:spacing w:after="0"/>
              <w:rPr>
                <w:sz w:val="20"/>
                <w:szCs w:val="20"/>
                <w:color w:val="auto"/>
              </w:rPr>
            </w:pPr>
            <w:r>
              <w:rPr>
                <w:rFonts w:ascii="Arial" w:cs="Arial" w:eastAsia="Arial" w:hAnsi="Arial"/>
                <w:sz w:val="18"/>
                <w:szCs w:val="18"/>
                <w:b w:val="1"/>
                <w:bCs w:val="1"/>
                <w:color w:val="auto"/>
                <w:w w:val="84"/>
              </w:rPr>
              <w:t>2004</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80" w:type="dxa"/>
            <w:vAlign w:val="bottom"/>
            <w:gridSpan w:val="4"/>
          </w:tcPr>
          <w:p>
            <w:pPr>
              <w:jc w:val="center"/>
              <w:spacing w:after="0"/>
              <w:rPr>
                <w:sz w:val="20"/>
                <w:szCs w:val="20"/>
                <w:color w:val="auto"/>
              </w:rPr>
            </w:pPr>
            <w:r>
              <w:rPr>
                <w:rFonts w:ascii="Arial" w:cs="Arial" w:eastAsia="Arial" w:hAnsi="Arial"/>
                <w:sz w:val="18"/>
                <w:szCs w:val="18"/>
                <w:b w:val="1"/>
                <w:bCs w:val="1"/>
                <w:color w:val="auto"/>
                <w:w w:val="87"/>
              </w:rPr>
              <w:t>Annual Forecast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7"/>
              </w:rPr>
              <w:t>Annual Forecast</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2140" w:type="dxa"/>
            <w:vAlign w:val="bottom"/>
            <w:gridSpan w:val="7"/>
          </w:tcPr>
          <w:p>
            <w:pPr>
              <w:jc w:val="center"/>
              <w:ind w:left="216"/>
              <w:spacing w:after="0"/>
              <w:rPr>
                <w:sz w:val="20"/>
                <w:szCs w:val="20"/>
                <w:color w:val="auto"/>
              </w:rPr>
            </w:pPr>
            <w:r>
              <w:rPr>
                <w:rFonts w:ascii="Arial" w:cs="Arial" w:eastAsia="Arial" w:hAnsi="Arial"/>
                <w:sz w:val="18"/>
                <w:szCs w:val="18"/>
                <w:b w:val="1"/>
                <w:bCs w:val="1"/>
                <w:color w:val="auto"/>
                <w:w w:val="88"/>
              </w:rPr>
              <w:t>Funds from Operations</w:t>
            </w: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FFO per share</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5320" w:type="dxa"/>
            <w:vAlign w:val="bottom"/>
            <w:gridSpan w:val="2"/>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0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6"/>
        </w:trPr>
        <w:tc>
          <w:tcPr>
            <w:tcW w:w="5320" w:type="dxa"/>
            <w:vAlign w:val="bottom"/>
            <w:gridSpan w:val="2"/>
          </w:tcPr>
          <w:p>
            <w:pPr>
              <w:spacing w:after="0"/>
              <w:rPr>
                <w:sz w:val="20"/>
                <w:szCs w:val="20"/>
                <w:color w:val="auto"/>
              </w:rPr>
            </w:pPr>
            <w:r>
              <w:rPr>
                <w:rFonts w:ascii="Arial" w:cs="Arial" w:eastAsia="Arial" w:hAnsi="Arial"/>
                <w:sz w:val="18"/>
                <w:szCs w:val="18"/>
                <w:color w:val="auto"/>
              </w:rPr>
              <w:t>Net Income Available to Common Shareholders</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58</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rPr>
              <w:t>to</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60</w:t>
            </w: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$1.15</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ind w:left="20"/>
              <w:spacing w:after="0"/>
              <w:rPr>
                <w:sz w:val="20"/>
                <w:szCs w:val="20"/>
                <w:color w:val="auto"/>
              </w:rPr>
            </w:pPr>
            <w:r>
              <w:rPr>
                <w:rFonts w:ascii="Arial" w:cs="Arial" w:eastAsia="Arial" w:hAnsi="Arial"/>
                <w:sz w:val="18"/>
                <w:szCs w:val="18"/>
                <w:color w:val="auto"/>
              </w:rPr>
              <w:t>to</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95"/>
              </w:rPr>
              <w:t>$ 1.19</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00" w:type="dxa"/>
            <w:vAlign w:val="bottom"/>
            <w:shd w:val="clear" w:color="auto" w:fill="EEEEEE"/>
          </w:tcPr>
          <w:p>
            <w:pPr>
              <w:spacing w:after="0"/>
              <w:rPr>
                <w:sz w:val="20"/>
                <w:szCs w:val="20"/>
                <w:color w:val="auto"/>
              </w:rPr>
            </w:pPr>
            <w:r>
              <w:rPr>
                <w:rFonts w:ascii="Arial" w:cs="Arial" w:eastAsia="Arial" w:hAnsi="Arial"/>
                <w:sz w:val="18"/>
                <w:szCs w:val="18"/>
                <w:color w:val="auto"/>
              </w:rPr>
              <w:t>Depreciation and Amortization of Real Estate</w:t>
            </w:r>
          </w:p>
        </w:tc>
        <w:tc>
          <w:tcPr>
            <w:tcW w:w="50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81</w:t>
            </w:r>
          </w:p>
        </w:tc>
        <w:tc>
          <w:tcPr>
            <w:tcW w:w="5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81</w:t>
            </w:r>
          </w:p>
        </w:tc>
        <w:tc>
          <w:tcPr>
            <w:tcW w:w="9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1.61</w:t>
            </w:r>
          </w:p>
        </w:tc>
        <w:tc>
          <w:tcPr>
            <w:tcW w:w="3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1.61</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Income Attributable to Operating Partnership Units</w:t>
            </w:r>
          </w:p>
        </w:tc>
        <w:tc>
          <w:tcPr>
            <w:tcW w:w="5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0.02</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0.02</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9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Funds from Operations</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140</w:t>
            </w:r>
          </w:p>
        </w:tc>
        <w:tc>
          <w:tcPr>
            <w:tcW w:w="5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to</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99"/>
              </w:rPr>
              <w:t>$</w:t>
            </w: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99"/>
              </w:rPr>
              <w:t>142</w:t>
            </w:r>
          </w:p>
        </w:tc>
        <w:tc>
          <w:tcPr>
            <w:tcW w:w="9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4"/>
              </w:rPr>
              <w:t>$2.78</w:t>
            </w:r>
          </w:p>
        </w:tc>
        <w:tc>
          <w:tcPr>
            <w:tcW w:w="3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20" w:type="dxa"/>
            <w:vAlign w:val="bottom"/>
            <w:shd w:val="clear" w:color="auto" w:fill="EEEEEE"/>
          </w:tcPr>
          <w:p>
            <w:pPr>
              <w:ind w:left="20"/>
              <w:spacing w:after="0"/>
              <w:rPr>
                <w:sz w:val="20"/>
                <w:szCs w:val="20"/>
                <w:color w:val="auto"/>
              </w:rPr>
            </w:pPr>
            <w:r>
              <w:rPr>
                <w:rFonts w:ascii="Arial" w:cs="Arial" w:eastAsia="Arial" w:hAnsi="Arial"/>
                <w:sz w:val="18"/>
                <w:szCs w:val="18"/>
                <w:b w:val="1"/>
                <w:bCs w:val="1"/>
                <w:color w:val="auto"/>
              </w:rPr>
              <w:t>to</w:t>
            </w: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w w:val="95"/>
              </w:rPr>
              <w:t>$ 2.82</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320" w:type="dxa"/>
            <w:vAlign w:val="bottom"/>
            <w:gridSpan w:val="2"/>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320" w:type="dxa"/>
            <w:vAlign w:val="bottom"/>
            <w:gridSpan w:val="2"/>
          </w:tcPr>
          <w:p>
            <w:pPr>
              <w:spacing w:after="0"/>
              <w:rPr>
                <w:sz w:val="5"/>
                <w:szCs w:val="5"/>
                <w:color w:val="auto"/>
              </w:rPr>
            </w:pPr>
          </w:p>
        </w:tc>
        <w:tc>
          <w:tcPr>
            <w:tcW w:w="500" w:type="dxa"/>
            <w:vAlign w:val="bottom"/>
            <w:tcBorders>
              <w:right w:val="single" w:sz="8" w:color="808080"/>
            </w:tcBorders>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9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320" w:type="dxa"/>
            <w:vAlign w:val="bottom"/>
            <w:gridSpan w:val="2"/>
          </w:tcPr>
          <w:p>
            <w:pPr>
              <w:spacing w:after="0"/>
              <w:rPr>
                <w:sz w:val="20"/>
                <w:szCs w:val="20"/>
                <w:color w:val="auto"/>
              </w:rPr>
            </w:pPr>
            <w:r>
              <w:rPr>
                <w:rFonts w:ascii="Arial" w:cs="Arial" w:eastAsia="Arial" w:hAnsi="Arial"/>
                <w:sz w:val="18"/>
                <w:szCs w:val="18"/>
                <w:color w:val="auto"/>
              </w:rPr>
              <w:t>Weighted Average Shares (diluted)</w:t>
            </w:r>
          </w:p>
        </w:tc>
        <w:tc>
          <w:tcPr>
            <w:tcW w:w="5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50.5</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Federal Realty Investment Trust is an equity real estate investment trust specializing in the ownership, management, development, and redevelopment of shopping centers and Street Retail properties. Federal Realty’s portfolio contains approximately 16.2 million square feet located primarily in strategic metropolitan markets in the Northeast, Mid-Atlantic, and Western United States. The operating portfolio was 94% occupied by over 2,000 national, regional, and local retailers as of September 30, 2003, with no single tenant accounting for more than 2.5% of rental revenue. Federal Realty has paid quarterly dividends to its shareholders continuously since its founding in 1962, and has increased its dividend rate for 36 consecutive years, the longest consecutive record in the REIT industry. Shares of Federal Realty are traded on the NYSE under the symbol FRT. Additional information about Federal Realty can be found on the Internet at www.federalrealty.com.</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Safe Harbor Language</w:t>
      </w:r>
    </w:p>
    <w:p>
      <w:pPr>
        <w:spacing w:after="0" w:line="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 factors that may impact these expectations include:</w:t>
      </w:r>
    </w:p>
    <w:p>
      <w:pPr>
        <w:spacing w:after="0" w:line="198" w:lineRule="exact"/>
        <w:rPr>
          <w:sz w:val="20"/>
          <w:szCs w:val="20"/>
          <w:color w:val="auto"/>
        </w:rPr>
      </w:pPr>
    </w:p>
    <w:p>
      <w:pPr>
        <w:ind w:right="180" w:firstLine="220"/>
        <w:spacing w:after="0" w:line="332"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risks of financing, such as our ability to consummate additional financings or obtain replacement financing on terms which are acceptable to us, our</w:t>
      </w:r>
      <w:r>
        <w:rPr>
          <w:rFonts w:ascii="Arial" w:cs="Arial" w:eastAsia="Arial" w:hAnsi="Arial"/>
          <w:sz w:val="16"/>
          <w:szCs w:val="16"/>
          <w:color w:val="auto"/>
        </w:rPr>
        <w:t xml:space="preserve"> </w:t>
      </w:r>
      <w:r>
        <w:rPr>
          <w:rFonts w:ascii="Arial" w:cs="Arial" w:eastAsia="Arial" w:hAnsi="Arial"/>
          <w:sz w:val="16"/>
          <w:szCs w:val="16"/>
          <w:i w:val="1"/>
          <w:iCs w:val="1"/>
          <w:color w:val="auto"/>
        </w:rPr>
        <w:t>ability to meet existing financial covenants, and the possibility of increases in interest rates that would result in increased interest expense;</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risks that our growth will be limited if we cannot obtain additional capital;</w:t>
      </w:r>
    </w:p>
    <w:p>
      <w:pPr>
        <w:spacing w:after="0" w:line="225" w:lineRule="exact"/>
        <w:rPr>
          <w:sz w:val="20"/>
          <w:szCs w:val="20"/>
          <w:color w:val="auto"/>
        </w:rPr>
      </w:pPr>
    </w:p>
    <w:p>
      <w:pPr>
        <w:ind w:firstLine="220"/>
        <w:spacing w:after="0" w:line="298"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risks normally associated with the real estate industry, including risks that our tenants will not pay rent or that we may be unable to renew leases or re-let space at favorable rents as leases expire, that new acquisitions or our development, construction and renovation projects, including our Santana Row project, may fail to perform as expected, that competition for acquisitions could result in increased prices, that we may have environmental risks at our properties, and, because real estate is illiquid, that we may not be able to sell properties when appropriate;</w:t>
      </w:r>
    </w:p>
    <w:p>
      <w:pPr>
        <w:spacing w:after="0" w:line="167" w:lineRule="exact"/>
        <w:rPr>
          <w:sz w:val="20"/>
          <w:szCs w:val="20"/>
          <w:color w:val="auto"/>
        </w:rPr>
      </w:pPr>
    </w:p>
    <w:p>
      <w:pPr>
        <w:ind w:right="80" w:firstLine="220"/>
        <w:spacing w:after="0" w:line="332"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risks related to our status as a REIT for federal income tax purposes, such as the existence of complex regulations relating to our status as a REIT, the</w:t>
      </w:r>
      <w:r>
        <w:rPr>
          <w:rFonts w:ascii="Arial" w:cs="Arial" w:eastAsia="Arial" w:hAnsi="Arial"/>
          <w:sz w:val="16"/>
          <w:szCs w:val="16"/>
          <w:color w:val="auto"/>
        </w:rPr>
        <w:t xml:space="preserve"> </w:t>
      </w:r>
      <w:r>
        <w:rPr>
          <w:rFonts w:ascii="Arial" w:cs="Arial" w:eastAsia="Arial" w:hAnsi="Arial"/>
          <w:sz w:val="16"/>
          <w:szCs w:val="16"/>
          <w:i w:val="1"/>
          <w:iCs w:val="1"/>
          <w:color w:val="auto"/>
        </w:rPr>
        <w:t>effect of future changes in REIT requirements as a result of new legislation, and the adverse consequences of the failure to qualify as a REIT; and</w:t>
      </w:r>
    </w:p>
    <w:p>
      <w:pPr>
        <w:sectPr>
          <w:pgSz w:w="11900" w:h="16838" w:orient="portrait"/>
          <w:cols w:equalWidth="0" w:num="1">
            <w:col w:w="11280"/>
          </w:cols>
          <w:pgMar w:left="240" w:top="935" w:right="379" w:bottom="1440" w:gutter="0" w:footer="0" w:header="0"/>
        </w:sectPr>
      </w:pPr>
    </w:p>
    <w:p>
      <w:pPr>
        <w:spacing w:after="0" w:line="139" w:lineRule="exact"/>
        <w:rPr>
          <w:sz w:val="20"/>
          <w:szCs w:val="20"/>
          <w:color w:val="auto"/>
        </w:rPr>
      </w:pPr>
    </w:p>
    <w:p>
      <w:pPr>
        <w:ind w:firstLine="220"/>
        <w:spacing w:after="0" w:line="332"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those additional risks detailed from time to time in our SEC reports, including our current report on Form 8-K filed with the SEC on</w:t>
      </w:r>
      <w:r>
        <w:rPr>
          <w:rFonts w:ascii="Arial" w:cs="Arial" w:eastAsia="Arial" w:hAnsi="Arial"/>
          <w:sz w:val="16"/>
          <w:szCs w:val="16"/>
          <w:color w:val="auto"/>
        </w:rPr>
        <w:t xml:space="preserve"> </w:t>
      </w:r>
      <w:r>
        <w:rPr>
          <w:rFonts w:ascii="Arial" w:cs="Arial" w:eastAsia="Arial" w:hAnsi="Arial"/>
          <w:sz w:val="16"/>
          <w:szCs w:val="16"/>
          <w:i w:val="1"/>
          <w:iCs w:val="1"/>
          <w:color w:val="auto"/>
        </w:rPr>
        <w:t>our annual report on Form 10-K filed with the SEC on March 26, 2003, and our quarterly reports on Form 10-Q.</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March 25, 2003,</w:t>
      </w:r>
    </w:p>
    <w:p>
      <w:pPr>
        <w:spacing w:after="0" w:line="464" w:lineRule="exact"/>
        <w:rPr>
          <w:sz w:val="20"/>
          <w:szCs w:val="20"/>
          <w:color w:val="auto"/>
        </w:rPr>
      </w:pPr>
    </w:p>
    <w:p>
      <w:pPr>
        <w:sectPr>
          <w:pgSz w:w="11900" w:h="16838" w:orient="portrait"/>
          <w:cols w:equalWidth="0" w:num="2">
            <w:col w:w="9640" w:space="340"/>
            <w:col w:w="1300"/>
          </w:cols>
          <w:pgMar w:left="240" w:top="935" w:right="379" w:bottom="1440" w:gutter="0" w:footer="0" w:header="0"/>
          <w:type w:val="continuous"/>
        </w:sectPr>
      </w:pPr>
    </w:p>
    <w:p>
      <w:pPr>
        <w:spacing w:after="0"/>
        <w:rPr>
          <w:sz w:val="20"/>
          <w:szCs w:val="20"/>
          <w:color w:val="auto"/>
        </w:rPr>
      </w:pPr>
      <w:r>
        <w:rPr>
          <w:rFonts w:ascii="Arial" w:cs="Arial" w:eastAsia="Arial" w:hAnsi="Arial"/>
          <w:sz w:val="15"/>
          <w:szCs w:val="15"/>
          <w:i w:val="1"/>
          <w:iCs w:val="1"/>
          <w:color w:val="auto"/>
        </w:rPr>
        <w:t>Federal Realty assumes no obligation to update or supplement forward-looking statements that become untrue because of subsequent events.</w:t>
      </w:r>
    </w:p>
    <w:sectPr>
      <w:pgSz w:w="11900" w:h="16838" w:orient="portrait"/>
      <w:cols w:equalWidth="0" w:num="1">
        <w:col w:w="11280"/>
      </w:cols>
      <w:pgMar w:left="240" w:top="935"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2019-12-12T09:19:38Z</dcterms:created>
  <dcterms:modified xsi:type="dcterms:W3CDTF">2019-12-12T09:19:38Z</dcterms:modified>
</cp:coreProperties>
</file>