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1, 2016, Federal Realty Investment Trust (the “Company”) entered into an underwriting agreement (the “Underwriting Agreement”) and a related pricing agreement with Citigroup Global Markets Inc. relating to the issuance and sale of 1,000,000 shares of the Company’s common shares of beneficial interest, par value $0.01 per share (the “Shares”). Pursuant to the Underwriting Agreement, the Company granted the underwriter a 30-day option to purchase up to 150,000 additional Shares. The Shares have been issued pursuant to the Company’s registration statement on Form S-3 (File No. 333-203999).</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offering closed on March 7, 2016, and the Company received net proceeds, after deducting the estimated offering expenses payable by the Company, of approximately $149.3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jc w:val="right"/>
              <w:ind w:right="35"/>
              <w:spacing w:after="0" w:line="151" w:lineRule="exact"/>
              <w:rPr>
                <w:sz w:val="20"/>
                <w:szCs w:val="20"/>
                <w:color w:val="auto"/>
              </w:rPr>
            </w:pPr>
            <w:r>
              <w:rPr>
                <w:rFonts w:ascii="Arial" w:cs="Arial" w:eastAsia="Arial" w:hAnsi="Arial"/>
                <w:sz w:val="14"/>
                <w:szCs w:val="14"/>
                <w:b w:val="1"/>
                <w:bCs w:val="1"/>
                <w:color w:val="auto"/>
              </w:rPr>
              <w:t>No.</w:t>
            </w:r>
          </w:p>
        </w:tc>
        <w:tc>
          <w:tcPr>
            <w:tcW w:w="878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05"/>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8780" w:type="dxa"/>
            <w:vAlign w:val="bottom"/>
            <w:gridSpan w:val="3"/>
          </w:tcPr>
          <w:p>
            <w:pPr>
              <w:ind w:left="560"/>
              <w:spacing w:after="0"/>
              <w:rPr>
                <w:sz w:val="20"/>
                <w:szCs w:val="20"/>
                <w:color w:val="auto"/>
              </w:rPr>
            </w:pPr>
            <w:r>
              <w:rPr>
                <w:rFonts w:ascii="Arial" w:cs="Arial" w:eastAsia="Arial" w:hAnsi="Arial"/>
                <w:sz w:val="18"/>
                <w:szCs w:val="18"/>
                <w:color w:val="auto"/>
                <w:w w:val="92"/>
              </w:rPr>
              <w:t>Underwriting Agreement, dated March 1, 2016, by and between the Company and Citigroup Global Markets Inc.</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8780" w:type="dxa"/>
            <w:vAlign w:val="bottom"/>
            <w:gridSpan w:val="3"/>
          </w:tcPr>
          <w:p>
            <w:pPr>
              <w:ind w:left="560"/>
              <w:spacing w:after="0"/>
              <w:rPr>
                <w:sz w:val="20"/>
                <w:szCs w:val="20"/>
                <w:color w:val="auto"/>
              </w:rPr>
            </w:pPr>
            <w:r>
              <w:rPr>
                <w:rFonts w:ascii="Arial" w:cs="Arial" w:eastAsia="Arial" w:hAnsi="Arial"/>
                <w:sz w:val="18"/>
                <w:szCs w:val="18"/>
                <w:color w:val="auto"/>
                <w:w w:val="97"/>
              </w:rPr>
              <w:t>Pricing Agreement, dated March 1, 2016, by and between the Company and Citigroup Global Markets Inc.</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5.1</w:t>
            </w:r>
          </w:p>
        </w:tc>
        <w:tc>
          <w:tcPr>
            <w:tcW w:w="878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common shares</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8.1</w:t>
            </w:r>
          </w:p>
        </w:tc>
        <w:tc>
          <w:tcPr>
            <w:tcW w:w="8780" w:type="dxa"/>
            <w:vAlign w:val="bottom"/>
            <w:gridSpan w:val="3"/>
          </w:tcPr>
          <w:p>
            <w:pPr>
              <w:ind w:left="560"/>
              <w:spacing w:after="0"/>
              <w:rPr>
                <w:sz w:val="20"/>
                <w:szCs w:val="20"/>
                <w:color w:val="auto"/>
              </w:rPr>
            </w:pPr>
            <w:r>
              <w:rPr>
                <w:rFonts w:ascii="Arial" w:cs="Arial" w:eastAsia="Arial" w:hAnsi="Arial"/>
                <w:sz w:val="18"/>
                <w:szCs w:val="18"/>
                <w:color w:val="auto"/>
                <w:w w:val="98"/>
              </w:rPr>
              <w:t>Opinion of Pillsbury Winthrop Shaw Pittman LLP relating to material tax matters relating to the Company</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23.1</w:t>
            </w:r>
          </w:p>
        </w:tc>
        <w:tc>
          <w:tcPr>
            <w:tcW w:w="8780" w:type="dxa"/>
            <w:vAlign w:val="bottom"/>
            <w:gridSpan w:val="3"/>
          </w:tcPr>
          <w:p>
            <w:pPr>
              <w:ind w:left="560"/>
              <w:spacing w:after="0"/>
              <w:rPr>
                <w:sz w:val="20"/>
                <w:szCs w:val="20"/>
                <w:color w:val="auto"/>
              </w:rPr>
            </w:pPr>
            <w:r>
              <w:rPr>
                <w:rFonts w:ascii="Arial" w:cs="Arial" w:eastAsia="Arial" w:hAnsi="Arial"/>
                <w:sz w:val="18"/>
                <w:szCs w:val="18"/>
                <w:color w:val="auto"/>
                <w:w w:val="91"/>
              </w:rPr>
              <w:t>Consents of Pillsbury Winthrop Shaw Pittman LLP (contained in the opinions filed as Exhibits 5.1 and 8.1 hereto)</w:t>
            </w: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7, 2016</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named in Schedule I to the applicable Pricing Agreement (such firm constituting the “Underwriter” with respect to such Pricing Agreement and the securities specified therein) certain of its common shares of beneficial interest, par value $0.01 per share (the “Common Shares”) specified in Schedule II to such Pricing Agreement (with respect to such Pricing Agreement, the “Designated Shares”). If specified in such Pricing Agreement, the Designated Shares may consist of a specified number of Common Shares that the Underwriter has agreed to purchase (the “Initial Shares”) and a specified number of Common Shares that the Underwriter has the option to purchase (the “Option Shares”), in each case on the terms and subject to the conditions set forth in this Underwriting Agreement and such Pricing Agreement.</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170" w:lineRule="exact"/>
        <w:rPr>
          <w:sz w:val="20"/>
          <w:szCs w:val="20"/>
          <w:color w:val="auto"/>
        </w:rPr>
      </w:pPr>
    </w:p>
    <w:p>
      <w:pPr>
        <w:ind w:right="140" w:firstLine="464"/>
        <w:spacing w:after="0" w:line="297"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Shares may be made from time to time to the Underwriter of such Designated Shares. This Underwriting Agreement shall not be construed as an obligation of the Company to sell any of the Common Shares or as an obligation of the Underwriter to purchase any of the Common Shares. The obligation of the Company to issue and sell any of the Common Shares and the obligation of the Underwriter to purchase any of the Common Shares shall be evidenced by the Pricing Agreement with respect to the Designated Shares specified therein. Each Pricing Agreement shall specify the aggregate number of such Designated Shares (and, if applicable, the aggregate number of Initial Shares and Option Shares),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public offering price of such Designated Shares, the purchase price to the Underwriter of such Designated Shares, the name of the Underwriter of such Designated Shares, and the number of such Designated Shares to be purchased by the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w:t>
      </w:r>
    </w:p>
    <w:p>
      <w:pPr>
        <w:spacing w:after="0" w:line="193" w:lineRule="exact"/>
        <w:rPr>
          <w:sz w:val="20"/>
          <w:szCs w:val="20"/>
          <w:color w:val="auto"/>
        </w:rPr>
      </w:pPr>
    </w:p>
    <w:p>
      <w:pPr>
        <w:ind w:right="380" w:firstLine="464"/>
        <w:spacing w:after="0" w:line="30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the Underwriter as of the date hereof, the Applicable Time referred to in Section 2(c) hereof, the Time of Delivery referred to in Section 4 hereof and the Option Closing Time referred to in Section 4 hereof, if any, that:</w:t>
      </w:r>
    </w:p>
    <w:p>
      <w:pPr>
        <w:spacing w:after="0" w:line="38" w:lineRule="exact"/>
        <w:rPr>
          <w:rFonts w:ascii="Arial" w:cs="Arial" w:eastAsia="Arial" w:hAnsi="Arial"/>
          <w:sz w:val="17"/>
          <w:szCs w:val="17"/>
          <w:color w:val="auto"/>
        </w:rPr>
      </w:pPr>
    </w:p>
    <w:p>
      <w:pPr>
        <w:ind w:left="460" w:right="20" w:firstLine="443"/>
        <w:spacing w:after="0" w:line="283" w:lineRule="auto"/>
        <w:tabs>
          <w:tab w:leader="none" w:pos="114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Common Shares under the Act. Promptly after execution and delivery of a Pricing Agreement with respect to the Designated Shares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Shares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w:t>
      </w:r>
    </w:p>
    <w:p>
      <w:pPr>
        <w:spacing w:after="0" w:line="5" w:lineRule="exact"/>
        <w:rPr>
          <w:rFonts w:ascii="Arial" w:cs="Arial" w:eastAsia="Arial" w:hAnsi="Arial"/>
          <w:sz w:val="16"/>
          <w:szCs w:val="16"/>
          <w:color w:val="auto"/>
        </w:rPr>
      </w:pPr>
    </w:p>
    <w:p>
      <w:pPr>
        <w:ind w:left="680" w:hanging="216"/>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 Form S-3 under the Act at such time and the documents otherwise deemed to be a part thereof or included therein by the rules and regulations</w:t>
      </w:r>
    </w:p>
    <w:p>
      <w:pPr>
        <w:spacing w:after="0" w:line="32" w:lineRule="exact"/>
        <w:rPr>
          <w:rFonts w:ascii="Arial" w:cs="Arial" w:eastAsia="Arial" w:hAnsi="Arial"/>
          <w:sz w:val="16"/>
          <w:szCs w:val="16"/>
          <w:color w:val="auto"/>
        </w:rPr>
      </w:pPr>
    </w:p>
    <w:p>
      <w:pPr>
        <w:ind w:left="460"/>
        <w:spacing w:after="0" w:line="290" w:lineRule="auto"/>
        <w:rPr>
          <w:rFonts w:ascii="Arial" w:cs="Arial" w:eastAsia="Arial" w:hAnsi="Arial"/>
          <w:sz w:val="16"/>
          <w:szCs w:val="16"/>
          <w:color w:val="auto"/>
        </w:rPr>
      </w:pPr>
      <w:r>
        <w:rPr>
          <w:rFonts w:ascii="Arial" w:cs="Arial" w:eastAsia="Arial" w:hAnsi="Arial"/>
          <w:sz w:val="16"/>
          <w:szCs w:val="16"/>
          <w:color w:val="auto"/>
        </w:rPr>
        <w:t>under the Act at such time, is herein called the “Registration Statement.” The Registration Statement at the time it originally became effective is herein called the “Original Registration Statement.” The final prospectus in the form first furnished to the Underwriter for use in connection with an offering of Designated Shares,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56"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color w:val="auto"/>
        </w:rPr>
        <w:t>All references in this Underwriting Agreement to financial statements and schedules and other information which is “contained,” “included” or “stated”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0" w:lineRule="exact"/>
        <w:rPr>
          <w:sz w:val="20"/>
          <w:szCs w:val="20"/>
          <w:color w:val="auto"/>
        </w:rPr>
      </w:pPr>
    </w:p>
    <w:p>
      <w:pPr>
        <w:ind w:firstLine="443"/>
        <w:spacing w:after="0" w:line="269" w:lineRule="auto"/>
        <w:tabs>
          <w:tab w:leader="none" w:pos="693" w:val="left"/>
        </w:tabs>
        <w:numPr>
          <w:ilvl w:val="0"/>
          <w:numId w:val="5"/>
        </w:numPr>
        <w:rPr>
          <w:rFonts w:ascii="Arial" w:cs="Arial" w:eastAsia="Arial" w:hAnsi="Arial"/>
          <w:sz w:val="17"/>
          <w:szCs w:val="17"/>
          <w:color w:val="auto"/>
        </w:rPr>
      </w:pPr>
      <w:r>
        <w:rPr>
          <w:rFonts w:ascii="Arial" w:cs="Arial" w:eastAsia="Arial" w:hAnsi="Arial"/>
          <w:sz w:val="17"/>
          <w:szCs w:val="17"/>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Shares in reliance on the exemption of Rule 163 under the Act (“Rule 163”), (D) at the earliest time that the Company or another offering participant made a bona fide offer (within the meaning of Rule 164(h)(2) under the Act) of the Designated Shares,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Common Shares,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74" w:lineRule="exact"/>
        <w:rPr>
          <w:rFonts w:ascii="Arial" w:cs="Arial" w:eastAsia="Arial" w:hAnsi="Arial"/>
          <w:sz w:val="17"/>
          <w:szCs w:val="17"/>
          <w:color w:val="auto"/>
        </w:rPr>
      </w:pPr>
    </w:p>
    <w:p>
      <w:pPr>
        <w:jc w:val="both"/>
        <w:ind w:right="60" w:firstLine="443"/>
        <w:spacing w:after="0" w:line="302"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46" w:lineRule="exact"/>
        <w:rPr>
          <w:sz w:val="20"/>
          <w:szCs w:val="20"/>
          <w:color w:val="auto"/>
        </w:rPr>
      </w:pPr>
    </w:p>
    <w:p>
      <w:pPr>
        <w:ind w:right="100" w:firstLine="438"/>
        <w:spacing w:after="0" w:line="257" w:lineRule="auto"/>
        <w:rPr>
          <w:sz w:val="20"/>
          <w:szCs w:val="20"/>
          <w:color w:val="auto"/>
        </w:rPr>
      </w:pPr>
      <w:r>
        <w:rPr>
          <w:rFonts w:ascii="Arial" w:cs="Arial" w:eastAsia="Arial" w:hAnsi="Arial"/>
          <w:sz w:val="18"/>
          <w:szCs w:val="18"/>
          <w:color w:val="auto"/>
        </w:rPr>
        <w:t>Any offer that is a written communication relating to the Common Shares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6" w:name="page7"/>
    <w:bookmarkEnd w:id="6"/>
    <w:p>
      <w:pPr>
        <w:ind w:right="100" w:firstLine="443"/>
        <w:spacing w:after="0" w:line="255" w:lineRule="auto"/>
        <w:tabs>
          <w:tab w:leader="none" w:pos="733"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respective times the Original Registration Statement and each amendment thereto became effective, (B) at each deemed effective date with respect to the Underwriter and the Designated Shares pursuant to Rule 430B(f)(2) under the Act, (C) at the Time of Delivery, and (D) at the Option Closing Time, if any,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85"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The Prospectus and each amendment or supplement thereto, if any, at the time the Prospectus or any such amendment or supplement was issued, at the Time of Delivery, and at the Option Closing Time, if any, complied, complies and will comply, in all material respects with the requirements of the Act, and neither the Prospectus nor any amendments or supplements thereto, at the time the Prospectus or any such amendment or supplement was issued, at the Time of Delivery or at the Option Closing Time, if any,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85"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 for use in connection with each offering of Designated Shares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right="20" w:firstLine="438"/>
        <w:spacing w:after="0" w:line="257" w:lineRule="auto"/>
        <w:rPr>
          <w:sz w:val="20"/>
          <w:szCs w:val="20"/>
          <w:color w:val="auto"/>
        </w:rPr>
      </w:pPr>
      <w:r>
        <w:rPr>
          <w:rFonts w:ascii="Arial" w:cs="Arial" w:eastAsia="Arial" w:hAnsi="Arial"/>
          <w:sz w:val="18"/>
          <w:szCs w:val="18"/>
          <w:color w:val="auto"/>
        </w:rPr>
        <w:t>As of the Applicable Time (as defined below), the Statutory Prospectus, when considered together with the Issuer Free Writing Prospectus(es) (as defined below) issued at or prior to the Applicable Time, and the information included on Exhibit C hereto, will not include any untrue statement of a material fact or omit to state any material fact necessary in order to make the statements therein, in the light of the circumstances under which they were made, not misleading. The Statutory Prospectus, the Issuer Free Writing Prospectus(es) and the information included on Exhibit C hereto are collectively referred to herein as the “General Disclosure Package.”</w:t>
      </w:r>
    </w:p>
    <w:p>
      <w:pPr>
        <w:spacing w:after="0" w:line="80" w:lineRule="exact"/>
        <w:rPr>
          <w:sz w:val="20"/>
          <w:szCs w:val="20"/>
          <w:color w:val="auto"/>
        </w:rPr>
      </w:pPr>
    </w:p>
    <w:p>
      <w:pPr>
        <w:ind w:right="4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 expressly for use in the Registration Statement or any post-effective amendment thereto, or the Prospectus or any amendments or supplements thereto, or the General Disclosure Package.</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subsection and elsewhere in this Underwriting Agreement:</w:t>
      </w:r>
    </w:p>
    <w:p>
      <w:pPr>
        <w:spacing w:after="0" w:line="117" w:lineRule="exact"/>
        <w:rPr>
          <w:sz w:val="20"/>
          <w:szCs w:val="20"/>
          <w:color w:val="auto"/>
        </w:rPr>
      </w:pPr>
    </w:p>
    <w:p>
      <w:pPr>
        <w:ind w:right="38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Shares specified therein.</w:t>
      </w:r>
    </w:p>
    <w:p>
      <w:pPr>
        <w:spacing w:after="0" w:line="62" w:lineRule="exact"/>
        <w:rPr>
          <w:sz w:val="20"/>
          <w:szCs w:val="20"/>
          <w:color w:val="auto"/>
        </w:rPr>
      </w:pPr>
    </w:p>
    <w:p>
      <w:pPr>
        <w:ind w:right="2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Shares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Shares or of the offering that does not reflect the final terms, in each case in the form filed or required to be filed with the Commission or, if not required to be filed, in the form retained in the Company’s records pursuant to Rule 433(g).</w:t>
      </w:r>
    </w:p>
    <w:p>
      <w:pPr>
        <w:spacing w:after="0" w:line="70" w:lineRule="exact"/>
        <w:rPr>
          <w:sz w:val="20"/>
          <w:szCs w:val="20"/>
          <w:color w:val="auto"/>
        </w:rPr>
      </w:pPr>
    </w:p>
    <w:p>
      <w:pPr>
        <w:jc w:val="both"/>
        <w:ind w:right="100" w:firstLine="438"/>
        <w:spacing w:after="0" w:line="286" w:lineRule="auto"/>
        <w:rPr>
          <w:sz w:val="20"/>
          <w:szCs w:val="20"/>
          <w:color w:val="auto"/>
        </w:rPr>
      </w:pPr>
      <w:r>
        <w:rPr>
          <w:rFonts w:ascii="Arial" w:cs="Arial" w:eastAsia="Arial" w:hAnsi="Arial"/>
          <w:sz w:val="17"/>
          <w:szCs w:val="17"/>
          <w:color w:val="auto"/>
        </w:rPr>
        <w:t>“Statutory Prospectus” as of any time means the prospectus that is included in the Registration Statement immediately prior to that time and the preliminary prospectus supplement relating to a particular issuance of Designated Shares set forth in the Pricing Agreement, including the documents incorporated by reference therein and any other preliminary or other prospectus deemed to be a part thereof.</w:t>
      </w:r>
    </w:p>
    <w:p>
      <w:pPr>
        <w:spacing w:after="0" w:line="57" w:lineRule="exact"/>
        <w:rPr>
          <w:sz w:val="20"/>
          <w:szCs w:val="20"/>
          <w:color w:val="auto"/>
        </w:rPr>
      </w:pPr>
    </w:p>
    <w:p>
      <w:pPr>
        <w:ind w:right="30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00" w:firstLine="443"/>
        <w:spacing w:after="0" w:line="255"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Shares or until any earlier date that the Company notified or notifies the Underwriter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 specifically for use therein.</w:t>
      </w:r>
    </w:p>
    <w:p>
      <w:pPr>
        <w:spacing w:after="0" w:line="81" w:lineRule="exact"/>
        <w:rPr>
          <w:rFonts w:ascii="Arial" w:cs="Arial" w:eastAsia="Arial" w:hAnsi="Arial"/>
          <w:sz w:val="18"/>
          <w:szCs w:val="18"/>
          <w:color w:val="auto"/>
        </w:rPr>
      </w:pPr>
    </w:p>
    <w:p>
      <w:pPr>
        <w:ind w:firstLine="443"/>
        <w:spacing w:after="0" w:line="302" w:lineRule="auto"/>
        <w:tabs>
          <w:tab w:leader="none" w:pos="6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w:t>
      </w: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8" w:name="page9"/>
    <w:bookmarkEnd w:id="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67" w:lineRule="exact"/>
        <w:rPr>
          <w:sz w:val="20"/>
          <w:szCs w:val="20"/>
          <w:color w:val="auto"/>
        </w:rPr>
      </w:pPr>
    </w:p>
    <w:p>
      <w:pPr>
        <w:ind w:firstLine="443"/>
        <w:spacing w:after="0" w:line="283" w:lineRule="auto"/>
        <w:tabs>
          <w:tab w:leader="none" w:pos="69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11, 2015 between the Company and Wells Fargo Securities, LLC and (b) the Equity Distribution Agreement dated May 11, 2015 between the Company and Merrill Lynch, Pierce, Fenner</w:t>
      </w:r>
    </w:p>
    <w:p>
      <w:pPr>
        <w:spacing w:after="0" w:line="3" w:lineRule="exact"/>
        <w:rPr>
          <w:rFonts w:ascii="Arial" w:cs="Arial" w:eastAsia="Arial" w:hAnsi="Arial"/>
          <w:sz w:val="16"/>
          <w:szCs w:val="16"/>
          <w:color w:val="auto"/>
        </w:rPr>
      </w:pPr>
    </w:p>
    <w:p>
      <w:pPr>
        <w:ind w:left="180" w:hanging="176"/>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Smith Incorporated, as the same may</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63" w:lineRule="exact"/>
        <w:rPr>
          <w:sz w:val="20"/>
          <w:szCs w:val="20"/>
          <w:color w:val="auto"/>
        </w:rPr>
      </w:pPr>
    </w:p>
    <w:p>
      <w:pPr>
        <w:ind w:right="40" w:firstLine="443"/>
        <w:spacing w:after="0" w:line="25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0" w:lineRule="exact"/>
        <w:rPr>
          <w:rFonts w:ascii="Arial" w:cs="Arial" w:eastAsia="Arial" w:hAnsi="Arial"/>
          <w:sz w:val="18"/>
          <w:szCs w:val="18"/>
          <w:color w:val="auto"/>
        </w:rPr>
      </w:pPr>
    </w:p>
    <w:p>
      <w:pPr>
        <w:ind w:right="460" w:firstLine="443"/>
        <w:spacing w:after="0" w:line="277" w:lineRule="auto"/>
        <w:tabs>
          <w:tab w:leader="none" w:pos="6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Underwriting Agreement, and this Underwriting Agreement has been duly and validly authorized, executed and delivered by the Company.</w:t>
      </w:r>
    </w:p>
    <w:p>
      <w:pPr>
        <w:spacing w:after="0" w:line="62" w:lineRule="exact"/>
        <w:rPr>
          <w:rFonts w:ascii="Arial" w:cs="Arial" w:eastAsia="Arial" w:hAnsi="Arial"/>
          <w:sz w:val="18"/>
          <w:szCs w:val="18"/>
          <w:color w:val="auto"/>
        </w:rPr>
      </w:pPr>
    </w:p>
    <w:p>
      <w:pPr>
        <w:ind w:right="20" w:firstLine="443"/>
        <w:spacing w:after="0" w:line="291" w:lineRule="auto"/>
        <w:tabs>
          <w:tab w:leader="none" w:pos="65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Shares have been duly and validly authorized by the Company, and, when such Designated Shares are issued and delivered pursuant to this Underwriting Agreement and the Pricing Agreement with respect to such Designated Shares, such Designated Shares will be duly and validly issued and fully paid and non-assessable; the Designated Shares conform to the descriptions thereof contained in the Registration Statement, the General Disclosure Package and the Prospectus, as amended or supplemented, with respect to such Designated Shares; except as set forth under the caption “Description of Shares of Beneficial Interest—Certain Provisions of Maryland Law and our Declaration of Trust and Bylaws—Shareholder Liability and Indemnification”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59" w:lineRule="exact"/>
        <w:rPr>
          <w:rFonts w:ascii="Arial" w:cs="Arial" w:eastAsia="Arial" w:hAnsi="Arial"/>
          <w:sz w:val="16"/>
          <w:szCs w:val="16"/>
          <w:color w:val="auto"/>
        </w:rPr>
      </w:pPr>
    </w:p>
    <w:p>
      <w:pPr>
        <w:ind w:left="700" w:hanging="257"/>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is in violation of its charter or bylaws or similar organizational documents; (ii) no</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73" w:lineRule="exact"/>
        <w:rPr>
          <w:sz w:val="20"/>
          <w:szCs w:val="20"/>
          <w:color w:val="auto"/>
        </w:rPr>
      </w:pPr>
    </w:p>
    <w:p>
      <w:pPr>
        <w:ind w:right="20" w:firstLine="443"/>
        <w:spacing w:after="0" w:line="287" w:lineRule="auto"/>
        <w:tabs>
          <w:tab w:leader="none" w:pos="6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issue and sale of the Designated Shares and the compliance by the Company with all of the provisions of the Designated Shares, this Underwriting Agreement and the Pricing Agreement with respect to such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Designated Shares or the consummation by the Company of the transactions contemplated by this Underwriting Agreement or any Pricing Agreement, except such as have been, or will have been prior to the Time of Delivery, obtained under the Act, the Exchange Act and the rules of the New York Stock Exchange, Inc. (the “NYSE”) and such consents, approvals, authorizations, registrations or qualifications as may be required under state securities or “Blue Sky” laws in connection with the purchase and distribution of the Designated Shares by the Underwriter.</w:t>
      </w:r>
    </w:p>
    <w:p>
      <w:pPr>
        <w:spacing w:after="0" w:line="60" w:lineRule="exact"/>
        <w:rPr>
          <w:rFonts w:ascii="Arial" w:cs="Arial" w:eastAsia="Arial" w:hAnsi="Arial"/>
          <w:sz w:val="16"/>
          <w:szCs w:val="16"/>
          <w:color w:val="auto"/>
        </w:rPr>
      </w:pPr>
    </w:p>
    <w:p>
      <w:pPr>
        <w:ind w:firstLine="443"/>
        <w:spacing w:after="0" w:line="255" w:lineRule="auto"/>
        <w:tabs>
          <w:tab w:leader="none" w:pos="7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72"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1" w:name="page12"/>
    <w:bookmarkEnd w:id="11"/>
    <w:p>
      <w:pPr>
        <w:ind w:right="20" w:firstLine="443"/>
        <w:spacing w:after="0" w:line="259"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80" w:firstLine="443"/>
        <w:spacing w:after="0" w:line="257" w:lineRule="auto"/>
        <w:tabs>
          <w:tab w:leader="none" w:pos="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2015 and the consolidated statements of comprehensive income, consolidated statements of shareholders’ equity and consolidated statements of cash flows for the year ended December 31, 2015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80" w:lineRule="exact"/>
        <w:rPr>
          <w:rFonts w:ascii="Arial" w:cs="Arial" w:eastAsia="Arial" w:hAnsi="Arial"/>
          <w:sz w:val="18"/>
          <w:szCs w:val="18"/>
          <w:color w:val="auto"/>
        </w:rPr>
      </w:pPr>
    </w:p>
    <w:p>
      <w:pPr>
        <w:ind w:firstLine="443"/>
        <w:spacing w:after="0" w:line="271" w:lineRule="auto"/>
        <w:tabs>
          <w:tab w:leader="none" w:pos="6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74" w:right="29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1" w:lineRule="exact"/>
        <w:rPr>
          <w:sz w:val="20"/>
          <w:szCs w:val="20"/>
          <w:color w:val="auto"/>
        </w:rPr>
      </w:pPr>
    </w:p>
    <w:p>
      <w:pPr>
        <w:ind w:right="320" w:firstLine="443"/>
        <w:spacing w:after="0" w:line="308" w:lineRule="auto"/>
        <w:tabs>
          <w:tab w:leader="none" w:pos="6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right="100" w:firstLine="443"/>
        <w:spacing w:after="0" w:line="272"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69" w:lineRule="exact"/>
        <w:rPr>
          <w:rFonts w:ascii="Arial" w:cs="Arial" w:eastAsia="Arial" w:hAnsi="Arial"/>
          <w:sz w:val="17"/>
          <w:szCs w:val="17"/>
          <w:color w:val="auto"/>
        </w:rPr>
      </w:pPr>
    </w:p>
    <w:p>
      <w:pPr>
        <w:ind w:right="140" w:firstLine="443"/>
        <w:spacing w:after="0" w:line="25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80" w:lineRule="exact"/>
        <w:rPr>
          <w:rFonts w:ascii="Arial" w:cs="Arial" w:eastAsia="Arial" w:hAnsi="Arial"/>
          <w:sz w:val="18"/>
          <w:szCs w:val="18"/>
          <w:color w:val="auto"/>
        </w:rPr>
      </w:pPr>
    </w:p>
    <w:p>
      <w:pPr>
        <w:ind w:right="100" w:firstLine="443"/>
        <w:spacing w:after="0" w:line="276" w:lineRule="auto"/>
        <w:tabs>
          <w:tab w:leader="none" w:pos="73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The Company and its subsidiaries have carried out evaluations of the effectiveness of their disclosure controls and procedures as required by Rule 13a-15 of the Exchange Act.</w:t>
      </w:r>
    </w:p>
    <w:p>
      <w:pPr>
        <w:spacing w:after="0" w:line="62" w:lineRule="exact"/>
        <w:rPr>
          <w:sz w:val="20"/>
          <w:szCs w:val="20"/>
          <w:color w:val="auto"/>
        </w:rPr>
      </w:pPr>
    </w:p>
    <w:p>
      <w:pPr>
        <w:ind w:right="60" w:firstLine="443"/>
        <w:spacing w:after="0" w:line="288"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left="700" w:hanging="257"/>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83" w:lineRule="exact"/>
        <w:rPr>
          <w:rFonts w:ascii="Arial" w:cs="Arial" w:eastAsia="Arial" w:hAnsi="Arial"/>
          <w:sz w:val="17"/>
          <w:szCs w:val="17"/>
          <w:color w:val="auto"/>
        </w:rPr>
      </w:pPr>
    </w:p>
    <w:p>
      <w:pPr>
        <w:ind w:right="60" w:firstLine="443"/>
        <w:spacing w:after="0" w:line="291" w:lineRule="auto"/>
        <w:tabs>
          <w:tab w:leader="none" w:pos="6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Common Shares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sz w:val="20"/>
          <w:szCs w:val="20"/>
          <w:color w:val="auto"/>
        </w:rPr>
      </w:pPr>
    </w:p>
    <w:p>
      <w:pPr>
        <w:jc w:val="both"/>
        <w:ind w:right="160" w:firstLine="443"/>
        <w:spacing w:after="0" w:line="342" w:lineRule="auto"/>
        <w:tabs>
          <w:tab w:leader="none" w:pos="7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4" w:name="page15"/>
    <w:bookmarkEnd w:id="14"/>
    <w:p>
      <w:pPr>
        <w:ind w:left="-20" w:right="160" w:firstLine="464"/>
        <w:spacing w:after="0" w:line="264" w:lineRule="auto"/>
        <w:tabs>
          <w:tab w:leader="none" w:pos="616"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execution of the Pricing Agreement applicable to any Designated Shares and authorization by the Underwriter of the release of such Designated Shares, the Underwriter proposes to offer such Designated Shares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20" w:firstLine="464"/>
        <w:spacing w:after="0" w:line="288"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Certificates for the Designated Shares to be purchased by the Underwriter pursuant to the Pricing Agreement relating thereto, in definitive form and in such authorized denominations and registered in such names as the Underwriter may request upon at least twenty-four hours’ prior notice to the Company, if to be issued in certificated form, shall be delivered by or on behalf of the Company to the Underwriter for the account of the Underwriter, against payment by the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Underwriter), all in the manner and at the place and time and date specified in such Pricing Agreement or at such other place and time and date as the Underwriter and the Company may agree upon in writing. The time and date of delivery of and payment for the Initial Shares (or, if the applicable Pricing Agreement does not grant the Underwriter an option to purchase Option Shares, the Designated Shares) is herein called the “Time of Delivery” for such Initial Shares, and, if the applicable Pricing Agreement grants the Underwriter an option to purchase Option Shares and if the Underwriter exercises such option, in whole or in part, the time and date of delivery of such Option Shares is hereinafter called the “Option Closing Time” for such Option Shares.</w:t>
      </w:r>
    </w:p>
    <w:p>
      <w:pPr>
        <w:spacing w:after="0" w:line="169" w:lineRule="exact"/>
        <w:rPr>
          <w:rFonts w:ascii="Arial" w:cs="Arial" w:eastAsia="Arial" w:hAnsi="Arial"/>
          <w:sz w:val="16"/>
          <w:szCs w:val="16"/>
          <w:color w:val="auto"/>
        </w:rPr>
      </w:pPr>
    </w:p>
    <w:p>
      <w:pPr>
        <w:ind w:left="620" w:hanging="17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agrees with the Underwriter of any Designated Shares that:</w:t>
      </w:r>
    </w:p>
    <w:p>
      <w:pPr>
        <w:spacing w:after="0" w:line="117" w:lineRule="exact"/>
        <w:rPr>
          <w:rFonts w:ascii="Arial" w:cs="Arial" w:eastAsia="Arial" w:hAnsi="Arial"/>
          <w:sz w:val="18"/>
          <w:szCs w:val="18"/>
          <w:color w:val="auto"/>
        </w:rPr>
      </w:pPr>
    </w:p>
    <w:p>
      <w:pPr>
        <w:ind w:left="440" w:right="20" w:firstLine="443"/>
        <w:spacing w:after="0" w:line="288" w:lineRule="auto"/>
        <w:tabs>
          <w:tab w:leader="none" w:pos="112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Underwriter immediately, and confirm the notice in writing, (i) when any post-effective amendment to the Registration Statement or new registration statement relating to the Designated Shares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Shares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effect the filings required under Rule 424(b), in the manner and within the time period required by Rule 424(b) (without reliance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Rule 424(b)(8)), and will take such steps as it deems necessary to ascertain promptly whether the form of prospectus transmitted for filing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 424(b) was received for filing by the Commission and, in the event that it was not, it will promptly file such prospectus. The Company will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every reasonable effort to prevent the issuance of any stop order and, if any stop order is issued, to obtain the lifting thereof at the earliest possible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moment. The Company shall pay the required Commission filing fees relating to the Designated Shares within the time required by Rule 456(b)(1)(i)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Act without regard to the proviso therein and otherwise in accordance with Rules 456(b) and 457(r) under the Act (including, if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updating the “Calculation of Registration Fee” table in accordance with Rule 456(b)(1)(ii) either in a post-effective amendment to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or on the cover page of a prospectus filed pursuant to Rule 424(b));</w:t>
      </w:r>
    </w:p>
    <w:p>
      <w:pPr>
        <w:spacing w:after="0" w:line="103" w:lineRule="exact"/>
        <w:rPr>
          <w:sz w:val="20"/>
          <w:szCs w:val="20"/>
          <w:color w:val="auto"/>
        </w:rPr>
      </w:pPr>
    </w:p>
    <w:p>
      <w:pPr>
        <w:ind w:firstLine="443"/>
        <w:spacing w:after="0" w:line="270" w:lineRule="auto"/>
        <w:tabs>
          <w:tab w:leader="none" w:pos="6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the Applicable Time to the Time of Delivery for such Designated Shares (or, if the applicable Pricing Agreement provides for an option to purchase the Option Shares, prior to the Option Closing Time or, if such option is not exercised by the Underwriter, from the Applicable Time to the expiration of such option), the Company will give the Underwriter notice of its intention to file or prepare any amendment to the Registration Statement or new registration statement relating to the Designated Shares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Underwriter with copies of any such documents a reasonable amount of time prior to such proposed filing or use, as the case may be, and will not file or use any such document to which the Underwriter or counsel for the Underwriter shall reasonably object. The Company has given the Underwriter notice of any filings made pursuant to the Exchange Act or the Commission’s regulations thereunder within forty-eight hours prior to the Applicable Time;</w:t>
      </w:r>
    </w:p>
    <w:p>
      <w:pPr>
        <w:spacing w:after="0" w:line="73" w:lineRule="exact"/>
        <w:rPr>
          <w:rFonts w:ascii="Arial" w:cs="Arial" w:eastAsia="Arial" w:hAnsi="Arial"/>
          <w:sz w:val="17"/>
          <w:szCs w:val="17"/>
          <w:color w:val="auto"/>
        </w:rPr>
      </w:pPr>
    </w:p>
    <w:p>
      <w:pPr>
        <w:ind w:right="40" w:firstLine="443"/>
        <w:spacing w:after="0" w:line="289" w:lineRule="auto"/>
        <w:tabs>
          <w:tab w:leader="none" w:pos="6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 and the Underwriter represents and agrees that, unless it obtains the prior written consent of the Company, it has not made and will not make any offer relating to the Designated Shares that would constitute an “issuer free writing prospectus,” as defined in Rule 433, or that would otherwise constitute a “free writing prospectus,” as defined in Rule 405, in each case required to be filed with the Commission; provided, however, that the Underwriter is authorized to use the information on Exhibit C hereto and the information with respect to the final terms of the Designated Shares in communications conveying information relating to the offering to investors. Any such free writing prospectus consented to by the Company and the Underwriter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16" w:name="page17"/>
    <w:bookmarkEnd w:id="16"/>
    <w:p>
      <w:pPr>
        <w:ind w:right="60" w:firstLine="443"/>
        <w:spacing w:after="0" w:line="257"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promptly from time to time will take such action as the Underwriter may reasonably request to qualify such Designated Shares for offering and sale under the securities laws of such jurisdictions as the Underwriter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80" w:lineRule="exact"/>
        <w:rPr>
          <w:rFonts w:ascii="Arial" w:cs="Arial" w:eastAsia="Arial" w:hAnsi="Arial"/>
          <w:sz w:val="18"/>
          <w:szCs w:val="18"/>
          <w:color w:val="auto"/>
        </w:rPr>
      </w:pPr>
    </w:p>
    <w:p>
      <w:pPr>
        <w:ind w:right="100" w:firstLine="443"/>
        <w:spacing w:after="0" w:line="255" w:lineRule="auto"/>
        <w:tabs>
          <w:tab w:leader="none" w:pos="6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furnished or will deliver to the Underwriter and counsel for the Underwriter,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Underwriter, without charge, a conformed copy of the Original Registration Statement and of each amendment thereto (without exhibits) for the Underwriter. The copies of the Original Registration Statement and each amendment thereto furnished to the Underwriter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8"/>
          <w:szCs w:val="18"/>
          <w:color w:val="auto"/>
        </w:rPr>
      </w:pPr>
    </w:p>
    <w:p>
      <w:pPr>
        <w:ind w:firstLine="443"/>
        <w:spacing w:after="0" w:line="270" w:lineRule="auto"/>
        <w:tabs>
          <w:tab w:leader="none" w:pos="6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delivered to the Underwriter, without charge, as many copies of each preliminary prospectus as the Underwriter reasonably requested, and the Company has delivered to the Underwriter, without charge, as many copies of each Issuer Free Writing Prospectus, if any, as the Underwriter reasonably requested, and the Company hereby consents to the use of such copies of each preliminary prospectus and each Issuer Free Writing Prospectus, if any, for purposes permitted by the Act. The Company will furnish to the Underwriter, without charge, during the period when the Prospectus is required to be delivered under the Act in connection with sales of the Designated Shares, such number of copies of the Prospectus, as amended or supplemented, as the Underwriter may reasonably request. The Prospectus and any amendments or supplements thereto furnished to the Underwriter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69" w:lineRule="exact"/>
        <w:rPr>
          <w:rFonts w:ascii="Arial" w:cs="Arial" w:eastAsia="Arial" w:hAnsi="Arial"/>
          <w:sz w:val="17"/>
          <w:szCs w:val="17"/>
          <w:color w:val="auto"/>
        </w:rPr>
      </w:pPr>
    </w:p>
    <w:p>
      <w:pPr>
        <w:ind w:right="400" w:firstLine="443"/>
        <w:spacing w:after="0" w:line="312" w:lineRule="auto"/>
        <w:tabs>
          <w:tab w:leader="none" w:pos="6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so as to permit the completion of the distribution of the Designated Shares as contemplated in this Underwriting Agreement, a related Pricing Agreement and in the Prospectus. If at any time when a prospectus is required by the Act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7" w:name="page18"/>
    <w:bookmarkEnd w:id="17"/>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delivered in connection with sales of the Designated Shares, any event shall occur or condition shall exist as a result of which it is necessary, in the opinion of counsel for the Underwriter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Shares) and the Company will furnish to the Underwriter such number of copies of such amendment, supplement or new registration statement as the Underwriter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Shares)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Underwriter and will promptly amend or supplement, at its own expense, such Issuer Free Writing Prospectus to eliminate or correct such conflict, untrue statement or omission;</w:t>
      </w:r>
    </w:p>
    <w:p>
      <w:pPr>
        <w:spacing w:after="0" w:line="70" w:lineRule="exact"/>
        <w:rPr>
          <w:sz w:val="20"/>
          <w:szCs w:val="20"/>
          <w:color w:val="auto"/>
        </w:rPr>
      </w:pPr>
    </w:p>
    <w:p>
      <w:pPr>
        <w:ind w:firstLine="443"/>
        <w:spacing w:after="0" w:line="264"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 the benefits contemplated by, the last paragraph of Section 11(a) of the Act;</w:t>
      </w:r>
    </w:p>
    <w:p>
      <w:pPr>
        <w:spacing w:after="0" w:line="73" w:lineRule="exact"/>
        <w:rPr>
          <w:rFonts w:ascii="Arial" w:cs="Arial" w:eastAsia="Arial" w:hAnsi="Arial"/>
          <w:sz w:val="18"/>
          <w:szCs w:val="18"/>
          <w:color w:val="auto"/>
        </w:rPr>
      </w:pPr>
    </w:p>
    <w:p>
      <w:pPr>
        <w:ind w:right="40" w:firstLine="443"/>
        <w:spacing w:after="0" w:line="271"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the period beginning on and including the date of the Pricing Agreement for such Designated Shares and continuing through and including the 30</w:t>
      </w:r>
      <w:r>
        <w:rPr>
          <w:rFonts w:ascii="Arial" w:cs="Arial" w:eastAsia="Arial" w:hAnsi="Arial"/>
          <w:sz w:val="14"/>
          <w:szCs w:val="14"/>
          <w:color w:val="auto"/>
        </w:rPr>
        <w:t>th</w:t>
      </w:r>
      <w:r>
        <w:rPr>
          <w:rFonts w:ascii="Arial" w:cs="Arial" w:eastAsia="Arial" w:hAnsi="Arial"/>
          <w:sz w:val="17"/>
          <w:szCs w:val="17"/>
          <w:color w:val="auto"/>
        </w:rPr>
        <w:t xml:space="preserve"> day after the date of the Pricing Agreement (the “Lock-Up Period”), not to offer, sell, contract to sell, pledge or otherwise issue or dispose of (or enter into any transaction that is designed to, or might reasonably be expected to, result in the disposition of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without the prior written consent of</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8" w:name="page19"/>
    <w:bookmarkEnd w:id="1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The foregoing restrictions in this Section 5(i) shall not prohibit the sale of such Designated Shares to the Underwriter pursuant to this Underwriting Agreement and the applicable Pricing Agreement, and shall not prohibit the Company from (A) issuing Common Shares (including upon exercise of share options) or granting options to purchase Common Shares pursuant to (x) the Company’s Dividend Reinvestment and Share Purchase Plan as in effect on the date of the applicable Pricing Agreement, (y) any of the Company’s employee or trustee benefits plans or employee inducement awards as such plans are in effect on the date of the applicable Pricing Agreement or consistent with past practice, or (z) the exercise of contractual rights existing on the date of the applicable Pricing Agreement by current and former holders of partnership or other interests in certain of the “DownREIT” and other Subsidiaries which may result in the issuance of Common Shares by the Company, and (B) issuing Common Shares, preferred shares and any other securities of the Company (the “Acquisition Securities”), including, without limitation, securities convertible into or exercisable, exchangeable or redeemable for Common Shares, as consideration for the acquisition of real property, provided that (i) the Acquisition Securities are not sold (with respect to Acquisition Securities that are Common Shares) and are not convertible, exercisable, exchangeable or redeemable for or into Common Shares (with respect to Acquisition Securities that are not Common Shares), in each case prior to the day following the 30</w:t>
      </w:r>
      <w:r>
        <w:rPr>
          <w:rFonts w:ascii="Arial" w:cs="Arial" w:eastAsia="Arial" w:hAnsi="Arial"/>
          <w:sz w:val="13"/>
          <w:szCs w:val="13"/>
          <w:color w:val="auto"/>
        </w:rPr>
        <w:t>th</w:t>
      </w:r>
      <w:r>
        <w:rPr>
          <w:rFonts w:ascii="Arial" w:cs="Arial" w:eastAsia="Arial" w:hAnsi="Arial"/>
          <w:sz w:val="16"/>
          <w:szCs w:val="16"/>
          <w:color w:val="auto"/>
        </w:rPr>
        <w:t xml:space="preserve"> day after the date of the Pricing Agreement and (ii) the Company shall not release, modify or waive the restriction set forth in this clause (B) with respect to the Acquisition Securities without the prior written consent of the Underwriter;</w:t>
      </w:r>
    </w:p>
    <w:p>
      <w:pPr>
        <w:spacing w:after="0" w:line="67" w:lineRule="exact"/>
        <w:rPr>
          <w:sz w:val="20"/>
          <w:szCs w:val="20"/>
          <w:color w:val="auto"/>
        </w:rPr>
      </w:pPr>
    </w:p>
    <w:p>
      <w:pPr>
        <w:ind w:right="140" w:firstLine="443"/>
        <w:spacing w:after="0" w:line="277" w:lineRule="auto"/>
        <w:tabs>
          <w:tab w:leader="none" w:pos="6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Shares in the manner specified in the Prospectus under the caption “Use of Proceeds”;</w:t>
      </w:r>
    </w:p>
    <w:p>
      <w:pPr>
        <w:spacing w:after="0" w:line="62" w:lineRule="exact"/>
        <w:rPr>
          <w:rFonts w:ascii="Arial" w:cs="Arial" w:eastAsia="Arial" w:hAnsi="Arial"/>
          <w:sz w:val="18"/>
          <w:szCs w:val="18"/>
          <w:color w:val="auto"/>
        </w:rPr>
      </w:pPr>
    </w:p>
    <w:p>
      <w:pPr>
        <w:ind w:right="520" w:firstLine="443"/>
        <w:spacing w:after="0" w:line="27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firstLine="443"/>
        <w:spacing w:after="0" w:line="270" w:lineRule="auto"/>
        <w:tabs>
          <w:tab w:leader="none" w:pos="6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 of such Designated Shares is acting solely in the capacity of an arm’s length contractual counterparty to the Company with respect to the offering of such Designated Shares (including in connection with determining the terms of the offering) and not as a financial advisor or a fiduciary to, or an agent of, the Company or any other person. The Company agrees that it will not claim that the Underwriter has rendered advisory services of any nature or respect, or owes a fiduciary or similar duty to the Company, in connection with such transaction or the process leading thereto. Additionally, the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 shall have no responsibility or liability to the Company with respect thereto. Any review by the Underwriter of the Company, the transactions contemplated hereby or in any Pricing Agreement or other matters relating to such transactions will be performed solely for the benefit of the Underwriter and shall not be on behalf of the Company.</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ind w:left="-40" w:right="20" w:firstLine="464"/>
        <w:spacing w:after="0" w:line="285"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covenants and agrees with the Underwriter that the Company will pay or cause to be paid the following: (i) the fees, disbursements and expenses of the Company’s counsel and accountants in connection with the registration of the Common Shares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 and dealers; (ii) the cost of printing or producing this Underwriting Agreement, any Pricing Agreement, any Blue Sky and legal investment surveys and any other documents in connection with the offering, purchase, sale and delivery of the Common Shares; (iii) all expenses in connection with the qualification of the Common Shares for offering and sale under state securities laws as provided in Section 5(d) hereof, including the fees and disbursements of counsel for the Underwriter in connection with such qualification and in connection with the Blue Sky and legal investment surveys; (iv) any filing fees incident to any required review by the Financial Industry Regulatory Authority of the terms of the sale of the Common Shares; (v) the cost of preparing certificates for the Designated Shares; (vi) the costs and charges of any transfer agent or registrar or dividend disbursing agent in connection with the Designated Shares;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Shares made by the Underwriter caused by a breach of the representation contained in the sixth paragraph of Section 2(c) hereof. It is understood, however, that, except as provided in this Section 6, Section 8 and Section 11 hereof, the Underwriter will pay all of its own costs and expenses, including the fees of its counsel, transfer taxes on resale of any of the Common Shares by the Underwriter, and any advertising expenses connected with any offers the Underwriter may make.</w:t>
      </w:r>
    </w:p>
    <w:p>
      <w:pPr>
        <w:spacing w:after="0" w:line="177" w:lineRule="exact"/>
        <w:rPr>
          <w:rFonts w:ascii="Arial" w:cs="Arial" w:eastAsia="Arial" w:hAnsi="Arial"/>
          <w:sz w:val="16"/>
          <w:szCs w:val="16"/>
          <w:color w:val="auto"/>
        </w:rPr>
      </w:pPr>
    </w:p>
    <w:p>
      <w:pPr>
        <w:ind w:left="-40" w:right="40" w:firstLine="464"/>
        <w:spacing w:after="0" w:line="297"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obligations of the Underwriter of any Designated Shares under the Pricing Agreement relating to such Designated Shares shall be subject, in the discretion of the Underwriter, to the condition that all representations and warranties and other statements of the Company in, or incorporated by reference from this Underwriting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50" w:lineRule="exact"/>
        <w:rPr>
          <w:rFonts w:ascii="Arial" w:cs="Arial" w:eastAsia="Arial" w:hAnsi="Arial"/>
          <w:sz w:val="16"/>
          <w:szCs w:val="16"/>
          <w:color w:val="auto"/>
        </w:rPr>
      </w:pPr>
    </w:p>
    <w:p>
      <w:pPr>
        <w:ind w:left="420" w:firstLine="443"/>
        <w:spacing w:after="0" w:line="255"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Shares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Underwriter’s reasonable satisfaction; the Company shall have paid the required Commission filing fees relating to the Designated Shares within the time period required by Rule 456(b)(1)(i) under the Act without regard to the proviso therein and otherwise in accordance with Rules 456(b)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74" w:right="279" w:bottom="1440" w:gutter="0" w:footer="0" w:header="0"/>
        </w:sectPr>
      </w:pPr>
    </w:p>
    <w:bookmarkStart w:id="20" w:name="page21"/>
    <w:bookmarkEnd w:id="20"/>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38" w:lineRule="exact"/>
        <w:rPr>
          <w:sz w:val="20"/>
          <w:szCs w:val="20"/>
          <w:color w:val="auto"/>
        </w:rPr>
      </w:pPr>
    </w:p>
    <w:p>
      <w:pPr>
        <w:ind w:right="120" w:firstLine="443"/>
        <w:spacing w:after="0" w:line="255" w:lineRule="auto"/>
        <w:tabs>
          <w:tab w:leader="none" w:pos="6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r>
        <w:rPr>
          <w:rFonts w:ascii="Arial" w:cs="Arial" w:eastAsia="Arial" w:hAnsi="Arial"/>
          <w:sz w:val="18"/>
          <w:szCs w:val="18"/>
          <w:color w:val="auto"/>
        </w:rPr>
        <w:t xml:space="preserve">, counsel for the Underwriter, shall have furnished to the Underwriter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Underwriter may reasonably request, and such counsel shall have received such papers and information as it may reasonably request to enable it to pass upon such matters (in rendering such opinion, Sidley Austin </w:t>
      </w:r>
      <w:r>
        <w:rPr>
          <w:rFonts w:ascii="Arial" w:cs="Arial" w:eastAsia="Arial" w:hAnsi="Arial"/>
          <w:sz w:val="15"/>
          <w:szCs w:val="15"/>
          <w:color w:val="auto"/>
        </w:rPr>
        <w:t>LLP</w:t>
      </w:r>
      <w:r>
        <w:rPr>
          <w:rFonts w:ascii="Arial" w:cs="Arial" w:eastAsia="Arial" w:hAnsi="Arial"/>
          <w:sz w:val="18"/>
          <w:szCs w:val="18"/>
          <w:color w:val="auto"/>
        </w:rPr>
        <w:t xml:space="preserve"> may rely, as to all matters arising under or governed by the laws of the State of Maryland, on the opinion of Pillsbury Winthrop Shaw Pittman LLP);</w:t>
      </w:r>
    </w:p>
    <w:p>
      <w:pPr>
        <w:spacing w:after="0" w:line="85" w:lineRule="exact"/>
        <w:rPr>
          <w:rFonts w:ascii="Arial" w:cs="Arial" w:eastAsia="Arial" w:hAnsi="Arial"/>
          <w:sz w:val="18"/>
          <w:szCs w:val="18"/>
          <w:color w:val="auto"/>
        </w:rPr>
      </w:pPr>
    </w:p>
    <w:p>
      <w:pPr>
        <w:ind w:firstLine="443"/>
        <w:spacing w:after="0" w:line="286" w:lineRule="auto"/>
        <w:tabs>
          <w:tab w:leader="none" w:pos="6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Pillsbury Winthrop Shaw Pittman LLP, counsel for the Company, shall have furnished to the Underwriter their written opinion, dated the Time of Delivery for such Designated Shares, in form and substance satisfactory to the Underwriter, substantially similar to the forms set forth in Exhibit D and Exhibit E hereto , subject to such assumptions, exceptions, and qualifications reasonably acceptable to the Underwriter;</w:t>
      </w:r>
    </w:p>
    <w:p>
      <w:pPr>
        <w:spacing w:after="0" w:line="57" w:lineRule="exact"/>
        <w:rPr>
          <w:rFonts w:ascii="Arial" w:cs="Arial" w:eastAsia="Arial" w:hAnsi="Arial"/>
          <w:sz w:val="17"/>
          <w:szCs w:val="17"/>
          <w:color w:val="auto"/>
        </w:rPr>
      </w:pPr>
    </w:p>
    <w:p>
      <w:pPr>
        <w:ind w:left="700" w:hanging="257"/>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the date of the Pricing Agreement for such Designated Shares and at the Time of Delivery for such Designated Shares, Grant</w:t>
      </w:r>
    </w:p>
    <w:p>
      <w:pPr>
        <w:spacing w:after="0" w:line="3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Thornton LLP, the independent accountants of the Company, shall have furnished to the Underwriter a “comfort letter” in form and substance satisfactory to the Underwriter;</w:t>
      </w:r>
    </w:p>
    <w:p>
      <w:pPr>
        <w:spacing w:after="0" w:line="76" w:lineRule="exact"/>
        <w:rPr>
          <w:sz w:val="20"/>
          <w:szCs w:val="20"/>
          <w:color w:val="auto"/>
        </w:rPr>
      </w:pPr>
    </w:p>
    <w:p>
      <w:pPr>
        <w:ind w:right="80" w:firstLine="443"/>
        <w:spacing w:after="0" w:line="269" w:lineRule="auto"/>
        <w:tabs>
          <w:tab w:leader="none" w:pos="68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 (in lieu of a payment in cash) the issuance of Common Shares of the Company, (v) the terms of (a) the Equity Distribution Agreement dated May 11, 2015 between the Company and Wells Fargo Securities, LLC and (b) the Equity Distribution Agreement dated May 11, 2015 between the Company and Merrill Lynch, Pierce, Fenner &amp; Smith Incorporated,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Underwriter so material and adverse as to make it impracticable or inadvisable to proceed with the public offering, sale or the delivery of the Designated Shares on the terms and in the manner contemplated in the Prospectus, as amended or supplemented;</w:t>
      </w:r>
    </w:p>
    <w:p>
      <w:pPr>
        <w:spacing w:after="0" w:line="74" w:lineRule="exact"/>
        <w:rPr>
          <w:sz w:val="20"/>
          <w:szCs w:val="20"/>
          <w:color w:val="auto"/>
        </w:rPr>
      </w:pPr>
    </w:p>
    <w:p>
      <w:pPr>
        <w:ind w:right="120" w:firstLine="443"/>
        <w:spacing w:after="0" w:line="279" w:lineRule="auto"/>
        <w:tabs>
          <w:tab w:leader="none" w:pos="6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63" w:lineRule="exact"/>
        <w:rPr>
          <w:rFonts w:ascii="Arial" w:cs="Arial" w:eastAsia="Arial" w:hAnsi="Arial"/>
          <w:sz w:val="17"/>
          <w:szCs w:val="17"/>
          <w:color w:val="auto"/>
        </w:rPr>
      </w:pPr>
    </w:p>
    <w:p>
      <w:pPr>
        <w:ind w:right="100" w:firstLine="443"/>
        <w:spacing w:after="0" w:line="254"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Underwriter makes it impracticable or inadvisable to proceed with the public offering, sale or the delivery of the Designated Shares on the terms and in the manner contemplated in the Prospectus, as amended or supplemented;</w:t>
      </w:r>
    </w:p>
    <w:p>
      <w:pPr>
        <w:spacing w:after="0" w:line="84" w:lineRule="exact"/>
        <w:rPr>
          <w:rFonts w:ascii="Arial" w:cs="Arial" w:eastAsia="Arial" w:hAnsi="Arial"/>
          <w:sz w:val="18"/>
          <w:szCs w:val="18"/>
          <w:color w:val="auto"/>
        </w:rPr>
      </w:pPr>
    </w:p>
    <w:p>
      <w:pPr>
        <w:ind w:right="280" w:firstLine="443"/>
        <w:spacing w:after="0" w:line="277"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w:t>
      </w:r>
    </w:p>
    <w:p>
      <w:pPr>
        <w:spacing w:after="0" w:line="62" w:lineRule="exact"/>
        <w:rPr>
          <w:rFonts w:ascii="Arial" w:cs="Arial" w:eastAsia="Arial" w:hAnsi="Arial"/>
          <w:sz w:val="18"/>
          <w:szCs w:val="18"/>
          <w:color w:val="auto"/>
        </w:rPr>
      </w:pPr>
    </w:p>
    <w:p>
      <w:pPr>
        <w:ind w:right="40" w:firstLine="443"/>
        <w:spacing w:after="0" w:line="257"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Underwriter at the Time of Delivery for the Designated Shares a certificate or certificates of officers of the Company dated such Time of Delivery and satisfactory to the Underwriter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(e) of this Section 7 and as to such other matters as the Underwriter may reasonably request;</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ind w:left="380" w:right="360" w:firstLine="443"/>
        <w:spacing w:after="0" w:line="277" w:lineRule="auto"/>
        <w:tabs>
          <w:tab w:leader="none" w:pos="1033"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prior to the date of the Pricing Agreement, the Underwriter shall have received an agreement substantially in the form of Exhibit F hereto signed by each of the persons listed in Schedule III to such Pricing Agreement;</w:t>
      </w:r>
    </w:p>
    <w:p>
      <w:pPr>
        <w:spacing w:after="0" w:line="62" w:lineRule="exact"/>
        <w:rPr>
          <w:rFonts w:ascii="Arial" w:cs="Arial" w:eastAsia="Arial" w:hAnsi="Arial"/>
          <w:sz w:val="18"/>
          <w:szCs w:val="18"/>
          <w:color w:val="auto"/>
        </w:rPr>
      </w:pPr>
    </w:p>
    <w:p>
      <w:pPr>
        <w:ind w:left="1080" w:hanging="257"/>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Designated Shares shall have been approved for listing on the NYSE, subject to official notice of issuance; and</w:t>
      </w:r>
    </w:p>
    <w:p>
      <w:pPr>
        <w:spacing w:after="0" w:line="117" w:lineRule="exact"/>
        <w:rPr>
          <w:rFonts w:ascii="Arial" w:cs="Arial" w:eastAsia="Arial" w:hAnsi="Arial"/>
          <w:sz w:val="18"/>
          <w:szCs w:val="18"/>
          <w:color w:val="auto"/>
        </w:rPr>
      </w:pPr>
    </w:p>
    <w:p>
      <w:pPr>
        <w:ind w:left="380" w:right="60" w:firstLine="443"/>
        <w:spacing w:after="0" w:line="270" w:lineRule="auto"/>
        <w:tabs>
          <w:tab w:leader="none" w:pos="10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In the event that the Pricing Agreement with respect to the Designated Shares grants the Underwriter an option to purchase Option Shares from the Company and the Underwriter exercises such option to purchase all or any of the Option Shares, the obligations of the Underwriter to purchase such Option Shares at the Option Closing Time shall be subject to the further conditions that the Underwriter shall have received legal opinions of Sidley Austin </w:t>
      </w:r>
      <w:r>
        <w:rPr>
          <w:rFonts w:ascii="Arial" w:cs="Arial" w:eastAsia="Arial" w:hAnsi="Arial"/>
          <w:sz w:val="14"/>
          <w:szCs w:val="14"/>
          <w:color w:val="auto"/>
        </w:rPr>
        <w:t>LLP</w:t>
      </w:r>
      <w:r>
        <w:rPr>
          <w:rFonts w:ascii="Arial" w:cs="Arial" w:eastAsia="Arial" w:hAnsi="Arial"/>
          <w:sz w:val="17"/>
          <w:szCs w:val="17"/>
          <w:color w:val="auto"/>
        </w:rPr>
        <w:t xml:space="preserve"> and Pillsbury Winthrop Shaw Pittman LLP, dated such Option Closing Time, relating to the Option Shares to be purchased and otherwise to the same effect as the respective opinions referred to in Sections 7(b) and (c), a certificate or certificates of officers of the Company, dated such Option Closing Time, to the same effect as the certificate or certificates required pursuant to Section 7(i), and a “comfort letter,” dated such Option Closing Time, from Grant Thornton LLP in the same form and substance as the letter furnished to the Underwriter at the Time of Delivery except that the “specified date” in such letter shall be a date not more than five days prior to such Option Closing Time, and that all of the foregoing are satisfactory to the Underwriter.</w:t>
      </w:r>
    </w:p>
    <w:p>
      <w:pPr>
        <w:spacing w:after="0" w:line="181" w:lineRule="exact"/>
        <w:rPr>
          <w:rFonts w:ascii="Arial" w:cs="Arial" w:eastAsia="Arial" w:hAnsi="Arial"/>
          <w:sz w:val="17"/>
          <w:szCs w:val="17"/>
          <w:color w:val="auto"/>
        </w:rPr>
      </w:pPr>
    </w:p>
    <w:p>
      <w:pPr>
        <w:ind w:left="-80" w:firstLine="464"/>
        <w:spacing w:after="0" w:line="286"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The Company will indemnify and hold harmless the Underwriter, its affiliates, its directors, its officers and each person, if any, who controls the Underwriter within the meaning of Section 15 of the Act or Section 20 of the Exchange Act, against any losses, claims, damages or liabilities to which the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Common Shares, or any amendment or supplement thereto,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the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Common Shares, or any such amendment or supplement in reliance upon and in conformity with written information furnished to the Company by the Underwriter of Designated Shares through the Underwriter expressly for use therein.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274" w:right="319" w:bottom="1440" w:gutter="0" w:footer="0" w:header="0"/>
        </w:sectPr>
      </w:pPr>
    </w:p>
    <w:bookmarkStart w:id="23" w:name="page24"/>
    <w:bookmarkEnd w:id="23"/>
    <w:p>
      <w:pPr>
        <w:ind w:left="-40" w:firstLine="464"/>
        <w:spacing w:after="0" w:line="286" w:lineRule="auto"/>
        <w:tabs>
          <w:tab w:leader="none" w:pos="671"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Common Shares,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Common Shares, or any such amendment or supplement in reliance upon and in conformity with written information furnished to the Company by the Underwriter through the Underwriter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4" w:lineRule="exact"/>
        <w:rPr>
          <w:rFonts w:ascii="Arial" w:cs="Arial" w:eastAsia="Arial" w:hAnsi="Arial"/>
          <w:sz w:val="16"/>
          <w:szCs w:val="16"/>
          <w:color w:val="auto"/>
        </w:rPr>
      </w:pPr>
    </w:p>
    <w:p>
      <w:pPr>
        <w:ind w:left="-40" w:firstLine="464"/>
        <w:spacing w:after="0" w:line="286" w:lineRule="auto"/>
        <w:tabs>
          <w:tab w:leader="none" w:pos="6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74" w:right="279" w:bottom="1440" w:gutter="0" w:footer="0" w:header="0"/>
        </w:sectPr>
      </w:pPr>
    </w:p>
    <w:bookmarkStart w:id="24" w:name="page25"/>
    <w:bookmarkEnd w:id="24"/>
    <w:p>
      <w:pPr>
        <w:ind w:left="720" w:hanging="256"/>
        <w:spacing w:after="0"/>
        <w:tabs>
          <w:tab w:leader="none" w:pos="720"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firstLine="8"/>
        <w:spacing w:after="0" w:line="283"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 on the other shall be deemed to be in the same proportion as the total net proceeds from such offering (before deducting expenses) received by the Company bear to the total underwriting discounts and commissions from such offering received by the Underwriter.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 on the other and the parties’ relative intent, knowledge, access to information and opportunity to correct or prevent such statement or omission. The Company and the Underwriter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the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82" w:lineRule="exact"/>
        <w:rPr>
          <w:rFonts w:ascii="Arial" w:cs="Arial" w:eastAsia="Arial" w:hAnsi="Arial"/>
          <w:sz w:val="16"/>
          <w:szCs w:val="16"/>
          <w:color w:val="auto"/>
        </w:rPr>
      </w:pPr>
    </w:p>
    <w:p>
      <w:pPr>
        <w:ind w:firstLine="464"/>
        <w:spacing w:after="0" w:line="257" w:lineRule="auto"/>
        <w:tabs>
          <w:tab w:leader="none" w:pos="7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the Underwriter within the meaning of the Act; and the obligations of the Underwriter under this Section 8 shall be in addition to any liability which the Underwriter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20" w:firstLine="464"/>
        <w:spacing w:after="0" w:line="287" w:lineRule="auto"/>
        <w:tabs>
          <w:tab w:leader="none" w:pos="616"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the Underwriter shall default in its obligation to purchase the Designated Shares which it has agreed to purchase at the Time of Delivery or, if applicable, at the Option Closing Time under the Pricing Agreement relating to such Designated Shares, the Underwriter may in its discretion arrange for another party or other parties to purchase such Designated Shares on the terms contained herein. If within thirty-six hours after such default, the Underwriter does not arrange for the purchase of such Designated Shares, then the Company shall be entitled to a further period of thirty-six hours within which to procure another party or other parties satisfactory to the Underwriter to purchase such Designated Shares on such terms. In the event that, within the respective prescribed period, the Underwriter notifies the Company that it has so arranged for the purchase of such Designated Shares, or the Company notifies the Underwriter that it has so arranged for the purchase of such Designated Shares, the Underwriter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Underwriter may thereby be made necessary. The term “Underwriter” as used in this Underwriting Agreement shall include any person substituted under this Section 9 with like effect as if such person had originally been a party to the Pricing Agreement with respect to such Designated Shares.</w:t>
      </w:r>
    </w:p>
    <w:p>
      <w:pPr>
        <w:spacing w:after="0" w:line="169" w:lineRule="exact"/>
        <w:rPr>
          <w:sz w:val="20"/>
          <w:szCs w:val="20"/>
          <w:color w:val="auto"/>
        </w:rPr>
      </w:pPr>
    </w:p>
    <w:p>
      <w:pPr>
        <w:ind w:left="-20" w:firstLine="464"/>
        <w:spacing w:after="0" w:line="255" w:lineRule="auto"/>
        <w:tabs>
          <w:tab w:leader="none" w:pos="6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Designated Shares as provided in subsection (a) above, the aggregate number of the Designated Shares which remains unpurchased exceeds one-tenth of the aggregate number of the Designated Shares to be purchased at the Time of Delivery or the Option Closing Time, as the case may be, then, in the case of a failure to purchase Designated Shares at the Time of Delivery, the Pricing Agreement relating to such Designated Shares shall thereupon terminate, without liability on the part of the Company, except for the expenses to be borne by the Company and the Underwriter as provided in Section 6 hereof and the indemnity and contribution agreements in Section 8 hereof, but nothing herein shall relieve the Underwriter from liability for its default.</w:t>
      </w:r>
    </w:p>
    <w:p>
      <w:pPr>
        <w:spacing w:after="0" w:line="193" w:lineRule="exact"/>
        <w:rPr>
          <w:sz w:val="20"/>
          <w:szCs w:val="20"/>
          <w:color w:val="auto"/>
        </w:rPr>
      </w:pPr>
    </w:p>
    <w:p>
      <w:pPr>
        <w:ind w:left="-20" w:right="220" w:firstLine="464"/>
        <w:spacing w:after="0" w:line="257" w:lineRule="auto"/>
        <w:tabs>
          <w:tab w:leader="none" w:pos="7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Underwriter, as set forth in this Underwriting Agreement or made by or on behalf of them, respectively, pursuant to this Underwriting Agreement, shall remain in full force and effect, regardless of any investigation (or any statement as to the results thereof) made by or on behalf of the Underwriter or any controlling person of the Underwriter, or the Company, or any officer or trustee or controlling person of the Company, and shall survive delivery of and payment for the Common Shares.</w:t>
      </w:r>
    </w:p>
    <w:p>
      <w:pPr>
        <w:spacing w:after="0" w:line="188" w:lineRule="exact"/>
        <w:rPr>
          <w:rFonts w:ascii="Arial" w:cs="Arial" w:eastAsia="Arial" w:hAnsi="Arial"/>
          <w:sz w:val="18"/>
          <w:szCs w:val="18"/>
          <w:color w:val="auto"/>
        </w:rPr>
      </w:pPr>
    </w:p>
    <w:p>
      <w:pPr>
        <w:ind w:left="-20" w:right="40" w:firstLine="464"/>
        <w:spacing w:after="0" w:line="293"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have any liability to the Underwriter with respect to the Designated Shares covered by such Pricing Agreement except as provided in Section 6 and Section 8 hereof. If this Underwriting Agreement shall be terminated as a result of any of the conditions set forth in Section 7 (other than clause (i), (iii) or (iv) of Section 7(g)) hereof not being satisfied, the Company will reimburse the Underwriter for all out-of-pocket expenses approved in writing by the Underwriter, including reasonable fees and disbursements of counsel, reasonably incurred by the Underwriter in making preparations for the purchase, sale and delivery of such Designated Shares, but the Company shall then have no further liability to the Underwriter with respect to such Designated Shares except as provided in Section 6 and Section 8 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26" w:name="page27"/>
    <w:bookmarkEnd w:id="26"/>
    <w:p>
      <w:pPr>
        <w:ind w:firstLine="464"/>
        <w:spacing w:after="0" w:line="272" w:lineRule="auto"/>
        <w:tabs>
          <w:tab w:leader="none" w:pos="726"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statements, requests, notices and agreements hereunder shall be in writing, and if to the Underwriter shall be delivered or sent by mail, overnight courier, hand delivery or facsimile transmission to the address of the Underwriter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the Underwriter pursuant to Section 8(c) hereof shall also be delivered or sent by mail, overnight courier, hand delivery or facsimile transmission to the Underwriter at its address set forth in the Underwriter’s questionnaire, or telex or facsimile transmission constituting such questionnaire, which address will be supplied to the Company by the Underwriter upon request. Any such statements, requests, notices or agreements shall take effect upon receipt thereof.</w:t>
      </w:r>
    </w:p>
    <w:p>
      <w:pPr>
        <w:spacing w:after="0" w:line="177" w:lineRule="exact"/>
        <w:rPr>
          <w:rFonts w:ascii="Arial" w:cs="Arial" w:eastAsia="Arial" w:hAnsi="Arial"/>
          <w:sz w:val="17"/>
          <w:szCs w:val="17"/>
          <w:color w:val="auto"/>
        </w:rPr>
      </w:pPr>
    </w:p>
    <w:p>
      <w:pPr>
        <w:ind w:right="120" w:firstLine="464"/>
        <w:spacing w:after="0" w:line="308" w:lineRule="auto"/>
        <w:tabs>
          <w:tab w:leader="none" w:pos="72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hereby irrevocably waives, to the fullest extent permitted by applicable law, any and all right to trial by jury in any legal proceeding arising out of or relating to this Underwriting Agreement, any Pricing Agreement or any transaction contemplated hereby or therein.</w:t>
      </w:r>
    </w:p>
    <w:p>
      <w:pPr>
        <w:spacing w:after="0" w:line="146" w:lineRule="exact"/>
        <w:rPr>
          <w:rFonts w:ascii="Arial" w:cs="Arial" w:eastAsia="Arial" w:hAnsi="Arial"/>
          <w:sz w:val="17"/>
          <w:szCs w:val="17"/>
          <w:color w:val="auto"/>
        </w:rPr>
      </w:pPr>
    </w:p>
    <w:p>
      <w:pPr>
        <w:ind w:firstLine="464"/>
        <w:spacing w:after="0" w:line="297" w:lineRule="auto"/>
        <w:tabs>
          <w:tab w:leader="none" w:pos="72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 the Company and, to the extent provided in Section 8 and Section 10 hereof, the officers of the Company who signed the Registration Statement, and trustees of the Company and each person, if any, who controls the Company or the Underwriter, and their respective heirs, executors, administrators, successors and assigns, and no other person shall acquire or have any right under or by virtue of this Underwriting Agreement or any such Pricing Agreement. No purchaser of any of the Common Shares from the Underwriter shall be deemed a successor or assign by reason merely of such purchase.</w:t>
      </w:r>
    </w:p>
    <w:p>
      <w:pPr>
        <w:spacing w:after="0" w:line="158" w:lineRule="exact"/>
        <w:rPr>
          <w:rFonts w:ascii="Arial" w:cs="Arial" w:eastAsia="Arial" w:hAnsi="Arial"/>
          <w:sz w:val="16"/>
          <w:szCs w:val="16"/>
          <w:color w:val="auto"/>
        </w:rPr>
      </w:pPr>
    </w:p>
    <w:p>
      <w:pPr>
        <w:ind w:right="480" w:firstLine="464"/>
        <w:spacing w:after="0" w:line="277" w:lineRule="auto"/>
        <w:tabs>
          <w:tab w:leader="none" w:pos="7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80" w:firstLine="464"/>
        <w:spacing w:after="0" w:line="342" w:lineRule="auto"/>
        <w:tabs>
          <w:tab w:leader="none" w:pos="72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James M. Taylor</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6"/>
          <w:szCs w:val="16"/>
          <w:color w:val="auto"/>
        </w:rPr>
        <w:t>Title:</w:t>
        <w:tab/>
        <w:t>Executive Vice President-Chief Financial Officer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Treasurer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860"/>
          </w:cols>
          <w:pgMar w:left="700" w:top="274" w:right="339" w:bottom="1440" w:gutter="0" w:footer="0" w:header="0"/>
        </w:sectPr>
      </w:pPr>
    </w:p>
    <w:bookmarkStart w:id="28" w:name="page29"/>
    <w:bookmarkEnd w:id="28"/>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Abrahimzadeh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Abrahimzadeh</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3039"/>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March 1, 2016 (the “Underwriting Agreement”), between the Company and you (the “Underwriter”), to issue and sell to the Underwriter the Common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Underwriter herein and in the provisions of the Underwriting Agreement so incorporated by reference shall be deemed to refer to you. Unless otherwise defined herein, terms defined in the Underwriting Agreement are used herein as therein defined.</w:t>
      </w:r>
    </w:p>
    <w:p>
      <w:pPr>
        <w:spacing w:after="0" w:line="17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the Underwriter, and the Underwriter agrees to purchase from the Company, at the Time of Delivery and place and at the purchase price to the Underwriter set forth in Schedule II hereto, the number of Initial Shares (as defined in Schedule II hereto) set forth opposite the name of the Underwriter in Schedule I hereto.</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addition, subject to the terms and conditions set forth herein and in the Underwriting Agreement incorporated herein by reference, the Company hereby grants an option to the Underwriter to purchase up to the number of Option Shares (as defined in Schedule II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in Schedule II hereto at the place and purchase price to the Underwriter set forth in Schedule II hereto and at the Option Closing Time specified by the Underwriter as provided below. The option hereby granted will expire at 11:59 p.m. (New York City time) on the 30th day after the date of this Pricing Agreement and may be exercised once, in whole or in part, upon notice by the Underwriter to the Company setting forth the number of Option Shares as to which the Underwriter is then exercising the option and the Option Closing Time for such Option Shares. Any such Option Closing Time shall be determined by the Underwriter but shall not be later than seven full business days after the exercise of such option nor in any event prior to the Time of Delivery. If the option is exercised as to all or any portion of the Option Shares, the Underwriter will be obligated to purchase that number of Option Shares, and the Company shall be obligated to issue and sell such Option Shares to the Underwriter, subject to the terms and conditions set forth herein and in the Underwriting Agreement incorporated by reference herein.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agrees to reimburse the Underwriter for its reasonable out-of-pocket expenses incurred in connection with the offering.</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74" w:right="319" w:bottom="1440" w:gutter="0" w:footer="0" w:header="0"/>
        </w:sectPr>
      </w:pPr>
    </w:p>
    <w:bookmarkStart w:id="31" w:name="page32"/>
    <w:bookmarkEnd w:id="3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40"/>
          </w:cols>
          <w:pgMar w:left="240" w:top="274" w:right="319" w:bottom="1440" w:gutter="0" w:footer="0" w:header="0"/>
        </w:sectPr>
      </w:pPr>
    </w:p>
    <w:bookmarkStart w:id="32" w:name="page33"/>
    <w:bookmarkEnd w:id="3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27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740" w:type="dxa"/>
            <w:vAlign w:val="bottom"/>
            <w:gridSpan w:val="3"/>
          </w:tcPr>
          <w:p>
            <w:pPr>
              <w:jc w:val="right"/>
              <w:ind w:right="5180"/>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67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Initial Shares</w:t>
            </w:r>
          </w:p>
        </w:tc>
        <w:tc>
          <w:tcPr>
            <w:tcW w:w="0" w:type="dxa"/>
            <w:vAlign w:val="bottom"/>
          </w:tcPr>
          <w:p>
            <w:pPr>
              <w:spacing w:after="0"/>
              <w:rPr>
                <w:sz w:val="1"/>
                <w:szCs w:val="1"/>
                <w:color w:val="auto"/>
              </w:rPr>
            </w:pPr>
          </w:p>
        </w:tc>
      </w:tr>
      <w:tr>
        <w:trPr>
          <w:trHeight w:val="161"/>
        </w:trPr>
        <w:tc>
          <w:tcPr>
            <w:tcW w:w="3680" w:type="dxa"/>
            <w:vAlign w:val="bottom"/>
            <w:gridSpan w:val="3"/>
            <w:vMerge w:val="continue"/>
          </w:tcPr>
          <w:p>
            <w:pPr>
              <w:spacing w:after="0"/>
              <w:rPr>
                <w:sz w:val="13"/>
                <w:szCs w:val="13"/>
                <w:color w:val="auto"/>
              </w:rPr>
            </w:pPr>
          </w:p>
        </w:tc>
        <w:tc>
          <w:tcPr>
            <w:tcW w:w="6720" w:type="dxa"/>
            <w:vAlign w:val="bottom"/>
          </w:tcPr>
          <w:p>
            <w:pPr>
              <w:spacing w:after="0"/>
              <w:rPr>
                <w:sz w:val="13"/>
                <w:szCs w:val="13"/>
                <w:color w:val="auto"/>
              </w:rPr>
            </w:pPr>
          </w:p>
        </w:tc>
        <w:tc>
          <w:tcPr>
            <w:tcW w:w="10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w w:val="88"/>
              </w:rPr>
              <w:t>to be Purchased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67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740" w:type="dxa"/>
            <w:vAlign w:val="bottom"/>
            <w:gridSpan w:val="3"/>
          </w:tcPr>
          <w:p>
            <w:pPr>
              <w:jc w:val="right"/>
              <w:ind w:right="560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5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Title of Designated Shares:</w:t>
      </w:r>
      <w:r>
        <w:rPr>
          <w:sz w:val="20"/>
          <w:szCs w:val="20"/>
          <w:color w:val="auto"/>
        </w:rPr>
        <w:tab/>
      </w:r>
      <w:r>
        <w:rPr>
          <w:rFonts w:ascii="Arial" w:cs="Arial" w:eastAsia="Arial" w:hAnsi="Arial"/>
          <w:sz w:val="16"/>
          <w:szCs w:val="16"/>
          <w:color w:val="auto"/>
        </w:rPr>
        <w:t>Common Shares of Beneficial Interest</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Number of Designated Shares:</w:t>
      </w:r>
      <w:r>
        <w:rPr>
          <w:sz w:val="20"/>
          <w:szCs w:val="20"/>
          <w:color w:val="auto"/>
        </w:rPr>
        <w:tab/>
      </w:r>
      <w:r>
        <w:rPr>
          <w:rFonts w:ascii="Arial" w:cs="Arial" w:eastAsia="Arial" w:hAnsi="Arial"/>
          <w:sz w:val="15"/>
          <w:szCs w:val="15"/>
          <w:color w:val="auto"/>
        </w:rPr>
        <w:t>1,000,000 shares. The Designated Shares consist of an aggregate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1,000,000 Designated Shares (the “Initial Shares”) that the Underwriter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has agreed to purchase and that the Company has agreed to sell and an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aggregate of up to 150,000 Designated Shares (the “Option Shares”) that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Underwriter has the option to purchase from the Company, all subject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to the terms and conditions set forth in this Pricing Agreement and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Underwriting Agreement incorporated by reference herein.</w:t>
      </w:r>
    </w:p>
    <w:p>
      <w:pPr>
        <w:sectPr>
          <w:pgSz w:w="11900" w:h="16838" w:orient="portrait"/>
          <w:cols w:equalWidth="0" w:num="1">
            <w:col w:w="11340"/>
          </w:cols>
          <w:pgMar w:left="240" w:top="274" w:right="31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per Share for Designated Shares to be Paid by the Underwriter: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$149.43 per share; provided, however, that the purchase price per share for any Option Shares purchased by the Underwriter shall be reduced by an amount per share equal to the aggregate amount per share of any dividends or distributions declared, paid or payable with respect to the Initial Shares but not payable with respect to such Option Shares.</w:t>
      </w:r>
    </w:p>
    <w:p>
      <w:pPr>
        <w:spacing w:after="0" w:line="50" w:lineRule="exact"/>
        <w:rPr>
          <w:sz w:val="20"/>
          <w:szCs w:val="20"/>
          <w:color w:val="auto"/>
        </w:rPr>
      </w:pPr>
    </w:p>
    <w:p>
      <w:pPr>
        <w:sectPr>
          <w:pgSz w:w="11900" w:h="16838" w:orient="portrait"/>
          <w:cols w:equalWidth="0" w:num="2">
            <w:col w:w="5660" w:space="400"/>
            <w:col w:w="5280"/>
          </w:cols>
          <w:pgMar w:left="240" w:top="274" w:right="31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Applicable Time:</w:t>
      </w:r>
      <w:r>
        <w:rPr>
          <w:sz w:val="20"/>
          <w:szCs w:val="20"/>
          <w:color w:val="auto"/>
        </w:rPr>
        <w:tab/>
      </w:r>
      <w:r>
        <w:rPr>
          <w:rFonts w:ascii="Arial" w:cs="Arial" w:eastAsia="Arial" w:hAnsi="Arial"/>
          <w:sz w:val="16"/>
          <w:szCs w:val="16"/>
          <w:color w:val="auto"/>
        </w:rPr>
        <w:t>6:00 p.m. (Eastern Time) on March 1, 2016 or such other time as agreed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Company and the Underwriter.</w:t>
      </w:r>
    </w:p>
    <w:p>
      <w:pPr>
        <w:sectPr>
          <w:pgSz w:w="11900" w:h="16838" w:orient="portrait"/>
          <w:cols w:equalWidth="0" w:num="1">
            <w:col w:w="11340"/>
          </w:cols>
          <w:pgMar w:left="240" w:top="274" w:right="31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Per Share for Designated Shares,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 if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Sinking fund requirements,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Wire transfer of immediately available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may be specified from time to time by the Company’s Board of Trustees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ectPr>
          <w:pgSz w:w="11900" w:h="16838" w:orient="portrait"/>
          <w:cols w:equalWidth="0" w:num="2">
            <w:col w:w="5840" w:space="220"/>
            <w:col w:w="5280"/>
          </w:cols>
          <w:pgMar w:left="240" w:top="274" w:right="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-201295</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1-646-291-1469</w:t>
      </w:r>
    </w:p>
    <w:p>
      <w:pPr>
        <w:spacing w:after="0" w:line="116"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129" w:lineRule="exact"/>
        <w:rPr>
          <w:sz w:val="20"/>
          <w:szCs w:val="20"/>
          <w:color w:val="auto"/>
        </w:rPr>
      </w:pPr>
    </w:p>
    <w:p>
      <w:pPr>
        <w:sectPr>
          <w:pgSz w:w="11900" w:h="16838" w:orient="portrait"/>
          <w:cols w:equalWidth="0" w:num="2">
            <w:col w:w="5340" w:space="72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Time of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 a.m. (New York City time) on March 7, 2016</w:t>
      </w:r>
    </w:p>
    <w:p>
      <w:pPr>
        <w:spacing w:after="0" w:line="140" w:lineRule="exact"/>
        <w:rPr>
          <w:sz w:val="20"/>
          <w:szCs w:val="20"/>
          <w:color w:val="auto"/>
        </w:rPr>
      </w:pPr>
    </w:p>
    <w:p>
      <w:pPr>
        <w:sectPr>
          <w:pgSz w:w="11900" w:h="16838" w:orient="portrait"/>
          <w:cols w:equalWidth="0" w:num="2">
            <w:col w:w="5340" w:space="72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787 Seventh Avenue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126" w:lineRule="exact"/>
        <w:rPr>
          <w:sz w:val="20"/>
          <w:szCs w:val="20"/>
          <w:color w:val="auto"/>
        </w:rPr>
      </w:pPr>
    </w:p>
    <w:p>
      <w:pPr>
        <w:sectPr>
          <w:pgSz w:w="11900" w:h="16838" w:orient="portrait"/>
          <w:cols w:equalWidth="0" w:num="2">
            <w:col w:w="5340" w:space="72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5340" w:space="720"/>
            <w:col w:w="4159"/>
          </w:cols>
          <w:pgMar w:left="240" w:top="274" w:right="1440" w:bottom="1440" w:gutter="0" w:footer="0" w:header="0"/>
          <w:type w:val="continuous"/>
        </w:sectPr>
      </w:pPr>
    </w:p>
    <w:p>
      <w:pPr>
        <w:ind w:left="558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219"/>
          </w:cols>
          <w:pgMar w:left="240" w:top="274" w:right="1440" w:bottom="1440" w:gutter="0" w:footer="0" w:header="0"/>
          <w:type w:val="continuous"/>
        </w:sectPr>
      </w:pPr>
    </w:p>
    <w:bookmarkStart w:id="36" w:name="page37"/>
    <w:bookmarkEnd w:id="36"/>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color w:val="auto"/>
        </w:rPr>
        <w:t>List of Persons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M. Taylor, Jr.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7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60"/>
          </w:cols>
          <w:pgMar w:left="70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PRICE-RELATED INFORMATION</w:t>
      </w:r>
    </w:p>
    <w:p>
      <w:pPr>
        <w:spacing w:after="0" w:line="1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is selling 1,000,000 Common Shares.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granted an option to the Underwriter to purchase up to an additional 150,000 Common Shares.</w:t>
      </w:r>
    </w:p>
    <w:p>
      <w:pPr>
        <w:spacing w:after="0" w:line="130" w:lineRule="exact"/>
        <w:rPr>
          <w:rFonts w:ascii="Arial" w:cs="Arial" w:eastAsia="Arial" w:hAnsi="Arial"/>
          <w:sz w:val="18"/>
          <w:szCs w:val="18"/>
          <w:color w:val="auto"/>
        </w:rPr>
      </w:pPr>
    </w:p>
    <w:p>
      <w:pPr>
        <w:ind w:left="5580" w:right="2300" w:hanging="5572"/>
        <w:spacing w:after="0" w:line="449" w:lineRule="auto"/>
        <w:tabs>
          <w:tab w:leader="none" w:pos="4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 offering price per share for the Designated Shares as to each investor shall be the price paid by such investor. C-1</w:t>
      </w:r>
    </w:p>
    <w:p>
      <w:pPr>
        <w:sectPr>
          <w:pgSz w:w="11900" w:h="16838" w:orient="portrait"/>
          <w:cols w:equalWidth="0" w:num="1">
            <w:col w:w="11420"/>
          </w:cols>
          <w:pgMar w:left="240" w:top="27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March 1, 2016 (the “Underwriting Agreement”), between the Company and you (the “Underwriter”), to issue and sell to the Underwriter the Common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Underwriter herein and in the provisions of the Underwriting Agreement so incorporated by reference shall be deemed to refer to you. Unless otherwise defined herein, terms defined in the Underwriting Agreement are used herein as therein defined.</w:t>
      </w:r>
    </w:p>
    <w:p>
      <w:pPr>
        <w:spacing w:after="0" w:line="17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the Underwriter, and the Underwriter agrees to purchase from the Company, at the Time of Delivery and place and at the purchase price to the Underwriter set forth in Schedule II hereto, the number of Initial Shares (as defined in Schedule II hereto) set forth opposite the name of the Underwriter in Schedule I hereto.</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subject to the terms and conditions set forth herein and in the Underwriting Agreement incorporated herein by reference, the Company hereby grants an option to the Underwriter to purchase up to the number of Option Shares (as defined in Schedule II hereto) specified in Schedule II hereto at the place and purchase price to the Underwriter set forth in Schedule II hereto and at the Option Closing Time specified by the Underwriter as provided below. The option hereby granted will expire at 11:59 p.m. (New York City time) on the 30th</w:t>
      </w:r>
    </w:p>
    <w:p>
      <w:pPr>
        <w:sectPr>
          <w:pgSz w:w="11900" w:h="16838" w:orient="portrait"/>
          <w:cols w:equalWidth="0" w:num="1">
            <w:col w:w="11420"/>
          </w:cols>
          <w:pgMar w:left="240" w:top="121" w:right="239" w:bottom="1440" w:gutter="0" w:footer="0" w:header="0"/>
        </w:sectPr>
      </w:pPr>
    </w:p>
    <w:bookmarkStart w:id="40" w:name="page41"/>
    <w:bookmarkEnd w:id="4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 after the date of this Pricing Agreement and may be exercised once, in whole or in part, upon notice by the Underwriter to the Company setting forth the number of Option Shares as to which the Underwriter is then exercising the option and the Option Closing Time for such Option Shares. Any such Option Closing Time shall be determined by the Underwriter but shall not be later than seven full business days after the exercise of such option nor in any event prior to the Time of Delivery. If the option is exercised as to all or any portion of the Option Shares, the Underwriter will be obligated to purchase that number of Option Shares, and the Company shall be obligated to issue and sell such Option Shares to the Underwriter, subject to the terms and conditions set forth herein and in the Underwriting Agreement incorporated by reference herein.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agrees to reimburse the Underwriter for its reasonable out-of-pocket expenses incurred in connection with the offering.</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40"/>
          </w:cols>
          <w:pgMar w:left="240" w:top="274" w:right="319" w:bottom="1440" w:gutter="0" w:footer="0" w:header="0"/>
        </w:sectPr>
      </w:pPr>
    </w:p>
    <w:bookmarkStart w:id="41" w:name="page42"/>
    <w:bookmarkEnd w:id="4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James M. Taylor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6"/>
          <w:szCs w:val="16"/>
          <w:color w:val="auto"/>
        </w:rPr>
        <w:t>Title:</w:t>
        <w:tab/>
        <w:t>Executive Vice President-Chief Financial Officer</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and Treasurer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42" w:name="page43"/>
    <w:bookmarkEnd w:id="4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Abrahimzadeh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Abrahimzadeh</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325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740" w:type="dxa"/>
            <w:vAlign w:val="bottom"/>
            <w:gridSpan w:val="3"/>
          </w:tcPr>
          <w:p>
            <w:pPr>
              <w:jc w:val="right"/>
              <w:ind w:right="5180"/>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67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Initial Shares</w:t>
            </w:r>
          </w:p>
        </w:tc>
        <w:tc>
          <w:tcPr>
            <w:tcW w:w="0" w:type="dxa"/>
            <w:vAlign w:val="bottom"/>
          </w:tcPr>
          <w:p>
            <w:pPr>
              <w:spacing w:after="0"/>
              <w:rPr>
                <w:sz w:val="1"/>
                <w:szCs w:val="1"/>
                <w:color w:val="auto"/>
              </w:rPr>
            </w:pPr>
          </w:p>
        </w:tc>
      </w:tr>
      <w:tr>
        <w:trPr>
          <w:trHeight w:val="161"/>
        </w:trPr>
        <w:tc>
          <w:tcPr>
            <w:tcW w:w="3680" w:type="dxa"/>
            <w:vAlign w:val="bottom"/>
            <w:gridSpan w:val="3"/>
            <w:vMerge w:val="continue"/>
          </w:tcPr>
          <w:p>
            <w:pPr>
              <w:spacing w:after="0"/>
              <w:rPr>
                <w:sz w:val="13"/>
                <w:szCs w:val="13"/>
                <w:color w:val="auto"/>
              </w:rPr>
            </w:pPr>
          </w:p>
        </w:tc>
        <w:tc>
          <w:tcPr>
            <w:tcW w:w="6720" w:type="dxa"/>
            <w:vAlign w:val="bottom"/>
          </w:tcPr>
          <w:p>
            <w:pPr>
              <w:spacing w:after="0"/>
              <w:rPr>
                <w:sz w:val="13"/>
                <w:szCs w:val="13"/>
                <w:color w:val="auto"/>
              </w:rPr>
            </w:pPr>
          </w:p>
        </w:tc>
        <w:tc>
          <w:tcPr>
            <w:tcW w:w="10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w w:val="88"/>
              </w:rPr>
              <w:t>to be Purchased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67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740" w:type="dxa"/>
            <w:vAlign w:val="bottom"/>
            <w:gridSpan w:val="3"/>
          </w:tcPr>
          <w:p>
            <w:pPr>
              <w:jc w:val="right"/>
              <w:ind w:right="560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4" w:name="page45"/>
    <w:bookmarkEnd w:id="4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5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Title of Designated Shares:</w:t>
      </w:r>
      <w:r>
        <w:rPr>
          <w:sz w:val="20"/>
          <w:szCs w:val="20"/>
          <w:color w:val="auto"/>
        </w:rPr>
        <w:tab/>
      </w:r>
      <w:r>
        <w:rPr>
          <w:rFonts w:ascii="Arial" w:cs="Arial" w:eastAsia="Arial" w:hAnsi="Arial"/>
          <w:sz w:val="16"/>
          <w:szCs w:val="16"/>
          <w:color w:val="auto"/>
        </w:rPr>
        <w:t>Common Shares of Beneficial Interest</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Number of Designated Shares:</w:t>
      </w:r>
      <w:r>
        <w:rPr>
          <w:sz w:val="20"/>
          <w:szCs w:val="20"/>
          <w:color w:val="auto"/>
        </w:rPr>
        <w:tab/>
      </w:r>
      <w:r>
        <w:rPr>
          <w:rFonts w:ascii="Arial" w:cs="Arial" w:eastAsia="Arial" w:hAnsi="Arial"/>
          <w:sz w:val="15"/>
          <w:szCs w:val="15"/>
          <w:color w:val="auto"/>
        </w:rPr>
        <w:t>1,000,000 shares. The Designated Shares consist of an aggregate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1,000,000 Designated Shares (the “Initial Shares”) that the Underwriter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has agreed to purchase and that the Company has agreed to sell and an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aggregate of up to 150,000 Designated Shares (the “Option Shares”) that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Underwriter has the option to purchase from the Company, all subject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to the terms and conditions set forth in this Pricing Agreement and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Underwriting Agreement incorporated by reference herein.</w:t>
      </w:r>
    </w:p>
    <w:p>
      <w:pPr>
        <w:sectPr>
          <w:pgSz w:w="11900" w:h="16838" w:orient="portrait"/>
          <w:cols w:equalWidth="0" w:num="1">
            <w:col w:w="11340"/>
          </w:cols>
          <w:pgMar w:left="240" w:top="274" w:right="31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per Share for Designated Shares to be Paid by the Underwriter: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$149.43 per share; provided, however, that the purchase price per share for any Option Shares purchased by the Underwriter shall be reduced by an amount per share equal to the aggregate amount per share of any dividends or distributions declared, paid or payable with respect to the Initial Shares but not payable with respect to such Option Shares.</w:t>
      </w:r>
    </w:p>
    <w:p>
      <w:pPr>
        <w:spacing w:after="0" w:line="50" w:lineRule="exact"/>
        <w:rPr>
          <w:sz w:val="20"/>
          <w:szCs w:val="20"/>
          <w:color w:val="auto"/>
        </w:rPr>
      </w:pPr>
    </w:p>
    <w:p>
      <w:pPr>
        <w:sectPr>
          <w:pgSz w:w="11900" w:h="16838" w:orient="portrait"/>
          <w:cols w:equalWidth="0" w:num="2">
            <w:col w:w="5660" w:space="400"/>
            <w:col w:w="5280"/>
          </w:cols>
          <w:pgMar w:left="240" w:top="274" w:right="31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Applicable Time:</w:t>
      </w:r>
      <w:r>
        <w:rPr>
          <w:sz w:val="20"/>
          <w:szCs w:val="20"/>
          <w:color w:val="auto"/>
        </w:rPr>
        <w:tab/>
      </w:r>
      <w:r>
        <w:rPr>
          <w:rFonts w:ascii="Arial" w:cs="Arial" w:eastAsia="Arial" w:hAnsi="Arial"/>
          <w:sz w:val="16"/>
          <w:szCs w:val="16"/>
          <w:color w:val="auto"/>
        </w:rPr>
        <w:t>6:00 p.m. (Eastern Time) on March 1, 2016 or such other time as agreed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Company and the Underwriter.</w:t>
      </w:r>
    </w:p>
    <w:p>
      <w:pPr>
        <w:sectPr>
          <w:pgSz w:w="11900" w:h="16838" w:orient="portrait"/>
          <w:cols w:equalWidth="0" w:num="1">
            <w:col w:w="11340"/>
          </w:cols>
          <w:pgMar w:left="240" w:top="274" w:right="31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Per Share for Designated Shares,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 if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Sinking fund requirements, if applicable: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Wire transfer of immediately available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may be specified from time to time by the Company’s Board of Trustees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2">
            <w:col w:w="5840" w:space="220"/>
            <w:col w:w="5280"/>
          </w:cols>
          <w:pgMar w:left="240" w:top="274" w:right="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Name of Underwriter: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Facsimile: 1-646-291-1469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10:00 a.m. (New York City time) on March 7,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8"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ind w:left="558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219"/>
          </w:cols>
          <w:pgMar w:left="240" w:top="274" w:right="1440" w:bottom="1440" w:gutter="0" w:footer="0" w:header="0"/>
          <w:type w:val="continuous"/>
        </w:sectPr>
      </w:pPr>
    </w:p>
    <w:bookmarkStart w:id="46" w:name="page47"/>
    <w:bookmarkEnd w:id="46"/>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color w:val="auto"/>
        </w:rPr>
        <w:t>List of Persons Subject to Lock-Up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M. Taylor, Jr.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7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of up to 1,150,000 common shares of beneficial interest (the “Shares”), par value $0.01 per share, of the Company, all of which are authorized but heretofore unissued shares to be offered and sold by the Company (including 150,000 Shares subject to the underwriter’s over-allotment option, pursuant to the Registration Statement on Form S-3 (Registration No. 333-203999) (the “Registration Statement”), filed by the Company with the Securities and Exchange Commission (the “Commission”) under the Securities Act of 1933 (the “Act”), and related prospectus, dated Mary 8, 2015, as supplemented by the prospectus supplement dated March 1, 2016 relating to the offer and sale of the Shares (as so supplemented, the “Prospectus”).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Directors of the Company,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 of the State of Maryland,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March 1, 2016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420"/>
          </w:cols>
          <w:pgMar w:left="240" w:top="121" w:right="239" w:bottom="1440" w:gutter="0" w:footer="0" w:header="0"/>
        </w:sectPr>
      </w:pPr>
    </w:p>
    <w:bookmarkStart w:id="49" w:name="page50"/>
    <w:bookmarkEnd w:id="49"/>
    <w:p>
      <w:pPr>
        <w:ind w:right="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(2016) taxable year and for future taxable years, and (iii) the discussions in (x) the Prospectus under the caption “Material Federal Income Tax Considerations” (y) Exhibit 99.1 to the Form 8-K filed on February 10, 2016 under the caption “Additional Material Federal Income Tax Considerations,” and (z) the Company’s Annual Report on Form 10-K for the year ended December 31, 2015 under the captions “Risk Factors– 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8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w:t>
      </w:r>
    </w:p>
    <w:p>
      <w:pPr>
        <w:sectPr>
          <w:pgSz w:w="11900" w:h="16838" w:orient="portrait"/>
          <w:cols w:equalWidth="0" w:num="1">
            <w:col w:w="11420"/>
          </w:cols>
          <w:pgMar w:left="240" w:top="274" w:right="239" w:bottom="1440" w:gutter="0" w:footer="0" w:header="0"/>
        </w:sectPr>
      </w:pPr>
    </w:p>
    <w:bookmarkStart w:id="50" w:name="page51"/>
    <w:bookmarkEnd w:id="5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lvl w:ilvl="1">
      <w:lvlJc w:val="left"/>
      <w:lvlText w:val="(%2)"/>
      <w:numFmt w:val="lowerLetter"/>
      <w:start w:val="1"/>
    </w:lvl>
  </w:abstractNum>
  <w:abstractNum w:abstractNumId="3">
    <w:nsid w:val="7C83E458"/>
    <w:multiLevelType w:val="hybridMultilevel"/>
    <w:lvl w:ilvl="0">
      <w:lvlJc w:val="left"/>
      <w:lvlText w:val="%1"/>
      <w:numFmt w:val="decimal"/>
      <w:start w:val="12"/>
    </w:lvl>
    <w:lvl w:ilvl="1">
      <w:lvlJc w:val="left"/>
      <w:lvlText w:val="%2"/>
      <w:numFmt w:val="lowerLetter"/>
      <w:start w:val="1"/>
    </w:lvl>
  </w:abstractNum>
  <w:abstractNum w:abstractNumId="4">
    <w:nsid w:val="257130A3"/>
    <w:multiLevelType w:val="hybridMultilevel"/>
    <w:lvl w:ilvl="0">
      <w:lvlJc w:val="left"/>
      <w:lvlText w:val="(%1)"/>
      <w:numFmt w:val="lowerLetter"/>
      <w:start w:val="2"/>
    </w:lvl>
  </w:abstractNum>
  <w:abstractNum w:abstractNumId="5">
    <w:nsid w:val="62BBD95A"/>
    <w:multiLevelType w:val="hybridMultilevel"/>
    <w:lvl w:ilvl="0">
      <w:lvlJc w:val="left"/>
      <w:lvlText w:val="(%1)"/>
      <w:numFmt w:val="upperLetter"/>
      <w:start w:val="1"/>
    </w:lvl>
  </w:abstractNum>
  <w:abstractNum w:abstractNumId="6">
    <w:nsid w:val="436C6125"/>
    <w:multiLevelType w:val="hybridMultilevel"/>
    <w:lvl w:ilvl="0">
      <w:lvlJc w:val="left"/>
      <w:lvlText w:val="(%1)"/>
      <w:numFmt w:val="lowerLetter"/>
      <w:start w:val="4"/>
    </w:lvl>
  </w:abstractNum>
  <w:abstractNum w:abstractNumId="7">
    <w:nsid w:val="628C895D"/>
    <w:multiLevelType w:val="hybridMultilevel"/>
    <w:lvl w:ilvl="0">
      <w:lvlJc w:val="left"/>
      <w:lvlText w:val="&amp;"/>
      <w:numFmt w:val="bullet"/>
      <w:start w:val="1"/>
    </w:lvl>
    <w:lvl w:ilvl="1">
      <w:lvlJc w:val="left"/>
      <w:lvlText w:val="(%2)"/>
      <w:numFmt w:val="lowerLetter"/>
      <w:start w:val="7"/>
    </w:lvl>
  </w:abstractNum>
  <w:abstractNum w:abstractNumId="8">
    <w:nsid w:val="333AB105"/>
    <w:multiLevelType w:val="hybridMultilevel"/>
    <w:lvl w:ilvl="0">
      <w:lvlJc w:val="left"/>
      <w:lvlText w:val="(%1)"/>
      <w:numFmt w:val="lowerLetter"/>
      <w:start w:val="8"/>
    </w:lvl>
  </w:abstractNum>
  <w:abstractNum w:abstractNumId="9">
    <w:nsid w:val="721DA317"/>
    <w:multiLevelType w:val="hybridMultilevel"/>
    <w:lvl w:ilvl="0">
      <w:lvlJc w:val="left"/>
      <w:lvlText w:val="(%1)"/>
      <w:numFmt w:val="lowerLetter"/>
      <w:start w:val="12"/>
    </w:lvl>
  </w:abstractNum>
  <w:abstractNum w:abstractNumId="10">
    <w:nsid w:val="2443A858"/>
    <w:multiLevelType w:val="hybridMultilevel"/>
    <w:lvl w:ilvl="0">
      <w:lvlJc w:val="left"/>
      <w:lvlText w:val="(%1)"/>
      <w:numFmt w:val="lowerLetter"/>
      <w:start w:val="15"/>
    </w:lvl>
  </w:abstractNum>
  <w:abstractNum w:abstractNumId="11">
    <w:nsid w:val="2D1D5AE9"/>
    <w:multiLevelType w:val="hybridMultilevel"/>
    <w:lvl w:ilvl="0">
      <w:lvlJc w:val="left"/>
      <w:lvlText w:val="(%1)"/>
      <w:numFmt w:val="lowerLetter"/>
      <w:start w:val="20"/>
    </w:lvl>
  </w:abstractNum>
  <w:abstractNum w:abstractNumId="12">
    <w:nsid w:val="6763845E"/>
    <w:multiLevelType w:val="hybridMultilevel"/>
    <w:lvl w:ilvl="0">
      <w:lvlJc w:val="left"/>
      <w:lvlText w:val="(%1)"/>
      <w:numFmt w:val="lowerLetter"/>
      <w:start w:val="24"/>
    </w:lvl>
  </w:abstractNum>
  <w:abstractNum w:abstractNumId="13">
    <w:nsid w:val="75A2A8D4"/>
    <w:multiLevelType w:val="hybridMultilevel"/>
    <w:lvl w:ilvl="0">
      <w:lvlJc w:val="left"/>
      <w:lvlText w:val="(%1)"/>
      <w:numFmt w:val="lowerLetter"/>
      <w:start w:val="27"/>
    </w:lvl>
  </w:abstractNum>
  <w:abstractNum w:abstractNumId="14">
    <w:nsid w:val="8EDBDAB"/>
    <w:multiLevelType w:val="hybridMultilevel"/>
    <w:lvl w:ilvl="0">
      <w:lvlJc w:val="left"/>
      <w:lvlText w:val="%1."/>
      <w:numFmt w:val="decimal"/>
      <w:start w:val="3"/>
    </w:lvl>
    <w:lvl w:ilvl="1">
      <w:lvlJc w:val="left"/>
      <w:lvlText w:val="(%2)"/>
      <w:numFmt w:val="lowerLetter"/>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1)"/>
      <w:numFmt w:val="lowerLetter"/>
      <w:start w:val="8"/>
    </w:lvl>
  </w:abstractNum>
  <w:abstractNum w:abstractNumId="18">
    <w:nsid w:val="189A769B"/>
    <w:multiLevelType w:val="hybridMultilevel"/>
    <w:lvl w:ilvl="0">
      <w:lvlJc w:val="left"/>
      <w:lvlText w:val="(%1)"/>
      <w:numFmt w:val="lowerLetter"/>
      <w:start w:val="10"/>
    </w:lvl>
  </w:abstractNum>
  <w:abstractNum w:abstractNumId="19">
    <w:nsid w:val="54E49EB4"/>
    <w:multiLevelType w:val="hybridMultilevel"/>
    <w:lvl w:ilvl="0">
      <w:lvlJc w:val="left"/>
      <w:lvlText w:val="%1."/>
      <w:numFmt w:val="decimal"/>
      <w:start w:val="6"/>
    </w:lvl>
    <w:lvl w:ilvl="1">
      <w:lvlJc w:val="left"/>
      <w:lvlText w:val="(%2)"/>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5"/>
    </w:lvl>
  </w:abstractNum>
  <w:abstractNum w:abstractNumId="22">
    <w:nsid w:val="836C40E"/>
    <w:multiLevelType w:val="hybridMultilevel"/>
    <w:lvl w:ilvl="0">
      <w:lvlJc w:val="left"/>
      <w:lvlText w:val="(%1)"/>
      <w:numFmt w:val="lowerLetter"/>
      <w:start w:val="6"/>
    </w:lvl>
  </w:abstractNum>
  <w:abstractNum w:abstractNumId="23">
    <w:nsid w:val="2901D82"/>
    <w:multiLevelType w:val="hybridMultilevel"/>
    <w:lvl w:ilvl="0">
      <w:lvlJc w:val="left"/>
      <w:lvlText w:val="%1"/>
      <w:numFmt w:val="decimal"/>
      <w:start w:val="1"/>
    </w:lvl>
    <w:lvl w:ilvl="1">
      <w:lvlJc w:val="left"/>
      <w:lvlText w:val="(%2)"/>
      <w:numFmt w:val="lowerLetter"/>
      <w:start w:val="10"/>
    </w:lvl>
  </w:abstractNum>
  <w:abstractNum w:abstractNumId="24">
    <w:nsid w:val="3A95F874"/>
    <w:multiLevelType w:val="hybridMultilevel"/>
    <w:lvl w:ilvl="0">
      <w:lvlJc w:val="left"/>
      <w:lvlText w:val="%1."/>
      <w:numFmt w:val="decimal"/>
      <w:start w:val="8"/>
    </w:lvl>
    <w:lvl w:ilvl="1">
      <w:lvlJc w:val="left"/>
      <w:lvlText w:val="%2"/>
      <w:numFmt w:val="lowerLetter"/>
      <w:start w:val="1"/>
    </w:lvl>
  </w:abstractNum>
  <w:abstractNum w:abstractNumId="25">
    <w:nsid w:val="8138641"/>
    <w:multiLevelType w:val="hybridMultilevel"/>
    <w:lvl w:ilvl="0">
      <w:lvlJc w:val="left"/>
      <w:lvlText w:val="(%1)"/>
      <w:numFmt w:val="lowerLetter"/>
      <w:start w:val="2"/>
    </w:lvl>
  </w:abstractNum>
  <w:abstractNum w:abstractNumId="26">
    <w:nsid w:val="1E7FF521"/>
    <w:multiLevelType w:val="hybridMultilevel"/>
    <w:lvl w:ilvl="0">
      <w:lvlJc w:val="left"/>
      <w:lvlText w:val="%1"/>
      <w:numFmt w:val="lowerLetter"/>
      <w:start w:val="1"/>
    </w:lvl>
    <w:lvl w:ilvl="1">
      <w:lvlJc w:val="left"/>
      <w:lvlText w:val="(%2)"/>
      <w:numFmt w:val="lowerLetter"/>
      <w:start w:val="4"/>
    </w:lvl>
  </w:abstractNum>
  <w:abstractNum w:abstractNumId="27">
    <w:nsid w:val="7C3DBD3D"/>
    <w:multiLevelType w:val="hybridMultilevel"/>
    <w:lvl w:ilvl="0">
      <w:lvlJc w:val="left"/>
      <w:lvlText w:val="(%1)"/>
      <w:numFmt w:val="lowerLetter"/>
      <w:start w:val="2"/>
    </w:lvl>
    <w:lvl w:ilvl="1">
      <w:lvlJc w:val="left"/>
      <w:lvlText w:val="(%2)"/>
      <w:numFmt w:val="lowerLetter"/>
      <w:start w:val="5"/>
    </w:lvl>
  </w:abstractNum>
  <w:abstractNum w:abstractNumId="28">
    <w:nsid w:val="737B8DDC"/>
    <w:multiLevelType w:val="hybridMultilevel"/>
    <w:lvl w:ilvl="0">
      <w:lvlJc w:val="left"/>
      <w:lvlText w:val="%1."/>
      <w:numFmt w:val="decimal"/>
      <w:start w:val="9"/>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1."/>
      <w:numFmt w:val="decimal"/>
      <w:start w:val="12"/>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2019-12-05T05:46:49Z</dcterms:created>
  <dcterms:modified xsi:type="dcterms:W3CDTF">2019-12-05T05:46:49Z</dcterms:modified>
</cp:coreProperties>
</file>