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15, 2004</w:t>
      </w:r>
    </w:p>
    <w:p>
      <w:pPr>
        <w:spacing w:after="0" w:line="21"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6972935</wp:posOffset>
            </wp:positionH>
            <wp:positionV relativeFrom="paragraph">
              <wp:posOffset>-17780</wp:posOffset>
            </wp:positionV>
            <wp:extent cx="278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76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tbl>
      <w:tblPr>
        <w:tblLayout w:type="fixed"/>
        <w:tblInd w:w="980" w:type="dxa"/>
        <w:tblCellMar>
          <w:top w:w="0" w:type="dxa"/>
          <w:left w:w="0" w:type="dxa"/>
          <w:bottom w:w="0" w:type="dxa"/>
          <w:right w:w="0" w:type="dxa"/>
        </w:tblCellMar>
      </w:tblPr>
      <w:tr>
        <w:trPr>
          <w:trHeight w:val="174"/>
        </w:trPr>
        <w:tc>
          <w:tcPr>
            <w:tcW w:w="9220" w:type="dxa"/>
            <w:vAlign w:val="bottom"/>
            <w:gridSpan w:val="4"/>
          </w:tcPr>
          <w:p>
            <w:pPr>
              <w:jc w:val="center"/>
              <w:ind w:left="163"/>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r>
      <w:tr>
        <w:trPr>
          <w:trHeight w:val="230"/>
        </w:trPr>
        <w:tc>
          <w:tcPr>
            <w:tcW w:w="3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3500" w:type="dxa"/>
            <w:vAlign w:val="bottom"/>
          </w:tcPr>
          <w:p>
            <w:pPr>
              <w:spacing w:after="0"/>
              <w:rPr>
                <w:sz w:val="19"/>
                <w:szCs w:val="19"/>
                <w:color w:val="auto"/>
              </w:rPr>
            </w:pPr>
          </w:p>
        </w:tc>
      </w:tr>
      <w:tr>
        <w:trPr>
          <w:trHeight w:val="453"/>
        </w:trPr>
        <w:tc>
          <w:tcPr>
            <w:tcW w:w="3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Maryland</w:t>
            </w:r>
          </w:p>
        </w:tc>
        <w:tc>
          <w:tcPr>
            <w:tcW w:w="544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52-0782497</w:t>
            </w:r>
          </w:p>
        </w:tc>
      </w:tr>
      <w:tr>
        <w:trPr>
          <w:trHeight w:val="149"/>
        </w:trPr>
        <w:tc>
          <w:tcPr>
            <w:tcW w:w="3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940" w:type="dxa"/>
            <w:vAlign w:val="bottom"/>
          </w:tcPr>
          <w:p>
            <w:pPr>
              <w:spacing w:after="0"/>
              <w:rPr>
                <w:sz w:val="12"/>
                <w:szCs w:val="12"/>
                <w:color w:val="auto"/>
              </w:rPr>
            </w:pPr>
          </w:p>
        </w:tc>
        <w:tc>
          <w:tcPr>
            <w:tcW w:w="3500" w:type="dxa"/>
            <w:vAlign w:val="bottom"/>
          </w:tcPr>
          <w:p>
            <w:pPr>
              <w:jc w:val="center"/>
              <w:ind w:left="400"/>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1940" w:type="dxa"/>
            <w:vAlign w:val="bottom"/>
          </w:tcPr>
          <w:p>
            <w:pPr>
              <w:spacing w:after="0"/>
              <w:rPr>
                <w:sz w:val="15"/>
                <w:szCs w:val="15"/>
                <w:color w:val="auto"/>
              </w:rPr>
            </w:pPr>
          </w:p>
        </w:tc>
        <w:tc>
          <w:tcPr>
            <w:tcW w:w="3500" w:type="dxa"/>
            <w:vAlign w:val="bottom"/>
          </w:tcPr>
          <w:p>
            <w:pPr>
              <w:jc w:val="center"/>
              <w:ind w:left="400"/>
              <w:spacing w:after="0"/>
              <w:rPr>
                <w:sz w:val="20"/>
                <w:szCs w:val="20"/>
                <w:color w:val="auto"/>
              </w:rPr>
            </w:pPr>
            <w:r>
              <w:rPr>
                <w:rFonts w:ascii="Arial" w:cs="Arial" w:eastAsia="Arial" w:hAnsi="Arial"/>
                <w:sz w:val="14"/>
                <w:szCs w:val="14"/>
                <w:b w:val="1"/>
                <w:bCs w:val="1"/>
                <w:color w:val="auto"/>
                <w:w w:val="90"/>
              </w:rPr>
              <w:t>Identification Number)</w:t>
            </w:r>
          </w:p>
        </w:tc>
      </w:tr>
      <w:tr>
        <w:trPr>
          <w:trHeight w:val="418"/>
        </w:trPr>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00" w:type="dxa"/>
            <w:vAlign w:val="bottom"/>
          </w:tcPr>
          <w:p>
            <w:pPr>
              <w:jc w:val="center"/>
              <w:ind w:left="400"/>
              <w:spacing w:after="0"/>
              <w:rPr>
                <w:sz w:val="20"/>
                <w:szCs w:val="20"/>
                <w:color w:val="auto"/>
              </w:rPr>
            </w:pPr>
            <w:r>
              <w:rPr>
                <w:rFonts w:ascii="Arial" w:cs="Arial" w:eastAsia="Arial" w:hAnsi="Arial"/>
                <w:sz w:val="18"/>
                <w:szCs w:val="18"/>
                <w:b w:val="1"/>
                <w:bCs w:val="1"/>
                <w:color w:val="auto"/>
                <w:w w:val="91"/>
              </w:rPr>
              <w:t>Dawn M. Becker</w:t>
            </w:r>
          </w:p>
        </w:tc>
      </w:tr>
      <w:tr>
        <w:trPr>
          <w:trHeight w:val="216"/>
        </w:trPr>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500" w:type="dxa"/>
            <w:vAlign w:val="bottom"/>
          </w:tcPr>
          <w:p>
            <w:pPr>
              <w:jc w:val="center"/>
              <w:ind w:left="380"/>
              <w:spacing w:after="0"/>
              <w:rPr>
                <w:sz w:val="20"/>
                <w:szCs w:val="20"/>
                <w:color w:val="auto"/>
              </w:rPr>
            </w:pPr>
            <w:r>
              <w:rPr>
                <w:rFonts w:ascii="Arial" w:cs="Arial" w:eastAsia="Arial" w:hAnsi="Arial"/>
                <w:sz w:val="18"/>
                <w:szCs w:val="18"/>
                <w:b w:val="1"/>
                <w:bCs w:val="1"/>
                <w:color w:val="auto"/>
                <w:w w:val="87"/>
              </w:rPr>
              <w:t>Senior Vice President, General Counsel,</w:t>
            </w:r>
          </w:p>
        </w:tc>
      </w:tr>
      <w:tr>
        <w:trPr>
          <w:trHeight w:val="216"/>
        </w:trPr>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500" w:type="dxa"/>
            <w:vAlign w:val="bottom"/>
          </w:tcPr>
          <w:p>
            <w:pPr>
              <w:jc w:val="center"/>
              <w:ind w:left="380"/>
              <w:spacing w:after="0"/>
              <w:rPr>
                <w:sz w:val="20"/>
                <w:szCs w:val="20"/>
                <w:color w:val="auto"/>
              </w:rPr>
            </w:pPr>
            <w:r>
              <w:rPr>
                <w:rFonts w:ascii="Arial" w:cs="Arial" w:eastAsia="Arial" w:hAnsi="Arial"/>
                <w:sz w:val="18"/>
                <w:szCs w:val="18"/>
                <w:b w:val="1"/>
                <w:bCs w:val="1"/>
                <w:color w:val="auto"/>
                <w:w w:val="87"/>
              </w:rPr>
              <w:t>Secretary</w:t>
            </w:r>
          </w:p>
        </w:tc>
      </w:tr>
      <w:tr>
        <w:trPr>
          <w:trHeight w:val="216"/>
        </w:trPr>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500" w:type="dxa"/>
            <w:vAlign w:val="bottom"/>
          </w:tcPr>
          <w:p>
            <w:pPr>
              <w:jc w:val="center"/>
              <w:ind w:left="380"/>
              <w:spacing w:after="0"/>
              <w:rPr>
                <w:sz w:val="20"/>
                <w:szCs w:val="20"/>
                <w:color w:val="auto"/>
              </w:rPr>
            </w:pPr>
            <w:r>
              <w:rPr>
                <w:rFonts w:ascii="Arial" w:cs="Arial" w:eastAsia="Arial" w:hAnsi="Arial"/>
                <w:sz w:val="18"/>
                <w:szCs w:val="18"/>
                <w:b w:val="1"/>
                <w:bCs w:val="1"/>
                <w:color w:val="auto"/>
                <w:w w:val="89"/>
              </w:rPr>
              <w:t>Federal Realty Investment Trust</w:t>
            </w:r>
          </w:p>
        </w:tc>
      </w:tr>
      <w:tr>
        <w:trPr>
          <w:trHeight w:val="216"/>
        </w:trPr>
        <w:tc>
          <w:tcPr>
            <w:tcW w:w="3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1626 East Jefferson Street</w:t>
            </w:r>
          </w:p>
        </w:tc>
        <w:tc>
          <w:tcPr>
            <w:tcW w:w="1940" w:type="dxa"/>
            <w:vAlign w:val="bottom"/>
          </w:tcPr>
          <w:p>
            <w:pPr>
              <w:spacing w:after="0"/>
              <w:rPr>
                <w:sz w:val="18"/>
                <w:szCs w:val="18"/>
                <w:color w:val="auto"/>
              </w:rPr>
            </w:pPr>
          </w:p>
        </w:tc>
        <w:tc>
          <w:tcPr>
            <w:tcW w:w="3500" w:type="dxa"/>
            <w:vAlign w:val="bottom"/>
          </w:tcPr>
          <w:p>
            <w:pPr>
              <w:jc w:val="center"/>
              <w:ind w:left="380"/>
              <w:spacing w:after="0"/>
              <w:rPr>
                <w:sz w:val="20"/>
                <w:szCs w:val="20"/>
                <w:color w:val="auto"/>
              </w:rPr>
            </w:pPr>
            <w:r>
              <w:rPr>
                <w:rFonts w:ascii="Arial" w:cs="Arial" w:eastAsia="Arial" w:hAnsi="Arial"/>
                <w:sz w:val="18"/>
                <w:szCs w:val="18"/>
                <w:b w:val="1"/>
                <w:bCs w:val="1"/>
                <w:color w:val="auto"/>
                <w:w w:val="87"/>
              </w:rPr>
              <w:t>1626 East Jefferson Street</w:t>
            </w:r>
          </w:p>
        </w:tc>
      </w:tr>
      <w:tr>
        <w:trPr>
          <w:trHeight w:val="216"/>
        </w:trPr>
        <w:tc>
          <w:tcPr>
            <w:tcW w:w="3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Rockville, Maryland 20852</w:t>
            </w:r>
          </w:p>
        </w:tc>
        <w:tc>
          <w:tcPr>
            <w:tcW w:w="1940" w:type="dxa"/>
            <w:vAlign w:val="bottom"/>
          </w:tcPr>
          <w:p>
            <w:pPr>
              <w:spacing w:after="0"/>
              <w:rPr>
                <w:sz w:val="18"/>
                <w:szCs w:val="18"/>
                <w:color w:val="auto"/>
              </w:rPr>
            </w:pPr>
          </w:p>
        </w:tc>
        <w:tc>
          <w:tcPr>
            <w:tcW w:w="3500" w:type="dxa"/>
            <w:vAlign w:val="bottom"/>
          </w:tcPr>
          <w:p>
            <w:pPr>
              <w:jc w:val="center"/>
              <w:ind w:left="400"/>
              <w:spacing w:after="0"/>
              <w:rPr>
                <w:sz w:val="20"/>
                <w:szCs w:val="20"/>
                <w:color w:val="auto"/>
              </w:rPr>
            </w:pPr>
            <w:r>
              <w:rPr>
                <w:rFonts w:ascii="Arial" w:cs="Arial" w:eastAsia="Arial" w:hAnsi="Arial"/>
                <w:sz w:val="18"/>
                <w:szCs w:val="18"/>
                <w:b w:val="1"/>
                <w:bCs w:val="1"/>
                <w:color w:val="auto"/>
                <w:w w:val="90"/>
              </w:rPr>
              <w:t>Rockville, Maryland 20852</w:t>
            </w:r>
          </w:p>
        </w:tc>
      </w:tr>
      <w:tr>
        <w:trPr>
          <w:trHeight w:val="228"/>
        </w:trPr>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9"/>
              </w:rPr>
              <w:t>(301) 998-8100</w:t>
            </w:r>
          </w:p>
        </w:tc>
        <w:tc>
          <w:tcPr>
            <w:tcW w:w="20" w:type="dxa"/>
            <w:vAlign w:val="bottom"/>
          </w:tcPr>
          <w:p>
            <w:pPr>
              <w:spacing w:after="0"/>
              <w:rPr>
                <w:sz w:val="19"/>
                <w:szCs w:val="19"/>
                <w:color w:val="auto"/>
              </w:rPr>
            </w:pPr>
          </w:p>
        </w:tc>
        <w:tc>
          <w:tcPr>
            <w:tcW w:w="544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(301) 998-8100</w:t>
            </w:r>
          </w:p>
        </w:tc>
      </w:tr>
      <w:tr>
        <w:trPr>
          <w:trHeight w:val="151"/>
        </w:trPr>
        <w:tc>
          <w:tcPr>
            <w:tcW w:w="3780" w:type="dxa"/>
            <w:vAlign w:val="bottom"/>
            <w:gridSpan w:val="2"/>
          </w:tcPr>
          <w:p>
            <w:pPr>
              <w:jc w:val="center"/>
              <w:ind w:right="20"/>
              <w:spacing w:after="0" w:line="151" w:lineRule="exact"/>
              <w:rPr>
                <w:sz w:val="20"/>
                <w:szCs w:val="20"/>
                <w:color w:val="auto"/>
              </w:rPr>
            </w:pPr>
            <w:r>
              <w:rPr>
                <w:rFonts w:ascii="Arial" w:cs="Arial" w:eastAsia="Arial" w:hAnsi="Arial"/>
                <w:sz w:val="14"/>
                <w:szCs w:val="14"/>
                <w:b w:val="1"/>
                <w:bCs w:val="1"/>
                <w:color w:val="auto"/>
                <w:w w:val="87"/>
              </w:rPr>
              <w:t>(Address, Including Zip Code, and Telephone Number,</w:t>
            </w:r>
          </w:p>
        </w:tc>
        <w:tc>
          <w:tcPr>
            <w:tcW w:w="1940" w:type="dxa"/>
            <w:vAlign w:val="bottom"/>
          </w:tcPr>
          <w:p>
            <w:pPr>
              <w:spacing w:after="0"/>
              <w:rPr>
                <w:sz w:val="13"/>
                <w:szCs w:val="13"/>
                <w:color w:val="auto"/>
              </w:rPr>
            </w:pPr>
          </w:p>
        </w:tc>
        <w:tc>
          <w:tcPr>
            <w:tcW w:w="3500" w:type="dxa"/>
            <w:vAlign w:val="bottom"/>
          </w:tcPr>
          <w:p>
            <w:pPr>
              <w:jc w:val="center"/>
              <w:ind w:left="400"/>
              <w:spacing w:after="0" w:line="151" w:lineRule="exact"/>
              <w:rPr>
                <w:sz w:val="20"/>
                <w:szCs w:val="20"/>
                <w:color w:val="auto"/>
              </w:rPr>
            </w:pPr>
            <w:r>
              <w:rPr>
                <w:rFonts w:ascii="Arial" w:cs="Arial" w:eastAsia="Arial" w:hAnsi="Arial"/>
                <w:sz w:val="14"/>
                <w:szCs w:val="14"/>
                <w:b w:val="1"/>
                <w:bCs w:val="1"/>
                <w:color w:val="auto"/>
                <w:w w:val="87"/>
              </w:rPr>
              <w:t>(Name, Address, Including Zip Code, and Telephone</w:t>
            </w:r>
          </w:p>
        </w:tc>
      </w:tr>
      <w:tr>
        <w:trPr>
          <w:trHeight w:val="174"/>
        </w:trPr>
        <w:tc>
          <w:tcPr>
            <w:tcW w:w="3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Including Area Code, of Registrant’s Principal Executive Offices)</w:t>
            </w:r>
          </w:p>
        </w:tc>
        <w:tc>
          <w:tcPr>
            <w:tcW w:w="1940" w:type="dxa"/>
            <w:vAlign w:val="bottom"/>
          </w:tcPr>
          <w:p>
            <w:pPr>
              <w:spacing w:after="0"/>
              <w:rPr>
                <w:sz w:val="15"/>
                <w:szCs w:val="15"/>
                <w:color w:val="auto"/>
              </w:rPr>
            </w:pPr>
          </w:p>
        </w:tc>
        <w:tc>
          <w:tcPr>
            <w:tcW w:w="3500" w:type="dxa"/>
            <w:vAlign w:val="bottom"/>
          </w:tcPr>
          <w:p>
            <w:pPr>
              <w:jc w:val="center"/>
              <w:ind w:left="380"/>
              <w:spacing w:after="0"/>
              <w:rPr>
                <w:sz w:val="20"/>
                <w:szCs w:val="20"/>
                <w:color w:val="auto"/>
              </w:rPr>
            </w:pPr>
            <w:r>
              <w:rPr>
                <w:rFonts w:ascii="Arial" w:cs="Arial" w:eastAsia="Arial" w:hAnsi="Arial"/>
                <w:sz w:val="14"/>
                <w:szCs w:val="14"/>
                <w:b w:val="1"/>
                <w:bCs w:val="1"/>
                <w:color w:val="auto"/>
                <w:w w:val="87"/>
              </w:rPr>
              <w:t>Number, Including Area Code, of Agent for Service)</w:t>
            </w:r>
          </w:p>
        </w:tc>
      </w:tr>
      <w:tr>
        <w:trPr>
          <w:trHeight w:val="257"/>
        </w:trPr>
        <w:tc>
          <w:tcPr>
            <w:tcW w:w="37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3500" w:type="dxa"/>
            <w:vAlign w:val="bottom"/>
          </w:tcPr>
          <w:p>
            <w:pPr>
              <w:spacing w:after="0"/>
              <w:rPr>
                <w:sz w:val="22"/>
                <w:szCs w:val="22"/>
                <w:color w:val="auto"/>
              </w:rPr>
            </w:pPr>
          </w:p>
        </w:tc>
      </w:tr>
      <w:tr>
        <w:trPr>
          <w:trHeight w:val="452"/>
        </w:trPr>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2"/>
          </w:tcPr>
          <w:p>
            <w:pPr>
              <w:jc w:val="center"/>
              <w:ind w:right="3460"/>
              <w:spacing w:after="0"/>
              <w:rPr>
                <w:sz w:val="20"/>
                <w:szCs w:val="20"/>
                <w:color w:val="auto"/>
              </w:rPr>
            </w:pPr>
            <w:r>
              <w:rPr>
                <w:rFonts w:ascii="Arial" w:cs="Arial" w:eastAsia="Arial" w:hAnsi="Arial"/>
                <w:sz w:val="18"/>
                <w:szCs w:val="18"/>
                <w:b w:val="1"/>
                <w:bCs w:val="1"/>
                <w:i w:val="1"/>
                <w:iCs w:val="1"/>
                <w:color w:val="auto"/>
                <w:w w:val="85"/>
              </w:rPr>
              <w:t>With a copy to:</w:t>
            </w:r>
          </w:p>
        </w:tc>
      </w:tr>
      <w:tr>
        <w:trPr>
          <w:trHeight w:val="216"/>
        </w:trPr>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w w:val="90"/>
              </w:rPr>
              <w:t>Sylvia M. Mahaffey, Esq.</w:t>
            </w:r>
          </w:p>
        </w:tc>
      </w:tr>
      <w:tr>
        <w:trPr>
          <w:trHeight w:val="216"/>
        </w:trPr>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w w:val="91"/>
              </w:rPr>
              <w:t>Shaw Pittman LLP</w:t>
            </w:r>
          </w:p>
        </w:tc>
      </w:tr>
      <w:tr>
        <w:trPr>
          <w:trHeight w:val="216"/>
        </w:trPr>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w w:val="90"/>
              </w:rPr>
              <w:t>2300 N Street, N.W.</w:t>
            </w:r>
          </w:p>
        </w:tc>
      </w:tr>
      <w:tr>
        <w:trPr>
          <w:trHeight w:val="216"/>
        </w:trPr>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2"/>
          </w:tcPr>
          <w:p>
            <w:pPr>
              <w:jc w:val="center"/>
              <w:ind w:right="3460"/>
              <w:spacing w:after="0"/>
              <w:rPr>
                <w:sz w:val="20"/>
                <w:szCs w:val="20"/>
                <w:color w:val="auto"/>
              </w:rPr>
            </w:pPr>
            <w:r>
              <w:rPr>
                <w:rFonts w:ascii="Arial" w:cs="Arial" w:eastAsia="Arial" w:hAnsi="Arial"/>
                <w:sz w:val="18"/>
                <w:szCs w:val="18"/>
                <w:b w:val="1"/>
                <w:bCs w:val="1"/>
                <w:color w:val="auto"/>
                <w:w w:val="89"/>
              </w:rPr>
              <w:t>Washington, D.C. 20037</w:t>
            </w:r>
          </w:p>
        </w:tc>
      </w:tr>
      <w:tr>
        <w:trPr>
          <w:trHeight w:val="228"/>
        </w:trPr>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(202) 663-8000</w:t>
            </w:r>
          </w:p>
        </w:tc>
        <w:tc>
          <w:tcPr>
            <w:tcW w:w="350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60" w:right="40"/>
        <w:spacing w:after="0" w:line="303" w:lineRule="exact"/>
        <w:rPr>
          <w:sz w:val="20"/>
          <w:szCs w:val="20"/>
          <w:color w:val="auto"/>
        </w:rPr>
      </w:pPr>
      <w:r>
        <w:rPr>
          <w:rFonts w:ascii="Arial" w:cs="Arial" w:eastAsia="Arial" w:hAnsi="Arial"/>
          <w:sz w:val="16"/>
          <w:szCs w:val="16"/>
          <w:color w:val="auto"/>
        </w:rPr>
        <w:t xml:space="preserve">Approximate date the registrant proposes to begin selling securities to the public: From time to time after the effective date of this registration statement. 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24" w:lineRule="exact"/>
        <w:rPr>
          <w:sz w:val="24"/>
          <w:szCs w:val="24"/>
          <w:color w:val="auto"/>
        </w:rPr>
      </w:pPr>
    </w:p>
    <w:p>
      <w:pPr>
        <w:ind w:right="34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in connection with dividend or interest reinvestment plans,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right="8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24" w:lineRule="exact"/>
        <w:rPr>
          <w:sz w:val="24"/>
          <w:szCs w:val="24"/>
          <w:color w:val="auto"/>
        </w:rPr>
      </w:pPr>
    </w:p>
    <w:p>
      <w:pPr>
        <w:ind w:right="56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194945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jc w:val="center"/>
              <w:ind w:right="586"/>
              <w:spacing w:after="0"/>
              <w:rPr>
                <w:sz w:val="20"/>
                <w:szCs w:val="20"/>
                <w:color w:val="auto"/>
              </w:rPr>
            </w:pPr>
            <w:r>
              <w:rPr>
                <w:rFonts w:ascii="Arial" w:cs="Arial" w:eastAsia="Arial" w:hAnsi="Arial"/>
                <w:sz w:val="14"/>
                <w:szCs w:val="14"/>
                <w:b w:val="1"/>
                <w:bCs w:val="1"/>
                <w:color w:val="auto"/>
                <w:w w:val="83"/>
              </w:rPr>
              <w:t>Proposed</w:t>
            </w:r>
          </w:p>
        </w:tc>
        <w:tc>
          <w:tcPr>
            <w:tcW w:w="1760" w:type="dxa"/>
            <w:vAlign w:val="bottom"/>
          </w:tcPr>
          <w:p>
            <w:pPr>
              <w:jc w:val="center"/>
              <w:ind w:right="108"/>
              <w:spacing w:after="0"/>
              <w:rPr>
                <w:sz w:val="20"/>
                <w:szCs w:val="20"/>
                <w:color w:val="auto"/>
              </w:rPr>
            </w:pPr>
            <w:r>
              <w:rPr>
                <w:rFonts w:ascii="Arial" w:cs="Arial" w:eastAsia="Arial" w:hAnsi="Arial"/>
                <w:sz w:val="14"/>
                <w:szCs w:val="14"/>
                <w:b w:val="1"/>
                <w:bCs w:val="1"/>
                <w:color w:val="auto"/>
                <w:w w:val="83"/>
              </w:rPr>
              <w:t>Proposed</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tcPr>
          <w:p>
            <w:pPr>
              <w:jc w:val="center"/>
              <w:ind w:right="606"/>
              <w:spacing w:after="0" w:line="149" w:lineRule="exact"/>
              <w:rPr>
                <w:sz w:val="20"/>
                <w:szCs w:val="20"/>
                <w:color w:val="auto"/>
              </w:rPr>
            </w:pPr>
            <w:r>
              <w:rPr>
                <w:rFonts w:ascii="Arial" w:cs="Arial" w:eastAsia="Arial" w:hAnsi="Arial"/>
                <w:sz w:val="14"/>
                <w:szCs w:val="14"/>
                <w:b w:val="1"/>
                <w:bCs w:val="1"/>
                <w:color w:val="auto"/>
                <w:w w:val="92"/>
              </w:rPr>
              <w:t>Maximum</w:t>
            </w:r>
          </w:p>
        </w:tc>
        <w:tc>
          <w:tcPr>
            <w:tcW w:w="17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2"/>
              </w:rPr>
              <w:t>Maximum</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60" w:type="dxa"/>
            <w:vAlign w:val="bottom"/>
          </w:tcPr>
          <w:p>
            <w:pPr>
              <w:jc w:val="right"/>
              <w:ind w:right="326"/>
              <w:spacing w:after="0" w:line="149" w:lineRule="exact"/>
              <w:rPr>
                <w:sz w:val="20"/>
                <w:szCs w:val="20"/>
                <w:color w:val="auto"/>
              </w:rPr>
            </w:pPr>
            <w:r>
              <w:rPr>
                <w:rFonts w:ascii="Arial" w:cs="Arial" w:eastAsia="Arial" w:hAnsi="Arial"/>
                <w:sz w:val="14"/>
                <w:szCs w:val="14"/>
                <w:b w:val="1"/>
                <w:bCs w:val="1"/>
                <w:color w:val="auto"/>
              </w:rPr>
              <w:t>Amount To Be</w:t>
            </w:r>
          </w:p>
        </w:tc>
        <w:tc>
          <w:tcPr>
            <w:tcW w:w="1800" w:type="dxa"/>
            <w:vAlign w:val="bottom"/>
            <w:gridSpan w:val="2"/>
          </w:tcPr>
          <w:p>
            <w:pPr>
              <w:jc w:val="center"/>
              <w:ind w:right="66"/>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17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86"/>
              </w:rPr>
              <w:t>Aggregate</w:t>
            </w:r>
          </w:p>
        </w:tc>
        <w:tc>
          <w:tcPr>
            <w:tcW w:w="48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Amount of</w:t>
            </w:r>
          </w:p>
        </w:tc>
      </w:tr>
      <w:tr>
        <w:trPr>
          <w:trHeight w:val="175"/>
        </w:trPr>
        <w:tc>
          <w:tcPr>
            <w:tcW w:w="20" w:type="dxa"/>
            <w:vAlign w:val="bottom"/>
          </w:tcPr>
          <w:p>
            <w:pPr>
              <w:spacing w:after="0"/>
              <w:rPr>
                <w:sz w:val="15"/>
                <w:szCs w:val="15"/>
                <w:color w:val="auto"/>
              </w:rPr>
            </w:pPr>
          </w:p>
        </w:tc>
        <w:tc>
          <w:tcPr>
            <w:tcW w:w="4860" w:type="dxa"/>
            <w:vAlign w:val="bottom"/>
          </w:tcPr>
          <w:p>
            <w:pPr>
              <w:jc w:val="center"/>
              <w:ind w:right="322"/>
              <w:spacing w:after="0"/>
              <w:rPr>
                <w:sz w:val="20"/>
                <w:szCs w:val="20"/>
                <w:color w:val="auto"/>
              </w:rPr>
            </w:pPr>
            <w:r>
              <w:rPr>
                <w:rFonts w:ascii="Arial" w:cs="Arial" w:eastAsia="Arial" w:hAnsi="Arial"/>
                <w:sz w:val="14"/>
                <w:szCs w:val="14"/>
                <w:b w:val="1"/>
                <w:bCs w:val="1"/>
                <w:color w:val="auto"/>
                <w:w w:val="85"/>
              </w:rPr>
              <w:t>Title of Each Class of Securities To Be Registered</w:t>
            </w:r>
          </w:p>
        </w:tc>
        <w:tc>
          <w:tcPr>
            <w:tcW w:w="1660" w:type="dxa"/>
            <w:vAlign w:val="bottom"/>
          </w:tcPr>
          <w:p>
            <w:pPr>
              <w:jc w:val="right"/>
              <w:ind w:right="446"/>
              <w:spacing w:after="0"/>
              <w:rPr>
                <w:sz w:val="20"/>
                <w:szCs w:val="20"/>
                <w:color w:val="auto"/>
              </w:rPr>
            </w:pPr>
            <w:r>
              <w:rPr>
                <w:rFonts w:ascii="Arial" w:cs="Arial" w:eastAsia="Arial" w:hAnsi="Arial"/>
                <w:sz w:val="14"/>
                <w:szCs w:val="14"/>
                <w:b w:val="1"/>
                <w:bCs w:val="1"/>
                <w:color w:val="auto"/>
              </w:rPr>
              <w:t>Registered</w:t>
            </w:r>
          </w:p>
        </w:tc>
        <w:tc>
          <w:tcPr>
            <w:tcW w:w="180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w w:val="90"/>
              </w:rPr>
              <w:t>Per Unit (1)</w:t>
            </w:r>
          </w:p>
        </w:tc>
        <w:tc>
          <w:tcPr>
            <w:tcW w:w="176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Offering Price</w:t>
            </w:r>
          </w:p>
        </w:tc>
        <w:tc>
          <w:tcPr>
            <w:tcW w:w="1340" w:type="dxa"/>
            <w:vAlign w:val="bottom"/>
            <w:gridSpan w:val="3"/>
          </w:tcPr>
          <w:p>
            <w:pPr>
              <w:ind w:left="360"/>
              <w:spacing w:after="0"/>
              <w:rPr>
                <w:sz w:val="20"/>
                <w:szCs w:val="20"/>
                <w:color w:val="auto"/>
              </w:rPr>
            </w:pPr>
            <w:r>
              <w:rPr>
                <w:rFonts w:ascii="Arial" w:cs="Arial" w:eastAsia="Arial" w:hAnsi="Arial"/>
                <w:sz w:val="14"/>
                <w:szCs w:val="14"/>
                <w:b w:val="1"/>
                <w:bCs w:val="1"/>
                <w:color w:val="auto"/>
                <w:w w:val="87"/>
              </w:rPr>
              <w:t>Registration Fee</w:t>
            </w:r>
          </w:p>
        </w:tc>
      </w:tr>
      <w:tr>
        <w:trPr>
          <w:trHeight w:val="216"/>
        </w:trPr>
        <w:tc>
          <w:tcPr>
            <w:tcW w:w="20" w:type="dxa"/>
            <w:vAlign w:val="bottom"/>
          </w:tcPr>
          <w:p>
            <w:pPr>
              <w:spacing w:after="0"/>
              <w:rPr>
                <w:sz w:val="18"/>
                <w:szCs w:val="18"/>
                <w:color w:val="auto"/>
              </w:rPr>
            </w:pPr>
          </w:p>
        </w:tc>
        <w:tc>
          <w:tcPr>
            <w:tcW w:w="4860" w:type="dxa"/>
            <w:vAlign w:val="bottom"/>
            <w:tcBorders>
              <w:top w:val="single" w:sz="8" w:color="auto"/>
            </w:tcBorders>
          </w:tcPr>
          <w:p>
            <w:pPr>
              <w:jc w:val="center"/>
              <w:ind w:right="342"/>
              <w:spacing w:after="0"/>
              <w:rPr>
                <w:sz w:val="20"/>
                <w:szCs w:val="20"/>
                <w:color w:val="auto"/>
              </w:rPr>
            </w:pPr>
            <w:r>
              <w:rPr>
                <w:rFonts w:ascii="Arial" w:cs="Arial" w:eastAsia="Arial" w:hAnsi="Arial"/>
                <w:sz w:val="18"/>
                <w:szCs w:val="18"/>
                <w:color w:val="auto"/>
                <w:w w:val="87"/>
              </w:rPr>
              <w:t>Common Shares of Beneficial Interest, par value $.01 per share</w:t>
            </w:r>
          </w:p>
        </w:tc>
        <w:tc>
          <w:tcPr>
            <w:tcW w:w="1660" w:type="dxa"/>
            <w:vAlign w:val="bottom"/>
            <w:tcBorders>
              <w:top w:val="single" w:sz="8" w:color="auto"/>
            </w:tcBorders>
          </w:tcPr>
          <w:p>
            <w:pPr>
              <w:jc w:val="right"/>
              <w:ind w:right="326"/>
              <w:spacing w:after="0"/>
              <w:rPr>
                <w:sz w:val="20"/>
                <w:szCs w:val="20"/>
                <w:color w:val="auto"/>
              </w:rPr>
            </w:pPr>
            <w:r>
              <w:rPr>
                <w:rFonts w:ascii="Arial" w:cs="Arial" w:eastAsia="Arial" w:hAnsi="Arial"/>
                <w:sz w:val="18"/>
                <w:szCs w:val="18"/>
                <w:color w:val="auto"/>
              </w:rPr>
              <w:t>80,000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266"/>
              <w:spacing w:after="0"/>
              <w:rPr>
                <w:sz w:val="20"/>
                <w:szCs w:val="20"/>
                <w:color w:val="auto"/>
              </w:rPr>
            </w:pPr>
            <w:r>
              <w:rPr>
                <w:rFonts w:ascii="Arial" w:cs="Arial" w:eastAsia="Arial" w:hAnsi="Arial"/>
                <w:sz w:val="18"/>
                <w:szCs w:val="18"/>
                <w:color w:val="auto"/>
              </w:rPr>
              <w:t>47.88(1)</w:t>
            </w:r>
          </w:p>
        </w:tc>
        <w:tc>
          <w:tcPr>
            <w:tcW w:w="1760" w:type="dxa"/>
            <w:vAlign w:val="bottom"/>
            <w:tcBorders>
              <w:top w:val="single" w:sz="8" w:color="auto"/>
            </w:tcBorders>
          </w:tcPr>
          <w:p>
            <w:pPr>
              <w:jc w:val="right"/>
              <w:ind w:right="288"/>
              <w:spacing w:after="0"/>
              <w:rPr>
                <w:sz w:val="20"/>
                <w:szCs w:val="20"/>
                <w:color w:val="auto"/>
              </w:rPr>
            </w:pPr>
            <w:r>
              <w:rPr>
                <w:rFonts w:ascii="Arial" w:cs="Arial" w:eastAsia="Arial" w:hAnsi="Arial"/>
                <w:sz w:val="18"/>
                <w:szCs w:val="18"/>
                <w:color w:val="auto"/>
              </w:rPr>
              <w:t>$ 3,830,400(1)</w:t>
            </w:r>
          </w:p>
        </w:tc>
        <w:tc>
          <w:tcPr>
            <w:tcW w:w="4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490.00</w:t>
            </w:r>
          </w:p>
        </w:tc>
        <w:tc>
          <w:tcPr>
            <w:tcW w:w="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ind w:left="460" w:right="16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purposes of calculating the registration fee pursuant to Rule 457(c) under the Securities Act of 1933 and based upon prices on the New York Stock Exchange on November 9, 2004.</w:t>
      </w:r>
    </w:p>
    <w:p>
      <w:pPr>
        <w:sectPr>
          <w:pgSz w:w="11900" w:h="16838" w:orient="portrait"/>
          <w:cols w:equalWidth="0" w:num="1">
            <w:col w:w="11420"/>
          </w:cols>
          <w:pgMar w:left="240" w:top="230" w:right="239" w:bottom="108" w:gutter="0" w:footer="0" w:header="0"/>
        </w:sectPr>
      </w:pPr>
    </w:p>
    <w:bookmarkStart w:id="1" w:name="page2"/>
    <w:bookmarkEnd w:id="1"/>
    <w:p>
      <w:pPr>
        <w:jc w:val="both"/>
        <w:ind w:firstLine="456"/>
        <w:spacing w:after="0" w:line="306" w:lineRule="auto"/>
        <w:rPr>
          <w:sz w:val="20"/>
          <w:szCs w:val="20"/>
          <w:color w:val="auto"/>
        </w:rPr>
      </w:pPr>
      <w:r>
        <w:rPr>
          <w:rFonts w:ascii="Arial" w:cs="Arial" w:eastAsia="Arial" w:hAnsi="Arial"/>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b w:val="1"/>
          <w:bCs w:val="1"/>
          <w:color w:val="DE1A1E"/>
        </w:rPr>
        <w:t>The information in this prospectus is not complete and may be changed. The selling shareholder identified herein may not sell the securities covered by this prospectus until the Securities and Exchange Commission declares the registration statement of which this prospectus is a part effective. This prospectus is not an offer to sell these securities and it is not soliciting an offer to buy these securities in any state where such an offer or sale is not permitted.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November 15,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109220</wp:posOffset>
            </wp:positionV>
            <wp:extent cx="4725035" cy="711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2503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186055</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person listed herein, who is a shareholder of Federal Realty Investment Trust, may offer and sell from time to time up to 80,000 common shares of beneficial interest under this prospectus. We refer to such person as the selling shareholder. We are registering the offered shares as required under the terms of a registration rights agreement between the selling shareholder and us. Our registration of the offered shares does not mean that the selling shareholder will offer or sell any of the offered shares. We will receive no proceeds of any sales of the offered shares by the selling shareholder, but we will incur expenses in connection with the offering.</w:t>
      </w:r>
    </w:p>
    <w:p>
      <w:pPr>
        <w:spacing w:after="0" w:line="12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selling shareholder may sell the offered shares in public or private transactions, on or off the New York Stock Exchange, at prevailing market prices or at privately negotiated prices. The selling shareholder may sell the offered shares directly or through agents or broker-dealers acting as principal or agent, or in a distribution by underwriters.</w:t>
      </w:r>
    </w:p>
    <w:p>
      <w:pPr>
        <w:spacing w:after="0" w:line="127" w:lineRule="exact"/>
        <w:rPr>
          <w:sz w:val="20"/>
          <w:szCs w:val="20"/>
          <w:color w:val="auto"/>
        </w:rPr>
      </w:pPr>
    </w:p>
    <w:p>
      <w:pPr>
        <w:ind w:left="460" w:right="4620"/>
        <w:spacing w:after="0" w:line="507" w:lineRule="auto"/>
        <w:rPr>
          <w:sz w:val="20"/>
          <w:szCs w:val="20"/>
          <w:color w:val="auto"/>
        </w:rPr>
      </w:pPr>
      <w:r>
        <w:rPr>
          <w:rFonts w:ascii="Arial" w:cs="Arial" w:eastAsia="Arial" w:hAnsi="Arial"/>
          <w:sz w:val="15"/>
          <w:szCs w:val="15"/>
          <w:color w:val="auto"/>
        </w:rPr>
        <w:t>Our common shares are listed on the New York Stock Exchange under the symbol “FRT.” Investing in our common shares involves risks. See “Risk Factors” beginning on page 4.</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offered shares,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149225</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382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8"/>
                <w:szCs w:val="18"/>
                <w:b w:val="1"/>
                <w:bCs w:val="1"/>
                <w:color w:val="auto"/>
                <w:w w:val="86"/>
              </w:rPr>
              <w:t>The date of this prospectus is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 2004.</w:t>
            </w:r>
          </w:p>
        </w:tc>
      </w:tr>
      <w:tr>
        <w:trPr>
          <w:trHeight w:val="20"/>
        </w:trPr>
        <w:tc>
          <w:tcPr>
            <w:tcW w:w="2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20" w:type="dxa"/>
            <w:vAlign w:val="bottom"/>
            <w:gridSpan w:val="2"/>
          </w:tcPr>
          <w:p>
            <w:pPr>
              <w:jc w:val="right"/>
              <w:ind w:right="4692"/>
              <w:spacing w:after="0"/>
              <w:rPr>
                <w:sz w:val="20"/>
                <w:szCs w:val="20"/>
                <w:color w:val="auto"/>
              </w:rPr>
            </w:pPr>
            <w:r>
              <w:rPr>
                <w:rFonts w:ascii="Arial" w:cs="Arial" w:eastAsia="Arial" w:hAnsi="Arial"/>
                <w:sz w:val="18"/>
                <w:szCs w:val="18"/>
                <w:b w:val="1"/>
                <w:bCs w:val="1"/>
                <w:color w:val="auto"/>
              </w:rPr>
              <w:t>TABLE OF CONTENTS</w:t>
            </w:r>
          </w:p>
        </w:tc>
      </w:tr>
      <w:tr>
        <w:trPr>
          <w:trHeight w:val="3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420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Disclosure Regarding Forward-Looking Statements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Trust</w:t>
              </w:r>
            </w:hyperlink>
          </w:p>
        </w:tc>
        <w:tc>
          <w:tcPr>
            <w:tcW w:w="560" w:type="dxa"/>
            <w:vAlign w:val="bottom"/>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3300" w:type="dxa"/>
            <w:vAlign w:val="bottom"/>
            <w:gridSpan w:val="9"/>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200" w:type="dxa"/>
            <w:vAlign w:val="bottom"/>
            <w:gridSpan w:val="1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Use of Proceeds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Selling Shareholder</w:t>
              </w:r>
            </w:hyperlink>
          </w:p>
        </w:tc>
        <w:tc>
          <w:tcPr>
            <w:tcW w:w="2800" w:type="dxa"/>
            <w:vAlign w:val="bottom"/>
            <w:gridSpan w:val="6"/>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200" w:type="dxa"/>
            <w:vAlign w:val="bottom"/>
            <w:gridSpan w:val="1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Federal Income Tax Considerations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5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Plan of Distribution</w:t>
              </w:r>
            </w:hyperlink>
          </w:p>
        </w:tc>
        <w:tc>
          <w:tcPr>
            <w:tcW w:w="1700" w:type="dxa"/>
            <w:vAlign w:val="bottom"/>
            <w:gridSpan w:val="4"/>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2800" w:type="dxa"/>
            <w:vAlign w:val="bottom"/>
            <w:gridSpan w:val="6"/>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28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Notice Regarding Arthur Andersen LLP</w:t>
              </w:r>
            </w:hyperlink>
          </w:p>
        </w:tc>
        <w:tc>
          <w:tcPr>
            <w:tcW w:w="1360" w:type="dxa"/>
            <w:vAlign w:val="bottom"/>
            <w:gridSpan w:val="2"/>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200" w:type="dxa"/>
            <w:vAlign w:val="bottom"/>
            <w:gridSpan w:val="1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980" w:type="dxa"/>
            <w:vAlign w:val="bottom"/>
            <w:gridSpan w:val="4"/>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is part of a registration statement on Form S-3 that we filed with the Commission under the Securities Act of 1933. This prospectus and any accompanying prospectus supplement do not contain all of the information included in the registration statement. For further information, we refer you to the registration statement, including its exhibits. Statements contained in this prospectus and any accompanying prospectus supplement about the provisions or contents of any agreement or other document are not necessarily complete. If the Commission’s rules and regulations require that such agreement or document be filed as an exhibit to the registration statement, please see that agreement or document for a complete description of these matters. You should not assume that the information in this prospectus or any prospectus supplement is accurate as of any date other than the date on the front of each document.</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provides you with a general description of the offered shares. Each time the selling shareholder sells any of the offered shares, the selling shareholder will provide you with this prospectus and a prospectus supplement, if applicable, that will contain specific information about the terms of that offering. The prospectus supplement may also add, update or change any information contained in this prospectus. You should read both this prospectus and any prospectus supplement together with additional information described under the heading “Where You Can Find More Information.”</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used in this prospectus, references to “we,” “our,” the “Trust” and “Federal Realty” and similar references are to Federal Realty Investment Trust, a Maryland real estate investment trust and its consolidated subsidiaries. As used in this prospectus, references to the “selling shareholder” and similar references are to the person listed herein, who is a shareholder of Federal Realty Investment Trust and who may offer and sell from time to time up to 80,000 common shares of beneficial interest under this prospectus.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Some statements made in this prospectus and the documents incorporated herein by reference contain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the results of operations or plans expressed or implied by such forward-looking statements. Given these uncertainties, we caution you not to place undue reliance on any forward-looking statements that we make, including those in this prospectus. Such factors include, but are not limited to, the risk factors described below, and include the following:</w:t>
      </w:r>
    </w:p>
    <w:p>
      <w:pPr>
        <w:spacing w:after="0" w:line="21"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800" w:right="80" w:hanging="346"/>
        <w:spacing w:after="0" w:line="298"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occupancy levels at our properties and the amount of rent that we receive from our properties may be lower than expected, that new acquisitions and our development, construction and renovation projects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18" w:lineRule="exact"/>
        <w:rPr>
          <w:rFonts w:ascii="Arial" w:cs="Arial" w:eastAsia="Arial" w:hAnsi="Arial"/>
          <w:sz w:val="16"/>
          <w:szCs w:val="16"/>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76" w:lineRule="exact"/>
        <w:rPr>
          <w:rFonts w:ascii="Arial" w:cs="Arial" w:eastAsia="Arial" w:hAnsi="Arial"/>
          <w:sz w:val="18"/>
          <w:szCs w:val="18"/>
          <w:color w:val="auto"/>
        </w:rPr>
      </w:pPr>
    </w:p>
    <w:p>
      <w:pPr>
        <w:ind w:left="800" w:right="220" w:hanging="346"/>
        <w:spacing w:after="0" w:line="259"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800" w:right="220" w:hanging="346"/>
        <w:spacing w:after="0" w:line="259"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identify forward-looking statements in this prospectus and other materials filed or to be filed by us with the Securities and Exchange Commission, or the Commission,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incorporated by reference into this prospectus by using words or phrases such as “anticipate,” “believe,” “estimate,” “expect,” “intend,” “may be,” “objective,” “plan,” “predict,” “project” and “will be” and similar words or phrases, or the negatives thereof or other similar variations thereof or comparable terminology. Except as required by law, we make no promise to update any of the forward-looking statements as a result of new information, future events, or otherwise.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high quality retail and mixed-use properties. As of June 30, 2004, we owned or had an interest in 62 community and neighborhood shopping centers comprising approximately 14.1 million square feet, primarily located in densely populated and affluent communities throughout the Northeast and Mid-Atlantic United States, as well as California. In addition, we owned 49 urban and retail mixed-use properties comprising almost 2.8 million square feet and one apartment complex, primarily located in strategic metropolitan markets in the Northeast and Mid-Atlantic regions and California. In total, our properties were 94.2% leased at June 30, 2004, 93.1% leased at December 31, 2003 and 93.1% leased at June 30, 2003. We have paid quarterly dividends to our shareholders continuously since our founding in 1962, and have increased our dividend rate for 36 consecutive years.</w:t>
      </w:r>
    </w:p>
    <w:p>
      <w:pPr>
        <w:spacing w:after="0" w:line="10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operate our business on an asset management model, where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who are responsible for day to day operating decisions.</w:t>
      </w:r>
    </w:p>
    <w:p>
      <w:pPr>
        <w:spacing w:after="0" w:line="9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Our principal executive offices are located at 1626 East Jefferson Street, Rockville, Maryland 20852 and our telephone number is (301) 998-8100. Our Web site address is </w:t>
      </w:r>
      <w:r>
        <w:rPr>
          <w:rFonts w:ascii="Arial" w:cs="Arial" w:eastAsia="Arial" w:hAnsi="Arial"/>
          <w:sz w:val="16"/>
          <w:szCs w:val="16"/>
          <w:u w:val="single" w:color="auto"/>
          <w:color w:val="auto"/>
        </w:rPr>
        <w:t>www.federalrealty.com</w:t>
      </w:r>
      <w:r>
        <w:rPr>
          <w:rFonts w:ascii="Arial" w:cs="Arial" w:eastAsia="Arial" w:hAnsi="Arial"/>
          <w:sz w:val="16"/>
          <w:szCs w:val="16"/>
          <w:color w:val="auto"/>
        </w:rPr>
        <w:t>. The information contained on our Web site is not a part of this prospectus.</w:t>
      </w:r>
    </w:p>
    <w:p>
      <w:pPr>
        <w:spacing w:after="0" w:line="6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for reimbursement of real estate taxes and expenses of operating the property. The amount of rent and expense reimbursements we receive from our tenants generally will depend in part on the success of our tenants’ retail operations, making us vulnerable to general economic downturns and other conditions affecting the retail industry. Any reduction in our tenants’ ability to pay base rent, percentage rent or other charges, including the filing by any of our tenants for bankruptcy protection, may adversely affect our financial condition and results of operations.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increase our net income depends on the success and continued presence of our shopping center “anchor” tenants.</w:t>
      </w:r>
    </w:p>
    <w:p>
      <w:pPr>
        <w:spacing w:after="0" w:line="8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Our net income could be adversely affected in the event of a downturn in the business, or the bankruptcy or insolvency, of any anchor store or anchor tenant. The closing of one or more anchor stores prior to the expiration of the lease of that store or the termination of a lease by one or more of a property’s anchor tenants could adversely affect that property and result in lease terminations by, or reductions in rent from, other tenants whose leases may permit termination or rent reduction in those circumstances or whose own operations may suffer as a result. This could reduce our net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derive most of our revenue directly or indirectly from rent received from our tenants. We are subject to the risks that, upon expiration or termination of leases, whether by their terms, as a result of a tenant bankruptcy or otherwise, leases for space in our properties may not be renewed, the space may not be re-leased, or the terms of renewal or re-lease, including the cost of required renovations or concessions to tenants, may be less favorable than current lease terms. As a result, our results of operations and our net income could be reduced.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 substantial amount of debt. As of June 30, 2004, we had approximately $1.3 billion of debt outstanding. Of that outstanding debt, approximately $253 million was secured by 12 of our properties and approximately $159 million represented capital lease obligations on 11 of our properties. All of our secured debt and senior notes and virtually all of our capital lease obligations are fixed rate debt. Our organizational documents do not limit the level or amount of debt that we may incur. We do not have a policy limiting the ratio of our debt to total capitalization or assets. The amount of our debt outstanding from time to time could have important consequences to our shareholders. For example, it could:</w:t>
      </w:r>
    </w:p>
    <w:p>
      <w:pPr>
        <w:spacing w:after="0" w:line="21" w:lineRule="exact"/>
        <w:rPr>
          <w:sz w:val="20"/>
          <w:szCs w:val="20"/>
          <w:color w:val="auto"/>
        </w:rPr>
      </w:pPr>
    </w:p>
    <w:p>
      <w:pPr>
        <w:ind w:left="800" w:right="80" w:hanging="346"/>
        <w:spacing w:after="0" w:line="325"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require us to dedicate increased amounts of our cash flow from operations to payments on our variable rate, unhedged debt if interest rates rise;</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hanging="346"/>
        <w:spacing w:after="0" w:line="325"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 or other general corporate purposes or to obtain such financing on favorable terms; and</w:t>
      </w:r>
    </w:p>
    <w:p>
      <w:pPr>
        <w:spacing w:after="0" w:line="1" w:lineRule="exact"/>
        <w:rPr>
          <w:rFonts w:ascii="Arial" w:cs="Arial" w:eastAsia="Arial" w:hAnsi="Arial"/>
          <w:sz w:val="16"/>
          <w:szCs w:val="16"/>
          <w:color w:val="auto"/>
        </w:rPr>
      </w:pPr>
    </w:p>
    <w:p>
      <w:pPr>
        <w:ind w:left="800" w:right="60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0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are obligated to comply with financial and other covenants in our debt that could restrict our operating activities, and the failure to comply could result in defaults that accelerate payment under our debt.</w:t>
      </w:r>
    </w:p>
    <w:p>
      <w:pPr>
        <w:spacing w:after="0" w:line="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credit facility and term loans include financial covenants that may limit our operating activities in the future. These covenants require us, among other things, to:</w:t>
      </w:r>
    </w:p>
    <w:p>
      <w:pPr>
        <w:spacing w:after="0" w:line="37"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limit the amount of debt as a percentage of total asset value to less than .55 to 1 (we maintained a ratio of .47 to 1 as of June 30, 2004);</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limit the amount of secured debt as a percentage of total asset value to less than .30 to 1 (we maintained a ratio of .15 to 1 as of June 30, 2004);</w:t>
      </w:r>
    </w:p>
    <w:p>
      <w:pPr>
        <w:spacing w:after="0" w:line="99"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(we maintained a ratio of 2.22 to 1 as of June 30, 2004);</w:t>
      </w:r>
    </w:p>
    <w:p>
      <w:pPr>
        <w:spacing w:after="0" w:line="37"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amount of unsecured debt so that unencumbered asset value to unsecured debt will equal or exceed 1.75 to 1 (we maintained a ratio of 2.72 to 1 as of June 30, 2004); and</w:t>
      </w:r>
    </w:p>
    <w:p>
      <w:pPr>
        <w:spacing w:after="0" w:line="37" w:lineRule="exact"/>
        <w:rPr>
          <w:rFonts w:ascii="Arial" w:cs="Arial" w:eastAsia="Arial" w:hAnsi="Arial"/>
          <w:sz w:val="18"/>
          <w:szCs w:val="18"/>
          <w:color w:val="auto"/>
        </w:rPr>
      </w:pPr>
    </w:p>
    <w:p>
      <w:pPr>
        <w:ind w:left="800" w:right="62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15% or less of total asset value (the budgeted total cost of our projects under construction at June 30, 2004 represented 3.6% of gross asset value).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Because these covenants are calculated in accordance with the terms of our credit facility, there is no relevant reconciliation to these ratios under generally accepted accounting principles.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obligated to comply with additional covenants, including, among others, provisions:</w:t>
      </w:r>
    </w:p>
    <w:p>
      <w:pPr>
        <w:spacing w:after="0" w:line="77"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other liens;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June 30, 2004, we were in compliance with all of our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are inherently risky.</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ground-up development of improvements on real property, as opposed to the renovation and redevelopment of existing improvements,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presents substantial risks. We do not intend to initiate any new large-scale mixed-use, ground-up development projects; however, we do intend to complete the development of remaining phases of projects we have already started, such as Bethesda Row in Bethesda, Maryland and Santana Row in San Jose, California. If the additional phases of these projects are not successful, it may adversely affect our financial condition and results of operations.</w:t>
      </w:r>
    </w:p>
    <w:p>
      <w:pPr>
        <w:spacing w:after="0" w:line="9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the risks associated with our remaining development activities include:</w:t>
      </w:r>
    </w:p>
    <w:p>
      <w:pPr>
        <w:spacing w:after="0" w:line="37" w:lineRule="exact"/>
        <w:rPr>
          <w:sz w:val="20"/>
          <w:szCs w:val="20"/>
          <w:color w:val="auto"/>
        </w:rPr>
      </w:pPr>
    </w:p>
    <w:p>
      <w:pPr>
        <w:ind w:left="5620" w:right="1340" w:hanging="5166"/>
        <w:spacing w:after="0" w:line="440"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time lag between commencement and completion subjects us to greater risks due to fluctuation in the general economy; -7-</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higher-than-estimated construction costs, including labor and material costs; and</w:t>
      </w:r>
    </w:p>
    <w:p>
      <w:pPr>
        <w:spacing w:after="0" w:line="76" w:lineRule="exact"/>
        <w:rPr>
          <w:rFonts w:ascii="Arial" w:cs="Arial" w:eastAsia="Arial" w:hAnsi="Arial"/>
          <w:sz w:val="18"/>
          <w:szCs w:val="18"/>
          <w:color w:val="auto"/>
        </w:rPr>
      </w:pPr>
    </w:p>
    <w:p>
      <w:pPr>
        <w:ind w:left="800" w:right="48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delay in completion of the project because of a number of factors, including weather, labor disruptions, construction delays or delays in receipt of zoning or other regulatory approvals, or acts of God (such as fires, earthquakes or floods).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Santana Row</w:t>
      </w:r>
      <w:r>
        <w:rPr>
          <w:rFonts w:ascii="Arial" w:cs="Arial" w:eastAsia="Arial" w:hAnsi="Arial"/>
          <w:sz w:val="16"/>
          <w:szCs w:val="16"/>
          <w:color w:val="auto"/>
        </w:rPr>
        <w:t>. Santana Row is the largest project we have undertaken, and if it is not successful it could have a material adverse effect on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and results of operations. We have made a full and final settlement with the insurance company relating to the August 19, 2002 fire at the property. All proceeds from that insurance settlement have been reflected in our 2003 financial statements with the exception of approximately $3 million which will be included as income in our 2004 financial statements. We are currently in the process of constructing Phases III and IV of the project. Phase III consists of the addition of a new art screen cinema and a small amount of additional retail space. The movie theater has been pre-leased and the tenant is responsible for constructing the new improvements. Our cost of completing Phase III is estimated to be approximately $3.8 million. Phase IV of the project consists of rebuilding on Building 7 256 residential units that were destroyed by the August 2002 fire. We have estimated the incremental cost of completing Phase IV to be approximately $58 million.</w:t>
      </w:r>
    </w:p>
    <w:p>
      <w:pPr>
        <w:spacing w:after="0" w:line="10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and around the Silicon Valley. In addition, our financial condition and results of operations may be adversely affected by delays or cost overruns in completing Phase III, Phase IV or future phases of Santana Row, by an inability to achieve the market rents that were projected when the project was commenced, or by slower than projected lease-up of the project.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8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investment strategy is focused on the redevelopment and acquisition of community and neighborhood shopping centers that are anchored by grocery stores, drugstores or high volume, value-oriented retailers that provide consumer necessities. The redevelopment and acquisition of properties entails risks that include the following, any of which could adversely affect our results of operations and our ability to meet our obligations:</w:t>
      </w:r>
    </w:p>
    <w:p>
      <w:pPr>
        <w:spacing w:after="0" w:line="12" w:lineRule="exact"/>
        <w:rPr>
          <w:sz w:val="20"/>
          <w:szCs w:val="20"/>
          <w:color w:val="auto"/>
        </w:rPr>
      </w:pPr>
    </w:p>
    <w:p>
      <w:pPr>
        <w:ind w:left="800" w:hanging="346"/>
        <w:spacing w:after="0" w:line="259"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and in either case, the property may fail to achieve the returns we have projected, either temporarily or for a longer 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not be able to identify suitable properties to acquire or may be unable to complete the acquisition of the properties we identify;</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integrate any acquisitions into our existing operations successfully;</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within the time frames we project the occupancy or rental rates we project at the time we make the decision to invest, which may result in the properties’ failure to achieve the returns we projected;</w:t>
      </w:r>
    </w:p>
    <w:p>
      <w:pPr>
        <w:spacing w:after="0" w:line="37"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pre-acquisition evaluation of the physical condition of each new investment may not detect certain defects or identify necessary repairs until after the property is acquired, which could significantly increase our total acquisition costs; and</w:t>
      </w:r>
    </w:p>
    <w:p>
      <w:pPr>
        <w:spacing w:after="0" w:line="37" w:lineRule="exact"/>
        <w:rPr>
          <w:rFonts w:ascii="Arial" w:cs="Arial" w:eastAsia="Arial" w:hAnsi="Arial"/>
          <w:sz w:val="18"/>
          <w:szCs w:val="18"/>
          <w:color w:val="auto"/>
        </w:rPr>
      </w:pPr>
    </w:p>
    <w:p>
      <w:pPr>
        <w:ind w:left="800" w:right="8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investigation of a property or building prior to our acquisition, and any representations we may receive from the seller, may fail to reveal various liabilities, which could reduce the cash flow from the property or increase our acquisition cost.</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to complete our redevelopments, it is often necessary for us to take space out of service for a period of time which, on at least a temporary basis, increases vacancy and decreases revenue at the property.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required to distribute to our shareholders at least 90% of our REIT taxable income each year to continue to qualify as a real estate investment trust, or REIT, for federal income tax purposes. As a result, we must rely primarily upon the availability of debt or equity capital, which may or may not be available on favorable terms or at all. The debt could include mortgage loans from third parties or the sale of debt securities.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we could experience delay or difficulty in implementing our growth strategy on satisfactory terms, or be unable to implement this strategy.</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8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Of our approximately $1.3 billion of debt outstanding as of December 31, 2003, approximately $186 million bears interest at variable rates and was unhedged. We also may borrow additional funds at variable interest rates in the future. Increases in interest rates would increase our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securities, both debt and preferred, to demand a higher annual yield, which could adversely affect the market price of our outstanding debt securities and preferred shares and the cost of issuing additional debt securities or preferred shares.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12"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downturns in the areas where our properties are located;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oversupply or reduction in demand;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76" w:lineRule="exact"/>
        <w:rPr>
          <w:rFonts w:ascii="Arial" w:cs="Arial" w:eastAsia="Arial" w:hAnsi="Arial"/>
          <w:sz w:val="18"/>
          <w:szCs w:val="18"/>
          <w:color w:val="auto"/>
        </w:rPr>
      </w:pPr>
    </w:p>
    <w:p>
      <w:pPr>
        <w:ind w:left="800" w:right="20" w:hanging="346"/>
        <w:spacing w:after="0" w:line="259"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investment.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develop may not produce any significant revenue immediately, and properties that we redevelop, renovate or reposition may produce reduced rents during the redevelopment, renovation or repositioning. In those events, the cash flow from existing operations may be insufficient to pay the operating expenses and debt service associated with those properties until the properties are fully leased.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Numerous commercial developers and real estate companies compete with us in seeking tenants for our existing properties and properties for acquisition.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competition may:</w:t>
      </w:r>
    </w:p>
    <w:p>
      <w:pPr>
        <w:spacing w:after="0" w:line="70"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Our inability to respond quickly to adverse changes in the performance of our investments could have an adverse effect on our ability to meet our obligations and make distributions to our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 or may become inadequate.</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June 30, 2004, we carry comprehensive insurance on all of our properties, including insurance for liability, fire, flood, and rental loss. We also carry earthquake insurance on all of our properties in California and environmental insurance on most of our properties. These earthquake and environmental policies contain coverage limitations. We believe this coverage is of the type and amount customarily obtained for or by an owner of real property assets. We intend to obtain similar insurance coverage on subsequently acquired properties.</w:t>
      </w:r>
    </w:p>
    <w:p>
      <w:pPr>
        <w:spacing w:after="0" w:line="13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a consequence of the September 11, 2001 terrorist attacks and other significant losses incurred by the insurance industry, the availability of insurance coverage has decreased and the prices for insurance have increased. As a result, we may be unable to renew or duplicate our current insurance coverage in adequate amounts or at reasonable prices when the policies expire.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jointly with other persons or entities and as of October 1, 2004, we hold eleven shopping centers and six urban retail and mixed-use properties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and that those partners or co-investors might be in a position to take action contrary to our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suggestions or instructions, or in opposition to our policies or objectives. Although we hold the managing general partnership or membership interest in all 17 of our existing co-investments as of October 1, 2004, we must obtain the consent of the co-investor or meet defined criteria to sell or to finance 10 of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9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addition, we have created a new joint venture for purposes of acquiring properties. We own three shopping centers through this joint venture. Although we are the manager of that entity, we are the minority equity owner. Under the joint venture arrangement,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or to act quickly if circumstances change or we believe an action is required. In particular, our partner’s consent is required to do the following:</w:t>
      </w:r>
    </w:p>
    <w:p>
      <w:pPr>
        <w:spacing w:after="0" w:line="48"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or modify leases with, or enforce remedies against, anchor tenants;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certain repairs, renovations or other changes or improvements to properties, the cost of which exceeds approved budgets;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the property or finance or refinance the property with secured debt.</w:t>
      </w:r>
    </w:p>
    <w:p>
      <w:pPr>
        <w:spacing w:after="0" w:line="15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Under the terms of our partnership, certain acquisition opportunities that become available to us are required to be offered first to the joint venture. This requirement will result in conflicts of interest and could limit our ability to acquire properties for our own account which could, in turn, limit our ability to grow. Our investment in this joint venture is also subject to the risks described above for jointly owned investments.</w:t>
      </w:r>
    </w:p>
    <w:p>
      <w:pPr>
        <w:spacing w:after="0" w:line="9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because we act as property manager and leasing agent for the joint venture, there may be potential conflicts of interest within management in allocating time and resources between us and the joint venture.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properly to remediate contamination at any of our properties may adversely affect our ability to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sell or lease those properties or to borrow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0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Americans with Disabilities Act of 1990 could require us to take remedial steps with respect to existing or newly acquired properties.</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the Act, or of other federal, state or local laws, also may change in the future and restrict further renovations of our properties with respect to access for disabled persons. Future compliance with the Act may require expensive changes to the properties.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revenues generated by our tenants could be negatively affected by various federal, state and local laws to which they are subject.</w:t>
      </w:r>
    </w:p>
    <w:p>
      <w:pPr>
        <w:spacing w:after="0" w:line="10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3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that we are organized and qualified as a REIT for federal income tax purposes and currently intend to operate in a manner that will allow us to continue to qualify as a REIT under the Internal Revenue Code of 1986, as amended (“Code”). However, the IRS may determine that we are not qualified as such. In addition, we may not remain qualified as a REIT in the future.</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other income. Satisfying this requirement could be difficult, for example, if defaults by tenants were to reduce the amount of income from qualifying rents. Also, we must make annual distributions to shareholders of at least 90% of our REIT taxable income (excluding capital gains).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fail to qualify as a REIT:</w:t>
      </w:r>
    </w:p>
    <w:p>
      <w:pPr>
        <w:spacing w:after="0" w:line="77"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subject to the federal alternative minimum tax;</w:t>
      </w:r>
    </w:p>
    <w:p>
      <w:pPr>
        <w:spacing w:after="0" w:line="76" w:lineRule="exact"/>
        <w:rPr>
          <w:rFonts w:ascii="Arial" w:cs="Arial" w:eastAsia="Arial" w:hAnsi="Arial"/>
          <w:sz w:val="18"/>
          <w:szCs w:val="18"/>
          <w:color w:val="auto"/>
        </w:rPr>
      </w:pPr>
    </w:p>
    <w:p>
      <w:pPr>
        <w:ind w:left="800" w:right="240" w:hanging="346"/>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spacing w:after="0" w:line="37" w:lineRule="exact"/>
        <w:rPr>
          <w:rFonts w:ascii="Arial" w:cs="Arial" w:eastAsia="Arial" w:hAnsi="Arial"/>
          <w:sz w:val="18"/>
          <w:szCs w:val="18"/>
          <w:color w:val="auto"/>
        </w:rPr>
      </w:pPr>
    </w:p>
    <w:p>
      <w:pPr>
        <w:ind w:left="800" w:right="300" w:hanging="346"/>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8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As a REIT, we must make annual distributions to shareholders of at least 90% of our REIT taxable income. We are subject to income tax on amounts of undistributed REIT taxable income and net capital gain. In addition, we would be subject to a 4% excise tax if we fail to distribute sufficient income to meet a minimum distribution test based on our ordinary income, capital gain and aggregate undistributed income from prior years.</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intend to make distributions to shareholders to comply with the Code’s distribution provisions and to avoid federal income and excise tax. We may need to borrow funds to meet our distribution requirements because:</w:t>
      </w:r>
    </w:p>
    <w:p>
      <w:pPr>
        <w:spacing w:after="0" w:line="37"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income may not be matched by our related expenses at the time the income is considered received for purposes of determining taxable income; and</w:t>
      </w:r>
    </w:p>
    <w:p>
      <w:pPr>
        <w:spacing w:after="0" w:line="111" w:lineRule="exact"/>
        <w:rPr>
          <w:rFonts w:ascii="Arial" w:cs="Arial" w:eastAsia="Arial" w:hAnsi="Arial"/>
          <w:sz w:val="15"/>
          <w:szCs w:val="15"/>
          <w:color w:val="auto"/>
        </w:rPr>
      </w:pPr>
    </w:p>
    <w:p>
      <w:pPr>
        <w:ind w:left="800" w:hanging="34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non-deductible capital expenditures, creation of reserves, or debt service requirements may reduce available cash but not taxable income.</w:t>
      </w:r>
    </w:p>
    <w:p>
      <w:pPr>
        <w:spacing w:after="0" w:line="18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these circumstances, we might have to borrow funds on unfavorable terms and we may have to borrow funds even if our management believes the market conditions make borrowing financially unattractive.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Code imposes certain limitations on the ownership of the stock of a REIT. For example, not more than 50% in value of our outstanding shares of capital stock may be owned, actually or constructively, by five or fewer individuals (as defined in the Code).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of series of preferred shares (or the acquisition of an interest in an entity that owns common shares or preferred shares), by an individual or entity could cause that individual or entity (or another) to own constructively more than 9.8% in value of the outstanding stock. If that happened, either the transfer or ownership would be void or the shares would be transferred to a charitable trust and then sold to someone who can own those shares without violating the 9.8% ownership limit.</w:t>
      </w:r>
    </w:p>
    <w:p>
      <w:pPr>
        <w:spacing w:after="0" w:line="10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p>
    <w:p>
      <w:pPr>
        <w:spacing w:after="0" w:line="83" w:lineRule="exact"/>
        <w:rPr>
          <w:sz w:val="20"/>
          <w:szCs w:val="20"/>
          <w:color w:val="auto"/>
        </w:rPr>
      </w:pPr>
    </w:p>
    <w:p>
      <w:pPr>
        <w:ind w:right="300" w:firstLine="456"/>
        <w:spacing w:after="0" w:line="325" w:lineRule="auto"/>
        <w:rPr>
          <w:sz w:val="20"/>
          <w:szCs w:val="20"/>
          <w:color w:val="auto"/>
        </w:rPr>
      </w:pPr>
      <w:r>
        <w:rPr>
          <w:rFonts w:ascii="Arial" w:cs="Arial" w:eastAsia="Arial" w:hAnsi="Arial"/>
          <w:sz w:val="16"/>
          <w:szCs w:val="16"/>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lease terms by tenants;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49"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staggered, fixed-size Board of Trustees consisting of three classes of trustees;</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by the chairman of the Board, by the chief executive officer, by the president, by one-third of the trustees or by shareholders possessing no less than 25% of all the votes entitled to be cast at the meeting;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36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 and</w:t>
      </w:r>
    </w:p>
    <w:p>
      <w:pPr>
        <w:spacing w:after="0" w:line="76" w:lineRule="exact"/>
        <w:rPr>
          <w:rFonts w:ascii="Arial" w:cs="Arial" w:eastAsia="Arial" w:hAnsi="Arial"/>
          <w:sz w:val="18"/>
          <w:szCs w:val="18"/>
          <w:color w:val="auto"/>
        </w:rPr>
      </w:pPr>
    </w:p>
    <w:p>
      <w:pPr>
        <w:ind w:left="800" w:hanging="346"/>
        <w:spacing w:after="0" w:line="370" w:lineRule="auto"/>
        <w:tabs>
          <w:tab w:leader="none" w:pos="8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4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0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fifty percent of the shareholders entitled to vote, and, upon such repeal, may, to the extent provided by any successor bylaw, apply to any prior or subsequent control share acquisition.</w:t>
      </w:r>
    </w:p>
    <w:p>
      <w:pPr>
        <w:spacing w:after="0" w:line="8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amend or revise our business policies without your approval, and we have adopted a business plan that involves changes in our operational policies.</w:t>
      </w:r>
    </w:p>
    <w:p>
      <w:pPr>
        <w:spacing w:after="0" w:line="31"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3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in February of 2002, our Board of Trustees adopted a business plan that focuses on our investment in neighborhood and community shopping centers, principally through redevelopments and acquisitions. If our new business plan is not successful, it could have a material adverse effect on our financial condition and results of operations.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We will not receive any of the proceeds from sales of the common shares covered by this prospectus by the selling shareholder. We will pay all costs and expenses incurred in connection with the offering of the offered shares, other than any brokerage fees and commissions, fees and disbursements of legal counsel for the selling shareholder and share transfer and other taxes attributable to the sale of the common shares, which will be paid by the selling shareholder.</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selling shareholder received the common shares in exchange for its limited partnership interests in one of our partnerships, pursuant to the terms of the partnership agreement of that partnership. The following table provides the name of the selling shareholder and the number of common shares that may be offered by the selling shareholder. The address for the selling shareholder is The Wallace Family L.P., 538 Gentlewood Square, Purcellville, VA 20132. Since the selling shareholder may sell all, some or none of the offered shares, no estimate can be made of the number of offered shares that will be sold by the selling shareholder or that will be owned by the selling shareholder upon completion of the offering. The offered shares represent approximately 0.15% of our total common shares outstanding as of October 28,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3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5"/>
              </w:rPr>
              <w:t>Shares Beneficially</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36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Owned Prior to the</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160" w:type="dxa"/>
            <w:vAlign w:val="bottom"/>
            <w:gridSpan w:val="2"/>
          </w:tcPr>
          <w:p>
            <w:pPr>
              <w:jc w:val="center"/>
              <w:ind w:left="550"/>
              <w:spacing w:after="0"/>
              <w:rPr>
                <w:sz w:val="20"/>
                <w:szCs w:val="20"/>
                <w:color w:val="auto"/>
              </w:rPr>
            </w:pPr>
            <w:r>
              <w:rPr>
                <w:rFonts w:ascii="Arial" w:cs="Arial" w:eastAsia="Arial" w:hAnsi="Arial"/>
                <w:sz w:val="14"/>
                <w:szCs w:val="14"/>
                <w:b w:val="1"/>
                <w:bCs w:val="1"/>
                <w:color w:val="auto"/>
                <w:w w:val="91"/>
              </w:rPr>
              <w:t>Offering</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After the Offering(1)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Number of</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Shares Being</w:t>
            </w: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540" w:type="dxa"/>
            <w:vAlign w:val="bottom"/>
            <w:gridSpan w:val="4"/>
          </w:tcPr>
          <w:p>
            <w:pPr>
              <w:spacing w:after="0"/>
              <w:rPr>
                <w:sz w:val="20"/>
                <w:szCs w:val="20"/>
                <w:color w:val="auto"/>
              </w:rPr>
            </w:pPr>
            <w:r>
              <w:rPr>
                <w:rFonts w:ascii="Arial" w:cs="Arial" w:eastAsia="Arial" w:hAnsi="Arial"/>
                <w:sz w:val="14"/>
                <w:szCs w:val="14"/>
                <w:b w:val="1"/>
                <w:bCs w:val="1"/>
                <w:color w:val="auto"/>
              </w:rPr>
              <w:t>Name of Selling Stockholder</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Owned</w:t>
            </w: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4"/>
              </w:rPr>
              <w:t>Percent(2)</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Offered</w:t>
            </w: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Owned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Percent(2)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Wallace Family L.P.</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Assuming the sale of all of the shares being offered under this registration statement.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upon 52,112,089 common shares outstanding as of October 28, 2004.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INCOME TAX CONSIDERATIONS</w:t>
      </w:r>
    </w:p>
    <w:p>
      <w:pPr>
        <w:spacing w:after="0" w:line="16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Because this section is a summary, it does not address all of the tax issues that may be important to you.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Tax—Exempt U.S. Shareholders” below), financial institutions and broker-dealers, and non-U.S. individuals and foreign corporations (except to the extent discussed in “— Taxation of Non-U.S. Shareholders” below).</w:t>
      </w:r>
    </w:p>
    <w:p>
      <w:pPr>
        <w:spacing w:after="0" w:line="10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2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the opinion of our tax counsel, Shaw Pittman LLP, (i) we qualified as a REIT under Sections 856 through 859 of the Code with respect to our taxable years ended through December 31, 2003;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14"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stockholder levels) that generally results from owning stock in a corporation. However, we will be subject to federal tax in the following circumstances:</w:t>
      </w:r>
    </w:p>
    <w:p>
      <w:pPr>
        <w:spacing w:after="0" w:line="46" w:lineRule="exact"/>
        <w:rPr>
          <w:sz w:val="20"/>
          <w:szCs w:val="20"/>
          <w:color w:val="auto"/>
        </w:rPr>
      </w:pPr>
    </w:p>
    <w:p>
      <w:pPr>
        <w:ind w:left="800" w:right="20" w:hanging="346"/>
        <w:spacing w:after="0" w:line="26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20" w:hanging="346"/>
        <w:spacing w:after="0" w:line="325"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 w:lineRule="exact"/>
        <w:rPr>
          <w:rFonts w:ascii="Arial" w:cs="Arial" w:eastAsia="Arial" w:hAnsi="Arial"/>
          <w:sz w:val="16"/>
          <w:szCs w:val="16"/>
          <w:color w:val="auto"/>
        </w:rPr>
      </w:pPr>
    </w:p>
    <w:p>
      <w:pPr>
        <w:ind w:left="800" w:right="10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37" w:lineRule="exact"/>
        <w:rPr>
          <w:rFonts w:ascii="Arial" w:cs="Arial" w:eastAsia="Arial" w:hAnsi="Arial"/>
          <w:sz w:val="18"/>
          <w:szCs w:val="18"/>
          <w:color w:val="auto"/>
        </w:rPr>
      </w:pPr>
    </w:p>
    <w:p>
      <w:pPr>
        <w:ind w:left="800" w:right="20" w:hanging="346"/>
        <w:spacing w:after="0" w:line="256"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 Requirements for REIT Qualification — Income Tests”), but nonetheless continue to qualify as a REIT because we meet certain other requirements, we will pay a 100% tax on (i) the gross income attributable to the greater of the amount by we fail, respectively, the 75% or 95% gross income test, multiplied, in either case, by (ii) a fraction intended to reflect our profitability;</w:t>
      </w:r>
    </w:p>
    <w:p>
      <w:pPr>
        <w:spacing w:after="0" w:line="48" w:lineRule="exact"/>
        <w:rPr>
          <w:rFonts w:ascii="Arial" w:cs="Arial" w:eastAsia="Arial" w:hAnsi="Arial"/>
          <w:sz w:val="18"/>
          <w:szCs w:val="18"/>
          <w:color w:val="auto"/>
        </w:rPr>
      </w:pPr>
    </w:p>
    <w:p>
      <w:pPr>
        <w:ind w:left="800" w:right="140" w:hanging="346"/>
        <w:spacing w:after="0" w:line="298"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beginning in our 2005 taxable year, 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8" w:lineRule="exact"/>
        <w:rPr>
          <w:rFonts w:ascii="Arial" w:cs="Arial" w:eastAsia="Arial" w:hAnsi="Arial"/>
          <w:sz w:val="16"/>
          <w:szCs w:val="16"/>
          <w:color w:val="auto"/>
        </w:rPr>
      </w:pPr>
    </w:p>
    <w:p>
      <w:pPr>
        <w:ind w:left="800" w:hanging="346"/>
        <w:spacing w:after="0" w:line="259"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beginning in our 2005 taxable year, if we fail to satisfy one or more of the requirements for REIT qualification (other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w:t>
      </w:r>
    </w:p>
    <w:p>
      <w:pPr>
        <w:spacing w:after="0" w:line="45" w:lineRule="exact"/>
        <w:rPr>
          <w:rFonts w:ascii="Arial" w:cs="Arial" w:eastAsia="Arial" w:hAnsi="Arial"/>
          <w:sz w:val="18"/>
          <w:szCs w:val="18"/>
          <w:color w:val="auto"/>
        </w:rPr>
      </w:pPr>
    </w:p>
    <w:p>
      <w:pPr>
        <w:ind w:left="800" w:right="80" w:hanging="346"/>
        <w:spacing w:after="0" w:line="259"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76" w:lineRule="exact"/>
        <w:rPr>
          <w:rFonts w:ascii="Arial" w:cs="Arial" w:eastAsia="Arial" w:hAnsi="Arial"/>
          <w:sz w:val="18"/>
          <w:szCs w:val="18"/>
          <w:color w:val="auto"/>
        </w:rPr>
      </w:pPr>
    </w:p>
    <w:p>
      <w:pPr>
        <w:ind w:left="800" w:right="100" w:hanging="346"/>
        <w:spacing w:after="0" w:line="294"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we are managed by one or more trustees or directors;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hanging="184"/>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57" w:lineRule="exact"/>
        <w:rPr>
          <w:rFonts w:ascii="Arial" w:cs="Arial" w:eastAsia="Arial" w:hAnsi="Arial"/>
          <w:sz w:val="18"/>
          <w:szCs w:val="18"/>
          <w:color w:val="auto"/>
        </w:rPr>
      </w:pPr>
    </w:p>
    <w:p>
      <w:pPr>
        <w:ind w:left="420" w:hanging="184"/>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57" w:lineRule="exact"/>
        <w:rPr>
          <w:rFonts w:ascii="Arial" w:cs="Arial" w:eastAsia="Arial" w:hAnsi="Arial"/>
          <w:sz w:val="18"/>
          <w:szCs w:val="18"/>
          <w:color w:val="auto"/>
        </w:rPr>
      </w:pPr>
    </w:p>
    <w:p>
      <w:pPr>
        <w:ind w:left="420" w:hanging="184"/>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57" w:lineRule="exact"/>
        <w:rPr>
          <w:rFonts w:ascii="Arial" w:cs="Arial" w:eastAsia="Arial" w:hAnsi="Arial"/>
          <w:sz w:val="18"/>
          <w:szCs w:val="18"/>
          <w:color w:val="auto"/>
        </w:rPr>
      </w:pPr>
    </w:p>
    <w:p>
      <w:pPr>
        <w:ind w:left="420" w:hanging="184"/>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57" w:lineRule="exact"/>
        <w:rPr>
          <w:rFonts w:ascii="Arial" w:cs="Arial" w:eastAsia="Arial" w:hAnsi="Arial"/>
          <w:sz w:val="18"/>
          <w:szCs w:val="18"/>
          <w:color w:val="auto"/>
        </w:rPr>
      </w:pPr>
    </w:p>
    <w:p>
      <w:pPr>
        <w:ind w:right="200" w:firstLine="236"/>
        <w:spacing w:after="0" w:line="268" w:lineRule="auto"/>
        <w:tabs>
          <w:tab w:leader="none" w:pos="4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18" w:lineRule="exact"/>
        <w:rPr>
          <w:rFonts w:ascii="Arial" w:cs="Arial" w:eastAsia="Arial" w:hAnsi="Arial"/>
          <w:sz w:val="18"/>
          <w:szCs w:val="18"/>
          <w:color w:val="auto"/>
        </w:rPr>
      </w:pPr>
    </w:p>
    <w:p>
      <w:pPr>
        <w:ind w:right="700" w:firstLine="236"/>
        <w:spacing w:after="0" w:line="268" w:lineRule="auto"/>
        <w:tabs>
          <w:tab w:leader="none" w:pos="4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Internal Revenue Service that must be met to elect and maintain REIT status;</w:t>
      </w:r>
    </w:p>
    <w:p>
      <w:pPr>
        <w:spacing w:after="0" w:line="118" w:lineRule="exact"/>
        <w:rPr>
          <w:rFonts w:ascii="Arial" w:cs="Arial" w:eastAsia="Arial" w:hAnsi="Arial"/>
          <w:sz w:val="18"/>
          <w:szCs w:val="18"/>
          <w:color w:val="auto"/>
        </w:rPr>
      </w:pPr>
    </w:p>
    <w:p>
      <w:pPr>
        <w:ind w:firstLine="236"/>
        <w:spacing w:after="0" w:line="268" w:lineRule="auto"/>
        <w:tabs>
          <w:tab w:leader="none" w:pos="4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U.S. Department of Treasury (“Treasury”); and</w:t>
      </w:r>
    </w:p>
    <w:p>
      <w:pPr>
        <w:spacing w:after="0" w:line="118" w:lineRule="exact"/>
        <w:rPr>
          <w:rFonts w:ascii="Arial" w:cs="Arial" w:eastAsia="Arial" w:hAnsi="Arial"/>
          <w:sz w:val="18"/>
          <w:szCs w:val="18"/>
          <w:color w:val="auto"/>
        </w:rPr>
      </w:pPr>
    </w:p>
    <w:p>
      <w:pPr>
        <w:ind w:left="420" w:hanging="184"/>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5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“Risk Factors – To maintain our status as a REIT, we limit the amount of shares any one shareholder can own.”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they are not subject to federal corporate income taxation, though they may be subject to state and local taxation.</w:t>
      </w:r>
    </w:p>
    <w:p>
      <w:pPr>
        <w:spacing w:after="0" w:line="105"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77" w:lineRule="exact"/>
        <w:rPr>
          <w:sz w:val="20"/>
          <w:szCs w:val="20"/>
          <w:color w:val="auto"/>
        </w:rPr>
      </w:pPr>
    </w:p>
    <w:p>
      <w:pPr>
        <w:ind w:left="800" w:right="60" w:hanging="346"/>
        <w:spacing w:after="0" w:line="255"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48" w:lineRule="exact"/>
        <w:rPr>
          <w:rFonts w:ascii="Arial" w:cs="Arial" w:eastAsia="Arial" w:hAnsi="Arial"/>
          <w:sz w:val="18"/>
          <w:szCs w:val="18"/>
          <w:color w:val="auto"/>
        </w:rPr>
      </w:pPr>
    </w:p>
    <w:p>
      <w:pPr>
        <w:ind w:left="800" w:hanging="346"/>
        <w:spacing w:after="0" w:line="259"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27" w:lineRule="exact"/>
        <w:rPr>
          <w:sz w:val="20"/>
          <w:szCs w:val="20"/>
          <w:color w:val="auto"/>
        </w:rPr>
      </w:pPr>
    </w:p>
    <w:p>
      <w:pPr>
        <w:jc w:val="right"/>
        <w:ind w:right="5540"/>
        <w:spacing w:after="0"/>
        <w:rPr>
          <w:sz w:val="20"/>
          <w:szCs w:val="20"/>
          <w:color w:val="auto"/>
        </w:rPr>
      </w:pPr>
      <w:r>
        <w:rPr>
          <w:rFonts w:ascii="Arial" w:cs="Arial" w:eastAsia="Arial" w:hAnsi="Arial"/>
          <w:sz w:val="16"/>
          <w:szCs w:val="16"/>
          <w:color w:val="auto"/>
        </w:rPr>
        <w:t>The following paragraphs discuss the specific application of these tests to us.</w:t>
      </w:r>
    </w:p>
    <w:p>
      <w:pPr>
        <w:spacing w:after="0" w:line="181" w:lineRule="exact"/>
        <w:rPr>
          <w:sz w:val="20"/>
          <w:szCs w:val="20"/>
          <w:color w:val="auto"/>
        </w:rPr>
      </w:pPr>
    </w:p>
    <w:p>
      <w:pPr>
        <w:jc w:val="right"/>
        <w:ind w:right="55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Rental Income</w:t>
      </w:r>
      <w:r>
        <w:rPr>
          <w:rFonts w:ascii="Arial" w:cs="Arial" w:eastAsia="Arial" w:hAnsi="Arial"/>
          <w:sz w:val="18"/>
          <w:szCs w:val="18"/>
          <w:color w:val="auto"/>
        </w:rPr>
        <w:t>. Our primary source of income derives from leasing properties. Rent that we receive from real property that we own and lease to tenants will</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“rents from real property” (which is qualifying income for purposes of the 75% and 95% gross income tests) only if several conditions are met under the REIT tax rules:</w:t>
      </w:r>
    </w:p>
    <w:p>
      <w:pPr>
        <w:spacing w:after="0" w:line="46" w:lineRule="exact"/>
        <w:rPr>
          <w:sz w:val="20"/>
          <w:szCs w:val="20"/>
          <w:color w:val="auto"/>
        </w:rPr>
      </w:pPr>
    </w:p>
    <w:p>
      <w:pPr>
        <w:ind w:left="800" w:right="80" w:hanging="346"/>
        <w:spacing w:after="0" w:line="259"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w:t>
      </w:r>
    </w:p>
    <w:p>
      <w:pPr>
        <w:spacing w:after="0" w:line="45" w:lineRule="exact"/>
        <w:rPr>
          <w:rFonts w:ascii="Arial" w:cs="Arial" w:eastAsia="Arial" w:hAnsi="Arial"/>
          <w:sz w:val="18"/>
          <w:szCs w:val="18"/>
          <w:color w:val="auto"/>
        </w:rPr>
      </w:pPr>
    </w:p>
    <w:p>
      <w:pPr>
        <w:ind w:left="800" w:right="20" w:hanging="346"/>
        <w:spacing w:after="0" w:line="287"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28" w:lineRule="exact"/>
        <w:rPr>
          <w:rFonts w:ascii="Arial" w:cs="Arial" w:eastAsia="Arial" w:hAnsi="Arial"/>
          <w:sz w:val="16"/>
          <w:szCs w:val="16"/>
          <w:color w:val="auto"/>
        </w:rPr>
      </w:pPr>
    </w:p>
    <w:p>
      <w:pPr>
        <w:ind w:left="800" w:right="40" w:hanging="346"/>
        <w:spacing w:after="0" w:line="254"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certain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49" w:lineRule="exact"/>
        <w:rPr>
          <w:rFonts w:ascii="Arial" w:cs="Arial" w:eastAsia="Arial" w:hAnsi="Arial"/>
          <w:sz w:val="18"/>
          <w:szCs w:val="18"/>
          <w:color w:val="auto"/>
        </w:rPr>
      </w:pPr>
    </w:p>
    <w:p>
      <w:pPr>
        <w:ind w:left="800" w:right="220" w:hanging="346"/>
        <w:spacing w:after="0" w:line="298"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w:t>
      </w:r>
    </w:p>
    <w:p>
      <w:pPr>
        <w:spacing w:after="0" w:line="18" w:lineRule="exact"/>
        <w:rPr>
          <w:rFonts w:ascii="Arial" w:cs="Arial" w:eastAsia="Arial" w:hAnsi="Arial"/>
          <w:sz w:val="16"/>
          <w:szCs w:val="16"/>
          <w:color w:val="auto"/>
        </w:rPr>
      </w:pPr>
    </w:p>
    <w:p>
      <w:pPr>
        <w:ind w:left="800" w:right="20" w:hanging="346"/>
        <w:spacing w:after="0" w:line="26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generally must not operate or manage our property or furnish or render services to our tenants, other than through an “independent contractor” who is adequately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91" w:lineRule="auto"/>
        <w:rPr>
          <w:sz w:val="20"/>
          <w:szCs w:val="20"/>
          <w:color w:val="auto"/>
        </w:rPr>
      </w:pPr>
      <w:r>
        <w:rPr>
          <w:rFonts w:ascii="Arial" w:cs="Arial" w:eastAsia="Arial" w:hAnsi="Arial"/>
          <w:sz w:val="16"/>
          <w:szCs w:val="16"/>
          <w:color w:val="auto"/>
        </w:rPr>
        <w:t>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foregoing, we believe that rent from leases should qualify as “rents from real property” for purposes of the 75% and 95% gross income tests.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described above, however, the IRS may assert successfully a contrary position and, therefore, prevent us from qualifying as a REIT.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77" w:lineRule="exact"/>
        <w:rPr>
          <w:sz w:val="20"/>
          <w:szCs w:val="20"/>
          <w:color w:val="auto"/>
        </w:rPr>
      </w:pPr>
    </w:p>
    <w:p>
      <w:pPr>
        <w:ind w:left="800" w:right="16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37" w:lineRule="exact"/>
        <w:rPr>
          <w:rFonts w:ascii="Arial" w:cs="Arial" w:eastAsia="Arial" w:hAnsi="Arial"/>
          <w:sz w:val="18"/>
          <w:szCs w:val="18"/>
          <w:color w:val="auto"/>
        </w:rPr>
      </w:pPr>
    </w:p>
    <w:p>
      <w:pPr>
        <w:ind w:left="800" w:right="340" w:hanging="346"/>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45"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37" w:lineRule="exact"/>
        <w:rPr>
          <w:rFonts w:ascii="Arial" w:cs="Arial" w:eastAsia="Arial" w:hAnsi="Arial"/>
          <w:sz w:val="18"/>
          <w:szCs w:val="18"/>
          <w:color w:val="auto"/>
        </w:rPr>
      </w:pPr>
    </w:p>
    <w:p>
      <w:pPr>
        <w:jc w:val="both"/>
        <w:ind w:left="800" w:right="20" w:hanging="346"/>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2" w:lineRule="exact"/>
        <w:rPr>
          <w:sz w:val="20"/>
          <w:szCs w:val="20"/>
          <w:color w:val="auto"/>
        </w:rPr>
      </w:pPr>
    </w:p>
    <w:p>
      <w:pPr>
        <w:ind w:left="800" w:right="300" w:hanging="346"/>
        <w:spacing w:after="0" w:line="332" w:lineRule="auto"/>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58" w:lineRule="exact"/>
        <w:rPr>
          <w:sz w:val="20"/>
          <w:szCs w:val="20"/>
          <w:color w:val="auto"/>
        </w:rPr>
      </w:pPr>
    </w:p>
    <w:p>
      <w:pPr>
        <w:jc w:val="both"/>
        <w:ind w:firstLine="456"/>
        <w:spacing w:after="0" w:line="34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 w:lineRule="exact"/>
        <w:rPr>
          <w:sz w:val="20"/>
          <w:szCs w:val="20"/>
          <w:color w:val="auto"/>
        </w:rPr>
      </w:pPr>
    </w:p>
    <w:p>
      <w:pPr>
        <w:ind w:left="800" w:right="260" w:hanging="346"/>
        <w:spacing w:after="0" w:line="268"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37" w:lineRule="exact"/>
        <w:rPr>
          <w:rFonts w:ascii="Arial" w:cs="Arial" w:eastAsia="Arial" w:hAnsi="Arial"/>
          <w:sz w:val="18"/>
          <w:szCs w:val="18"/>
          <w:color w:val="auto"/>
        </w:rPr>
      </w:pPr>
    </w:p>
    <w:p>
      <w:pPr>
        <w:ind w:left="800" w:right="180" w:hanging="346"/>
        <w:spacing w:after="0" w:line="259"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45"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37" w:lineRule="exact"/>
        <w:rPr>
          <w:rFonts w:ascii="Arial" w:cs="Arial" w:eastAsia="Arial" w:hAnsi="Arial"/>
          <w:sz w:val="18"/>
          <w:szCs w:val="18"/>
          <w:color w:val="auto"/>
        </w:rPr>
      </w:pPr>
    </w:p>
    <w:p>
      <w:pPr>
        <w:ind w:left="800" w:right="200" w:hanging="346"/>
        <w:spacing w:after="0" w:line="370" w:lineRule="auto"/>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4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Tax on Prohibited Transactions</w:t>
      </w:r>
      <w:r>
        <w:rPr>
          <w:rFonts w:ascii="Arial" w:cs="Arial" w:eastAsia="Arial" w:hAnsi="Arial"/>
          <w:sz w:val="16"/>
          <w:szCs w:val="16"/>
          <w:color w:val="auto"/>
        </w:rPr>
        <w:t>. A REIT will incur a 100% tax on net income derived from any “prohibited transaction.” A “prohibited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is a sale or other disposition of property (other than foreclosure property) that the REIT holds primarily for sale to customers in the ordinary course of a trade or business. We believe that none of our assets are held for sale to customers and that a sale of any such asset would not be in the ordinary course of its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Tax and Deduction Limits on Certain Transactions with Taxable REIT Subsidiaries</w:t>
      </w:r>
      <w:r>
        <w:rPr>
          <w:rFonts w:ascii="Arial" w:cs="Arial" w:eastAsia="Arial" w:hAnsi="Arial"/>
          <w:sz w:val="16"/>
          <w:szCs w:val="16"/>
          <w:color w:val="auto"/>
        </w:rPr>
        <w:t>. A REIT will incur a 100% tax on certain transactions between a REIT</w:t>
      </w:r>
      <w:r>
        <w:rPr>
          <w:rFonts w:ascii="Arial" w:cs="Arial" w:eastAsia="Arial" w:hAnsi="Arial"/>
          <w:sz w:val="16"/>
          <w:szCs w:val="16"/>
          <w:i w:val="1"/>
          <w:iCs w:val="1"/>
          <w:color w:val="auto"/>
        </w:rPr>
        <w:t xml:space="preserve"> </w:t>
      </w:r>
      <w:r>
        <w:rPr>
          <w:rFonts w:ascii="Arial" w:cs="Arial" w:eastAsia="Arial" w:hAnsi="Arial"/>
          <w:sz w:val="16"/>
          <w:szCs w:val="16"/>
          <w:color w:val="auto"/>
        </w:rPr>
        <w:t>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9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Relief from Consequences of Failing to Meet Income Tests</w:t>
      </w:r>
      <w:r>
        <w:rPr>
          <w:rFonts w:ascii="Arial" w:cs="Arial" w:eastAsia="Arial" w:hAnsi="Arial"/>
          <w:sz w:val="18"/>
          <w:szCs w:val="18"/>
          <w:color w:val="auto"/>
        </w:rPr>
        <w:t>. If we fail to satisfy one or both of the 75% and 95% gross income tests for any taxable year, we</w:t>
      </w:r>
      <w:r>
        <w:rPr>
          <w:rFonts w:ascii="Arial" w:cs="Arial" w:eastAsia="Arial" w:hAnsi="Arial"/>
          <w:sz w:val="18"/>
          <w:szCs w:val="18"/>
          <w:i w:val="1"/>
          <w:iCs w:val="1"/>
          <w:color w:val="auto"/>
        </w:rPr>
        <w:t xml:space="preserve"> </w:t>
      </w:r>
      <w:r>
        <w:rPr>
          <w:rFonts w:ascii="Arial" w:cs="Arial" w:eastAsia="Arial" w:hAnsi="Arial"/>
          <w:sz w:val="18"/>
          <w:szCs w:val="18"/>
          <w:color w:val="auto"/>
        </w:rPr>
        <w:t>nevertheless may qualify as a REIT for such year if we qualify for relief under certain provisions of the Code. Those relief provisions generally will be available if our failure to meet such tests is due to reasonable cause and not due to willful neglect, and we attach a schedule of the sources of our income to our tax return.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Asset Tests</w:t>
      </w:r>
      <w:r>
        <w:rPr>
          <w:rFonts w:ascii="Arial" w:cs="Arial" w:eastAsia="Arial" w:hAnsi="Arial"/>
          <w:sz w:val="16"/>
          <w:szCs w:val="16"/>
          <w:color w:val="auto"/>
        </w:rPr>
        <w:t>. To maintain our qualification as a REIT, we also must satisfy two asset tests at the close of each quarter of each taxable year:</w:t>
      </w:r>
    </w:p>
    <w:p>
      <w:pPr>
        <w:spacing w:after="0" w:line="100" w:lineRule="exact"/>
        <w:rPr>
          <w:sz w:val="20"/>
          <w:szCs w:val="20"/>
          <w:color w:val="auto"/>
        </w:rPr>
      </w:pPr>
    </w:p>
    <w:p>
      <w:pPr>
        <w:ind w:left="800" w:right="440" w:hanging="346"/>
        <w:spacing w:after="0" w:line="26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37"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37" w:lineRule="exact"/>
        <w:rPr>
          <w:rFonts w:ascii="Arial" w:cs="Arial" w:eastAsia="Arial" w:hAnsi="Arial"/>
          <w:sz w:val="18"/>
          <w:szCs w:val="18"/>
          <w:color w:val="auto"/>
        </w:rPr>
      </w:pPr>
    </w:p>
    <w:p>
      <w:pPr>
        <w:jc w:val="both"/>
        <w:ind w:left="800" w:right="220" w:hanging="346"/>
        <w:spacing w:after="0" w:line="259"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45"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37" w:lineRule="exact"/>
        <w:rPr>
          <w:rFonts w:ascii="Arial" w:cs="Arial" w:eastAsia="Arial" w:hAnsi="Arial"/>
          <w:sz w:val="18"/>
          <w:szCs w:val="18"/>
          <w:color w:val="auto"/>
        </w:rPr>
      </w:pPr>
    </w:p>
    <w:p>
      <w:pPr>
        <w:ind w:left="800" w:hanging="346"/>
        <w:spacing w:after="0" w:line="259"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may not own more than 10% of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59" w:lineRule="auto"/>
        <w:rPr>
          <w:sz w:val="20"/>
          <w:szCs w:val="20"/>
          <w:color w:val="auto"/>
        </w:rPr>
      </w:pPr>
      <w:r>
        <w:rPr>
          <w:rFonts w:ascii="Arial" w:cs="Arial" w:eastAsia="Arial" w:hAnsi="Arial"/>
          <w:sz w:val="18"/>
          <w:szCs w:val="18"/>
          <w:color w:val="auto"/>
        </w:rPr>
        <w:t>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failed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Relief from Consequences of Failing to Meet Asset Tests. </w:t>
      </w:r>
      <w:r>
        <w:rPr>
          <w:rFonts w:ascii="Arial" w:cs="Arial" w:eastAsia="Arial" w:hAnsi="Arial"/>
          <w:sz w:val="16"/>
          <w:szCs w:val="16"/>
          <w:color w:val="auto"/>
        </w:rPr>
        <w:t>Beginning in our 2005 taxable year, if we fail to satisfy one or more of the asset tests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a taxable year, we nevertheless may qualify as a REIT for such year if we qualify for relief under certain provisions of the Code. Those relief provisions generally will be available for failures of the 5% asset test and the 10% asset test if (i) the failure is due to the ownership of assets that do not exceed the lesser of 1% of our total assets or $10 million, and the failure is corrected within 6 months following the quarter in which it was discovered, or (ii) the failure is due to ownership of assets that exceed the amount in (i) above, the failure is due to reasonable cause and not due to willful neglect, we file a schedule with a description of each asset causing the failure in accordance with regulations prescribed by the Treasury, the failure is corrected within 6 months following the quarter in which it was discovered, and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 We may not qualify for the relief provisions in all circumstances.</w:t>
      </w:r>
    </w:p>
    <w:p>
      <w:pPr>
        <w:spacing w:after="0" w:line="10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Distribution Requirements</w:t>
      </w:r>
      <w:r>
        <w:rPr>
          <w:rFonts w:ascii="Arial" w:cs="Arial" w:eastAsia="Arial" w:hAnsi="Arial"/>
          <w:sz w:val="18"/>
          <w:szCs w:val="18"/>
          <w:color w:val="auto"/>
        </w:rPr>
        <w:t>. Each taxable year, we must distribute dividends (other than capital gain dividends and deemed distributions of retained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3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must pay such distributions in the taxable year to which they relate, or in the following taxable year if we declare the distribution before we timely file our federal income tax return for such year and pay the distribution on or before the first regular dividend payment date after such declaration.</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0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Record Keeping Requirements</w:t>
      </w:r>
      <w:r>
        <w:rPr>
          <w:rFonts w:ascii="Arial" w:cs="Arial" w:eastAsia="Arial" w:hAnsi="Arial"/>
          <w:sz w:val="18"/>
          <w:szCs w:val="18"/>
          <w:color w:val="auto"/>
        </w:rPr>
        <w:t>. We must maintain certain records to qualify as a REIT. In addition, to avoid a monetary penalty, we must request on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stock. We have complied, and we intend to continue to comply, with such requirements.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Relief from Other Failures of the REIT Qualification Provisions. </w:t>
      </w:r>
      <w:r>
        <w:rPr>
          <w:rFonts w:ascii="Arial" w:cs="Arial" w:eastAsia="Arial" w:hAnsi="Arial"/>
          <w:sz w:val="18"/>
          <w:szCs w:val="18"/>
          <w:color w:val="auto"/>
        </w:rPr>
        <w:t>Beginning in our 2005 taxable year, if we fail to satisfy one or more of the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REIT qualification (other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3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i w:val="1"/>
          <w:iCs w:val="1"/>
          <w:color w:val="auto"/>
        </w:rPr>
        <w:t>Failure to Qualify</w:t>
      </w:r>
      <w:r>
        <w:rPr>
          <w:rFonts w:ascii="Arial" w:cs="Arial" w:eastAsia="Arial" w:hAnsi="Arial"/>
          <w:sz w:val="18"/>
          <w:szCs w:val="18"/>
          <w:color w:val="auto"/>
        </w:rPr>
        <w:t>. If we failed to qualify as a REIT in any taxable year, and no relief provision applied, we would be subject to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applicable alternative minimum tax) on our taxable income at regular corporate rates. In calculating our taxable income in a year in which we failed to qualify as a REIT, we would not be able to deduct amounts paid out to shareholders. In fact, we would not be required to distribute any amounts to shareholders in such year. In such event, to the extent of our current and accumulated earnings and profits, all distributions to shareholders would be taxable as ordinary income.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distributions would, however, be “qualified dividend income,” which is taxable at long-term capital gain rates for individual stockholders.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“U.S. shareholder” means a holder of common shares that for U.S. federal income tax purposes is</w:t>
      </w:r>
    </w:p>
    <w:p>
      <w:pPr>
        <w:spacing w:after="0" w:line="77" w:lineRule="exact"/>
        <w:rPr>
          <w:sz w:val="20"/>
          <w:szCs w:val="20"/>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corporation, partnership, or other entity created or organized in or under the laws of the United States, any of its states or the District of Columbia;</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76" w:lineRule="exact"/>
        <w:rPr>
          <w:rFonts w:ascii="Arial" w:cs="Arial" w:eastAsia="Arial" w:hAnsi="Arial"/>
          <w:sz w:val="18"/>
          <w:szCs w:val="18"/>
          <w:color w:val="auto"/>
        </w:rPr>
      </w:pPr>
    </w:p>
    <w:p>
      <w:pPr>
        <w:ind w:left="800" w:right="100" w:hanging="346"/>
        <w:spacing w:after="0" w:line="298"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United States shareholders.</w:t>
      </w:r>
    </w:p>
    <w:p>
      <w:pPr>
        <w:spacing w:after="0" w:line="9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If a partnership, including an entity that is treated as a partnership for U.S. federal income tax purposes, is a beneficial owner of our common stock, the treatment of a partner in the partnership will generally depend on the status of the partner and the activities of the partnership.</w:t>
      </w:r>
    </w:p>
    <w:p>
      <w:pPr>
        <w:spacing w:after="0" w:line="7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 xml:space="preserve">Dividends and Other U.S. Shareholder Distributions. </w:t>
      </w:r>
      <w:r>
        <w:rPr>
          <w:rFonts w:ascii="Arial" w:cs="Arial" w:eastAsia="Arial" w:hAnsi="Arial"/>
          <w:sz w:val="16"/>
          <w:szCs w:val="16"/>
          <w:color w:val="auto"/>
        </w:rPr>
        <w:t>As long as we qualify as a REIT, a taxable U.S. shareholder must take into account distributions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U.S. shareholder will recognize distributions that we designate as capital gain dividends as long-term capital gain (to the extent they do not exceed our actual net capital gain for the taxable year) without regard to the period for which the U.S. shareholder has held its common shares. Subject to certain limitations, we will designate our capital gain dividends as either 20% or 25% rate distributions. A corporate U.S. shareholder, however, may be required to treat up to 20% of certain capital gain dividends as ordinary income.</w:t>
      </w:r>
    </w:p>
    <w:p>
      <w:pPr>
        <w:spacing w:after="0" w:line="13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U.S. shareholder would be taxed on its proportionate share of our undistributed long-term capital gain. The U.S. shareholder would receive a credit or refund for its proportionate share of the tax we paid. The U.S. shareholder would increase the basis in its stock by the amount of its proportionate share of our undistributed long-term capital gain, minus its share of the tax we paid.</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U.S. shareholder will not incur tax on a distribution to the extent it exceeds our current and accumulated earnings and profits if such distribution does not exceed the adjusted basis of the U.S. shareholder’s common shares. Instead, such distribution in excess of earnings and profits will reduce the adjusted basis of such common shares. To the extent a distribution exceeds both our current and accumulated earnings and profits and the U.S. shareholder’s adjusted basis in its common shares, the U.S. shareholder will recognize long-term capital gain (or short-term capital gain if the common shares have been held for one year or less), assuming the common shares are a capital asset in the hands of the U.S. shareholder. In addition, if we declare a distribution in October, November, or December of any year that is payable to a U.S. shareholder of record on a specified date in any such month, such distribution shall be treated as both paid by us and received by the U.S. shareholder on December 31 of such year, provided that we actually pay the distribution during January of the following calendar year. We will notify U.S. shareholders after the close of our taxable year as to the portions of the distributions attributable to that year that constitute ordinary income or capital gain dividends.</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Taxation of U.S. Shareholders on the Disposition of the Common Shares</w:t>
      </w:r>
      <w:r>
        <w:rPr>
          <w:rFonts w:ascii="Arial" w:cs="Arial" w:eastAsia="Arial" w:hAnsi="Arial"/>
          <w:sz w:val="16"/>
          <w:szCs w:val="16"/>
          <w:color w:val="auto"/>
        </w:rPr>
        <w:t>. In general, a U.S. shareholder who is not a dealer in securities must treat any gain</w:t>
      </w:r>
      <w:r>
        <w:rPr>
          <w:rFonts w:ascii="Arial" w:cs="Arial" w:eastAsia="Arial" w:hAnsi="Arial"/>
          <w:sz w:val="16"/>
          <w:szCs w:val="16"/>
          <w:i w:val="1"/>
          <w:iCs w:val="1"/>
          <w:color w:val="auto"/>
        </w:rPr>
        <w:t xml:space="preserve"> </w:t>
      </w:r>
      <w:r>
        <w:rPr>
          <w:rFonts w:ascii="Arial" w:cs="Arial" w:eastAsia="Arial" w:hAnsi="Arial"/>
          <w:sz w:val="16"/>
          <w:szCs w:val="16"/>
          <w:color w:val="auto"/>
        </w:rPr>
        <w:t>or loss realized upon a taxable disposition of the common shares as long-term capital gain or loss if the U.S. shareholder has held the common stock for more than one year and otherwise as short-term capital gain or loss. However, a U.S. shareholder must treat any loss upon a sale or exchange of common shares held by such shareholder for six months or less (after applying certain holding period rules) as a long-term capital loss to the extent of capital gain dividends and other distributions from us that such U.S. shareholder treats as long-term capital gain. All or a portion of any loss a U.S. shareholder realizes upon a taxable disposition of the common shares may be disallowed if the U.S. shareholder purchases additional common shares within the 61-day period beginning 30 days before and ending 30 days after the disposition.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Capital Gains and Losses</w:t>
      </w:r>
      <w:r>
        <w:rPr>
          <w:rFonts w:ascii="Arial" w:cs="Arial" w:eastAsia="Arial" w:hAnsi="Arial"/>
          <w:sz w:val="16"/>
          <w:szCs w:val="16"/>
          <w:color w:val="auto"/>
        </w:rPr>
        <w:t>. A taxpayer generally must hold a capital asset for more than one year for gain or loss derived from its sale or exchange to be</w:t>
      </w:r>
      <w:r>
        <w:rPr>
          <w:rFonts w:ascii="Arial" w:cs="Arial" w:eastAsia="Arial" w:hAnsi="Arial"/>
          <w:sz w:val="16"/>
          <w:szCs w:val="16"/>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 ordinary income for non-corporate taxpayers is significant. A U.S. shareholder required to include retained long-term capital gains in income will be deemed to have paid, in the taxable year of the inclusion, its proportionate share of the tax paid by us in respect of such undistributed net capital gains. U.S. shareholders subject to these rules will be allowed a credit or a refund, as the case may be, for the tax deemed to have been paid by such shareholders. U.S. shareholders will increase their basis in their common shares by the difference between the amount of such includible gains and the tax deemed paid by the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The Jobs and Growth Tax Relief Reconciliation Act of 2003. </w:t>
      </w:r>
      <w:r>
        <w:rPr>
          <w:rFonts w:ascii="Arial" w:cs="Arial" w:eastAsia="Arial" w:hAnsi="Arial"/>
          <w:sz w:val="16"/>
          <w:szCs w:val="16"/>
          <w:color w:val="auto"/>
        </w:rPr>
        <w:t>Under the Act, which was signed into law on May 28, 2003, the maximum tax rate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capital gains of domestic non-corporate taxpayers is reduced to 15% for taxable years beginning on or before December 31, 2008. The Act also reduced the tax rate on “qualified dividend income” to the maximum capital gains rate. Because, as a REIT, we are not generally subject to tax on the portion of our REIT taxable income or capital gains distributed to our shareholders, our distributions are not generally eligible for this new tax rate on dividends. As a result, our ordinary REIT distributions continue to be taxed at the higher tax rates applicable to ordinary income. However, the new 15% rate does generally apply to:</w:t>
      </w:r>
    </w:p>
    <w:p>
      <w:pPr>
        <w:spacing w:after="0" w:line="21" w:lineRule="exact"/>
        <w:rPr>
          <w:sz w:val="20"/>
          <w:szCs w:val="20"/>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76"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and</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Without further legislation, the maximum tax rate on long-term capital gains will revert to 20% in 2009.</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Information Reporting Requirements and Back-up Withholding</w:t>
      </w:r>
      <w:r>
        <w:rPr>
          <w:rFonts w:ascii="Arial" w:cs="Arial" w:eastAsia="Arial" w:hAnsi="Arial"/>
          <w:sz w:val="16"/>
          <w:szCs w:val="16"/>
          <w:color w:val="auto"/>
        </w:rPr>
        <w:t>. We will report to our shareholders and to the IRS the amount of distributions we pay during</w:t>
      </w:r>
      <w:r>
        <w:rPr>
          <w:rFonts w:ascii="Arial" w:cs="Arial" w:eastAsia="Arial" w:hAnsi="Arial"/>
          <w:sz w:val="16"/>
          <w:szCs w:val="16"/>
          <w:i w:val="1"/>
          <w:iCs w:val="1"/>
          <w:color w:val="auto"/>
        </w:rPr>
        <w:t xml:space="preserve"> </w:t>
      </w:r>
      <w:r>
        <w:rPr>
          <w:rFonts w:ascii="Arial" w:cs="Arial" w:eastAsia="Arial" w:hAnsi="Arial"/>
          <w:sz w:val="16"/>
          <w:szCs w:val="16"/>
          <w:color w:val="auto"/>
        </w:rPr>
        <w:t>each calendar year, and the amount of tax we withhold, if any. Under the backup withholding rules, a shareholder may be subject to backup withholding (at the rate of 28% through December 31, 2010 and thereafter at a rate of 31%) with respect to distributions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shareholder’s income tax liability. In addition, we may be required to withhold a portion of capital gain distributions to any shareholders who fail to certify their non-foreign status to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8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common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common stock.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it were a pension trust) divided by our total gross income for the year in which we pay the dividends. The UBTI rule applies to a pension trust holding more than 10% of our shares only if:</w:t>
      </w:r>
    </w:p>
    <w:p>
      <w:pPr>
        <w:spacing w:after="0" w:line="34" w:lineRule="exact"/>
        <w:rPr>
          <w:sz w:val="20"/>
          <w:szCs w:val="20"/>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line="268"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37" w:lineRule="exact"/>
        <w:rPr>
          <w:rFonts w:ascii="Arial" w:cs="Arial" w:eastAsia="Arial" w:hAnsi="Arial"/>
          <w:sz w:val="18"/>
          <w:szCs w:val="18"/>
          <w:color w:val="auto"/>
        </w:rPr>
      </w:pPr>
    </w:p>
    <w:p>
      <w:pPr>
        <w:ind w:left="800" w:right="640" w:hanging="346"/>
        <w:spacing w:after="0" w:line="332"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rules governing U.S. federal income taxation of non-U.S. shareholders are complex. This section is only a summary of such rules. We urge non-U.S. shareholders to consult their own tax advisors to determine the impact of federal, state, and local income tax laws on ownership of common shares, including any reporting requirements. As used herein, the term “non-U.S. shareholder” means any beneficial owner of our shares that is not a U.S. shareholder.</w:t>
      </w:r>
    </w:p>
    <w:p>
      <w:pPr>
        <w:spacing w:after="0" w:line="9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1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Return of Capital</w:t>
      </w:r>
      <w:r>
        <w:rPr>
          <w:rFonts w:ascii="Arial" w:cs="Arial" w:eastAsia="Arial" w:hAnsi="Arial"/>
          <w:sz w:val="18"/>
          <w:szCs w:val="18"/>
          <w:color w:val="auto"/>
        </w:rPr>
        <w:t>. A non-U.S. shareholder will not incur tax on a distribution to the extent it exceeds our current and accumulated earnings and profits if</w:t>
      </w:r>
      <w:r>
        <w:rPr>
          <w:rFonts w:ascii="Arial" w:cs="Arial" w:eastAsia="Arial" w:hAnsi="Arial"/>
          <w:sz w:val="18"/>
          <w:szCs w:val="18"/>
          <w:i w:val="1"/>
          <w:iCs w:val="1"/>
          <w:color w:val="auto"/>
        </w:rPr>
        <w:t xml:space="preserve"> </w:t>
      </w:r>
      <w:r>
        <w:rPr>
          <w:rFonts w:ascii="Arial" w:cs="Arial" w:eastAsia="Arial" w:hAnsi="Arial"/>
          <w:sz w:val="18"/>
          <w:szCs w:val="18"/>
          <w:color w:val="auto"/>
        </w:rPr>
        <w:t>such distribution does not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3" w:lineRule="auto"/>
        <w:rPr>
          <w:sz w:val="20"/>
          <w:szCs w:val="20"/>
          <w:color w:val="auto"/>
        </w:rPr>
      </w:pPr>
      <w:r>
        <w:rPr>
          <w:rFonts w:ascii="Arial" w:cs="Arial" w:eastAsia="Arial" w:hAnsi="Arial"/>
          <w:sz w:val="15"/>
          <w:szCs w:val="15"/>
          <w:color w:val="auto"/>
        </w:rPr>
        <w:t>exceed the adjusted basis of its common shares. Instead, such distribution in excess of earnings and profits will reduce the adjusted basis of such common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common shares, as described below.</w:t>
      </w:r>
    </w:p>
    <w:p>
      <w:pPr>
        <w:spacing w:after="0" w:line="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Capital Gain Dividends</w:t>
      </w:r>
      <w:r>
        <w:rPr>
          <w:rFonts w:ascii="Arial" w:cs="Arial" w:eastAsia="Arial" w:hAnsi="Arial"/>
          <w:sz w:val="16"/>
          <w:szCs w:val="16"/>
          <w:color w:val="auto"/>
        </w:rPr>
        <w:t>. For any year through our 2004 taxable year in which we qualify as a REIT, a non-U.S. shareholder will incur tax on distributions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1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Beginning with our 2005 taxable year, the above taxation under FIRPTA of capital gain dividends (or retained capital gain that is deemed to be distributed) will not apply, provided our common shares are “regularly traded” on an established securities market in the United States, and the non-U.S. shareholder does not own more than 5% of the common stock at any time during the taxable year. Instead, such amounts will be treated as an ordinary dividend not effectively connected to a U.S. trade or business, taxable as described above under “Taxation of Non-U.S. Shareholders – Ordinary Dividends.”</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i w:val="1"/>
          <w:iCs w:val="1"/>
          <w:color w:val="auto"/>
        </w:rPr>
        <w:t>Sale of Shares</w:t>
      </w:r>
      <w:r>
        <w:rPr>
          <w:rFonts w:ascii="Arial" w:cs="Arial" w:eastAsia="Arial" w:hAnsi="Arial"/>
          <w:sz w:val="16"/>
          <w:szCs w:val="16"/>
          <w:color w:val="auto"/>
        </w:rPr>
        <w:t>. A non-U.S. shareholder generally will not incur tax under FIRPTA on gain from the sale of its common shares as long as we are a</w:t>
      </w:r>
      <w:r>
        <w:rPr>
          <w:rFonts w:ascii="Arial" w:cs="Arial" w:eastAsia="Arial" w:hAnsi="Arial"/>
          <w:sz w:val="16"/>
          <w:szCs w:val="16"/>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non-U.S. persons held, directly or indirectly, less than 50% in value of the stock. We anticipate that we will continue to be a “domestically controlled REIT.” In addition, a non-U.S. shareholder that owns, actually or constructively, 5% or less of outstanding common shares at all times during a specified testing period will not incur tax under FIRPTA if the common shares are “regularly traded” on an established securities market. If neither of these exceptions were to apply, the gain on the sale of the common shares would be taxed under FIRPTA, in which case a non-U.S. shareholder would be taxed in the same manner as U.S. shareholders with respect to such gain (subject to applicable alternative minimum tax and a special alternative minimum tax in the case of nonresident alien individuals).</w:t>
      </w:r>
    </w:p>
    <w:p>
      <w:pPr>
        <w:spacing w:after="0" w:line="10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9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Back-up Withholding</w:t>
      </w:r>
      <w:r>
        <w:rPr>
          <w:rFonts w:ascii="Arial" w:cs="Arial" w:eastAsia="Arial" w:hAnsi="Arial"/>
          <w:sz w:val="16"/>
          <w:szCs w:val="16"/>
          <w:color w:val="auto"/>
        </w:rPr>
        <w:t>. Back-up withholding tax (which generally is withholding at the rate of 28% through December 31, 2010 and thereafter at a rate of</w:t>
      </w:r>
      <w:r>
        <w:rPr>
          <w:rFonts w:ascii="Arial" w:cs="Arial" w:eastAsia="Arial" w:hAnsi="Arial"/>
          <w:sz w:val="16"/>
          <w:szCs w:val="16"/>
          <w:i w:val="1"/>
          <w:iCs w:val="1"/>
          <w:color w:val="auto"/>
        </w:rPr>
        <w:t xml:space="preserve"> </w:t>
      </w:r>
      <w:r>
        <w:rPr>
          <w:rFonts w:ascii="Arial" w:cs="Arial" w:eastAsia="Arial" w:hAnsi="Arial"/>
          <w:sz w:val="16"/>
          <w:szCs w:val="16"/>
          <w:color w:val="auto"/>
        </w:rPr>
        <w:t>31%), on certain payments to persons that fail to furnish certain information under the United States information reporting requirements) and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26" w:lineRule="exact"/>
        <w:rPr>
          <w:sz w:val="20"/>
          <w:szCs w:val="20"/>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U.S. shareholders) for U.S. tax purposes; or</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50% or more of its income or capital interest are held by U.S. persons or if it is engaged in the conduct of a trade or business in the U.S.,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8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the common shares covered by this prospectus.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sale or distribution of all or any portion of the commons shares covered by this prospectus may be effected from time to time by the selling shareholder, or any of its pledgees, donees, transferees or other successors in interest to the selling shareholder.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the common shares covered by this prospectus may be sold or distributed include:</w:t>
      </w:r>
    </w:p>
    <w:p>
      <w:pPr>
        <w:spacing w:after="0" w:line="77" w:lineRule="exact"/>
        <w:rPr>
          <w:sz w:val="20"/>
          <w:szCs w:val="20"/>
          <w:color w:val="auto"/>
        </w:rPr>
      </w:pPr>
    </w:p>
    <w:p>
      <w:pPr>
        <w:ind w:left="800" w:right="80" w:hanging="346"/>
        <w:spacing w:after="0" w:line="268"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 rata distributions as part of the liquidation and winding up of the affairs of the selling shareholder or successor in interest that is an entity;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pledges to a lender as collateral to secure loans, credit or other financing arrangements and any subsequent foreclosure, if any, thereunder; or</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effecting sales, brokers or dealers engaged by the selling shareholder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selling shareholder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 also may enter into hedging transactions with brokers, dealers or other financial institutions, which may in turn engage in short sales of the common shares covered by this prospectus in the course of hedging the positions they assume.</w:t>
      </w:r>
    </w:p>
    <w:p>
      <w:pPr>
        <w:spacing w:after="0" w:line="99"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selling shareholder and the brokers or dealers participating in the distribution of the common shares covered by this prospectus may be deemed “underwriters” within the meaning of the Securities Act. Any profit on the sale of the common shares covered by this prospectus by the selling shareholder and any discounts, concessions or commissions received by any such brokers or dealers may be regarded as underwriting commissions under the Securities Act.</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sale or distribution of the common shares covered by this prospectus, the rules of the Commission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12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pay all expenses in connection with the registration of the common shares covered by this prospectus. The selling shareholder will pay for any brokerage or underwriting commissions and taxes of any kind (including, without limitation, transfer taxes) with respect to any disposition, sale or transfer of the common shares covered by this prospectus.</w:t>
      </w:r>
    </w:p>
    <w:p>
      <w:pPr>
        <w:spacing w:after="0" w:line="12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person (or persons whose offered shares are aggregated) who has satisfied a one-year holding period may, under certain circumstances, sell within any three-month period a number of the common shares covered by this prospectus which does not exceed the greater of one percent of the our outstanding common shares or the average weekly reported trading volume of the common shares covered by this prospectus during the four calendar weeks prior to such sale. Rule 144 also permits, under certain circumstances, the sale of the common shares covered by this prospectus by a person who is not an affiliate of ours and who has satisfied a two-year holding period without any volume limitation. Therefore, both during and after the effectiveness of the registration statement, the selling shareholder may sell the common shares covered by this prospectus pursuant to Rule 144.</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consolidated balance sheets as of December 31, 2003 and December 31, 2002, and the consolidated statements of operations, common shareholders’ equity and cash flows for the years ended December 31, 2003 and December 31, 2002 appearing in our Annual Report on Form 10-K, as amended, for the fiscal years ended December 31, 2003, and incorporated by reference into this prospectus, have been audited by Grant Thornton LLP, independent registered public accounting firm, as indicated in their report with respect thereto, and have been incorporated by reference herein in reliance upon the authority of said firm as experts in giving said report.</w:t>
      </w:r>
    </w:p>
    <w:p>
      <w:pPr>
        <w:spacing w:after="0" w:line="12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consolidated balance sheet as of December 31, 2001 and the consolidated statements of operations, common shareholders’ equity and cash flows for the year ended December 31, 2001 appearing in our Annual Report on Form 10-K for the year ended December 31, 2001 and incorporated by reference into this prospectus and elsewhere in the registration statement, have been audited by Arthur Andersen LLP.</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REGARDING ARTHUR ANDERSEN LLP</w:t>
      </w:r>
    </w:p>
    <w:p>
      <w:pPr>
        <w:spacing w:after="0" w:line="16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On June 4, 2002, we announced that we had appointed Grant Thornton LLP as our independent auditor for fiscal year 2002, replacing Arthur Andersen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1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Section 11(a) of the Securities Act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the registration statement (unless it is provided that at the time of the acquisition the person knew of the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the registration statement, report or valuation which purports to have been prepared or certified by the accountant.</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Prior to the date of this prospectus, the Arthur Andersen partners who reviewed our audited financial statements, as of December 31, 2001, resigned from Arthur Andersen. As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result, after reasonable efforts, we have been unable to obtain Arthur Andersen’s written consent to the incorporation by reference into this registration statement of its audit reports with respect to those financial statements.</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these circumstances, Rule 437a under the Securities Act permits us to file this registration statement without a written consent from Arthur Andersen. Accordingly, Arthur Andersen will not be liable to you under Section 11(a) of the Securities Act because it has not consented to being named as an expert in the registration statement.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The validity of the offered shares and the accuracy of the discussion under “Federal Income Tax Considerations” will be passed upon for us by Shaw Pittman LLP, Washington, D.C. If any portion of the offered shares is distributed in an underwritten offering or through agents, certain legal matters may be passed upon for any agents or underwriters by counsel for such agents or underwriters identified in the applicable prospectus supplement.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120" w:firstLine="456"/>
        <w:spacing w:after="0" w:line="347" w:lineRule="auto"/>
        <w:rPr>
          <w:sz w:val="20"/>
          <w:szCs w:val="20"/>
          <w:color w:val="auto"/>
        </w:rPr>
      </w:pPr>
      <w:r>
        <w:rPr>
          <w:rFonts w:ascii="Arial" w:cs="Arial" w:eastAsia="Arial" w:hAnsi="Arial"/>
          <w:sz w:val="15"/>
          <w:szCs w:val="15"/>
          <w:color w:val="auto"/>
        </w:rPr>
        <w:t>We file annual, quarterly and special reports, proxy statements and other information with the Commission. Our Commission filings are available to the public over the Commission’s website at http://www.sec.gov. You may also read and copy any document we file at the Commission’s Public Reference Room at: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Room 1200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call the Commission at (800) SEC-0330 for further information on the operating rules and procedures for the public reference room.</w:t>
      </w:r>
    </w:p>
    <w:p>
      <w:pPr>
        <w:spacing w:after="0" w:line="18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Commission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Commission will automatically update and supersede this information. We incorporate by reference the documents listed below as well as any future filings made with the Commission under Sections 13(a), 13(c), 14, or 15(d) of the Securities Exchange Act from the date of the initial registration statement and prior to the effectiveness of this registration statement, and any filings made from the date of this prospectus until we sell all of the securities under this prospectus as supplemented.</w:t>
      </w:r>
    </w:p>
    <w:p>
      <w:pPr>
        <w:spacing w:after="0" w:line="50" w:lineRule="exact"/>
        <w:rPr>
          <w:sz w:val="20"/>
          <w:szCs w:val="20"/>
          <w:color w:val="auto"/>
        </w:rPr>
      </w:pPr>
    </w:p>
    <w:p>
      <w:pPr>
        <w:ind w:left="800" w:hanging="346"/>
        <w:spacing w:after="0" w:line="26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March 15, 2004, as amended by the Form 10-K/A filed March 26, 2004 and the Form 10-K/A filed March 31, 2004.</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June 30,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September 30,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 on Form 8-K, filed January 26,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 on Form 8-K, filed March 11,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 on Form 8-K, filed April 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 on Form 8-K, filed July 13,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w:t>
      </w:r>
    </w:p>
    <w:p>
      <w:pPr>
        <w:spacing w:after="0" w:line="76" w:lineRule="exact"/>
        <w:rPr>
          <w:rFonts w:ascii="Arial" w:cs="Arial" w:eastAsia="Arial" w:hAnsi="Arial"/>
          <w:sz w:val="18"/>
          <w:szCs w:val="18"/>
          <w:color w:val="auto"/>
        </w:rPr>
      </w:pPr>
    </w:p>
    <w:p>
      <w:pPr>
        <w:ind w:left="800" w:right="220" w:hanging="346"/>
        <w:spacing w:after="0" w:line="370" w:lineRule="auto"/>
        <w:tabs>
          <w:tab w:leader="none" w:pos="8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Description of our Common Share Purchase Rights included in the Registration Statement on Form 8-A/A, filed March 11, 1999 and in the First Amendment to Amended and Restated Rights Agreement, dated as of November 2003, between us and American Stock Transfer &amp; Trust Company.</w:t>
      </w:r>
    </w:p>
    <w:p>
      <w:pPr>
        <w:spacing w:after="0" w:line="4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 Please direct your request to:</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Commission.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14. Other Expenses of Issuance and Distribution</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sets forth the estimated fees and expenses, other than underwriting discounts and commissions, payable by us in connection with the issuance and distribution of the securities being registered:</w:t>
      </w:r>
    </w:p>
    <w:p>
      <w:pPr>
        <w:spacing w:after="0" w:line="12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Printing and Duplicating Expenses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15,000.00*</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24,490.00*</w:t>
            </w: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Estimated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15. Indemnification of Trustees and Officers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 - 1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a shareholder or Trustee of a Maryland real estate investment trust is not personally liable for the obligations of the real estate investment trust, except in any case in which a Trustee otherwise would be liable and such liability to the real estate investment trust or its shareholders constitutes bad faith, willful misfeasance, gross negligence or reckless disregard of the Trustee’s duties. Title 1 of the Corporations and Associations Code of the State of Maryland, as amended, permits a corporation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 of any criminal proceeding, the Trustee or officer had reasonable cause to believe that the act or omission was unlawful. However, a Maryland corporation may not indemnify a Trustee or officer in a suit by or in the right of the trust if such Trustee or officer has been adjudged to be liable to the corporation.</w:t>
      </w:r>
    </w:p>
    <w:p>
      <w:pPr>
        <w:spacing w:after="0" w:line="10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Trustees, officers or persons controlling the registrant pursuant to the foregoing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provisions, the registrant has been informed that in the opinion of the Securities and Exchange Commission such indemnification is against public policy as expressed in the Securities Act and is therefore unenforceable.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Item 16.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10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7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80" w:type="dxa"/>
            <w:vAlign w:val="bottom"/>
          </w:tcPr>
          <w:p>
            <w:pPr>
              <w:spacing w:after="0"/>
              <w:rPr>
                <w:sz w:val="8"/>
                <w:szCs w:val="8"/>
                <w:color w:val="auto"/>
              </w:rPr>
            </w:pPr>
          </w:p>
        </w:tc>
      </w:tr>
      <w:tr>
        <w:trPr>
          <w:trHeight w:val="309"/>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Specimen Common Share certificate (filed as Exhibit 4(i) to the Trust’s Annual Report on Form 10-K for the year ended December 31, 1999, and</w:t>
            </w: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Amended and Restated Rights Agreement, dated March 11, 1999, between the Trust and American Stock Transfer &amp; Trust Company (filed as</w:t>
            </w: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Exhibit 1 to the Trust’s Registration Statement No. 1-07533 on Form 8-A/A filed on March 11, 1999, and incorporated herein by reference)</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First Amendment to Amended and Restated Rights Agreement, dated as of November 2003, between the Trust and American Stock Transfer &amp;</w:t>
            </w: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Trust Company (filed as Exhibit 4.5 to the Trust’s Annual Report on Form 10-K for the year ended December 31, 2003 filed on March 15, 2004,</w:t>
            </w:r>
          </w:p>
        </w:tc>
      </w:tr>
      <w:tr>
        <w:trPr>
          <w:trHeight w:val="216"/>
        </w:trPr>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Opinion of Shaw Pittman LLP regarding the validity of the shares (filed herewith)</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Opinion of Shaw Pittman LLP regarding certain tax matters (filed herewith)</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Consent of Grant Thornton LLP, independent registered public accounting firm (filed herewith)</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Consent of Shaw Pittman LLP (included in Exhibit 5.1)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Consent of Shaw Pittman LLP (included in Exhibit 8.1)</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17. Undertakings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undersigned Registrant hereby undertakes:</w:t>
      </w:r>
    </w:p>
    <w:p>
      <w:pPr>
        <w:spacing w:after="0" w:line="77" w:lineRule="exact"/>
        <w:rPr>
          <w:sz w:val="20"/>
          <w:szCs w:val="20"/>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140" w:hanging="219"/>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firstLine="1"/>
        <w:spacing w:after="0" w:line="294" w:lineRule="auto"/>
        <w:tabs>
          <w:tab w:leader="none" w:pos="11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w:t>
      </w:r>
    </w:p>
    <w:p>
      <w:pPr>
        <w:spacing w:after="0" w:line="102" w:lineRule="exact"/>
        <w:rPr>
          <w:rFonts w:ascii="Arial" w:cs="Arial" w:eastAsia="Arial" w:hAnsi="Arial"/>
          <w:sz w:val="16"/>
          <w:szCs w:val="16"/>
          <w:color w:val="auto"/>
        </w:rPr>
      </w:pPr>
    </w:p>
    <w:p>
      <w:pPr>
        <w:ind w:left="5700" w:hanging="162"/>
        <w:spacing w:after="0"/>
        <w:tabs>
          <w:tab w:leader="none" w:pos="57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- 3</w:t>
      </w:r>
    </w:p>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and price represent no more than a 20 percent change in the maximum aggregate offering price set forth in the “Calculation of Registration Fee” table in the effective registration statement;</w:t>
      </w:r>
    </w:p>
    <w:p>
      <w:pPr>
        <w:spacing w:after="0" w:line="37" w:lineRule="exact"/>
        <w:rPr>
          <w:sz w:val="20"/>
          <w:szCs w:val="20"/>
          <w:color w:val="auto"/>
        </w:rPr>
      </w:pPr>
    </w:p>
    <w:p>
      <w:pPr>
        <w:ind w:left="920" w:right="60" w:firstLine="1"/>
        <w:spacing w:after="0" w:line="268" w:lineRule="auto"/>
        <w:tabs>
          <w:tab w:leader="none" w:pos="12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37" w:lineRule="exact"/>
        <w:rPr>
          <w:sz w:val="20"/>
          <w:szCs w:val="20"/>
          <w:color w:val="auto"/>
        </w:rPr>
      </w:pPr>
    </w:p>
    <w:p>
      <w:pPr>
        <w:jc w:val="both"/>
        <w:ind w:left="920" w:right="180"/>
        <w:spacing w:after="0" w:line="306" w:lineRule="auto"/>
        <w:rPr>
          <w:sz w:val="20"/>
          <w:szCs w:val="20"/>
          <w:color w:val="auto"/>
        </w:rPr>
      </w:pPr>
      <w:r>
        <w:rPr>
          <w:rFonts w:ascii="Arial" w:cs="Arial" w:eastAsia="Arial" w:hAnsi="Arial"/>
          <w:sz w:val="16"/>
          <w:szCs w:val="16"/>
          <w:color w:val="auto"/>
        </w:rPr>
        <w:t>provided, however, that paragraphs (a)(1)(i) and (a)(1)(ii) do not apply if the information required to be included in a post-effective amendment 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12" w:lineRule="exact"/>
        <w:rPr>
          <w:sz w:val="20"/>
          <w:szCs w:val="20"/>
          <w:color w:val="auto"/>
        </w:rPr>
      </w:pPr>
    </w:p>
    <w:p>
      <w:pPr>
        <w:ind w:left="920" w:right="140" w:firstLine="1"/>
        <w:spacing w:after="0" w:line="259" w:lineRule="auto"/>
        <w:tabs>
          <w:tab w:leader="none" w:pos="11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920" w:right="780" w:firstLine="1"/>
        <w:spacing w:after="0" w:line="268" w:lineRule="auto"/>
        <w:tabs>
          <w:tab w:leader="none" w:pos="11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7" w:lineRule="exact"/>
        <w:rPr>
          <w:rFonts w:ascii="Arial" w:cs="Arial" w:eastAsia="Arial" w:hAnsi="Arial"/>
          <w:sz w:val="18"/>
          <w:szCs w:val="18"/>
          <w:color w:val="auto"/>
        </w:rPr>
      </w:pPr>
    </w:p>
    <w:p>
      <w:pPr>
        <w:ind w:left="460" w:right="140" w:firstLine="4"/>
        <w:spacing w:after="0" w:line="256" w:lineRule="auto"/>
        <w:tabs>
          <w:tab w:leader="none" w:pos="7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48" w:lineRule="exact"/>
        <w:rPr>
          <w:rFonts w:ascii="Arial" w:cs="Arial" w:eastAsia="Arial" w:hAnsi="Arial"/>
          <w:sz w:val="18"/>
          <w:szCs w:val="18"/>
          <w:color w:val="auto"/>
        </w:rPr>
      </w:pPr>
    </w:p>
    <w:p>
      <w:pPr>
        <w:ind w:left="460" w:firstLine="4"/>
        <w:spacing w:after="0" w:line="289" w:lineRule="auto"/>
        <w:tabs>
          <w:tab w:leader="none" w:pos="699"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Trustees,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4" w:lineRule="exact"/>
        <w:rPr>
          <w:rFonts w:ascii="Arial" w:cs="Arial" w:eastAsia="Arial" w:hAnsi="Arial"/>
          <w:sz w:val="16"/>
          <w:szCs w:val="16"/>
          <w:color w:val="auto"/>
        </w:rPr>
      </w:pPr>
    </w:p>
    <w:p>
      <w:pPr>
        <w:ind w:left="5700" w:hanging="162"/>
        <w:spacing w:after="0"/>
        <w:tabs>
          <w:tab w:leader="none" w:pos="57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- 4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80"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Rockville, Maryland, on this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November, 2004.</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Donald C. Wood</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C. Wood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Chief Executive Officer and Trustee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Dawn M. Becker and Larry E. Finger,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we hereby ratify and confirm all that said attorneys and agents, or either of them, shall do or cause to be done by virtue thereof.</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3780" w:type="dxa"/>
            <w:vAlign w:val="bottom"/>
          </w:tcPr>
          <w:p>
            <w:pPr>
              <w:spacing w:after="0"/>
              <w:rPr>
                <w:sz w:val="15"/>
                <w:szCs w:val="15"/>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DATE</w:t>
            </w:r>
          </w:p>
        </w:tc>
        <w:tc>
          <w:tcPr>
            <w:tcW w:w="0" w:type="dxa"/>
            <w:vAlign w:val="bottom"/>
          </w:tcPr>
          <w:p>
            <w:pPr>
              <w:spacing w:after="0"/>
              <w:rPr>
                <w:sz w:val="1"/>
                <w:szCs w:val="1"/>
                <w:color w:val="auto"/>
              </w:rPr>
            </w:pPr>
          </w:p>
        </w:tc>
      </w:tr>
      <w:tr>
        <w:trPr>
          <w:trHeight w:val="95"/>
        </w:trPr>
        <w:tc>
          <w:tcPr>
            <w:tcW w:w="104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100" w:type="dxa"/>
            <w:vAlign w:val="bottom"/>
            <w:gridSpan w:val="2"/>
          </w:tcPr>
          <w:p>
            <w:pPr>
              <w:spacing w:after="0"/>
              <w:rPr>
                <w:sz w:val="20"/>
                <w:szCs w:val="20"/>
                <w:color w:val="auto"/>
              </w:rPr>
            </w:pPr>
            <w:r>
              <w:rPr>
                <w:rFonts w:ascii="Arial" w:cs="Arial" w:eastAsia="Arial" w:hAnsi="Arial"/>
                <w:sz w:val="18"/>
                <w:szCs w:val="18"/>
                <w:color w:val="auto"/>
              </w:rPr>
              <w:t>/s/ Donald C. Wood</w:t>
            </w:r>
          </w:p>
        </w:tc>
        <w:tc>
          <w:tcPr>
            <w:tcW w:w="6300" w:type="dxa"/>
            <w:vAlign w:val="bottom"/>
            <w:gridSpan w:val="3"/>
          </w:tcPr>
          <w:p>
            <w:pPr>
              <w:ind w:left="1940"/>
              <w:spacing w:after="0"/>
              <w:rPr>
                <w:sz w:val="20"/>
                <w:szCs w:val="20"/>
                <w:color w:val="auto"/>
              </w:rPr>
            </w:pPr>
            <w:r>
              <w:rPr>
                <w:rFonts w:ascii="Arial" w:cs="Arial" w:eastAsia="Arial" w:hAnsi="Arial"/>
                <w:sz w:val="18"/>
                <w:szCs w:val="18"/>
                <w:color w:val="auto"/>
                <w:w w:val="96"/>
              </w:rPr>
              <w:t>President, Chief Executive Officer and Trustee (principal</w:t>
            </w:r>
          </w:p>
        </w:tc>
        <w:tc>
          <w:tcPr>
            <w:tcW w:w="17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November 10, 2004</w:t>
            </w:r>
          </w:p>
        </w:tc>
        <w:tc>
          <w:tcPr>
            <w:tcW w:w="0" w:type="dxa"/>
            <w:vAlign w:val="bottom"/>
          </w:tcPr>
          <w:p>
            <w:pPr>
              <w:spacing w:after="0"/>
              <w:rPr>
                <w:sz w:val="1"/>
                <w:szCs w:val="1"/>
                <w:color w:val="auto"/>
              </w:rPr>
            </w:pPr>
          </w:p>
        </w:tc>
      </w:tr>
      <w:tr>
        <w:trPr>
          <w:trHeight w:val="116"/>
        </w:trPr>
        <w:tc>
          <w:tcPr>
            <w:tcW w:w="10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6300" w:type="dxa"/>
            <w:vAlign w:val="bottom"/>
            <w:gridSpan w:val="3"/>
            <w:vMerge w:val="restart"/>
          </w:tcPr>
          <w:p>
            <w:pPr>
              <w:ind w:left="1940"/>
              <w:spacing w:after="0"/>
              <w:rPr>
                <w:sz w:val="20"/>
                <w:szCs w:val="20"/>
                <w:color w:val="auto"/>
              </w:rPr>
            </w:pPr>
            <w:r>
              <w:rPr>
                <w:rFonts w:ascii="Arial" w:cs="Arial" w:eastAsia="Arial" w:hAnsi="Arial"/>
                <w:sz w:val="18"/>
                <w:szCs w:val="18"/>
                <w:color w:val="auto"/>
              </w:rPr>
              <w:t>executive officer)</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Donald C. Wood</w:t>
            </w:r>
          </w:p>
        </w:tc>
        <w:tc>
          <w:tcPr>
            <w:tcW w:w="63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100" w:type="dxa"/>
            <w:vAlign w:val="bottom"/>
            <w:gridSpan w:val="2"/>
            <w:vMerge w:val="continue"/>
          </w:tcPr>
          <w:p>
            <w:pPr>
              <w:spacing w:after="0"/>
              <w:rPr>
                <w:sz w:val="19"/>
                <w:szCs w:val="19"/>
                <w:color w:val="auto"/>
              </w:rPr>
            </w:pPr>
          </w:p>
        </w:tc>
        <w:tc>
          <w:tcPr>
            <w:tcW w:w="3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100" w:type="dxa"/>
            <w:vAlign w:val="bottom"/>
            <w:gridSpan w:val="2"/>
          </w:tcPr>
          <w:p>
            <w:pPr>
              <w:spacing w:after="0"/>
              <w:rPr>
                <w:sz w:val="20"/>
                <w:szCs w:val="20"/>
                <w:color w:val="auto"/>
              </w:rPr>
            </w:pPr>
            <w:r>
              <w:rPr>
                <w:rFonts w:ascii="Arial" w:cs="Arial" w:eastAsia="Arial" w:hAnsi="Arial"/>
                <w:sz w:val="18"/>
                <w:szCs w:val="18"/>
                <w:color w:val="auto"/>
              </w:rPr>
              <w:t>/s/ Larry E. Finger</w:t>
            </w:r>
          </w:p>
        </w:tc>
        <w:tc>
          <w:tcPr>
            <w:tcW w:w="6300" w:type="dxa"/>
            <w:vAlign w:val="bottom"/>
            <w:gridSpan w:val="3"/>
          </w:tcPr>
          <w:p>
            <w:pPr>
              <w:ind w:left="1940"/>
              <w:spacing w:after="0"/>
              <w:rPr>
                <w:sz w:val="20"/>
                <w:szCs w:val="20"/>
                <w:color w:val="auto"/>
              </w:rPr>
            </w:pPr>
            <w:r>
              <w:rPr>
                <w:rFonts w:ascii="Arial" w:cs="Arial" w:eastAsia="Arial" w:hAnsi="Arial"/>
                <w:sz w:val="18"/>
                <w:szCs w:val="18"/>
                <w:color w:val="auto"/>
              </w:rPr>
              <w:t>Senior Vice President and Chief Financial Officer and</w:t>
            </w:r>
          </w:p>
        </w:tc>
        <w:tc>
          <w:tcPr>
            <w:tcW w:w="17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November 10, 2004</w:t>
            </w:r>
          </w:p>
        </w:tc>
        <w:tc>
          <w:tcPr>
            <w:tcW w:w="0" w:type="dxa"/>
            <w:vAlign w:val="bottom"/>
          </w:tcPr>
          <w:p>
            <w:pPr>
              <w:spacing w:after="0"/>
              <w:rPr>
                <w:sz w:val="1"/>
                <w:szCs w:val="1"/>
                <w:color w:val="auto"/>
              </w:rPr>
            </w:pPr>
          </w:p>
        </w:tc>
      </w:tr>
      <w:tr>
        <w:trPr>
          <w:trHeight w:val="116"/>
        </w:trPr>
        <w:tc>
          <w:tcPr>
            <w:tcW w:w="10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6300" w:type="dxa"/>
            <w:vAlign w:val="bottom"/>
            <w:gridSpan w:val="3"/>
            <w:vMerge w:val="restart"/>
          </w:tcPr>
          <w:p>
            <w:pPr>
              <w:ind w:left="1940"/>
              <w:spacing w:after="0"/>
              <w:rPr>
                <w:sz w:val="20"/>
                <w:szCs w:val="20"/>
                <w:color w:val="auto"/>
              </w:rPr>
            </w:pPr>
            <w:r>
              <w:rPr>
                <w:rFonts w:ascii="Arial" w:cs="Arial" w:eastAsia="Arial" w:hAnsi="Arial"/>
                <w:sz w:val="18"/>
                <w:szCs w:val="18"/>
                <w:color w:val="auto"/>
              </w:rPr>
              <w:t>Treasurer (principal accounting officer)</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Larry E. Finger</w:t>
            </w:r>
          </w:p>
        </w:tc>
        <w:tc>
          <w:tcPr>
            <w:tcW w:w="63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100" w:type="dxa"/>
            <w:vAlign w:val="bottom"/>
            <w:gridSpan w:val="2"/>
            <w:vMerge w:val="continue"/>
          </w:tcPr>
          <w:p>
            <w:pPr>
              <w:spacing w:after="0"/>
              <w:rPr>
                <w:sz w:val="19"/>
                <w:szCs w:val="19"/>
                <w:color w:val="auto"/>
              </w:rPr>
            </w:pPr>
          </w:p>
        </w:tc>
        <w:tc>
          <w:tcPr>
            <w:tcW w:w="3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100" w:type="dxa"/>
            <w:vAlign w:val="bottom"/>
            <w:gridSpan w:val="2"/>
          </w:tcPr>
          <w:p>
            <w:pPr>
              <w:spacing w:after="0"/>
              <w:rPr>
                <w:sz w:val="20"/>
                <w:szCs w:val="20"/>
                <w:color w:val="auto"/>
              </w:rPr>
            </w:pPr>
            <w:r>
              <w:rPr>
                <w:rFonts w:ascii="Arial" w:cs="Arial" w:eastAsia="Arial" w:hAnsi="Arial"/>
                <w:sz w:val="18"/>
                <w:szCs w:val="18"/>
                <w:color w:val="auto"/>
              </w:rPr>
              <w:t>/s/ David W. Faeder</w:t>
            </w:r>
          </w:p>
        </w:tc>
        <w:tc>
          <w:tcPr>
            <w:tcW w:w="6300" w:type="dxa"/>
            <w:vAlign w:val="bottom"/>
            <w:gridSpan w:val="3"/>
          </w:tcPr>
          <w:p>
            <w:pPr>
              <w:ind w:left="1940"/>
              <w:spacing w:after="0"/>
              <w:rPr>
                <w:sz w:val="20"/>
                <w:szCs w:val="20"/>
                <w:color w:val="auto"/>
              </w:rPr>
            </w:pPr>
            <w:r>
              <w:rPr>
                <w:rFonts w:ascii="Arial" w:cs="Arial" w:eastAsia="Arial" w:hAnsi="Arial"/>
                <w:sz w:val="18"/>
                <w:szCs w:val="18"/>
                <w:color w:val="auto"/>
              </w:rPr>
              <w:t>Trustee</w:t>
            </w:r>
          </w:p>
        </w:tc>
        <w:tc>
          <w:tcPr>
            <w:tcW w:w="17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November 10, 2004</w:t>
            </w:r>
          </w:p>
        </w:tc>
        <w:tc>
          <w:tcPr>
            <w:tcW w:w="0" w:type="dxa"/>
            <w:vAlign w:val="bottom"/>
          </w:tcPr>
          <w:p>
            <w:pPr>
              <w:spacing w:after="0"/>
              <w:rPr>
                <w:sz w:val="1"/>
                <w:szCs w:val="1"/>
                <w:color w:val="auto"/>
              </w:rPr>
            </w:pPr>
          </w:p>
        </w:tc>
      </w:tr>
      <w:tr>
        <w:trPr>
          <w:trHeight w:val="110"/>
        </w:trPr>
        <w:tc>
          <w:tcPr>
            <w:tcW w:w="3100" w:type="dxa"/>
            <w:vAlign w:val="bottom"/>
            <w:tcBorders>
              <w:bottom w:val="single" w:sz="8" w:color="auto"/>
            </w:tcBorders>
            <w:gridSpan w:val="2"/>
          </w:tcPr>
          <w:p>
            <w:pPr>
              <w:spacing w:after="0"/>
              <w:rPr>
                <w:sz w:val="9"/>
                <w:szCs w:val="9"/>
                <w:color w:val="auto"/>
              </w:rPr>
            </w:pPr>
          </w:p>
        </w:tc>
        <w:tc>
          <w:tcPr>
            <w:tcW w:w="3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0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3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00" w:type="dxa"/>
            <w:vAlign w:val="bottom"/>
            <w:gridSpan w:val="2"/>
          </w:tcPr>
          <w:p>
            <w:pPr>
              <w:spacing w:after="0"/>
              <w:rPr>
                <w:sz w:val="20"/>
                <w:szCs w:val="20"/>
                <w:color w:val="auto"/>
              </w:rPr>
            </w:pPr>
            <w:r>
              <w:rPr>
                <w:rFonts w:ascii="Arial" w:cs="Arial" w:eastAsia="Arial" w:hAnsi="Arial"/>
                <w:sz w:val="18"/>
                <w:szCs w:val="18"/>
                <w:color w:val="auto"/>
              </w:rPr>
              <w:t>/s/ Kristin Gamble</w:t>
            </w:r>
          </w:p>
        </w:tc>
        <w:tc>
          <w:tcPr>
            <w:tcW w:w="6300" w:type="dxa"/>
            <w:vAlign w:val="bottom"/>
            <w:gridSpan w:val="3"/>
          </w:tcPr>
          <w:p>
            <w:pPr>
              <w:ind w:left="1940"/>
              <w:spacing w:after="0"/>
              <w:rPr>
                <w:sz w:val="20"/>
                <w:szCs w:val="20"/>
                <w:color w:val="auto"/>
              </w:rPr>
            </w:pPr>
            <w:r>
              <w:rPr>
                <w:rFonts w:ascii="Arial" w:cs="Arial" w:eastAsia="Arial" w:hAnsi="Arial"/>
                <w:sz w:val="18"/>
                <w:szCs w:val="18"/>
                <w:color w:val="auto"/>
              </w:rPr>
              <w:t>Trustee</w:t>
            </w:r>
          </w:p>
        </w:tc>
        <w:tc>
          <w:tcPr>
            <w:tcW w:w="17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November 10, 2004</w:t>
            </w:r>
          </w:p>
        </w:tc>
        <w:tc>
          <w:tcPr>
            <w:tcW w:w="0" w:type="dxa"/>
            <w:vAlign w:val="bottom"/>
          </w:tcPr>
          <w:p>
            <w:pPr>
              <w:spacing w:after="0"/>
              <w:rPr>
                <w:sz w:val="1"/>
                <w:szCs w:val="1"/>
                <w:color w:val="auto"/>
              </w:rPr>
            </w:pPr>
          </w:p>
        </w:tc>
      </w:tr>
      <w:tr>
        <w:trPr>
          <w:trHeight w:val="110"/>
        </w:trPr>
        <w:tc>
          <w:tcPr>
            <w:tcW w:w="3100" w:type="dxa"/>
            <w:vAlign w:val="bottom"/>
            <w:tcBorders>
              <w:bottom w:val="single" w:sz="8" w:color="auto"/>
            </w:tcBorders>
            <w:gridSpan w:val="2"/>
          </w:tcPr>
          <w:p>
            <w:pPr>
              <w:spacing w:after="0"/>
              <w:rPr>
                <w:sz w:val="9"/>
                <w:szCs w:val="9"/>
                <w:color w:val="auto"/>
              </w:rPr>
            </w:pPr>
          </w:p>
        </w:tc>
        <w:tc>
          <w:tcPr>
            <w:tcW w:w="3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0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3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00" w:type="dxa"/>
            <w:vAlign w:val="bottom"/>
            <w:gridSpan w:val="2"/>
          </w:tcPr>
          <w:p>
            <w:pPr>
              <w:spacing w:after="0"/>
              <w:rPr>
                <w:sz w:val="20"/>
                <w:szCs w:val="20"/>
                <w:color w:val="auto"/>
              </w:rPr>
            </w:pPr>
            <w:r>
              <w:rPr>
                <w:rFonts w:ascii="Arial" w:cs="Arial" w:eastAsia="Arial" w:hAnsi="Arial"/>
                <w:sz w:val="18"/>
                <w:szCs w:val="18"/>
                <w:color w:val="auto"/>
              </w:rPr>
              <w:t>/s/ Joseph S. Vassalluzzo</w:t>
            </w:r>
          </w:p>
        </w:tc>
        <w:tc>
          <w:tcPr>
            <w:tcW w:w="6300" w:type="dxa"/>
            <w:vAlign w:val="bottom"/>
            <w:gridSpan w:val="3"/>
          </w:tcPr>
          <w:p>
            <w:pPr>
              <w:ind w:left="1940"/>
              <w:spacing w:after="0"/>
              <w:rPr>
                <w:sz w:val="20"/>
                <w:szCs w:val="20"/>
                <w:color w:val="auto"/>
              </w:rPr>
            </w:pPr>
            <w:r>
              <w:rPr>
                <w:rFonts w:ascii="Arial" w:cs="Arial" w:eastAsia="Arial" w:hAnsi="Arial"/>
                <w:sz w:val="18"/>
                <w:szCs w:val="18"/>
                <w:color w:val="auto"/>
              </w:rPr>
              <w:t>Trustee</w:t>
            </w:r>
          </w:p>
        </w:tc>
        <w:tc>
          <w:tcPr>
            <w:tcW w:w="17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November 10, 2004</w:t>
            </w:r>
          </w:p>
        </w:tc>
        <w:tc>
          <w:tcPr>
            <w:tcW w:w="0" w:type="dxa"/>
            <w:vAlign w:val="bottom"/>
          </w:tcPr>
          <w:p>
            <w:pPr>
              <w:spacing w:after="0"/>
              <w:rPr>
                <w:sz w:val="1"/>
                <w:szCs w:val="1"/>
                <w:color w:val="auto"/>
              </w:rPr>
            </w:pPr>
          </w:p>
        </w:tc>
      </w:tr>
      <w:tr>
        <w:trPr>
          <w:trHeight w:val="110"/>
        </w:trPr>
        <w:tc>
          <w:tcPr>
            <w:tcW w:w="3100" w:type="dxa"/>
            <w:vAlign w:val="bottom"/>
            <w:tcBorders>
              <w:bottom w:val="single" w:sz="8" w:color="auto"/>
            </w:tcBorders>
            <w:gridSpan w:val="2"/>
          </w:tcPr>
          <w:p>
            <w:pPr>
              <w:spacing w:after="0"/>
              <w:rPr>
                <w:sz w:val="9"/>
                <w:szCs w:val="9"/>
                <w:color w:val="auto"/>
              </w:rPr>
            </w:pPr>
          </w:p>
        </w:tc>
        <w:tc>
          <w:tcPr>
            <w:tcW w:w="3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00" w:type="dxa"/>
            <w:vAlign w:val="bottom"/>
            <w:gridSpan w:val="2"/>
          </w:tcPr>
          <w:p>
            <w:pPr>
              <w:spacing w:after="0"/>
              <w:rPr>
                <w:sz w:val="20"/>
                <w:szCs w:val="20"/>
                <w:color w:val="auto"/>
              </w:rPr>
            </w:pPr>
            <w:r>
              <w:rPr>
                <w:rFonts w:ascii="Arial" w:cs="Arial" w:eastAsia="Arial" w:hAnsi="Arial"/>
                <w:sz w:val="18"/>
                <w:szCs w:val="18"/>
                <w:color w:val="auto"/>
              </w:rPr>
              <w:t>Joseph S. Vassalluzzo</w:t>
            </w:r>
          </w:p>
        </w:tc>
        <w:tc>
          <w:tcPr>
            <w:tcW w:w="3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00" w:type="dxa"/>
            <w:vAlign w:val="bottom"/>
            <w:gridSpan w:val="2"/>
          </w:tcPr>
          <w:p>
            <w:pPr>
              <w:spacing w:after="0"/>
              <w:rPr>
                <w:sz w:val="20"/>
                <w:szCs w:val="20"/>
                <w:color w:val="auto"/>
              </w:rPr>
            </w:pPr>
            <w:r>
              <w:rPr>
                <w:rFonts w:ascii="Arial" w:cs="Arial" w:eastAsia="Arial" w:hAnsi="Arial"/>
                <w:sz w:val="18"/>
                <w:szCs w:val="18"/>
                <w:color w:val="auto"/>
              </w:rPr>
              <w:t>/s/ Mark S. Ordan</w:t>
            </w:r>
          </w:p>
        </w:tc>
        <w:tc>
          <w:tcPr>
            <w:tcW w:w="6300" w:type="dxa"/>
            <w:vAlign w:val="bottom"/>
            <w:gridSpan w:val="3"/>
          </w:tcPr>
          <w:p>
            <w:pPr>
              <w:ind w:left="1940"/>
              <w:spacing w:after="0"/>
              <w:rPr>
                <w:sz w:val="20"/>
                <w:szCs w:val="20"/>
                <w:color w:val="auto"/>
              </w:rPr>
            </w:pPr>
            <w:r>
              <w:rPr>
                <w:rFonts w:ascii="Arial" w:cs="Arial" w:eastAsia="Arial" w:hAnsi="Arial"/>
                <w:sz w:val="18"/>
                <w:szCs w:val="18"/>
                <w:color w:val="auto"/>
              </w:rPr>
              <w:t>Trustee</w:t>
            </w:r>
          </w:p>
        </w:tc>
        <w:tc>
          <w:tcPr>
            <w:tcW w:w="17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November 10, 2004</w:t>
            </w:r>
          </w:p>
        </w:tc>
        <w:tc>
          <w:tcPr>
            <w:tcW w:w="0" w:type="dxa"/>
            <w:vAlign w:val="bottom"/>
          </w:tcPr>
          <w:p>
            <w:pPr>
              <w:spacing w:after="0"/>
              <w:rPr>
                <w:sz w:val="1"/>
                <w:szCs w:val="1"/>
                <w:color w:val="auto"/>
              </w:rPr>
            </w:pPr>
          </w:p>
        </w:tc>
      </w:tr>
      <w:tr>
        <w:trPr>
          <w:trHeight w:val="110"/>
        </w:trPr>
        <w:tc>
          <w:tcPr>
            <w:tcW w:w="3100" w:type="dxa"/>
            <w:vAlign w:val="bottom"/>
            <w:tcBorders>
              <w:bottom w:val="single" w:sz="8" w:color="auto"/>
            </w:tcBorders>
            <w:gridSpan w:val="2"/>
          </w:tcPr>
          <w:p>
            <w:pPr>
              <w:spacing w:after="0"/>
              <w:rPr>
                <w:sz w:val="9"/>
                <w:szCs w:val="9"/>
                <w:color w:val="auto"/>
              </w:rPr>
            </w:pPr>
          </w:p>
        </w:tc>
        <w:tc>
          <w:tcPr>
            <w:tcW w:w="3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0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3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00" w:type="dxa"/>
            <w:vAlign w:val="bottom"/>
            <w:gridSpan w:val="2"/>
          </w:tcPr>
          <w:p>
            <w:pPr>
              <w:spacing w:after="0"/>
              <w:rPr>
                <w:sz w:val="20"/>
                <w:szCs w:val="20"/>
                <w:color w:val="auto"/>
              </w:rPr>
            </w:pPr>
            <w:r>
              <w:rPr>
                <w:rFonts w:ascii="Arial" w:cs="Arial" w:eastAsia="Arial" w:hAnsi="Arial"/>
                <w:sz w:val="18"/>
                <w:szCs w:val="18"/>
                <w:color w:val="auto"/>
              </w:rPr>
              <w:t>/s/ Amy B. Lane</w:t>
            </w:r>
          </w:p>
        </w:tc>
        <w:tc>
          <w:tcPr>
            <w:tcW w:w="6300" w:type="dxa"/>
            <w:vAlign w:val="bottom"/>
            <w:gridSpan w:val="3"/>
          </w:tcPr>
          <w:p>
            <w:pPr>
              <w:ind w:left="1940"/>
              <w:spacing w:after="0"/>
              <w:rPr>
                <w:sz w:val="20"/>
                <w:szCs w:val="20"/>
                <w:color w:val="auto"/>
              </w:rPr>
            </w:pPr>
            <w:r>
              <w:rPr>
                <w:rFonts w:ascii="Arial" w:cs="Arial" w:eastAsia="Arial" w:hAnsi="Arial"/>
                <w:sz w:val="18"/>
                <w:szCs w:val="18"/>
                <w:color w:val="auto"/>
              </w:rPr>
              <w:t>Trustee</w:t>
            </w:r>
          </w:p>
        </w:tc>
        <w:tc>
          <w:tcPr>
            <w:tcW w:w="17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November 10, 2004</w:t>
            </w:r>
          </w:p>
        </w:tc>
        <w:tc>
          <w:tcPr>
            <w:tcW w:w="0" w:type="dxa"/>
            <w:vAlign w:val="bottom"/>
          </w:tcPr>
          <w:p>
            <w:pPr>
              <w:spacing w:after="0"/>
              <w:rPr>
                <w:sz w:val="1"/>
                <w:szCs w:val="1"/>
                <w:color w:val="auto"/>
              </w:rPr>
            </w:pPr>
          </w:p>
        </w:tc>
      </w:tr>
      <w:tr>
        <w:trPr>
          <w:trHeight w:val="110"/>
        </w:trPr>
        <w:tc>
          <w:tcPr>
            <w:tcW w:w="3100" w:type="dxa"/>
            <w:vAlign w:val="bottom"/>
            <w:tcBorders>
              <w:bottom w:val="single" w:sz="8" w:color="auto"/>
            </w:tcBorders>
            <w:gridSpan w:val="2"/>
          </w:tcPr>
          <w:p>
            <w:pPr>
              <w:spacing w:after="0"/>
              <w:rPr>
                <w:sz w:val="9"/>
                <w:szCs w:val="9"/>
                <w:color w:val="auto"/>
              </w:rPr>
            </w:pPr>
          </w:p>
        </w:tc>
        <w:tc>
          <w:tcPr>
            <w:tcW w:w="3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00" w:type="dxa"/>
            <w:vAlign w:val="bottom"/>
            <w:gridSpan w:val="2"/>
          </w:tcPr>
          <w:p>
            <w:pPr>
              <w:spacing w:after="0"/>
              <w:rPr>
                <w:sz w:val="20"/>
                <w:szCs w:val="20"/>
                <w:color w:val="auto"/>
              </w:rPr>
            </w:pPr>
            <w:r>
              <w:rPr>
                <w:rFonts w:ascii="Arial" w:cs="Arial" w:eastAsia="Arial" w:hAnsi="Arial"/>
                <w:sz w:val="18"/>
                <w:szCs w:val="18"/>
                <w:color w:val="auto"/>
              </w:rPr>
              <w:t>Amy B. Lane</w:t>
            </w:r>
          </w:p>
        </w:tc>
        <w:tc>
          <w:tcPr>
            <w:tcW w:w="3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00" w:type="dxa"/>
            <w:vAlign w:val="bottom"/>
            <w:gridSpan w:val="2"/>
          </w:tcPr>
          <w:p>
            <w:pPr>
              <w:spacing w:after="0"/>
              <w:rPr>
                <w:sz w:val="20"/>
                <w:szCs w:val="20"/>
                <w:color w:val="auto"/>
              </w:rPr>
            </w:pPr>
            <w:r>
              <w:rPr>
                <w:rFonts w:ascii="Arial" w:cs="Arial" w:eastAsia="Arial" w:hAnsi="Arial"/>
                <w:sz w:val="18"/>
                <w:szCs w:val="18"/>
                <w:color w:val="auto"/>
              </w:rPr>
              <w:t>/s/ Walter F. Loeb</w:t>
            </w:r>
          </w:p>
        </w:tc>
        <w:tc>
          <w:tcPr>
            <w:tcW w:w="6300" w:type="dxa"/>
            <w:vAlign w:val="bottom"/>
            <w:gridSpan w:val="3"/>
          </w:tcPr>
          <w:p>
            <w:pPr>
              <w:ind w:left="1940"/>
              <w:spacing w:after="0"/>
              <w:rPr>
                <w:sz w:val="20"/>
                <w:szCs w:val="20"/>
                <w:color w:val="auto"/>
              </w:rPr>
            </w:pPr>
            <w:r>
              <w:rPr>
                <w:rFonts w:ascii="Arial" w:cs="Arial" w:eastAsia="Arial" w:hAnsi="Arial"/>
                <w:sz w:val="18"/>
                <w:szCs w:val="18"/>
                <w:color w:val="auto"/>
              </w:rPr>
              <w:t>Trustee</w:t>
            </w:r>
          </w:p>
        </w:tc>
        <w:tc>
          <w:tcPr>
            <w:tcW w:w="17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November 10, 2004</w:t>
            </w:r>
          </w:p>
        </w:tc>
        <w:tc>
          <w:tcPr>
            <w:tcW w:w="0" w:type="dxa"/>
            <w:vAlign w:val="bottom"/>
          </w:tcPr>
          <w:p>
            <w:pPr>
              <w:spacing w:after="0"/>
              <w:rPr>
                <w:sz w:val="1"/>
                <w:szCs w:val="1"/>
                <w:color w:val="auto"/>
              </w:rPr>
            </w:pPr>
          </w:p>
        </w:tc>
      </w:tr>
      <w:tr>
        <w:trPr>
          <w:trHeight w:val="110"/>
        </w:trPr>
        <w:tc>
          <w:tcPr>
            <w:tcW w:w="3100" w:type="dxa"/>
            <w:vAlign w:val="bottom"/>
            <w:tcBorders>
              <w:bottom w:val="single" w:sz="8" w:color="auto"/>
            </w:tcBorders>
            <w:gridSpan w:val="2"/>
          </w:tcPr>
          <w:p>
            <w:pPr>
              <w:spacing w:after="0"/>
              <w:rPr>
                <w:sz w:val="9"/>
                <w:szCs w:val="9"/>
                <w:color w:val="auto"/>
              </w:rPr>
            </w:pPr>
          </w:p>
        </w:tc>
        <w:tc>
          <w:tcPr>
            <w:tcW w:w="3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00" w:type="dxa"/>
            <w:vAlign w:val="bottom"/>
            <w:gridSpan w:val="2"/>
          </w:tcPr>
          <w:p>
            <w:pPr>
              <w:spacing w:after="0"/>
              <w:rPr>
                <w:sz w:val="20"/>
                <w:szCs w:val="20"/>
                <w:color w:val="auto"/>
              </w:rPr>
            </w:pPr>
            <w:r>
              <w:rPr>
                <w:rFonts w:ascii="Arial" w:cs="Arial" w:eastAsia="Arial" w:hAnsi="Arial"/>
                <w:sz w:val="18"/>
                <w:szCs w:val="18"/>
                <w:color w:val="auto"/>
              </w:rPr>
              <w:t>Walter F. Loeb</w:t>
            </w:r>
          </w:p>
        </w:tc>
        <w:tc>
          <w:tcPr>
            <w:tcW w:w="3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300" w:type="dxa"/>
            <w:vAlign w:val="bottom"/>
            <w:gridSpan w:val="3"/>
          </w:tcPr>
          <w:p>
            <w:pPr>
              <w:ind w:left="2440"/>
              <w:spacing w:after="0"/>
              <w:rPr>
                <w:sz w:val="20"/>
                <w:szCs w:val="20"/>
                <w:color w:val="auto"/>
              </w:rPr>
            </w:pPr>
            <w:r>
              <w:rPr>
                <w:rFonts w:ascii="Arial" w:cs="Arial" w:eastAsia="Arial" w:hAnsi="Arial"/>
                <w:sz w:val="18"/>
                <w:szCs w:val="18"/>
                <w:color w:val="auto"/>
              </w:rPr>
              <w:t>II - 5</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560" w:type="dxa"/>
            <w:vAlign w:val="bottom"/>
          </w:tcPr>
          <w:p>
            <w:pPr>
              <w:ind w:left="3060"/>
              <w:spacing w:after="0"/>
              <w:rPr>
                <w:sz w:val="20"/>
                <w:szCs w:val="20"/>
                <w:color w:val="auto"/>
              </w:rPr>
            </w:pPr>
            <w:r>
              <w:rPr>
                <w:rFonts w:ascii="Arial" w:cs="Arial" w:eastAsia="Arial" w:hAnsi="Arial"/>
                <w:sz w:val="18"/>
                <w:szCs w:val="18"/>
                <w:b w:val="1"/>
                <w:bCs w:val="1"/>
                <w:color w:val="auto"/>
              </w:rPr>
              <w:t>INDEX TO EXHIBITS</w:t>
            </w:r>
          </w:p>
        </w:tc>
      </w:tr>
      <w:tr>
        <w:trPr>
          <w:trHeight w:val="312"/>
        </w:trPr>
        <w:tc>
          <w:tcPr>
            <w:tcW w:w="6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560" w:type="dxa"/>
            <w:vAlign w:val="bottom"/>
          </w:tcPr>
          <w:p>
            <w:pPr>
              <w:spacing w:after="0"/>
              <w:rPr>
                <w:sz w:val="8"/>
                <w:szCs w:val="8"/>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w w:val="90"/>
              </w:rPr>
              <w:t>Specimen Common Share certificate (filed as Exhibit 4(i) to the Trust’s Annual Report on Form 10-K for the year ended December 31, 1999 and</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w w:val="92"/>
              </w:rPr>
              <w:t>Amended and Restated Rights Agreement, dated March 11, 1999, between the Trust and American Stock Transfer &amp; Trust Company (filed as</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w w:val="95"/>
              </w:rPr>
              <w:t>Exhibit 1 to the Trust’s Registration Statement No. 1-07533 on Form 8-A/A filed on March 11, 1999 and incorporated herein by reference)</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w w:val="89"/>
              </w:rPr>
              <w:t>First Amendment to Amended and Restated Rights Agreement, dated as of November _, 2003, between the Trust and American Stock Transfer &amp;</w:t>
            </w: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w w:val="89"/>
              </w:rPr>
              <w:t>Trust Company (filed as Exhibit 4.5 to the Trust’s Annual Report on Form 10-K for the year ended December 31, 2003 filed on March 15, 2004 and</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Opinion of Shaw Pittman LLP regarding the validity of the shares (filed herewith)</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Opinion of Shaw Pittman LLP regarding certain tax matters (filed herewith)</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Consent of Grant Thornton LLP, independent registered public accounting firm (filed herewith)</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Consent of Shaw Pittman LLP (included in Exhibit 5.1)</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Consent of Shaw Pittman LLP (included in Exhibit 8.1)</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bl>
    <w:p>
      <w:pPr>
        <w:sectPr>
          <w:pgSz w:w="11900" w:h="16838" w:orient="portrait"/>
          <w:cols w:equalWidth="0" w:num="1">
            <w:col w:w="11340"/>
          </w:cols>
          <w:pgMar w:left="240" w:top="459"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5.1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 PITTMAN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15,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Registration Statement on Form S-3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acted as counsel to Federal Realty Investment Trust, a Maryland real estate investment trust (the “Company”), in connection with the Company’s filing with the Securities and Exchange Commission under the Securities Act of 1933, as amended (the “Act”), of a registration statement on Form S-3 (the “Registration Statement”) and the prospectus included therein (the “Prospectus”) relating to the resale of 80,000 of the Company’s common shares of beneficial interest, par value $.01 per share (the “Shares”), as provided in the Registration Statement, by the selling shareholders identified in the Registration Statement.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opinion, we have examined copies of the following documents:</w:t>
      </w:r>
    </w:p>
    <w:p>
      <w:pPr>
        <w:spacing w:after="0" w:line="77"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76"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copy of the Declaration of Trust of the Company (the “Articles”), as amended, restated or supplemented, if applicable, as certified by the Maryland State Department of Assessments and Taxation on November 9, 2004, and certified to us by the Senior Vice President, General Counsel and Secretary of the Company as being complete, accurate and in effect as of the date hereof;</w:t>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15,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900" w:right="200" w:hanging="446"/>
        <w:spacing w:after="0" w:line="325"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Amended and Restated Bylaws of the Company, as amended, restated or supplemented, if applicable (the “Bylaws”), in the form certified to us by the Senior Vice President, General Counsel and Secretary of the Company as being complete, accurate and in effect as of the date hereof;</w:t>
      </w:r>
    </w:p>
    <w:p>
      <w:pPr>
        <w:spacing w:after="0" w:line="1"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Agreement of Limited Partnership of FR Leesburg Plaza, LP, a Delaware limited partnership, dated as of September 15, 1998, entered into by FR Leesburg Plaza, LLC, a Delaware limited liability company and wholly owned subsidiary of the Company, and the persons set forth on Exhibit A thereto;</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Registration Rights Agreement, dated as of September 15, 1998, by the Company and The Wallace Family L.P.;</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resolutions of the Board of Trustees of the Company (the “Resolutions”);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certificate of the Secretary of the Company dated as of the date hereof; and</w:t>
      </w:r>
    </w:p>
    <w:p>
      <w:pPr>
        <w:spacing w:after="0" w:line="76"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18"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In our examination of the aforesaid documents, we have assumed the legal capacity of all natural persons, the authority of all entities other than the Company, the genuineness of all signatures, the completeness and authenticity of all documents submitted to us as originals, and the conformity to original documents of all documents submitted to us as certified, telecopied, photostatic or reproduced copies.</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opinion expressed below, we have assumed that, at and prior to the time of the issuance and delivery of the Shares, (i) the Resolutions shall not have been amended, modified or rescinded and (ii) no change in law materially adversely affecting the power of the Company to issue and deliver the Shares or the validity of the Shares shall have occurred. We also have assumed that the sale, issuance and delivery of the Shares will not at the time of such sale, issuance and delivery violate or conflict with (1) the Articles, as then amended, restated and supplemented, and the Bylaws, as then amended, restated and supplemented, (2) any provision of any license, indenture, instrument, mortgage, contract, document or agreement to which the Company is then a party or by which the Company is then bound, or (3) any law or regulation or any decree, judgment or order then applicable to the Company. We further have assumed that the number of Shares to be issued and delivered will not at the time of such issuance and delivery exceed the amount of such class of capital stock authorized in the Articles, as then amended, restated or supplemented, and</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15,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remaining unissued (and not otherwise reserved for issuance) at such time, and that prior to the time of the issuance and delivery of the Shares the Registration Statement shall have been declared effective and no stop order suspending the effectiveness of the Registration Statement shall have been issued, nor any proceedings with respect thereto commenced or threatened.</w:t>
      </w:r>
    </w:p>
    <w:p>
      <w:pPr>
        <w:spacing w:after="0" w:line="127"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Based upon, subject to and limited by the foregoing, we are of the opinion that, when issued and delivered in the manner contemplated by, and in accordance with, the Resolutions, the Shares will be validly issued by the Company, fully paid and nonassessable.</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opinion is limited to the laws of the United States and, except as provided below, the laws of the State of Maryland. Our opinion is rendered only with respect to the laws and the rules, regulations and orders thereunder that are currently in effect. We assume no obligation to advise you of any changes in the foregoing subsequent to the delivery of this opinion. We express no opinion as to compliance with any state securities laws, including the securities laws of the State of Maryland. This opinion has been prepared for your use in connection with the filing of the Registration Statement.</w:t>
      </w:r>
    </w:p>
    <w:p>
      <w:pPr>
        <w:spacing w:after="0" w:line="9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Act or within the category of persons whose consent is required by Section 7 of the Act.</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0154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 PITTMAN LLP</w:t>
      </w:r>
    </w:p>
    <w:p>
      <w:pPr>
        <w:sectPr>
          <w:pgSz w:w="11900" w:h="16838" w:orient="portrait"/>
          <w:cols w:equalWidth="0" w:num="1">
            <w:col w:w="11360"/>
          </w:cols>
          <w:pgMar w:left="240" w:top="280"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8.1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 PITTMAN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15,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the prospectus and all documents incorporated and deemed to be incorporated by reference therein) with the Securities and Exchange Commission (the “Commission”).</w:t>
      </w:r>
    </w:p>
    <w:p>
      <w:pPr>
        <w:spacing w:after="0" w:line="13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15,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9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2004;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(2004) taxable year and for future taxable years, and (iii) the discussions in (y) the Registration Statement under the caption “Risk Factors,” specifically the discussion of the Company’s status as a REIT, and (z) the Registration Statement under the caption “Federal Income Tax Considerations,” which discussions are part of, or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Registration Statement under the caption “Federal Income Tax Considerations” are hereby confirmed.</w:t>
      </w:r>
    </w:p>
    <w:p>
      <w:pPr>
        <w:spacing w:after="0" w:line="10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w:t>
      </w:r>
    </w:p>
    <w:p>
      <w:pPr>
        <w:sectPr>
          <w:pgSz w:w="11900" w:h="16838" w:orient="portrait"/>
          <w:cols w:equalWidth="0" w:num="1">
            <w:col w:w="11400"/>
          </w:cols>
          <w:pgMar w:left="240" w:top="280"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15,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assurance can be given as to whether, for any given taxable year, the actual ownership of the Company’s stock and its actual operating results and distributions satisfy the tests necessary to achieve and maintain its status as a REIT.</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 PITTMAN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Charles B.Temkin,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Charles B. Temkin, P.C.</w:t>
      </w:r>
    </w:p>
    <w:p>
      <w:pPr>
        <w:sectPr>
          <w:pgSz w:w="11900" w:h="16838" w:orient="portrait"/>
          <w:cols w:equalWidth="0" w:num="1">
            <w:col w:w="11420"/>
          </w:cols>
          <w:pgMar w:left="240" w:top="2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issued our report dated February 5, 2004 accompanying the consolidated financial statements and schedules included in the Annual Report of Federal Realty Investment Trust on Form 10-K, as amended, for the year ended December 31, 2003. We hereby consent to the incorporation by reference of said report in the Registration Statement of Federal Realty Investment Trust on Form S-3.</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Vienna,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15,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2"/>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5"/>
    </w:lvl>
  </w:abstractNum>
  <w:abstractNum w:abstractNumId="39">
    <w:nsid w:val="70A64E2A"/>
    <w:multiLevelType w:val="hybridMultilevel"/>
    <w:lvl w:ilvl="0">
      <w:lvlJc w:val="left"/>
      <w:lvlText w:val="(%1)"/>
      <w:numFmt w:val="lowerRoman"/>
      <w:start w:val="3"/>
    </w:lvl>
  </w:abstractNum>
  <w:abstractNum w:abstractNumId="40">
    <w:nsid w:val="6A2342EC"/>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41">
    <w:nsid w:val="2A487CB0"/>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35"/>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2019-12-12T09:10:27Z</dcterms:created>
  <dcterms:modified xsi:type="dcterms:W3CDTF">2019-12-12T09:10:27Z</dcterms:modified>
</cp:coreProperties>
</file>