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45085</wp:posOffset>
            </wp:positionV>
            <wp:extent cx="1895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95475" cy="8890"/>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-228600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195" w:lineRule="exact"/>
        <w:rPr>
          <w:sz w:val="24"/>
          <w:szCs w:val="24"/>
          <w:color w:val="auto"/>
        </w:rPr>
      </w:pPr>
    </w:p>
    <w:p>
      <w:pPr>
        <w:ind w:left="720" w:right="520" w:hanging="685"/>
        <w:spacing w:after="0" w:line="262" w:lineRule="auto"/>
        <w:tabs>
          <w:tab w:leader="none" w:pos="7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THE SECTION 13 OR 15(D) OF THE SECURITIES EXCHANGE ACT OF 1934</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 the quarterly period ended March 31, 2013</w:t>
      </w:r>
    </w:p>
    <w:p>
      <w:pPr>
        <w:spacing w:after="0" w:line="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157" w:lineRule="exact"/>
        <w:rPr>
          <w:sz w:val="24"/>
          <w:szCs w:val="24"/>
          <w:color w:val="auto"/>
        </w:rPr>
      </w:pPr>
    </w:p>
    <w:p>
      <w:pPr>
        <w:ind w:left="720" w:right="140" w:hanging="685"/>
        <w:spacing w:after="0" w:line="262" w:lineRule="auto"/>
        <w:tabs>
          <w:tab w:leader="none" w:pos="7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47" w:lineRule="exact"/>
        <w:rPr>
          <w:sz w:val="24"/>
          <w:szCs w:val="24"/>
          <w:color w:val="auto"/>
        </w:rPr>
      </w:pPr>
    </w:p>
    <w:p>
      <w:pPr>
        <w:ind w:left="3680"/>
        <w:spacing w:after="0"/>
        <w:tabs>
          <w:tab w:leader="none" w:pos="6920" w:val="left"/>
        </w:tabs>
        <w:rPr>
          <w:sz w:val="20"/>
          <w:szCs w:val="20"/>
          <w:color w:val="auto"/>
        </w:rPr>
      </w:pPr>
      <w:r>
        <w:rPr>
          <w:rFonts w:ascii="Times New Roman" w:cs="Times New Roman" w:eastAsia="Times New Roman" w:hAnsi="Times New Roman"/>
          <w:sz w:val="20"/>
          <w:szCs w:val="20"/>
          <w:b w:val="1"/>
          <w:bCs w:val="1"/>
          <w:color w:val="auto"/>
        </w:rPr>
        <w:t>For the transition period from</w:t>
      </w:r>
      <w:r>
        <w:rPr>
          <w:sz w:val="20"/>
          <w:szCs w:val="20"/>
          <w:color w:val="auto"/>
        </w:rPr>
        <w:tab/>
      </w:r>
      <w:r>
        <w:rPr>
          <w:rFonts w:ascii="Times New Roman" w:cs="Times New Roman" w:eastAsia="Times New Roman" w:hAnsi="Times New Roman"/>
          <w:sz w:val="19"/>
          <w:szCs w:val="19"/>
          <w:b w:val="1"/>
          <w:bCs w:val="1"/>
          <w:color w:val="auto"/>
        </w:rPr>
        <w:t>to</w:t>
      </w:r>
    </w:p>
    <w:p>
      <w:pPr>
        <w:spacing w:after="0" w:line="8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Commission file number: 1-07533</w:t>
      </w:r>
    </w:p>
    <w:p>
      <w:pPr>
        <w:spacing w:after="0" w:line="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FEDERAL REALTY INVESTMENT TRUST</w:t>
      </w:r>
    </w:p>
    <w:p>
      <w:pPr>
        <w:spacing w:after="0" w:line="8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Declaration of Trust)</w:t>
      </w:r>
    </w:p>
    <w:p>
      <w:pPr>
        <w:spacing w:after="0" w:line="248" w:lineRule="exact"/>
        <w:rPr>
          <w:sz w:val="24"/>
          <w:szCs w:val="24"/>
          <w:color w:val="auto"/>
        </w:rPr>
      </w:pPr>
    </w:p>
    <w:tbl>
      <w:tblPr>
        <w:tblLayout w:type="fixed"/>
        <w:tblInd w:w="620" w:type="dxa"/>
        <w:tblCellMar>
          <w:top w:w="0" w:type="dxa"/>
          <w:left w:w="0" w:type="dxa"/>
          <w:bottom w:w="0" w:type="dxa"/>
          <w:right w:w="0" w:type="dxa"/>
        </w:tblCellMar>
      </w:tblPr>
      <w:tr>
        <w:trPr>
          <w:trHeight w:val="262"/>
        </w:trPr>
        <w:tc>
          <w:tcPr>
            <w:tcW w:w="6780" w:type="dxa"/>
            <w:vAlign w:val="bottom"/>
          </w:tcPr>
          <w:p>
            <w:pPr>
              <w:jc w:val="center"/>
              <w:ind w:right="2653"/>
              <w:spacing w:after="0"/>
              <w:rPr>
                <w:sz w:val="20"/>
                <w:szCs w:val="20"/>
                <w:color w:val="auto"/>
              </w:rPr>
            </w:pPr>
            <w:r>
              <w:rPr>
                <w:rFonts w:ascii="Times New Roman" w:cs="Times New Roman" w:eastAsia="Times New Roman" w:hAnsi="Times New Roman"/>
                <w:sz w:val="20"/>
                <w:szCs w:val="20"/>
                <w:b w:val="1"/>
                <w:bCs w:val="1"/>
                <w:color w:val="auto"/>
                <w:w w:val="98"/>
              </w:rPr>
              <w:t>Maryland</w:t>
            </w:r>
          </w:p>
        </w:tc>
        <w:tc>
          <w:tcPr>
            <w:tcW w:w="2340" w:type="dxa"/>
            <w:vAlign w:val="bottom"/>
          </w:tcPr>
          <w:p>
            <w:pPr>
              <w:jc w:val="right"/>
              <w:ind w:right="610"/>
              <w:spacing w:after="0"/>
              <w:rPr>
                <w:sz w:val="20"/>
                <w:szCs w:val="20"/>
                <w:color w:val="auto"/>
              </w:rPr>
            </w:pPr>
            <w:r>
              <w:rPr>
                <w:rFonts w:ascii="Times New Roman" w:cs="Times New Roman" w:eastAsia="Times New Roman" w:hAnsi="Times New Roman"/>
                <w:sz w:val="20"/>
                <w:szCs w:val="20"/>
                <w:b w:val="1"/>
                <w:bCs w:val="1"/>
                <w:color w:val="auto"/>
              </w:rPr>
              <w:t>52-0782497</w:t>
            </w:r>
          </w:p>
        </w:tc>
      </w:tr>
      <w:tr>
        <w:trPr>
          <w:trHeight w:val="245"/>
        </w:trPr>
        <w:tc>
          <w:tcPr>
            <w:tcW w:w="6780" w:type="dxa"/>
            <w:vAlign w:val="bottom"/>
          </w:tcPr>
          <w:p>
            <w:pPr>
              <w:jc w:val="center"/>
              <w:ind w:right="2653"/>
              <w:spacing w:after="0"/>
              <w:rPr>
                <w:sz w:val="20"/>
                <w:szCs w:val="20"/>
                <w:color w:val="auto"/>
              </w:rPr>
            </w:pPr>
            <w:r>
              <w:rPr>
                <w:rFonts w:ascii="Times New Roman" w:cs="Times New Roman" w:eastAsia="Times New Roman" w:hAnsi="Times New Roman"/>
                <w:sz w:val="16"/>
                <w:szCs w:val="16"/>
                <w:b w:val="1"/>
                <w:bCs w:val="1"/>
                <w:color w:val="auto"/>
              </w:rPr>
              <w:t>(State of Organization)</w:t>
            </w: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(IRS Employer Identification No.)</w:t>
            </w:r>
          </w:p>
        </w:tc>
      </w:tr>
      <w:tr>
        <w:trPr>
          <w:trHeight w:val="525"/>
        </w:trPr>
        <w:tc>
          <w:tcPr>
            <w:tcW w:w="6780" w:type="dxa"/>
            <w:vAlign w:val="bottom"/>
          </w:tcPr>
          <w:p>
            <w:pPr>
              <w:jc w:val="center"/>
              <w:ind w:right="2653"/>
              <w:spacing w:after="0"/>
              <w:rPr>
                <w:sz w:val="20"/>
                <w:szCs w:val="20"/>
                <w:color w:val="auto"/>
              </w:rPr>
            </w:pPr>
            <w:r>
              <w:rPr>
                <w:rFonts w:ascii="Times New Roman" w:cs="Times New Roman" w:eastAsia="Times New Roman" w:hAnsi="Times New Roman"/>
                <w:sz w:val="20"/>
                <w:szCs w:val="20"/>
                <w:b w:val="1"/>
                <w:bCs w:val="1"/>
                <w:color w:val="auto"/>
                <w:w w:val="98"/>
              </w:rPr>
              <w:t>1626 East Jefferson Street, Rockville, Maryland</w:t>
            </w:r>
          </w:p>
        </w:tc>
        <w:tc>
          <w:tcPr>
            <w:tcW w:w="2340" w:type="dxa"/>
            <w:vAlign w:val="bottom"/>
          </w:tcPr>
          <w:p>
            <w:pPr>
              <w:jc w:val="right"/>
              <w:ind w:right="830"/>
              <w:spacing w:after="0"/>
              <w:rPr>
                <w:sz w:val="20"/>
                <w:szCs w:val="20"/>
                <w:color w:val="auto"/>
              </w:rPr>
            </w:pPr>
            <w:r>
              <w:rPr>
                <w:rFonts w:ascii="Times New Roman" w:cs="Times New Roman" w:eastAsia="Times New Roman" w:hAnsi="Times New Roman"/>
                <w:sz w:val="20"/>
                <w:szCs w:val="20"/>
                <w:b w:val="1"/>
                <w:bCs w:val="1"/>
                <w:color w:val="auto"/>
              </w:rPr>
              <w:t>20852</w:t>
            </w:r>
          </w:p>
        </w:tc>
      </w:tr>
      <w:tr>
        <w:trPr>
          <w:trHeight w:val="245"/>
        </w:trPr>
        <w:tc>
          <w:tcPr>
            <w:tcW w:w="6780" w:type="dxa"/>
            <w:vAlign w:val="bottom"/>
          </w:tcPr>
          <w:p>
            <w:pPr>
              <w:jc w:val="center"/>
              <w:ind w:right="2673"/>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r>
        <w:trPr>
          <w:trHeight w:val="330"/>
        </w:trPr>
        <w:tc>
          <w:tcPr>
            <w:tcW w:w="6780" w:type="dxa"/>
            <w:vAlign w:val="bottom"/>
          </w:tcPr>
          <w:p>
            <w:pPr>
              <w:jc w:val="right"/>
              <w:ind w:right="1033"/>
              <w:spacing w:after="0"/>
              <w:rPr>
                <w:sz w:val="20"/>
                <w:szCs w:val="20"/>
                <w:color w:val="auto"/>
              </w:rPr>
            </w:pPr>
            <w:r>
              <w:rPr>
                <w:rFonts w:ascii="Times New Roman" w:cs="Times New Roman" w:eastAsia="Times New Roman" w:hAnsi="Times New Roman"/>
                <w:sz w:val="18"/>
                <w:szCs w:val="18"/>
                <w:b w:val="1"/>
                <w:bCs w:val="1"/>
                <w:color w:val="auto"/>
              </w:rPr>
              <w:t>(301) 998-8100</w:t>
            </w:r>
          </w:p>
        </w:tc>
        <w:tc>
          <w:tcPr>
            <w:tcW w:w="2340" w:type="dxa"/>
            <w:vAlign w:val="bottom"/>
          </w:tcPr>
          <w:p>
            <w:pPr>
              <w:spacing w:after="0"/>
              <w:rPr>
                <w:sz w:val="24"/>
                <w:szCs w:val="24"/>
                <w:color w:val="auto"/>
              </w:rPr>
            </w:pPr>
          </w:p>
        </w:tc>
      </w:tr>
      <w:tr>
        <w:trPr>
          <w:trHeight w:val="206"/>
        </w:trPr>
        <w:tc>
          <w:tcPr>
            <w:tcW w:w="6780" w:type="dxa"/>
            <w:vAlign w:val="bottom"/>
          </w:tcPr>
          <w:p>
            <w:pPr>
              <w:jc w:val="center"/>
              <w:ind w:left="327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2340" w:type="dxa"/>
            <w:vAlign w:val="bottom"/>
          </w:tcPr>
          <w:p>
            <w:pPr>
              <w:spacing w:after="0"/>
              <w:rPr>
                <w:sz w:val="17"/>
                <w:szCs w:val="17"/>
                <w:color w:val="auto"/>
              </w:rPr>
            </w:pPr>
          </w:p>
        </w:tc>
      </w:tr>
    </w:tbl>
    <w:p>
      <w:pPr>
        <w:spacing w:after="0" w:line="140" w:lineRule="exact"/>
        <w:rPr>
          <w:sz w:val="24"/>
          <w:szCs w:val="24"/>
          <w:color w:val="auto"/>
        </w:rPr>
      </w:pPr>
    </w:p>
    <w:p>
      <w:pPr>
        <w:ind w:right="4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9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98"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32" w:right="239" w:bottom="1440" w:gutter="0" w:footer="0" w:header="0"/>
        </w:sectPr>
      </w:pPr>
    </w:p>
    <w:p>
      <w:pPr>
        <w:spacing w:after="0" w:line="10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12" w:lineRule="exact"/>
        <w:rPr>
          <w:sz w:val="24"/>
          <w:szCs w:val="24"/>
          <w:color w:val="auto"/>
        </w:rPr>
      </w:pPr>
    </w:p>
    <w:p>
      <w:pPr>
        <w:sectPr>
          <w:pgSz w:w="11900" w:h="16838" w:orient="portrait"/>
          <w:cols w:equalWidth="0" w:num="4">
            <w:col w:w="1740" w:space="700"/>
            <w:col w:w="3960" w:space="720"/>
            <w:col w:w="3260" w:space="720"/>
            <w:col w:w="320"/>
          </w:cols>
          <w:pgMar w:left="240" w:top="232" w:right="239" w:bottom="1440" w:gutter="0" w:footer="0" w:header="0"/>
          <w:type w:val="continuous"/>
        </w:sectPr>
      </w:pPr>
    </w:p>
    <w:p>
      <w:pPr>
        <w:spacing w:after="0" w:line="2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198" w:lineRule="exact"/>
        <w:rPr>
          <w:sz w:val="24"/>
          <w:szCs w:val="24"/>
          <w:color w:val="auto"/>
        </w:rPr>
      </w:pPr>
    </w:p>
    <w:p>
      <w:pPr>
        <w:sectPr>
          <w:pgSz w:w="11900" w:h="16838" w:orient="portrait"/>
          <w:cols w:equalWidth="0" w:num="4">
            <w:col w:w="1720" w:space="720"/>
            <w:col w:w="3960" w:space="720"/>
            <w:col w:w="3260" w:space="720"/>
            <w:col w:w="320"/>
          </w:cols>
          <w:pgMar w:left="240" w:top="232" w:right="239" w:bottom="1440" w:gutter="0" w:footer="0" w:header="0"/>
          <w:type w:val="continuous"/>
        </w:sectPr>
      </w:pP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w:t>
      </w:r>
    </w:p>
    <w:p>
      <w:pPr>
        <w:spacing w:after="0" w:line="20" w:lineRule="exact"/>
        <w:rPr>
          <w:sz w:val="24"/>
          <w:szCs w:val="24"/>
          <w:color w:val="auto"/>
        </w:rPr>
      </w:pPr>
      <w:r>
        <w:rPr>
          <w:sz w:val="24"/>
          <w:szCs w:val="24"/>
          <w:color w:val="auto"/>
        </w:rPr>
        <w:br w:type="column"/>
      </w:r>
    </w:p>
    <w:p>
      <w:pPr>
        <w:spacing w:after="0" w:line="18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2" w:lineRule="exact"/>
        <w:rPr>
          <w:sz w:val="24"/>
          <w:szCs w:val="24"/>
          <w:color w:val="auto"/>
        </w:rPr>
      </w:pPr>
    </w:p>
    <w:p>
      <w:pPr>
        <w:sectPr>
          <w:pgSz w:w="11900" w:h="16838" w:orient="portrait"/>
          <w:cols w:equalWidth="0" w:num="3">
            <w:col w:w="8240" w:space="240"/>
            <w:col w:w="500" w:space="180"/>
            <w:col w:w="2260"/>
          </w:cols>
          <w:pgMar w:left="240" w:top="232"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The number of Registrant’s common shares outstanding on April 26, 2013 was 65,243,839.</w:t>
      </w:r>
    </w:p>
    <w:p>
      <w:pPr>
        <w:sectPr>
          <w:pgSz w:w="11900" w:h="16838" w:orient="portrait"/>
          <w:cols w:equalWidth="0" w:num="1">
            <w:col w:w="11420"/>
          </w:cols>
          <w:pgMar w:left="240" w:top="232"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112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0000FF"/>
              </w:rPr>
              <w:t>Table of Contents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66"/>
        </w:trPr>
        <w:tc>
          <w:tcPr>
            <w:tcW w:w="8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0000" w:type="dxa"/>
            <w:vAlign w:val="bottom"/>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w w:val="99"/>
              </w:rPr>
              <w:t>FEDERAL REALTY INVESTMENT TRUST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8"/>
        </w:trPr>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0" w:type="dxa"/>
            <w:vAlign w:val="bottom"/>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w w:val="99"/>
              </w:rPr>
              <w:t>QUARTERLY REPORT ON FORM 10-Q</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0" w:type="dxa"/>
            <w:vAlign w:val="bottom"/>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w w:val="99"/>
              </w:rPr>
              <w:t>QUARTER ENDED MARCH 31, 2013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40"/>
        </w:trPr>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0" w:type="dxa"/>
            <w:vAlign w:val="bottom"/>
          </w:tcPr>
          <w:p>
            <w:pPr>
              <w:jc w:val="center"/>
              <w:ind w:right="91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08"/>
        </w:trPr>
        <w:tc>
          <w:tcPr>
            <w:tcW w:w="112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PART I. FINANCIAL INFORMATION</w:t>
            </w:r>
          </w:p>
        </w:tc>
        <w:tc>
          <w:tcPr>
            <w:tcW w:w="80" w:type="dxa"/>
            <w:vAlign w:val="bottom"/>
          </w:tcPr>
          <w:p>
            <w:pPr>
              <w:spacing w:after="0"/>
              <w:rPr>
                <w:sz w:val="24"/>
                <w:szCs w:val="24"/>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2">
              <w:r>
                <w:rPr>
                  <w:rFonts w:ascii="Times New Roman" w:cs="Times New Roman" w:eastAsia="Times New Roman" w:hAnsi="Times New Roman"/>
                  <w:sz w:val="18"/>
                  <w:szCs w:val="18"/>
                  <w:color w:val="0000FF"/>
                  <w:w w:val="88"/>
                </w:rPr>
                <w:t>3</w:t>
              </w:r>
            </w:hyperlink>
          </w:p>
        </w:tc>
      </w:tr>
      <w:tr>
        <w:trPr>
          <w:trHeight w:val="250"/>
        </w:trPr>
        <w:tc>
          <w:tcPr>
            <w:tcW w:w="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w:t>
            </w:r>
          </w:p>
        </w:tc>
        <w:tc>
          <w:tcPr>
            <w:tcW w:w="10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Financial Statements</w:t>
            </w:r>
          </w:p>
        </w:tc>
        <w:tc>
          <w:tcPr>
            <w:tcW w:w="8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3">
              <w:r>
                <w:rPr>
                  <w:rFonts w:ascii="Times New Roman" w:cs="Times New Roman" w:eastAsia="Times New Roman" w:hAnsi="Times New Roman"/>
                  <w:sz w:val="18"/>
                  <w:szCs w:val="18"/>
                  <w:color w:val="0000FF"/>
                  <w:w w:val="88"/>
                </w:rPr>
                <w:t>3</w:t>
              </w:r>
            </w:hyperlink>
          </w:p>
        </w:tc>
      </w:tr>
      <w:tr>
        <w:trPr>
          <w:trHeight w:val="250"/>
        </w:trPr>
        <w:tc>
          <w:tcPr>
            <w:tcW w:w="880" w:type="dxa"/>
            <w:vAlign w:val="bottom"/>
          </w:tcPr>
          <w:p>
            <w:pPr>
              <w:spacing w:after="0"/>
              <w:rPr>
                <w:sz w:val="21"/>
                <w:szCs w:val="21"/>
                <w:color w:val="auto"/>
              </w:rPr>
            </w:pPr>
          </w:p>
        </w:tc>
        <w:tc>
          <w:tcPr>
            <w:tcW w:w="10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Consolidated Balance Sheets as of March 31, 2013 (unaudited) and December 31, 2012</w:t>
            </w:r>
          </w:p>
        </w:tc>
        <w:tc>
          <w:tcPr>
            <w:tcW w:w="8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3">
              <w:r>
                <w:rPr>
                  <w:rFonts w:ascii="Times New Roman" w:cs="Times New Roman" w:eastAsia="Times New Roman" w:hAnsi="Times New Roman"/>
                  <w:sz w:val="18"/>
                  <w:szCs w:val="18"/>
                  <w:color w:val="0000FF"/>
                  <w:w w:val="88"/>
                </w:rPr>
                <w:t>4</w:t>
              </w:r>
            </w:hyperlink>
          </w:p>
        </w:tc>
      </w:tr>
      <w:tr>
        <w:trPr>
          <w:trHeight w:val="250"/>
        </w:trPr>
        <w:tc>
          <w:tcPr>
            <w:tcW w:w="880" w:type="dxa"/>
            <w:vAlign w:val="bottom"/>
          </w:tcPr>
          <w:p>
            <w:pPr>
              <w:spacing w:after="0"/>
              <w:rPr>
                <w:sz w:val="21"/>
                <w:szCs w:val="21"/>
                <w:color w:val="auto"/>
              </w:rPr>
            </w:pPr>
          </w:p>
        </w:tc>
        <w:tc>
          <w:tcPr>
            <w:tcW w:w="10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Consolidated Statements of Comprehensive Income (unaudited) for the three months ended March 31, 2013 and 2012</w:t>
            </w:r>
          </w:p>
        </w:tc>
        <w:tc>
          <w:tcPr>
            <w:tcW w:w="8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4">
              <w:r>
                <w:rPr>
                  <w:rFonts w:ascii="Times New Roman" w:cs="Times New Roman" w:eastAsia="Times New Roman" w:hAnsi="Times New Roman"/>
                  <w:sz w:val="18"/>
                  <w:szCs w:val="18"/>
                  <w:color w:val="0000FF"/>
                  <w:w w:val="88"/>
                </w:rPr>
                <w:t>5</w:t>
              </w:r>
            </w:hyperlink>
          </w:p>
        </w:tc>
      </w:tr>
      <w:tr>
        <w:trPr>
          <w:trHeight w:val="250"/>
        </w:trPr>
        <w:tc>
          <w:tcPr>
            <w:tcW w:w="880" w:type="dxa"/>
            <w:vAlign w:val="bottom"/>
          </w:tcPr>
          <w:p>
            <w:pPr>
              <w:spacing w:after="0"/>
              <w:rPr>
                <w:sz w:val="21"/>
                <w:szCs w:val="21"/>
                <w:color w:val="auto"/>
              </w:rPr>
            </w:pPr>
          </w:p>
        </w:tc>
        <w:tc>
          <w:tcPr>
            <w:tcW w:w="10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Consolidated Statement of Shareholders' Equity (unaudited) for the three months ended March 31, 2013</w:t>
            </w:r>
          </w:p>
        </w:tc>
        <w:tc>
          <w:tcPr>
            <w:tcW w:w="8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5">
              <w:r>
                <w:rPr>
                  <w:rFonts w:ascii="Times New Roman" w:cs="Times New Roman" w:eastAsia="Times New Roman" w:hAnsi="Times New Roman"/>
                  <w:sz w:val="18"/>
                  <w:szCs w:val="18"/>
                  <w:color w:val="0000FF"/>
                  <w:w w:val="88"/>
                </w:rPr>
                <w:t>6</w:t>
              </w:r>
            </w:hyperlink>
          </w:p>
        </w:tc>
      </w:tr>
      <w:tr>
        <w:trPr>
          <w:trHeight w:val="250"/>
        </w:trPr>
        <w:tc>
          <w:tcPr>
            <w:tcW w:w="880" w:type="dxa"/>
            <w:vAlign w:val="bottom"/>
          </w:tcPr>
          <w:p>
            <w:pPr>
              <w:spacing w:after="0"/>
              <w:rPr>
                <w:sz w:val="21"/>
                <w:szCs w:val="21"/>
                <w:color w:val="auto"/>
              </w:rPr>
            </w:pPr>
          </w:p>
        </w:tc>
        <w:tc>
          <w:tcPr>
            <w:tcW w:w="10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Consolidated Statements of Cash Flows (unaudited) for the three months ended March 31, 2013 and 2012</w:t>
            </w:r>
          </w:p>
        </w:tc>
        <w:tc>
          <w:tcPr>
            <w:tcW w:w="8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6">
              <w:r>
                <w:rPr>
                  <w:rFonts w:ascii="Times New Roman" w:cs="Times New Roman" w:eastAsia="Times New Roman" w:hAnsi="Times New Roman"/>
                  <w:sz w:val="18"/>
                  <w:szCs w:val="18"/>
                  <w:color w:val="0000FF"/>
                  <w:w w:val="88"/>
                </w:rPr>
                <w:t>7</w:t>
              </w:r>
            </w:hyperlink>
          </w:p>
        </w:tc>
      </w:tr>
      <w:tr>
        <w:trPr>
          <w:trHeight w:val="250"/>
        </w:trPr>
        <w:tc>
          <w:tcPr>
            <w:tcW w:w="880" w:type="dxa"/>
            <w:vAlign w:val="bottom"/>
          </w:tcPr>
          <w:p>
            <w:pPr>
              <w:spacing w:after="0"/>
              <w:rPr>
                <w:sz w:val="21"/>
                <w:szCs w:val="21"/>
                <w:color w:val="auto"/>
              </w:rPr>
            </w:pPr>
          </w:p>
        </w:tc>
        <w:tc>
          <w:tcPr>
            <w:tcW w:w="10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tc>
        <w:tc>
          <w:tcPr>
            <w:tcW w:w="8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7">
              <w:r>
                <w:rPr>
                  <w:rFonts w:ascii="Times New Roman" w:cs="Times New Roman" w:eastAsia="Times New Roman" w:hAnsi="Times New Roman"/>
                  <w:sz w:val="18"/>
                  <w:szCs w:val="18"/>
                  <w:color w:val="0000FF"/>
                  <w:w w:val="88"/>
                </w:rPr>
                <w:t>8</w:t>
              </w:r>
            </w:hyperlink>
          </w:p>
        </w:tc>
      </w:tr>
      <w:tr>
        <w:trPr>
          <w:trHeight w:val="250"/>
        </w:trPr>
        <w:tc>
          <w:tcPr>
            <w:tcW w:w="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2.</w:t>
            </w:r>
          </w:p>
        </w:tc>
        <w:tc>
          <w:tcPr>
            <w:tcW w:w="10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80" w:type="dxa"/>
            <w:vAlign w:val="bottom"/>
            <w:tcBorders>
              <w:bottom w:val="single" w:sz="8" w:color="0000FF"/>
            </w:tcBorders>
            <w:gridSpan w:val="2"/>
          </w:tcPr>
          <w:p>
            <w:pPr>
              <w:jc w:val="right"/>
              <w:spacing w:after="0"/>
              <w:rPr>
                <w:rFonts w:ascii="Times New Roman" w:cs="Times New Roman" w:eastAsia="Times New Roman" w:hAnsi="Times New Roman"/>
                <w:sz w:val="18"/>
                <w:szCs w:val="18"/>
                <w:color w:val="0000FF"/>
                <w:w w:val="88"/>
              </w:rPr>
            </w:pPr>
            <w:hyperlink w:anchor="page13">
              <w:r>
                <w:rPr>
                  <w:rFonts w:ascii="Times New Roman" w:cs="Times New Roman" w:eastAsia="Times New Roman" w:hAnsi="Times New Roman"/>
                  <w:sz w:val="18"/>
                  <w:szCs w:val="18"/>
                  <w:color w:val="0000FF"/>
                  <w:w w:val="88"/>
                </w:rPr>
                <w:t>14</w:t>
              </w:r>
            </w:hyperlink>
          </w:p>
        </w:tc>
      </w:tr>
      <w:tr>
        <w:trPr>
          <w:trHeight w:val="250"/>
        </w:trPr>
        <w:tc>
          <w:tcPr>
            <w:tcW w:w="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3.</w:t>
            </w:r>
          </w:p>
        </w:tc>
        <w:tc>
          <w:tcPr>
            <w:tcW w:w="10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80" w:type="dxa"/>
            <w:vAlign w:val="bottom"/>
            <w:tcBorders>
              <w:bottom w:val="single" w:sz="8" w:color="0000FF"/>
            </w:tcBorders>
            <w:gridSpan w:val="2"/>
          </w:tcPr>
          <w:p>
            <w:pPr>
              <w:jc w:val="right"/>
              <w:spacing w:after="0"/>
              <w:rPr>
                <w:rFonts w:ascii="Times New Roman" w:cs="Times New Roman" w:eastAsia="Times New Roman" w:hAnsi="Times New Roman"/>
                <w:sz w:val="18"/>
                <w:szCs w:val="18"/>
                <w:color w:val="0000FF"/>
                <w:w w:val="88"/>
              </w:rPr>
            </w:pPr>
            <w:hyperlink w:anchor="page26">
              <w:r>
                <w:rPr>
                  <w:rFonts w:ascii="Times New Roman" w:cs="Times New Roman" w:eastAsia="Times New Roman" w:hAnsi="Times New Roman"/>
                  <w:sz w:val="18"/>
                  <w:szCs w:val="18"/>
                  <w:color w:val="0000FF"/>
                  <w:w w:val="88"/>
                </w:rPr>
                <w:t>25</w:t>
              </w:r>
            </w:hyperlink>
          </w:p>
        </w:tc>
      </w:tr>
      <w:tr>
        <w:trPr>
          <w:trHeight w:val="250"/>
        </w:trPr>
        <w:tc>
          <w:tcPr>
            <w:tcW w:w="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4.</w:t>
            </w:r>
          </w:p>
        </w:tc>
        <w:tc>
          <w:tcPr>
            <w:tcW w:w="10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Controls and Procedures</w:t>
            </w:r>
          </w:p>
        </w:tc>
        <w:tc>
          <w:tcPr>
            <w:tcW w:w="180" w:type="dxa"/>
            <w:vAlign w:val="bottom"/>
            <w:tcBorders>
              <w:bottom w:val="single" w:sz="8" w:color="0000FF"/>
            </w:tcBorders>
            <w:gridSpan w:val="2"/>
          </w:tcPr>
          <w:p>
            <w:pPr>
              <w:jc w:val="right"/>
              <w:spacing w:after="0"/>
              <w:rPr>
                <w:rFonts w:ascii="Times New Roman" w:cs="Times New Roman" w:eastAsia="Times New Roman" w:hAnsi="Times New Roman"/>
                <w:sz w:val="18"/>
                <w:szCs w:val="18"/>
                <w:color w:val="0000FF"/>
                <w:w w:val="88"/>
              </w:rPr>
            </w:pPr>
            <w:hyperlink w:anchor="page27">
              <w:r>
                <w:rPr>
                  <w:rFonts w:ascii="Times New Roman" w:cs="Times New Roman" w:eastAsia="Times New Roman" w:hAnsi="Times New Roman"/>
                  <w:sz w:val="18"/>
                  <w:szCs w:val="18"/>
                  <w:color w:val="0000FF"/>
                  <w:w w:val="88"/>
                </w:rPr>
                <w:t>26</w:t>
              </w:r>
            </w:hyperlink>
          </w:p>
        </w:tc>
      </w:tr>
      <w:tr>
        <w:trPr>
          <w:trHeight w:val="574"/>
        </w:trPr>
        <w:tc>
          <w:tcPr>
            <w:tcW w:w="112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PART II. OTHER INFORMATION</w:t>
            </w:r>
          </w:p>
        </w:tc>
        <w:tc>
          <w:tcPr>
            <w:tcW w:w="180" w:type="dxa"/>
            <w:vAlign w:val="bottom"/>
            <w:tcBorders>
              <w:bottom w:val="single" w:sz="8" w:color="0000FF"/>
            </w:tcBorders>
            <w:gridSpan w:val="2"/>
          </w:tcPr>
          <w:p>
            <w:pPr>
              <w:jc w:val="right"/>
              <w:spacing w:after="0"/>
              <w:rPr>
                <w:rFonts w:ascii="Times New Roman" w:cs="Times New Roman" w:eastAsia="Times New Roman" w:hAnsi="Times New Roman"/>
                <w:sz w:val="18"/>
                <w:szCs w:val="18"/>
                <w:color w:val="0000FF"/>
                <w:w w:val="88"/>
              </w:rPr>
            </w:pPr>
            <w:hyperlink w:anchor="page27">
              <w:r>
                <w:rPr>
                  <w:rFonts w:ascii="Times New Roman" w:cs="Times New Roman" w:eastAsia="Times New Roman" w:hAnsi="Times New Roman"/>
                  <w:sz w:val="18"/>
                  <w:szCs w:val="18"/>
                  <w:color w:val="0000FF"/>
                  <w:w w:val="88"/>
                </w:rPr>
                <w:t>26</w:t>
              </w:r>
            </w:hyperlink>
          </w:p>
        </w:tc>
      </w:tr>
      <w:tr>
        <w:trPr>
          <w:trHeight w:val="250"/>
        </w:trPr>
        <w:tc>
          <w:tcPr>
            <w:tcW w:w="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w:t>
            </w:r>
          </w:p>
        </w:tc>
        <w:tc>
          <w:tcPr>
            <w:tcW w:w="10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Legal Proceedings</w:t>
            </w:r>
          </w:p>
        </w:tc>
        <w:tc>
          <w:tcPr>
            <w:tcW w:w="180" w:type="dxa"/>
            <w:vAlign w:val="bottom"/>
            <w:tcBorders>
              <w:bottom w:val="single" w:sz="8" w:color="0000FF"/>
            </w:tcBorders>
            <w:gridSpan w:val="2"/>
          </w:tcPr>
          <w:p>
            <w:pPr>
              <w:jc w:val="right"/>
              <w:spacing w:after="0"/>
              <w:rPr>
                <w:rFonts w:ascii="Times New Roman" w:cs="Times New Roman" w:eastAsia="Times New Roman" w:hAnsi="Times New Roman"/>
                <w:sz w:val="18"/>
                <w:szCs w:val="18"/>
                <w:color w:val="0000FF"/>
                <w:w w:val="88"/>
              </w:rPr>
            </w:pPr>
            <w:hyperlink w:anchor="page27">
              <w:r>
                <w:rPr>
                  <w:rFonts w:ascii="Times New Roman" w:cs="Times New Roman" w:eastAsia="Times New Roman" w:hAnsi="Times New Roman"/>
                  <w:sz w:val="18"/>
                  <w:szCs w:val="18"/>
                  <w:color w:val="0000FF"/>
                  <w:w w:val="88"/>
                </w:rPr>
                <w:t>26</w:t>
              </w:r>
            </w:hyperlink>
          </w:p>
        </w:tc>
      </w:tr>
      <w:tr>
        <w:trPr>
          <w:trHeight w:val="250"/>
        </w:trPr>
        <w:tc>
          <w:tcPr>
            <w:tcW w:w="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1A.</w:t>
            </w:r>
          </w:p>
        </w:tc>
        <w:tc>
          <w:tcPr>
            <w:tcW w:w="10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Risk Factors</w:t>
            </w:r>
          </w:p>
        </w:tc>
        <w:tc>
          <w:tcPr>
            <w:tcW w:w="180" w:type="dxa"/>
            <w:vAlign w:val="bottom"/>
            <w:tcBorders>
              <w:bottom w:val="single" w:sz="8" w:color="0000FF"/>
            </w:tcBorders>
            <w:gridSpan w:val="2"/>
          </w:tcPr>
          <w:p>
            <w:pPr>
              <w:jc w:val="right"/>
              <w:spacing w:after="0"/>
              <w:rPr>
                <w:rFonts w:ascii="Times New Roman" w:cs="Times New Roman" w:eastAsia="Times New Roman" w:hAnsi="Times New Roman"/>
                <w:sz w:val="18"/>
                <w:szCs w:val="18"/>
                <w:color w:val="0000FF"/>
                <w:w w:val="88"/>
              </w:rPr>
            </w:pPr>
            <w:hyperlink w:anchor="page27">
              <w:r>
                <w:rPr>
                  <w:rFonts w:ascii="Times New Roman" w:cs="Times New Roman" w:eastAsia="Times New Roman" w:hAnsi="Times New Roman"/>
                  <w:sz w:val="18"/>
                  <w:szCs w:val="18"/>
                  <w:color w:val="0000FF"/>
                  <w:w w:val="88"/>
                </w:rPr>
                <w:t>26</w:t>
              </w:r>
            </w:hyperlink>
          </w:p>
        </w:tc>
      </w:tr>
      <w:tr>
        <w:trPr>
          <w:trHeight w:val="250"/>
        </w:trPr>
        <w:tc>
          <w:tcPr>
            <w:tcW w:w="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2.</w:t>
            </w:r>
          </w:p>
        </w:tc>
        <w:tc>
          <w:tcPr>
            <w:tcW w:w="10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180" w:type="dxa"/>
            <w:vAlign w:val="bottom"/>
            <w:tcBorders>
              <w:bottom w:val="single" w:sz="8" w:color="0000FF"/>
            </w:tcBorders>
            <w:gridSpan w:val="2"/>
          </w:tcPr>
          <w:p>
            <w:pPr>
              <w:jc w:val="right"/>
              <w:spacing w:after="0"/>
              <w:rPr>
                <w:rFonts w:ascii="Times New Roman" w:cs="Times New Roman" w:eastAsia="Times New Roman" w:hAnsi="Times New Roman"/>
                <w:sz w:val="18"/>
                <w:szCs w:val="18"/>
                <w:color w:val="0000FF"/>
                <w:w w:val="88"/>
              </w:rPr>
            </w:pPr>
            <w:hyperlink w:anchor="page28">
              <w:r>
                <w:rPr>
                  <w:rFonts w:ascii="Times New Roman" w:cs="Times New Roman" w:eastAsia="Times New Roman" w:hAnsi="Times New Roman"/>
                  <w:sz w:val="18"/>
                  <w:szCs w:val="18"/>
                  <w:color w:val="0000FF"/>
                  <w:w w:val="88"/>
                </w:rPr>
                <w:t>27</w:t>
              </w:r>
            </w:hyperlink>
          </w:p>
        </w:tc>
      </w:tr>
      <w:tr>
        <w:trPr>
          <w:trHeight w:val="250"/>
        </w:trPr>
        <w:tc>
          <w:tcPr>
            <w:tcW w:w="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3.</w:t>
            </w:r>
          </w:p>
        </w:tc>
        <w:tc>
          <w:tcPr>
            <w:tcW w:w="10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180" w:type="dxa"/>
            <w:vAlign w:val="bottom"/>
            <w:tcBorders>
              <w:bottom w:val="single" w:sz="8" w:color="0000FF"/>
            </w:tcBorders>
            <w:gridSpan w:val="2"/>
          </w:tcPr>
          <w:p>
            <w:pPr>
              <w:jc w:val="right"/>
              <w:spacing w:after="0"/>
              <w:rPr>
                <w:rFonts w:ascii="Times New Roman" w:cs="Times New Roman" w:eastAsia="Times New Roman" w:hAnsi="Times New Roman"/>
                <w:sz w:val="18"/>
                <w:szCs w:val="18"/>
                <w:color w:val="0000FF"/>
                <w:w w:val="88"/>
              </w:rPr>
            </w:pPr>
            <w:hyperlink w:anchor="page28">
              <w:r>
                <w:rPr>
                  <w:rFonts w:ascii="Times New Roman" w:cs="Times New Roman" w:eastAsia="Times New Roman" w:hAnsi="Times New Roman"/>
                  <w:sz w:val="18"/>
                  <w:szCs w:val="18"/>
                  <w:color w:val="0000FF"/>
                  <w:w w:val="88"/>
                </w:rPr>
                <w:t>27</w:t>
              </w:r>
            </w:hyperlink>
          </w:p>
        </w:tc>
      </w:tr>
      <w:tr>
        <w:trPr>
          <w:trHeight w:val="250"/>
        </w:trPr>
        <w:tc>
          <w:tcPr>
            <w:tcW w:w="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4.</w:t>
            </w:r>
          </w:p>
        </w:tc>
        <w:tc>
          <w:tcPr>
            <w:tcW w:w="10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Mine Safety Disclosures</w:t>
            </w:r>
          </w:p>
        </w:tc>
        <w:tc>
          <w:tcPr>
            <w:tcW w:w="180" w:type="dxa"/>
            <w:vAlign w:val="bottom"/>
            <w:tcBorders>
              <w:bottom w:val="single" w:sz="8" w:color="0000FF"/>
            </w:tcBorders>
            <w:gridSpan w:val="2"/>
          </w:tcPr>
          <w:p>
            <w:pPr>
              <w:jc w:val="right"/>
              <w:spacing w:after="0"/>
              <w:rPr>
                <w:rFonts w:ascii="Times New Roman" w:cs="Times New Roman" w:eastAsia="Times New Roman" w:hAnsi="Times New Roman"/>
                <w:sz w:val="18"/>
                <w:szCs w:val="18"/>
                <w:color w:val="0000FF"/>
                <w:w w:val="88"/>
              </w:rPr>
            </w:pPr>
            <w:hyperlink w:anchor="page28">
              <w:r>
                <w:rPr>
                  <w:rFonts w:ascii="Times New Roman" w:cs="Times New Roman" w:eastAsia="Times New Roman" w:hAnsi="Times New Roman"/>
                  <w:sz w:val="18"/>
                  <w:szCs w:val="18"/>
                  <w:color w:val="0000FF"/>
                  <w:w w:val="88"/>
                </w:rPr>
                <w:t>27</w:t>
              </w:r>
            </w:hyperlink>
          </w:p>
        </w:tc>
      </w:tr>
      <w:tr>
        <w:trPr>
          <w:trHeight w:val="250"/>
        </w:trPr>
        <w:tc>
          <w:tcPr>
            <w:tcW w:w="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5.</w:t>
            </w:r>
          </w:p>
        </w:tc>
        <w:tc>
          <w:tcPr>
            <w:tcW w:w="10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 Information</w:t>
            </w:r>
          </w:p>
        </w:tc>
        <w:tc>
          <w:tcPr>
            <w:tcW w:w="180" w:type="dxa"/>
            <w:vAlign w:val="bottom"/>
            <w:tcBorders>
              <w:bottom w:val="single" w:sz="8" w:color="0000FF"/>
            </w:tcBorders>
            <w:gridSpan w:val="2"/>
          </w:tcPr>
          <w:p>
            <w:pPr>
              <w:jc w:val="right"/>
              <w:spacing w:after="0"/>
              <w:rPr>
                <w:rFonts w:ascii="Times New Roman" w:cs="Times New Roman" w:eastAsia="Times New Roman" w:hAnsi="Times New Roman"/>
                <w:sz w:val="18"/>
                <w:szCs w:val="18"/>
                <w:color w:val="0000FF"/>
                <w:w w:val="88"/>
              </w:rPr>
            </w:pPr>
            <w:hyperlink w:anchor="page28">
              <w:r>
                <w:rPr>
                  <w:rFonts w:ascii="Times New Roman" w:cs="Times New Roman" w:eastAsia="Times New Roman" w:hAnsi="Times New Roman"/>
                  <w:sz w:val="18"/>
                  <w:szCs w:val="18"/>
                  <w:color w:val="0000FF"/>
                  <w:w w:val="88"/>
                </w:rPr>
                <w:t>27</w:t>
              </w:r>
            </w:hyperlink>
          </w:p>
        </w:tc>
      </w:tr>
      <w:tr>
        <w:trPr>
          <w:trHeight w:val="250"/>
        </w:trPr>
        <w:tc>
          <w:tcPr>
            <w:tcW w:w="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6.</w:t>
            </w:r>
          </w:p>
        </w:tc>
        <w:tc>
          <w:tcPr>
            <w:tcW w:w="10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Exhibits</w:t>
            </w:r>
          </w:p>
        </w:tc>
        <w:tc>
          <w:tcPr>
            <w:tcW w:w="180" w:type="dxa"/>
            <w:vAlign w:val="bottom"/>
            <w:tcBorders>
              <w:bottom w:val="single" w:sz="8" w:color="0000FF"/>
            </w:tcBorders>
            <w:gridSpan w:val="2"/>
          </w:tcPr>
          <w:p>
            <w:pPr>
              <w:jc w:val="right"/>
              <w:spacing w:after="0"/>
              <w:rPr>
                <w:rFonts w:ascii="Times New Roman" w:cs="Times New Roman" w:eastAsia="Times New Roman" w:hAnsi="Times New Roman"/>
                <w:sz w:val="18"/>
                <w:szCs w:val="18"/>
                <w:color w:val="0000FF"/>
                <w:w w:val="88"/>
              </w:rPr>
            </w:pPr>
            <w:hyperlink w:anchor="page28">
              <w:r>
                <w:rPr>
                  <w:rFonts w:ascii="Times New Roman" w:cs="Times New Roman" w:eastAsia="Times New Roman" w:hAnsi="Times New Roman"/>
                  <w:sz w:val="18"/>
                  <w:szCs w:val="18"/>
                  <w:color w:val="0000FF"/>
                  <w:w w:val="88"/>
                </w:rPr>
                <w:t>27</w:t>
              </w:r>
            </w:hyperlink>
          </w:p>
        </w:tc>
      </w:tr>
      <w:tr>
        <w:trPr>
          <w:trHeight w:val="574"/>
        </w:trPr>
        <w:tc>
          <w:tcPr>
            <w:tcW w:w="112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SIGNATURES</w:t>
            </w:r>
          </w:p>
        </w:tc>
        <w:tc>
          <w:tcPr>
            <w:tcW w:w="180" w:type="dxa"/>
            <w:vAlign w:val="bottom"/>
            <w:tcBorders>
              <w:bottom w:val="single" w:sz="8" w:color="0000FF"/>
            </w:tcBorders>
            <w:gridSpan w:val="2"/>
          </w:tcPr>
          <w:p>
            <w:pPr>
              <w:jc w:val="right"/>
              <w:spacing w:after="0"/>
              <w:rPr>
                <w:rFonts w:ascii="Times New Roman" w:cs="Times New Roman" w:eastAsia="Times New Roman" w:hAnsi="Times New Roman"/>
                <w:sz w:val="18"/>
                <w:szCs w:val="18"/>
                <w:color w:val="0000FF"/>
                <w:w w:val="88"/>
              </w:rPr>
            </w:pPr>
            <w:hyperlink w:anchor="page28">
              <w:r>
                <w:rPr>
                  <w:rFonts w:ascii="Times New Roman" w:cs="Times New Roman" w:eastAsia="Times New Roman" w:hAnsi="Times New Roman"/>
                  <w:sz w:val="18"/>
                  <w:szCs w:val="18"/>
                  <w:color w:val="0000FF"/>
                  <w:w w:val="88"/>
                </w:rPr>
                <w:t>28</w:t>
              </w:r>
            </w:hyperlink>
          </w:p>
        </w:tc>
      </w:tr>
      <w:tr>
        <w:trPr>
          <w:trHeight w:val="939"/>
        </w:trPr>
        <w:tc>
          <w:tcPr>
            <w:tcW w:w="880" w:type="dxa"/>
            <w:vAlign w:val="bottom"/>
          </w:tcPr>
          <w:p>
            <w:pPr>
              <w:spacing w:after="0"/>
              <w:rPr>
                <w:sz w:val="24"/>
                <w:szCs w:val="24"/>
                <w:color w:val="auto"/>
              </w:rPr>
            </w:pPr>
          </w:p>
        </w:tc>
        <w:tc>
          <w:tcPr>
            <w:tcW w:w="10340" w:type="dxa"/>
            <w:vAlign w:val="bottom"/>
            <w:gridSpan w:val="2"/>
          </w:tcPr>
          <w:p>
            <w:pPr>
              <w:jc w:val="center"/>
              <w:ind w:right="59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118" w:right="2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9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following balance sheet as of December 31, 2012, which has been derived from audited financial statements, and unaudited interim financial statements have been prepared pursuant to the rules and regulations of the Securities and Exchange Commission. Certain information and note disclosures normally included in annual financial statements prepared in accordance with generally accepted accounting principles (GAAP) have been omitted pursuant to those rules and regulations, although the company believes that the disclosures made are adequate to make the information not misleading. It is suggested that these financial statements be read in conjunction with the financial statements and notes thereto included in the company’s latest Annual Report on Form 10-K. In the opinion of management, all adjustments (consisting of normal, recurring adjustments) necessary for a fair presentation for the periods presented have been included. The results of operations for the three months ended March 31, 2013 are not necessarily indicative of the results that may be expected for the full year.</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124" w:right="2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6"/>
                <w:szCs w:val="16"/>
                <w:color w:val="auto"/>
              </w:rPr>
            </w:pPr>
          </w:p>
        </w:tc>
        <w:tc>
          <w:tcPr>
            <w:tcW w:w="118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75"/>
        </w:trPr>
        <w:tc>
          <w:tcPr>
            <w:tcW w:w="85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191"/>
        </w:trPr>
        <w:tc>
          <w:tcPr>
            <w:tcW w:w="8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40" w:type="dxa"/>
            <w:vAlign w:val="bottom"/>
            <w:gridSpan w:val="4"/>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0" w:type="dxa"/>
            <w:vAlign w:val="bottom"/>
          </w:tcPr>
          <w:p>
            <w:pPr>
              <w:spacing w:after="0"/>
              <w:rPr>
                <w:sz w:val="1"/>
                <w:szCs w:val="1"/>
                <w:color w:val="auto"/>
              </w:rPr>
            </w:pPr>
          </w:p>
        </w:tc>
      </w:tr>
      <w:tr>
        <w:trPr>
          <w:trHeight w:val="270"/>
        </w:trPr>
        <w:tc>
          <w:tcPr>
            <w:tcW w:w="8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Real estate, at cost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Operating (including $278,885 and $278,826 of consolidated variable interest entities, respectively)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4,497,312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4,490,960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Construction-in-progress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327,840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288,714</w:t>
            </w:r>
          </w:p>
        </w:tc>
        <w:tc>
          <w:tcPr>
            <w:tcW w:w="0" w:type="dxa"/>
            <w:vAlign w:val="bottom"/>
          </w:tcPr>
          <w:p>
            <w:pPr>
              <w:spacing w:after="0"/>
              <w:rPr>
                <w:sz w:val="1"/>
                <w:szCs w:val="1"/>
                <w:color w:val="auto"/>
              </w:rPr>
            </w:pPr>
          </w:p>
        </w:tc>
      </w:tr>
      <w:tr>
        <w:trPr>
          <w:trHeight w:val="237"/>
        </w:trPr>
        <w:tc>
          <w:tcPr>
            <w:tcW w:w="85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4,825,152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4,779,674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5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Less accumulated depreciation and amortization (including $13,801 and $12,024 of consolidated variable</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interest entities, respectively)</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(1,257,767)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(1,224,295)</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real estate</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3,567,385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3,555,379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31,274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36,988</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and notes receivable, net</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77,154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73,861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Mortgage notes receivable, net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55,693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55,648</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Investment in real estate partnership</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33,131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33,169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131,192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132,659</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Debt issuance costs, net of accumulated amortization of $10,881 and $10,140, respectively</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10,103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10,861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3,905,932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3,898,565</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Mortgages payable (including $204,681 and $205,299 of consolidated variable interest entities,</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747,978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760,789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Capital lease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71,687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71,693</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Notes payable</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299,595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299,575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Senior notes and debentures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1,076,635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1,076,545</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126,715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120,929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Dividends payable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47,977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47,685</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Security deposits payable</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13,065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12,957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liabilities and deferred credits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94,501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103,379</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2,478,153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2,493,552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94,249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94,420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Shareholders’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Preferred shares, authorized 15,000,000 shares, $.01 par: 5.417% Series 1 Cumulative Convertible Preferred</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Shares, (stated at liquidation preference $25 per share), 399,896 shares issued and outstanding</w:t>
            </w:r>
          </w:p>
        </w:tc>
        <w:tc>
          <w:tcPr>
            <w:tcW w:w="200" w:type="dxa"/>
            <w:vAlign w:val="bottom"/>
          </w:tcPr>
          <w:p>
            <w:pPr>
              <w:spacing w:after="0"/>
              <w:rPr>
                <w:sz w:val="20"/>
                <w:szCs w:val="20"/>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9,997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9,997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5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Common shares of beneficial interest, $.01 par, 100,000,000 shares authorized, 65,239,183 and 64,815,446</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shares issued and outstanding,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653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648</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1,910,200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1,875,525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Accumulated dividends in excess of net income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(586,970)</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shareholders’ equity of the Trust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1,310,053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1,286,812</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23,477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23,781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1,333,530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1,310,593</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3,905,932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3,898,565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statements.</w:t>
      </w:r>
    </w:p>
    <w:p>
      <w:pPr>
        <w:sectPr>
          <w:pgSz w:w="11900" w:h="16838" w:orient="portrait"/>
          <w:cols w:equalWidth="0" w:num="1">
            <w:col w:w="11420"/>
          </w:cols>
          <w:pgMar w:left="240" w:top="12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24" w:right="2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4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63"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532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191"/>
        </w:trPr>
        <w:tc>
          <w:tcPr>
            <w:tcW w:w="53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80" w:type="dxa"/>
            <w:vAlign w:val="bottom"/>
            <w:gridSpan w:val="4"/>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0" w:type="dxa"/>
            <w:vAlign w:val="bottom"/>
          </w:tcPr>
          <w:p>
            <w:pPr>
              <w:spacing w:after="0"/>
              <w:rPr>
                <w:sz w:val="1"/>
                <w:szCs w:val="1"/>
                <w:color w:val="auto"/>
              </w:rPr>
            </w:pPr>
          </w:p>
        </w:tc>
      </w:tr>
      <w:tr>
        <w:trPr>
          <w:trHeight w:val="253"/>
        </w:trPr>
        <w:tc>
          <w:tcPr>
            <w:tcW w:w="5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30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Rental income</w:t>
            </w:r>
          </w:p>
        </w:tc>
        <w:tc>
          <w:tcPr>
            <w:tcW w:w="33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153,219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140,661</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property income</w:t>
            </w:r>
          </w:p>
        </w:tc>
        <w:tc>
          <w:tcPr>
            <w:tcW w:w="3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4,362</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Mortgage interest income</w:t>
            </w:r>
          </w:p>
        </w:tc>
        <w:tc>
          <w:tcPr>
            <w:tcW w:w="30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1,265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1,266</w:t>
            </w:r>
          </w:p>
        </w:tc>
        <w:tc>
          <w:tcPr>
            <w:tcW w:w="0" w:type="dxa"/>
            <w:vAlign w:val="bottom"/>
          </w:tcPr>
          <w:p>
            <w:pPr>
              <w:spacing w:after="0"/>
              <w:rPr>
                <w:sz w:val="1"/>
                <w:szCs w:val="1"/>
                <w:color w:val="auto"/>
              </w:rPr>
            </w:pPr>
          </w:p>
        </w:tc>
      </w:tr>
      <w:tr>
        <w:trPr>
          <w:trHeight w:val="237"/>
        </w:trPr>
        <w:tc>
          <w:tcPr>
            <w:tcW w:w="53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revenue</w:t>
            </w:r>
          </w:p>
        </w:tc>
        <w:tc>
          <w:tcPr>
            <w:tcW w:w="30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157,752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146,289</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3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Rental expenses</w:t>
            </w:r>
          </w:p>
        </w:tc>
        <w:tc>
          <w:tcPr>
            <w:tcW w:w="3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29,515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26,110</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Real estate taxes</w:t>
            </w:r>
          </w:p>
        </w:tc>
        <w:tc>
          <w:tcPr>
            <w:tcW w:w="3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17,651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16,057</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7,057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7,004</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40,624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36,571</w:t>
            </w:r>
          </w:p>
        </w:tc>
        <w:tc>
          <w:tcPr>
            <w:tcW w:w="0" w:type="dxa"/>
            <w:vAlign w:val="bottom"/>
          </w:tcPr>
          <w:p>
            <w:pPr>
              <w:spacing w:after="0"/>
              <w:rPr>
                <w:sz w:val="1"/>
                <w:szCs w:val="1"/>
                <w:color w:val="auto"/>
              </w:rPr>
            </w:pPr>
          </w:p>
        </w:tc>
      </w:tr>
      <w:tr>
        <w:trPr>
          <w:trHeight w:val="237"/>
        </w:trPr>
        <w:tc>
          <w:tcPr>
            <w:tcW w:w="53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94,847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85,742</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3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62,905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60,547</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interest income</w:t>
            </w:r>
          </w:p>
        </w:tc>
        <w:tc>
          <w:tcPr>
            <w:tcW w:w="3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3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(28,793)</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from real estate partnerships</w:t>
            </w:r>
          </w:p>
        </w:tc>
        <w:tc>
          <w:tcPr>
            <w:tcW w:w="3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3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35,842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32,262</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Gain on sale of real estate in real estate partnership</w:t>
            </w:r>
          </w:p>
        </w:tc>
        <w:tc>
          <w:tcPr>
            <w:tcW w:w="3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11,860</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35,842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44,122</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THE TRUST</w:t>
            </w:r>
          </w:p>
        </w:tc>
        <w:tc>
          <w:tcPr>
            <w:tcW w:w="3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34,588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42,986</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Dividends on preferred shares</w:t>
            </w:r>
          </w:p>
        </w:tc>
        <w:tc>
          <w:tcPr>
            <w:tcW w:w="3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AVAILABLE FOR COMMON SHAREHOLDERS</w:t>
            </w:r>
          </w:p>
        </w:tc>
        <w:tc>
          <w:tcPr>
            <w:tcW w:w="33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34,453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42,851</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EARNINGS PER COMMON SHARE, BASIC</w:t>
            </w:r>
          </w:p>
        </w:tc>
        <w:tc>
          <w:tcPr>
            <w:tcW w:w="3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20" w:type="dxa"/>
            <w:vAlign w:val="bottom"/>
            <w:vMerge w:val="continue"/>
          </w:tcPr>
          <w:p>
            <w:pPr>
              <w:spacing w:after="0"/>
              <w:rPr>
                <w:sz w:val="17"/>
                <w:szCs w:val="17"/>
                <w:color w:val="auto"/>
              </w:rPr>
            </w:pPr>
          </w:p>
        </w:tc>
        <w:tc>
          <w:tcPr>
            <w:tcW w:w="3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320" w:type="dxa"/>
            <w:vAlign w:val="bottom"/>
          </w:tcPr>
          <w:p>
            <w:pPr>
              <w:spacing w:after="0"/>
              <w:rPr>
                <w:sz w:val="4"/>
                <w:szCs w:val="4"/>
                <w:color w:val="auto"/>
              </w:rPr>
            </w:pPr>
          </w:p>
        </w:tc>
        <w:tc>
          <w:tcPr>
            <w:tcW w:w="30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Continuing operations</w:t>
            </w:r>
          </w:p>
        </w:tc>
        <w:tc>
          <w:tcPr>
            <w:tcW w:w="33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0.48</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3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20" w:type="dxa"/>
            <w:vAlign w:val="bottom"/>
            <w:tcBorders>
              <w:bottom w:val="single" w:sz="8" w:color="CCEEFF"/>
            </w:tcBorders>
            <w:shd w:val="clear" w:color="auto" w:fill="CCEEFF"/>
          </w:tcPr>
          <w:p>
            <w:pPr>
              <w:spacing w:after="0"/>
              <w:rPr>
                <w:sz w:val="22"/>
                <w:szCs w:val="22"/>
                <w:color w:val="auto"/>
              </w:rPr>
            </w:pPr>
          </w:p>
        </w:tc>
        <w:tc>
          <w:tcPr>
            <w:tcW w:w="33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0.53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0.67</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380"/>
              <w:spacing w:after="0"/>
              <w:rPr>
                <w:sz w:val="20"/>
                <w:szCs w:val="20"/>
                <w:color w:val="auto"/>
              </w:rPr>
            </w:pPr>
            <w:r>
              <w:rPr>
                <w:rFonts w:ascii="Times New Roman" w:cs="Times New Roman" w:eastAsia="Times New Roman" w:hAnsi="Times New Roman"/>
                <w:sz w:val="18"/>
                <w:szCs w:val="18"/>
                <w:color w:val="auto"/>
              </w:rPr>
              <w:t>Weighted average number of common shares, basic</w:t>
            </w:r>
          </w:p>
        </w:tc>
        <w:tc>
          <w:tcPr>
            <w:tcW w:w="3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20" w:type="dxa"/>
            <w:vAlign w:val="bottom"/>
            <w:vMerge w:val="continue"/>
          </w:tcPr>
          <w:p>
            <w:pPr>
              <w:spacing w:after="0"/>
              <w:rPr>
                <w:sz w:val="19"/>
                <w:szCs w:val="19"/>
                <w:color w:val="auto"/>
              </w:rPr>
            </w:pPr>
          </w:p>
        </w:tc>
        <w:tc>
          <w:tcPr>
            <w:tcW w:w="3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64,692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63,411</w:t>
            </w:r>
          </w:p>
        </w:tc>
        <w:tc>
          <w:tcPr>
            <w:tcW w:w="0" w:type="dxa"/>
            <w:vAlign w:val="bottom"/>
          </w:tcPr>
          <w:p>
            <w:pPr>
              <w:spacing w:after="0"/>
              <w:rPr>
                <w:sz w:val="1"/>
                <w:szCs w:val="1"/>
                <w:color w:val="auto"/>
              </w:rPr>
            </w:pPr>
          </w:p>
        </w:tc>
      </w:tr>
      <w:tr>
        <w:trPr>
          <w:trHeight w:val="67"/>
        </w:trPr>
        <w:tc>
          <w:tcPr>
            <w:tcW w:w="5320" w:type="dxa"/>
            <w:vAlign w:val="bottom"/>
            <w:tcBorders>
              <w:bottom w:val="single" w:sz="8" w:color="CCEEFF"/>
            </w:tcBorders>
          </w:tcPr>
          <w:p>
            <w:pPr>
              <w:spacing w:after="0"/>
              <w:rPr>
                <w:sz w:val="5"/>
                <w:szCs w:val="5"/>
                <w:color w:val="auto"/>
              </w:rPr>
            </w:pPr>
          </w:p>
        </w:tc>
        <w:tc>
          <w:tcPr>
            <w:tcW w:w="30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32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EARNINGS PER COMMON SHARE, DILUTED</w:t>
            </w:r>
          </w:p>
        </w:tc>
        <w:tc>
          <w:tcPr>
            <w:tcW w:w="30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Continuing operations</w:t>
            </w:r>
          </w:p>
        </w:tc>
        <w:tc>
          <w:tcPr>
            <w:tcW w:w="33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0.53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0.48</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30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37"/>
        </w:trPr>
        <w:tc>
          <w:tcPr>
            <w:tcW w:w="53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0.53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0.67</w:t>
            </w:r>
          </w:p>
        </w:tc>
        <w:tc>
          <w:tcPr>
            <w:tcW w:w="0" w:type="dxa"/>
            <w:vAlign w:val="bottom"/>
          </w:tcPr>
          <w:p>
            <w:pPr>
              <w:spacing w:after="0"/>
              <w:rPr>
                <w:sz w:val="1"/>
                <w:szCs w:val="1"/>
                <w:color w:val="auto"/>
              </w:rPr>
            </w:pPr>
          </w:p>
        </w:tc>
      </w:tr>
      <w:tr>
        <w:trPr>
          <w:trHeight w:val="67"/>
        </w:trPr>
        <w:tc>
          <w:tcPr>
            <w:tcW w:w="5320" w:type="dxa"/>
            <w:vAlign w:val="bottom"/>
            <w:tcBorders>
              <w:bottom w:val="single" w:sz="8" w:color="CCEEFF"/>
            </w:tcBorders>
          </w:tcPr>
          <w:p>
            <w:pPr>
              <w:spacing w:after="0"/>
              <w:rPr>
                <w:sz w:val="5"/>
                <w:szCs w:val="5"/>
                <w:color w:val="auto"/>
              </w:rPr>
            </w:pPr>
          </w:p>
        </w:tc>
        <w:tc>
          <w:tcPr>
            <w:tcW w:w="30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320" w:type="dxa"/>
            <w:vAlign w:val="bottom"/>
            <w:tcBorders>
              <w:bottom w:val="single" w:sz="8" w:color="CCEEFF"/>
            </w:tcBorders>
            <w:shd w:val="clear" w:color="auto" w:fill="CCEEFF"/>
          </w:tcPr>
          <w:p>
            <w:pPr>
              <w:ind w:left="380"/>
              <w:spacing w:after="0" w:line="196" w:lineRule="exact"/>
              <w:rPr>
                <w:sz w:val="20"/>
                <w:szCs w:val="20"/>
                <w:color w:val="auto"/>
              </w:rPr>
            </w:pPr>
            <w:r>
              <w:rPr>
                <w:rFonts w:ascii="Times New Roman" w:cs="Times New Roman" w:eastAsia="Times New Roman" w:hAnsi="Times New Roman"/>
                <w:sz w:val="18"/>
                <w:szCs w:val="18"/>
                <w:color w:val="auto"/>
              </w:rPr>
              <w:t>Weighted average number of common shares, diluted</w:t>
            </w:r>
          </w:p>
        </w:tc>
        <w:tc>
          <w:tcPr>
            <w:tcW w:w="3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64,847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63,585</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32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5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33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37,457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45,480</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5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 ATTRIBUTABLE TO THE TRUST</w:t>
            </w:r>
          </w:p>
        </w:tc>
        <w:tc>
          <w:tcPr>
            <w:tcW w:w="33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36,203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44,344</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640" w:type="dxa"/>
            <w:vAlign w:val="bottom"/>
            <w:gridSpan w:val="3"/>
          </w:tcPr>
          <w:p>
            <w:pPr>
              <w:jc w:val="center"/>
              <w:ind w:left="269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statements.</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320" w:type="dxa"/>
            <w:vAlign w:val="bottom"/>
          </w:tcPr>
          <w:p>
            <w:pPr>
              <w:spacing w:after="0"/>
              <w:rPr>
                <w:sz w:val="24"/>
                <w:szCs w:val="24"/>
                <w:color w:val="auto"/>
              </w:rPr>
            </w:pPr>
          </w:p>
        </w:tc>
        <w:tc>
          <w:tcPr>
            <w:tcW w:w="3020" w:type="dxa"/>
            <w:vAlign w:val="bottom"/>
          </w:tcPr>
          <w:p>
            <w:pPr>
              <w:jc w:val="right"/>
              <w:ind w:right="2490"/>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4"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4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63"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Consolidated Statement of Shareholders’ Equity</w:t>
      </w:r>
    </w:p>
    <w:p>
      <w:pPr>
        <w:spacing w:after="0" w:line="3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2013</w:t>
      </w:r>
    </w:p>
    <w:p>
      <w:pPr>
        <w:spacing w:after="0" w:line="3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6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8"/>
          </w:tcPr>
          <w:p>
            <w:pPr>
              <w:ind w:left="500"/>
              <w:spacing w:after="0"/>
              <w:rPr>
                <w:sz w:val="20"/>
                <w:szCs w:val="20"/>
                <w:color w:val="auto"/>
              </w:rPr>
            </w:pPr>
            <w:r>
              <w:rPr>
                <w:rFonts w:ascii="Times New Roman" w:cs="Times New Roman" w:eastAsia="Times New Roman" w:hAnsi="Times New Roman"/>
                <w:sz w:val="14"/>
                <w:szCs w:val="14"/>
                <w:b w:val="1"/>
                <w:bCs w:val="1"/>
                <w:color w:val="auto"/>
              </w:rPr>
              <w:t>Shareholders’ Equity of the Trust</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1560" w:type="dxa"/>
            <w:vAlign w:val="bottom"/>
            <w:gridSpan w:val="4"/>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Preferred Shares</w:t>
            </w:r>
          </w:p>
        </w:tc>
        <w:tc>
          <w:tcPr>
            <w:tcW w:w="100" w:type="dxa"/>
            <w:vAlign w:val="bottom"/>
            <w:vMerge w:val="restart"/>
          </w:tcPr>
          <w:p>
            <w:pPr>
              <w:spacing w:after="0"/>
              <w:rPr>
                <w:sz w:val="12"/>
                <w:szCs w:val="12"/>
                <w:color w:val="auto"/>
              </w:rPr>
            </w:pPr>
          </w:p>
        </w:tc>
        <w:tc>
          <w:tcPr>
            <w:tcW w:w="1560" w:type="dxa"/>
            <w:vAlign w:val="bottom"/>
            <w:gridSpan w:val="4"/>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1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2860" w:type="dxa"/>
            <w:vAlign w:val="bottom"/>
          </w:tcPr>
          <w:p>
            <w:pPr>
              <w:spacing w:after="0"/>
              <w:rPr>
                <w:sz w:val="13"/>
                <w:szCs w:val="13"/>
                <w:color w:val="auto"/>
              </w:rPr>
            </w:pPr>
          </w:p>
        </w:tc>
        <w:tc>
          <w:tcPr>
            <w:tcW w:w="1560" w:type="dxa"/>
            <w:vAlign w:val="bottom"/>
            <w:tcBorders>
              <w:bottom w:val="single" w:sz="8" w:color="auto"/>
            </w:tcBorders>
            <w:gridSpan w:val="4"/>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560" w:type="dxa"/>
            <w:vAlign w:val="bottom"/>
            <w:tcBorders>
              <w:bottom w:val="single" w:sz="8" w:color="auto"/>
            </w:tcBorders>
            <w:gridSpan w:val="4"/>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000" w:type="dxa"/>
            <w:vAlign w:val="bottom"/>
            <w:gridSpan w:val="3"/>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Dividends in</w:t>
            </w:r>
          </w:p>
        </w:tc>
        <w:tc>
          <w:tcPr>
            <w:tcW w:w="200" w:type="dxa"/>
            <w:vAlign w:val="bottom"/>
          </w:tcPr>
          <w:p>
            <w:pPr>
              <w:spacing w:after="0"/>
              <w:rPr>
                <w:sz w:val="13"/>
                <w:szCs w:val="13"/>
                <w:color w:val="auto"/>
              </w:rPr>
            </w:pPr>
          </w:p>
        </w:tc>
        <w:tc>
          <w:tcPr>
            <w:tcW w:w="90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860" w:type="dxa"/>
            <w:vAlign w:val="bottom"/>
          </w:tcPr>
          <w:p>
            <w:pPr>
              <w:spacing w:after="0"/>
              <w:rPr>
                <w:sz w:val="10"/>
                <w:szCs w:val="10"/>
                <w:color w:val="auto"/>
              </w:rPr>
            </w:pPr>
          </w:p>
        </w:tc>
        <w:tc>
          <w:tcPr>
            <w:tcW w:w="8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1000" w:type="dxa"/>
            <w:vAlign w:val="bottom"/>
            <w:gridSpan w:val="3"/>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Excess of Net</w:t>
            </w:r>
          </w:p>
        </w:tc>
        <w:tc>
          <w:tcPr>
            <w:tcW w:w="1100" w:type="dxa"/>
            <w:vAlign w:val="bottom"/>
            <w:gridSpan w:val="3"/>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08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Noncontrolling</w:t>
            </w:r>
          </w:p>
        </w:tc>
        <w:tc>
          <w:tcPr>
            <w:tcW w:w="9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95"/>
        </w:trPr>
        <w:tc>
          <w:tcPr>
            <w:tcW w:w="2860" w:type="dxa"/>
            <w:vAlign w:val="bottom"/>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780" w:type="dxa"/>
            <w:vAlign w:val="bottom"/>
            <w:tcBorders>
              <w:bottom w:val="single" w:sz="8" w:color="auto"/>
            </w:tcBorders>
            <w:gridSpan w:val="3"/>
            <w:vMerge w:val="continue"/>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58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2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6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AT DECEMBER 31, 2012</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399,896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9,997</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64,815,446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1040" w:type="dxa"/>
            <w:vAlign w:val="bottom"/>
            <w:tcBorders>
              <w:bottom w:val="single" w:sz="8" w:color="CCEEFF"/>
            </w:tcBorders>
            <w:gridSpan w:val="3"/>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$1,875,525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(586,970)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23,781</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$ 1,310,593</w:t>
            </w:r>
          </w:p>
        </w:tc>
        <w:tc>
          <w:tcPr>
            <w:tcW w:w="0" w:type="dxa"/>
            <w:vAlign w:val="bottom"/>
          </w:tcPr>
          <w:p>
            <w:pPr>
              <w:spacing w:after="0"/>
              <w:rPr>
                <w:sz w:val="1"/>
                <w:szCs w:val="1"/>
                <w:color w:val="auto"/>
              </w:rPr>
            </w:pPr>
          </w:p>
        </w:tc>
      </w:tr>
      <w:tr>
        <w:trPr>
          <w:trHeight w:val="216"/>
        </w:trPr>
        <w:tc>
          <w:tcPr>
            <w:tcW w:w="2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 excluding $723 attributable to</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redeemable noncontrolling interests</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34,588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531</w:t>
            </w:r>
          </w:p>
        </w:tc>
        <w:tc>
          <w:tcPr>
            <w:tcW w:w="100" w:type="dxa"/>
            <w:vAlign w:val="bottom"/>
          </w:tcPr>
          <w:p>
            <w:pPr>
              <w:spacing w:after="0"/>
              <w:rPr>
                <w:sz w:val="18"/>
                <w:szCs w:val="18"/>
                <w:color w:val="auto"/>
              </w:rPr>
            </w:pPr>
          </w:p>
        </w:tc>
        <w:tc>
          <w:tcPr>
            <w:tcW w:w="9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35,119</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comprehensive income - change in</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value of interest rate swaps</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1,615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1,615</w:t>
            </w:r>
          </w:p>
        </w:tc>
        <w:tc>
          <w:tcPr>
            <w:tcW w:w="0" w:type="dxa"/>
            <w:vAlign w:val="bottom"/>
          </w:tcPr>
          <w:p>
            <w:pPr>
              <w:spacing w:after="0"/>
              <w:rPr>
                <w:sz w:val="1"/>
                <w:szCs w:val="1"/>
                <w:color w:val="auto"/>
              </w:rPr>
            </w:pPr>
          </w:p>
        </w:tc>
      </w:tr>
      <w:tr>
        <w:trPr>
          <w:trHeight w:val="216"/>
        </w:trPr>
        <w:tc>
          <w:tcPr>
            <w:tcW w:w="2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Dividends declared to common</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shareholders</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(47,507)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(47,507)</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Dividends declared to preferred</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shareholders</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216"/>
        </w:trPr>
        <w:tc>
          <w:tcPr>
            <w:tcW w:w="2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Distributions declared to noncontrolling</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interests</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Common shares issued</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302,087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40" w:type="dxa"/>
            <w:vAlign w:val="bottom"/>
            <w:tcBorders>
              <w:bottom w:val="single" w:sz="8" w:color="CCEEFF"/>
            </w:tcBorders>
            <w:gridSpan w:val="3"/>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32,190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32,194</w:t>
            </w:r>
          </w:p>
        </w:tc>
        <w:tc>
          <w:tcPr>
            <w:tcW w:w="0" w:type="dxa"/>
            <w:vAlign w:val="bottom"/>
          </w:tcPr>
          <w:p>
            <w:pPr>
              <w:spacing w:after="0"/>
              <w:rPr>
                <w:sz w:val="1"/>
                <w:szCs w:val="1"/>
                <w:color w:val="auto"/>
              </w:rPr>
            </w:pPr>
          </w:p>
        </w:tc>
      </w:tr>
      <w:tr>
        <w:trPr>
          <w:trHeight w:val="237"/>
        </w:trPr>
        <w:tc>
          <w:tcPr>
            <w:tcW w:w="2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6,125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tcPr>
          <w:p>
            <w:pPr>
              <w:jc w:val="right"/>
              <w:ind w:right="23"/>
              <w:spacing w:after="0"/>
              <w:rPr>
                <w:sz w:val="20"/>
                <w:szCs w:val="20"/>
                <w:color w:val="auto"/>
              </w:rPr>
            </w:pPr>
            <w:r>
              <w:rPr>
                <w:rFonts w:ascii="Times New Roman" w:cs="Times New Roman" w:eastAsia="Times New Roman" w:hAnsi="Times New Roman"/>
                <w:sz w:val="16"/>
                <w:szCs w:val="16"/>
                <w:color w:val="auto"/>
              </w:rPr>
              <w:t>239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239</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Shares issued under dividend reinvestment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plan</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5,293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gridSpan w:val="3"/>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559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559</w:t>
            </w:r>
          </w:p>
        </w:tc>
        <w:tc>
          <w:tcPr>
            <w:tcW w:w="0" w:type="dxa"/>
            <w:vAlign w:val="bottom"/>
          </w:tcPr>
          <w:p>
            <w:pPr>
              <w:spacing w:after="0"/>
              <w:rPr>
                <w:sz w:val="1"/>
                <w:szCs w:val="1"/>
                <w:color w:val="auto"/>
              </w:rPr>
            </w:pPr>
          </w:p>
        </w:tc>
      </w:tr>
      <w:tr>
        <w:trPr>
          <w:trHeight w:val="216"/>
        </w:trPr>
        <w:tc>
          <w:tcPr>
            <w:tcW w:w="2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Share-based compensation expense, net of</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shares withheld for employee taxes</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87,756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40" w:type="dxa"/>
            <w:vAlign w:val="bottom"/>
            <w:gridSpan w:val="3"/>
          </w:tcPr>
          <w:p>
            <w:pPr>
              <w:jc w:val="right"/>
              <w:ind w:right="23"/>
              <w:spacing w:after="0"/>
              <w:rPr>
                <w:sz w:val="20"/>
                <w:szCs w:val="20"/>
                <w:color w:val="auto"/>
              </w:rPr>
            </w:pPr>
            <w:r>
              <w:rPr>
                <w:rFonts w:ascii="Times New Roman" w:cs="Times New Roman" w:eastAsia="Times New Roman" w:hAnsi="Times New Roman"/>
                <w:sz w:val="16"/>
                <w:szCs w:val="16"/>
                <w:color w:val="auto"/>
              </w:rPr>
              <w:t>1,237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1,238</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Conversion and redemption of OP units</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22,476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gridSpan w:val="3"/>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450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2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 AT MARCH 31, 2013</w:t>
            </w:r>
          </w:p>
        </w:tc>
        <w:tc>
          <w:tcPr>
            <w:tcW w:w="7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399,896</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9,997</w:t>
            </w:r>
          </w:p>
        </w:tc>
        <w:tc>
          <w:tcPr>
            <w:tcW w:w="100" w:type="dxa"/>
            <w:vAlign w:val="bottom"/>
          </w:tcPr>
          <w:p>
            <w:pPr>
              <w:spacing w:after="0"/>
              <w:rPr>
                <w:sz w:val="18"/>
                <w:szCs w:val="18"/>
                <w:color w:val="auto"/>
              </w:rPr>
            </w:pPr>
          </w:p>
        </w:tc>
        <w:tc>
          <w:tcPr>
            <w:tcW w:w="86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65,239,183</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653</w:t>
            </w: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$1,910,200</w:t>
            </w:r>
          </w:p>
        </w:tc>
        <w:tc>
          <w:tcPr>
            <w:tcW w:w="120" w:type="dxa"/>
            <w:vAlign w:val="bottom"/>
          </w:tcPr>
          <w:p>
            <w:pPr>
              <w:spacing w:after="0"/>
              <w:rPr>
                <w:sz w:val="18"/>
                <w:szCs w:val="18"/>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(600,024)</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25"/>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(10,773)</w:t>
            </w:r>
          </w:p>
        </w:tc>
        <w:tc>
          <w:tcPr>
            <w:tcW w:w="10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23,477</w:t>
            </w:r>
          </w:p>
        </w:tc>
        <w:tc>
          <w:tcPr>
            <w:tcW w:w="100" w:type="dxa"/>
            <w:vAlign w:val="bottom"/>
          </w:tcPr>
          <w:p>
            <w:pPr>
              <w:spacing w:after="0"/>
              <w:rPr>
                <w:sz w:val="18"/>
                <w:szCs w:val="18"/>
                <w:color w:val="auto"/>
              </w:rPr>
            </w:pPr>
          </w:p>
        </w:tc>
        <w:tc>
          <w:tcPr>
            <w:tcW w:w="90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$ 1,333,530</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statements.</w:t>
      </w:r>
    </w:p>
    <w:p>
      <w:pPr>
        <w:spacing w:after="0" w:line="2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20"/>
          </w:cols>
          <w:pgMar w:left="240" w:top="12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4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6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85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191"/>
        </w:trPr>
        <w:tc>
          <w:tcPr>
            <w:tcW w:w="8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6"/>
                <w:szCs w:val="16"/>
                <w:color w:val="auto"/>
              </w:rPr>
            </w:pPr>
          </w:p>
        </w:tc>
      </w:tr>
      <w:tr>
        <w:trPr>
          <w:trHeight w:val="25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ACTIVITIES</w:t>
            </w: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35,842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44,122</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Adjustment to reconcile net income to net cash provided by operating activities</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 including discontinued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40,624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36,571</w:t>
            </w:r>
          </w:p>
        </w:tc>
      </w:tr>
      <w:tr>
        <w:trPr>
          <w:trHeight w:val="243"/>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Gain on sale of real estate in real estate partnership</w:t>
            </w: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(11,860)</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Income from real estate partnerships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43"/>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net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2,121</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Changes in assets and liabilities, net of effects of acquisitions and dispositions: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(Increase) decrease in accounts receivable</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740</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Increase in prepaid expenses and 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r>
      <w:tr>
        <w:trPr>
          <w:trHeight w:val="243"/>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Increase (decrease) in accounts payable and accrued expenses</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1,435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(Decrease) increase in security deposits and other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196</w:t>
            </w: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67,693</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69,457</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Capital expenditures - development and redevelopment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(33,367)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(24,081)</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Capital expenditures - other</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(12,958)</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Distribution from real estate partnership in excess of earnings</w:t>
            </w: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143</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Leasing costs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Issuance of mortgage and other notes receivable, net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(45,675)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(39,282)</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FINANCING ACTIVITIES</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Repayment of mortgages, capital leases and notes payable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Issuance of common shares</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32,542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22,402</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Dividends paid to common and preferred shareholders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(46,884)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(43,497)</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Distributions to and redemptions of noncontrolling interests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(4,412)</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(28,799)</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(Decrease) increase in cash and cash equivalents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(5,714)</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1,376</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36,988</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67,806</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31,274</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69,182</w:t>
            </w:r>
          </w:p>
        </w:tc>
      </w:tr>
      <w:tr>
        <w:trPr>
          <w:trHeight w:val="27"/>
        </w:trPr>
        <w:tc>
          <w:tcPr>
            <w:tcW w:w="8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24"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4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63"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March 31, 2013</w:t>
      </w:r>
    </w:p>
    <w:p>
      <w:pPr>
        <w:spacing w:after="0" w:line="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1—BUSINESS AND ORGANIZATION</w:t>
      </w:r>
    </w:p>
    <w:p>
      <w:pPr>
        <w:spacing w:after="0" w:line="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Federal Realty Investment Trust (the “Trust”) is an equity real estate investment trust (“REIT”) specializing in the ownership, management, and redevelopment of retail and mixed-use properties. Our properties are located primarily in densely populated and affluent communities in strategically selected metropolitan markets in the Mid-Atlantic and Northeast regions of the United States, and California. As of March 31, 2013, we owned or had a majority interest in community and neighborhood shopping centers and mixed-use properties which are operated as 88 predominantly retail real estate projects.</w:t>
      </w:r>
    </w:p>
    <w:p>
      <w:pPr>
        <w:spacing w:after="0" w:line="12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operate in a manner intended to enable us to qualify as a REIT for federal income tax purposes. A REIT that distributes at least 90% of its taxable income to its shareholders each year and meets certain other conditions is not taxed on that portion of its taxable income which is distributed to its shareholders. Therefore, federal income taxes on our taxable income have been and are generally expected to be immaterial. We are obligated to pay state taxes, generally consisting of franchise or gross receipts taxes in certain states. Such state taxes also have not been material.</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2—SUMMARY OF SIGNIFICANT ACCOUNTING POLICIES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9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consolidated financial statements include the accounts of the Trust, its corporate subsidiaries, and all entities in which the Trust has a controlling interest or has been determined to be the primary beneficiary of a variable interest entity (“VIE”). The equity interests of other investors are reflected as noncontrolling interests or redeemable noncontrolling interests. All significant intercompany transactions and balances are eliminated in consolidation. We account for our interests in joint ventures, which we do not control, using the equity method of accounting. Certain 2012 amounts have been reclassified to conform to current period presentation.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9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9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February 2013, the FASB issued ASU 2013-2, “Comprehensive Income (Topic 220): Reporting Amounts Reclassified Out of Accumulated Other Comprehensive Income.” ASU 2013-2 requires entities to disclose certain information relating to amounts reclassified out of accumulated other comprehensive income. We adopted the standard effective January 1, 2013 and it did not have a significant impact to our consolidated financial statements.</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80"/>
          </w:cols>
          <w:pgMar w:left="240" w:top="124" w:right="2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Flows—Supplemental Disclosures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supplemental disclosures related to the Consolidated Statements of Cash Flows:</w:t>
      </w:r>
    </w:p>
    <w:p>
      <w:pPr>
        <w:spacing w:after="0" w:line="200" w:lineRule="exact"/>
        <w:rPr>
          <w:sz w:val="20"/>
          <w:szCs w:val="20"/>
          <w:color w:val="auto"/>
        </w:rPr>
      </w:pPr>
    </w:p>
    <w:p>
      <w:pPr>
        <w:spacing w:after="0" w:line="221"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42"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24765</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191"/>
        </w:trPr>
        <w:tc>
          <w:tcPr>
            <w:tcW w:w="8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SUPPLEMENTAL DISCLOSURES:</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interest costs incurred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30,241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31,250</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capitalized</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27,405</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28,793</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380"/>
              <w:spacing w:after="0"/>
              <w:rPr>
                <w:sz w:val="20"/>
                <w:szCs w:val="20"/>
                <w:color w:val="auto"/>
              </w:rPr>
            </w:pPr>
            <w:r>
              <w:rPr>
                <w:rFonts w:ascii="Times New Roman" w:cs="Times New Roman" w:eastAsia="Times New Roman" w:hAnsi="Times New Roman"/>
                <w:sz w:val="18"/>
                <w:szCs w:val="18"/>
                <w:color w:val="auto"/>
              </w:rPr>
              <w:t>Cash paid for interest, net of amounts capitalized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30,315</w:t>
            </w:r>
          </w:p>
        </w:tc>
        <w:tc>
          <w:tcPr>
            <w:tcW w:w="12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31,669</w:t>
            </w:r>
          </w:p>
        </w:tc>
        <w:tc>
          <w:tcPr>
            <w:tcW w:w="0" w:type="dxa"/>
            <w:vAlign w:val="bottom"/>
          </w:tcPr>
          <w:p>
            <w:pPr>
              <w:spacing w:after="0"/>
              <w:rPr>
                <w:sz w:val="1"/>
                <w:szCs w:val="1"/>
                <w:color w:val="auto"/>
              </w:rPr>
            </w:pPr>
          </w:p>
        </w:tc>
      </w:tr>
      <w:tr>
        <w:trPr>
          <w:trHeight w:val="67"/>
        </w:trPr>
        <w:tc>
          <w:tcPr>
            <w:tcW w:w="85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380"/>
              <w:spacing w:after="0" w:line="196" w:lineRule="exact"/>
              <w:rPr>
                <w:sz w:val="20"/>
                <w:szCs w:val="20"/>
                <w:color w:val="auto"/>
              </w:rPr>
            </w:pPr>
            <w:r>
              <w:rPr>
                <w:rFonts w:ascii="Times New Roman" w:cs="Times New Roman" w:eastAsia="Times New Roman" w:hAnsi="Times New Roman"/>
                <w:sz w:val="18"/>
                <w:szCs w:val="18"/>
                <w:color w:val="auto"/>
              </w:rPr>
              <w:t>Cash paid for income taxes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NON-CASH FINANCING TRANSACTION:</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Shares issued under dividend reinvestment plan</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0" w:type="dxa"/>
            <w:vAlign w:val="bottom"/>
          </w:tcPr>
          <w:p>
            <w:pPr>
              <w:spacing w:after="0"/>
              <w:rPr>
                <w:sz w:val="1"/>
                <w:szCs w:val="1"/>
                <w:color w:val="auto"/>
              </w:rPr>
            </w:pPr>
          </w:p>
        </w:tc>
      </w:tr>
      <w:tr>
        <w:trPr>
          <w:trHeight w:val="27"/>
        </w:trPr>
        <w:tc>
          <w:tcPr>
            <w:tcW w:w="85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3—REAL ESTATE PARTNERSHIP</w:t>
      </w:r>
    </w:p>
    <w:p>
      <w:pPr>
        <w:spacing w:after="0" w:line="9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have a joint venture arrangement (the “Partnership”) with affiliates of a discretionary fund created and advised by ING Clarion Partners (“Clarion”). We own 30% of the equity in the Partnership and Clarion owns 70%. We hold a general partnership interest, however, Clarion also holds a general partnership interest and has substantive participating rights. We cannot make significant decisions without Clarion’s approval. Accordingly, we account for our interest in the Partnership using the equity method. As of March 31, 2013, the Partnership owned seven retail real estate properties. We are the manager of the Partnership and its properties, earning fees for acquisitions, dispositions, management, leasing, and financing. Intercompany profit generated from fees is eliminated in consolidation. We also have the opportunity to receive performance-based earnings through our Partnership interest. Accounting policies for the Partnership are similar to accounting policies followed by the Trust. The Partnership is subject to a buy-sell provision which is customary for real estate joint venture agreements and the industry. Either partner may initiate this provision at any time, which could result in either the sale of our interest or the use of available cash or borrowings to acquire Clarion’s interest.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summarized operating results and the financial position of the Partnership:</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2320" w:type="dxa"/>
            <w:vAlign w:val="bottom"/>
            <w:gridSpan w:val="4"/>
          </w:tcPr>
          <w:p>
            <w:pPr>
              <w:jc w:val="center"/>
              <w:ind w:left="45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4740" w:type="dxa"/>
            <w:vAlign w:val="bottom"/>
          </w:tcPr>
          <w:p>
            <w:pPr>
              <w:spacing w:after="0"/>
              <w:rPr>
                <w:sz w:val="23"/>
                <w:szCs w:val="23"/>
                <w:color w:val="auto"/>
              </w:rPr>
            </w:pPr>
          </w:p>
        </w:tc>
        <w:tc>
          <w:tcPr>
            <w:tcW w:w="3840" w:type="dxa"/>
            <w:vAlign w:val="bottom"/>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gridSpan w:val="3"/>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40" w:type="dxa"/>
            <w:vAlign w:val="bottom"/>
          </w:tcPr>
          <w:p>
            <w:pPr>
              <w:spacing w:after="0"/>
              <w:rPr>
                <w:sz w:val="22"/>
                <w:szCs w:val="22"/>
                <w:color w:val="auto"/>
              </w:rPr>
            </w:pPr>
          </w:p>
        </w:tc>
        <w:tc>
          <w:tcPr>
            <w:tcW w:w="46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2012</w:t>
            </w: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74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gridSpan w:val="3"/>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RESULTS</w:t>
            </w:r>
          </w:p>
        </w:tc>
        <w:tc>
          <w:tcPr>
            <w:tcW w:w="38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4680" w:type="dxa"/>
            <w:vAlign w:val="bottom"/>
            <w:gridSpan w:val="2"/>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w w:val="98"/>
              </w:rPr>
              <w:t>4,949</w:t>
            </w:r>
          </w:p>
        </w:tc>
        <w:tc>
          <w:tcPr>
            <w:tcW w:w="120" w:type="dxa"/>
            <w:vAlign w:val="bottom"/>
          </w:tcPr>
          <w:p>
            <w:pPr>
              <w:spacing w:after="0"/>
              <w:rPr>
                <w:sz w:val="21"/>
                <w:szCs w:val="21"/>
                <w:color w:val="auto"/>
              </w:rPr>
            </w:pPr>
          </w:p>
        </w:tc>
        <w:tc>
          <w:tcPr>
            <w:tcW w:w="840" w:type="dxa"/>
            <w:vAlign w:val="bottom"/>
          </w:tcPr>
          <w:p>
            <w:pPr>
              <w:jc w:val="right"/>
              <w:ind w:right="63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8"/>
              </w:rPr>
              <w:t>4,589</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38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8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w w:val="98"/>
              </w:rPr>
              <w:t>1,817</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8"/>
              </w:rPr>
              <w:t>1,339</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w w:val="98"/>
              </w:rPr>
              <w:t>1,369</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1,376</w:t>
            </w:r>
          </w:p>
        </w:tc>
        <w:tc>
          <w:tcPr>
            <w:tcW w:w="0" w:type="dxa"/>
            <w:vAlign w:val="bottom"/>
          </w:tcPr>
          <w:p>
            <w:pPr>
              <w:spacing w:after="0"/>
              <w:rPr>
                <w:sz w:val="1"/>
                <w:szCs w:val="1"/>
                <w:color w:val="auto"/>
              </w:rPr>
            </w:pPr>
          </w:p>
        </w:tc>
      </w:tr>
      <w:tr>
        <w:trPr>
          <w:trHeight w:val="243"/>
        </w:trPr>
        <w:tc>
          <w:tcPr>
            <w:tcW w:w="4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38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842</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845</w:t>
            </w:r>
          </w:p>
        </w:tc>
        <w:tc>
          <w:tcPr>
            <w:tcW w:w="0" w:type="dxa"/>
            <w:vAlign w:val="bottom"/>
          </w:tcPr>
          <w:p>
            <w:pPr>
              <w:spacing w:after="0"/>
              <w:rPr>
                <w:sz w:val="1"/>
                <w:szCs w:val="1"/>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38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expenses</w:t>
            </w:r>
          </w:p>
        </w:tc>
        <w:tc>
          <w:tcPr>
            <w:tcW w:w="38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w w:val="98"/>
              </w:rPr>
              <w:t>4,028</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3,560</w:t>
            </w:r>
          </w:p>
        </w:tc>
        <w:tc>
          <w:tcPr>
            <w:tcW w:w="0" w:type="dxa"/>
            <w:vAlign w:val="bottom"/>
          </w:tcPr>
          <w:p>
            <w:pPr>
              <w:spacing w:after="0"/>
              <w:rPr>
                <w:sz w:val="1"/>
                <w:szCs w:val="1"/>
                <w:color w:val="auto"/>
              </w:rPr>
            </w:pPr>
          </w:p>
        </w:tc>
      </w:tr>
      <w:tr>
        <w:trPr>
          <w:trHeight w:val="237"/>
        </w:trPr>
        <w:tc>
          <w:tcPr>
            <w:tcW w:w="4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840" w:type="dxa"/>
            <w:vAlign w:val="bottom"/>
          </w:tcPr>
          <w:p>
            <w:pPr>
              <w:spacing w:after="0"/>
              <w:rPr>
                <w:sz w:val="20"/>
                <w:szCs w:val="20"/>
                <w:color w:val="auto"/>
              </w:rPr>
            </w:pPr>
          </w:p>
        </w:tc>
        <w:tc>
          <w:tcPr>
            <w:tcW w:w="840" w:type="dxa"/>
            <w:vAlign w:val="bottom"/>
            <w:tcBorders>
              <w:top w:val="single" w:sz="8" w:color="auto"/>
            </w:tcBorders>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921</w:t>
            </w:r>
          </w:p>
        </w:tc>
        <w:tc>
          <w:tcPr>
            <w:tcW w:w="120" w:type="dxa"/>
            <w:vAlign w:val="bottom"/>
          </w:tcPr>
          <w:p>
            <w:pPr>
              <w:spacing w:after="0"/>
              <w:rPr>
                <w:sz w:val="20"/>
                <w:szCs w:val="20"/>
                <w:color w:val="auto"/>
              </w:rPr>
            </w:pPr>
          </w:p>
        </w:tc>
        <w:tc>
          <w:tcPr>
            <w:tcW w:w="840" w:type="dxa"/>
            <w:vAlign w:val="bottom"/>
            <w:tcBorders>
              <w:top w:val="single" w:sz="8" w:color="auto"/>
            </w:tcBorders>
          </w:tcPr>
          <w:p>
            <w:pPr>
              <w:jc w:val="right"/>
              <w:ind w:right="63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8"/>
              </w:rPr>
              <w:t>1,029</w:t>
            </w:r>
          </w:p>
        </w:tc>
        <w:tc>
          <w:tcPr>
            <w:tcW w:w="0" w:type="dxa"/>
            <w:vAlign w:val="bottom"/>
          </w:tcPr>
          <w:p>
            <w:pPr>
              <w:spacing w:after="0"/>
              <w:rPr>
                <w:sz w:val="1"/>
                <w:szCs w:val="1"/>
                <w:color w:val="auto"/>
              </w:rPr>
            </w:pPr>
          </w:p>
        </w:tc>
      </w:tr>
      <w:tr>
        <w:trPr>
          <w:trHeight w:val="67"/>
        </w:trPr>
        <w:tc>
          <w:tcPr>
            <w:tcW w:w="4740" w:type="dxa"/>
            <w:vAlign w:val="bottom"/>
            <w:tcBorders>
              <w:bottom w:val="single" w:sz="8" w:color="CCEEFF"/>
            </w:tcBorders>
          </w:tcPr>
          <w:p>
            <w:pPr>
              <w:spacing w:after="0"/>
              <w:rPr>
                <w:sz w:val="5"/>
                <w:szCs w:val="5"/>
                <w:color w:val="auto"/>
              </w:rPr>
            </w:pPr>
          </w:p>
        </w:tc>
        <w:tc>
          <w:tcPr>
            <w:tcW w:w="3840" w:type="dxa"/>
            <w:vAlign w:val="bottom"/>
            <w:tcBorders>
              <w:bottom w:val="single" w:sz="8" w:color="CCEEFF"/>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74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Our share of net income from real estate partnership</w:t>
            </w:r>
          </w:p>
        </w:tc>
        <w:tc>
          <w:tcPr>
            <w:tcW w:w="4680" w:type="dxa"/>
            <w:vAlign w:val="bottom"/>
            <w:tcBorders>
              <w:bottom w:val="single" w:sz="8" w:color="CCEEFF"/>
            </w:tcBorders>
            <w:gridSpan w:val="2"/>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bottom w:val="single" w:sz="8" w:color="CCEEFF"/>
            </w:tcBorders>
            <w:vMerge w:val="restart"/>
          </w:tcPr>
          <w:p>
            <w:pPr>
              <w:jc w:val="right"/>
              <w:ind w:right="2734"/>
              <w:spacing w:after="0"/>
              <w:rPr>
                <w:sz w:val="20"/>
                <w:szCs w:val="20"/>
                <w:color w:val="auto"/>
              </w:rPr>
            </w:pPr>
            <w:r>
              <w:rPr>
                <w:rFonts w:ascii="Times New Roman" w:cs="Times New Roman" w:eastAsia="Times New Roman" w:hAnsi="Times New Roman"/>
                <w:sz w:val="18"/>
                <w:szCs w:val="18"/>
                <w:color w:val="auto"/>
              </w:rPr>
              <w:t>9</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740" w:type="dxa"/>
            <w:vAlign w:val="bottom"/>
          </w:tcPr>
          <w:p>
            <w:pPr>
              <w:spacing w:after="0"/>
              <w:rPr>
                <w:sz w:val="24"/>
                <w:szCs w:val="24"/>
                <w:color w:val="auto"/>
              </w:rPr>
            </w:pPr>
          </w:p>
        </w:tc>
        <w:tc>
          <w:tcPr>
            <w:tcW w:w="384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4"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6"/>
                <w:szCs w:val="16"/>
                <w:color w:val="auto"/>
              </w:rPr>
            </w:pPr>
          </w:p>
        </w:tc>
        <w:tc>
          <w:tcPr>
            <w:tcW w:w="11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75"/>
        </w:trPr>
        <w:tc>
          <w:tcPr>
            <w:tcW w:w="85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196"/>
        </w:trPr>
        <w:tc>
          <w:tcPr>
            <w:tcW w:w="8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0" w:type="dxa"/>
            <w:vAlign w:val="bottom"/>
            <w:gridSpan w:val="4"/>
          </w:tcPr>
          <w:p>
            <w:pPr>
              <w:jc w:val="right"/>
              <w:ind w:right="87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55"/>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SHEETS</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 estate, net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173,356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174,509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3,745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2,735</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4,924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5,536</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182,025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182,780</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Mortgages payable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57,098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57,155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3,914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4,771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Partners’ capital</w:t>
            </w: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121,013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120,854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liabilities and partners’ capital</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182,025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182,780</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Our share of unconsolidated debt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17,130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17,147</w:t>
            </w:r>
          </w:p>
        </w:tc>
        <w:tc>
          <w:tcPr>
            <w:tcW w:w="0" w:type="dxa"/>
            <w:vAlign w:val="bottom"/>
          </w:tcPr>
          <w:p>
            <w:pPr>
              <w:spacing w:after="0"/>
              <w:rPr>
                <w:sz w:val="1"/>
                <w:szCs w:val="1"/>
                <w:color w:val="auto"/>
              </w:rPr>
            </w:pPr>
          </w:p>
        </w:tc>
      </w:tr>
      <w:tr>
        <w:trPr>
          <w:trHeight w:val="67"/>
        </w:trPr>
        <w:tc>
          <w:tcPr>
            <w:tcW w:w="858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Our investment in real estate partnership</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33,131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33,169</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4—DEBT</w:t>
      </w:r>
    </w:p>
    <w:p>
      <w:pPr>
        <w:spacing w:after="0" w:line="9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On January 2, 2013, we repaid the mortgage loan on White Marsh Plaza prior to its original maturity date at par for $9.0 million. The loan had an original maturity date of April 1, 2013.</w:t>
      </w:r>
    </w:p>
    <w:p>
      <w:pPr>
        <w:spacing w:after="0" w:line="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2013, the maximum amount of borrowing outstanding under our $400.0 million revolving credit facility was $36.0 million. The weighted average borrowings outstanding was $16.9 million, and the weighted average interest rate before amortization of debt fees was 1.37%. At March 31, 2013, there was no balance outstanding. Our revolving credit facility, term loan and certain notes require us to comply with various financial covenants, including the maintenance of minimum shareholders’ equity and debt coverage ratios and a maximum ratio of debt to net worth. As of March 31, 2013, we were in compliance with all loan covenants.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5—FAIR VALUE OF FINANCIAL INSTRUMENTS</w:t>
      </w:r>
    </w:p>
    <w:p>
      <w:pPr>
        <w:spacing w:after="0" w:line="9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Except as disclosed below, the carrying amount of our financial instruments approximates their fair value. The fair value of our mortgages payable, notes payable and senior notes and debentures is sensitive to fluctuations in interest rates. Quoted market prices (Level 1) were used to estimate the fair value of our marketable senior notes and debentures and discounted cash flow analysis (Level 2) is generally used to estimate the fair value of our mortgages and notes payable. Considerable judgment is necessary to estimate the fair value of financial instruments. The estimates of fair value presented herein are not necessarily indicative of the amounts that could be realized upon disposition of the financial instruments. A summary of the carrying amount and fair value of our mortgages payable, notes payable and senior notes and debentures is as follows: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859"/>
              <w:spacing w:after="0"/>
              <w:rPr>
                <w:sz w:val="20"/>
                <w:szCs w:val="20"/>
                <w:color w:val="auto"/>
              </w:rPr>
            </w:pPr>
            <w:r>
              <w:rPr>
                <w:rFonts w:ascii="Times New Roman" w:cs="Times New Roman" w:eastAsia="Times New Roman" w:hAnsi="Times New Roman"/>
                <w:sz w:val="14"/>
                <w:szCs w:val="14"/>
                <w:b w:val="1"/>
                <w:bCs w:val="1"/>
                <w:color w:val="auto"/>
              </w:rPr>
              <w:t>March 31, 2013</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736"/>
              <w:spacing w:after="0"/>
              <w:rPr>
                <w:sz w:val="20"/>
                <w:szCs w:val="20"/>
                <w:color w:val="auto"/>
              </w:rPr>
            </w:pPr>
            <w:r>
              <w:rPr>
                <w:rFonts w:ascii="Times New Roman" w:cs="Times New Roman" w:eastAsia="Times New Roman" w:hAnsi="Times New Roman"/>
                <w:sz w:val="14"/>
                <w:szCs w:val="14"/>
                <w:b w:val="1"/>
                <w:bCs w:val="1"/>
                <w:color w:val="auto"/>
              </w:rPr>
              <w:t>December 31, 2012</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jc w:val="right"/>
              <w:ind w:right="341"/>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40" w:type="dxa"/>
            <w:vAlign w:val="bottom"/>
          </w:tcPr>
          <w:p>
            <w:pPr>
              <w:spacing w:after="0"/>
              <w:rPr>
                <w:sz w:val="12"/>
                <w:szCs w:val="12"/>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00" w:type="dxa"/>
            <w:vAlign w:val="bottom"/>
          </w:tcPr>
          <w:p>
            <w:pPr>
              <w:spacing w:after="0"/>
              <w:rPr>
                <w:sz w:val="12"/>
                <w:szCs w:val="12"/>
                <w:color w:val="auto"/>
              </w:rPr>
            </w:pPr>
          </w:p>
        </w:tc>
        <w:tc>
          <w:tcPr>
            <w:tcW w:w="980" w:type="dxa"/>
            <w:vAlign w:val="bottom"/>
          </w:tcPr>
          <w:p>
            <w:pPr>
              <w:jc w:val="right"/>
              <w:ind w:right="341"/>
              <w:spacing w:after="0" w:line="149"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340" w:type="dxa"/>
            <w:vAlign w:val="bottom"/>
          </w:tcPr>
          <w:p>
            <w:pPr>
              <w:spacing w:after="0"/>
              <w:rPr>
                <w:sz w:val="12"/>
                <w:szCs w:val="12"/>
                <w:color w:val="auto"/>
              </w:rPr>
            </w:pPr>
          </w:p>
        </w:tc>
        <w:tc>
          <w:tcPr>
            <w:tcW w:w="1120" w:type="dxa"/>
            <w:vAlign w:val="bottom"/>
            <w:vMerge w:val="restart"/>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Mortgages and notes payable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1,047,573</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1,093,060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1,060,364</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1,110,757</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notes and debentures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1,076,635</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1,190,833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1,076,545</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1,190,833</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of March 31, 2013, we have two interest rate swap agreements with a notional amount of $275.0 million that are measured at fair value on a recurring basis. The interest rate swap agreements fix the variable portion of our $275.0 million term loan at 1.72% from December 1, 2011 through November 1, 2018, and effectively fix the rate of the term loan at 3.17%. We assess effectiveness of our cash flow hedges both at inception and on an ongoing basis. The effective portion of changes in fair value of the interest rate swaps associated with our cash flow hedges is recorded in accumulated other comprehensive income/loss and is subsequently reclassified into interest expense as interest is incurred on the related variable rate debt. Within the next 12 months, we expect to reclassify an estimated $4.1 million as an increase to interest expense. Our cash flow hedges become ineffective if critical terms of the hedging instrument and the debt instrument do not perfectly match such as notional amounts, settlement dates, reset dates, calculation period and LIBOR rate. In addition, we evaluate the default risk of the counterparty by monitoring the credit-worthiness of the counterparty. When ineffectiveness exists, the ineffective portion of changes in fair value of the interest rate swaps associated with our cash flow hedges is recognized in earnings in the period affected. Hedge ineffectiveness has not impacted earnings as of March 31, 2013, and we do not anticipate it will have a significant effect in the future.</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4"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8"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The fair values of the interest rate swap agreements are based on the estimated amounts we would receive or pay to terminate the contracts at the reporting date and are determined using interest rate pricing models and interest rate related observable inputs. The fair value of our swaps at March 31, 2013 was a liability of $10.8 million and is included in "accounts payable and accrued expenses" on our consolidated balance sheet. The change in valuation on our interest rate swaps was $1.6 million (including $1.0 million reclassified from other comprehensive loss to interest expense) for the three months ended March 31, 2013 and is included in "accumulated other comprehensive loss".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financial liabilities that are measured at fair value on a recurring basis, by level within the fair value hierarchy is as follows: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March 31, 2013</w:t>
            </w: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December 31, 2012</w:t>
            </w:r>
          </w:p>
        </w:tc>
        <w:tc>
          <w:tcPr>
            <w:tcW w:w="1000" w:type="dxa"/>
            <w:vAlign w:val="bottom"/>
            <w:tcBorders>
              <w:bottom w:val="single" w:sz="8" w:color="auto"/>
            </w:tcBorders>
          </w:tcPr>
          <w:p>
            <w:pPr>
              <w:spacing w:after="0"/>
              <w:rPr>
                <w:sz w:val="16"/>
                <w:szCs w:val="16"/>
                <w:color w:val="auto"/>
              </w:rPr>
            </w:pPr>
          </w:p>
        </w:tc>
      </w:tr>
      <w:tr>
        <w:trPr>
          <w:trHeight w:val="264"/>
        </w:trPr>
        <w:tc>
          <w:tcPr>
            <w:tcW w:w="3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6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12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0"/>
        </w:trPr>
        <w:tc>
          <w:tcPr>
            <w:tcW w:w="3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4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48"/>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   10,773</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  10,773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  12,388</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  12,388</w:t>
            </w:r>
          </w:p>
        </w:tc>
      </w:tr>
      <w:tr>
        <w:trPr>
          <w:trHeight w:val="27"/>
        </w:trPr>
        <w:tc>
          <w:tcPr>
            <w:tcW w:w="3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6—COMMITMENTS AND CONTINGENCIES</w:t>
      </w:r>
    </w:p>
    <w:p>
      <w:pPr>
        <w:spacing w:after="0" w:line="94"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We are sometimes involved in lawsuits, warranty claims, and environmental matters arising in the ordinary course of business. Management makes assumptions and estimates concerning the likelihood and amount of any potential loss relating to these matters.</w:t>
      </w:r>
    </w:p>
    <w:p>
      <w:pPr>
        <w:spacing w:after="0" w:line="10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are currently a party to various legal proceedings. We accrue a liability for litigation if an unfavorable outcome is probable and the amount of loss can be reasonably estimated. If an unfavorable outcome is probable and a reasonable estimate of the loss is a range, we accrue the best estimate within the range; however, if no amount within the range is a better estimate than any other amount, the minimum within the range is accrued. Legal fees related to litigation are expensed as incurred. We do not believe that the ultimate outcome of these matters, either individually or in the aggregate, could have a material adverse effect on our financial position or overall trends in results of operations; however, litigation is subject to inherent uncertainties. Also under our leases, tenants are typically obligated to indemnify us from and against all liabilities, costs and expenses imposed upon or asserted against us (1) as owner of the properties due to certain matters relating to the operation of the properties by the tenant, and (2) where appropriate, due to certain matters relating to the ownership of the properties prior to their acquisition by us.</w:t>
      </w:r>
    </w:p>
    <w:p>
      <w:pPr>
        <w:spacing w:after="0" w:line="13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Under the terms of certain partnership agreements, the partners have the right to exchange their operating partnership units for cash or the same number of our common shares, at our option. A total of 298,170 operating partnership units are outstanding which have a total fair value of $32.2 million, based on our closing stock price on March 31, 2013.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7—SHAREHOLDERS’ EQUITY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dividends declared and paid per share:</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gridSpan w:val="9"/>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00" w:type="dxa"/>
            <w:vAlign w:val="bottom"/>
          </w:tcPr>
          <w:p>
            <w:pPr>
              <w:spacing w:after="0"/>
              <w:rPr>
                <w:sz w:val="16"/>
                <w:szCs w:val="16"/>
                <w:color w:val="auto"/>
              </w:rPr>
            </w:pPr>
          </w:p>
        </w:tc>
      </w:tr>
      <w:tr>
        <w:trPr>
          <w:trHeight w:val="275"/>
        </w:trPr>
        <w:tc>
          <w:tcPr>
            <w:tcW w:w="744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70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700" w:type="dxa"/>
            <w:vAlign w:val="bottom"/>
            <w:tcBorders>
              <w:bottom w:val="single" w:sz="8" w:color="auto"/>
            </w:tcBorders>
          </w:tcPr>
          <w:p>
            <w:pPr>
              <w:spacing w:after="0"/>
              <w:rPr>
                <w:sz w:val="23"/>
                <w:szCs w:val="23"/>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Declared</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Paid</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Declared</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Paid</w:t>
            </w:r>
          </w:p>
        </w:tc>
      </w:tr>
      <w:tr>
        <w:trPr>
          <w:trHeight w:val="249"/>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shares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0.730</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0.730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0.690</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0.690</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5.417% Series 1 Cumulative Convertible Preferred shares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0.339</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0.339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0.339</w:t>
            </w: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0.339</w:t>
            </w:r>
          </w:p>
        </w:tc>
      </w:tr>
    </w:tbl>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an at the market (“ATM”) equity program in which we may from time to time offer and sell common shares having an aggregate offering price of up to $300.0 million. We intend to use the net proceeds to fund potential acquisition opportunities, fund our development and redevelopment pipeline, repay amounts outstanding under our revolving credit facility and/or for general corporate purposes. For the three months ended March 31, 2013, we issued 302,057 common shares at a weighted average price per share of $108.11 for net cash proceeds of $32.2 million and paid $0.4 million in commissions and $0.1 million in additional offering expenses related to the sales of these common shares. As of March 31, 2013, we had the capacity to issue up to $180.7 million in common shares under our ATM equity program.</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4"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8—COMPONENTS OF RENTAL INCOME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components of rental income are as follows: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4"/>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75"/>
        </w:trPr>
        <w:tc>
          <w:tcPr>
            <w:tcW w:w="85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gridSpan w:val="3"/>
          </w:tcPr>
          <w:p>
            <w:pPr>
              <w:jc w:val="center"/>
              <w:ind w:left="51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196"/>
        </w:trPr>
        <w:tc>
          <w:tcPr>
            <w:tcW w:w="8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3"/>
          </w:tcPr>
          <w:p>
            <w:pPr>
              <w:jc w:val="center"/>
              <w:ind w:left="51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Minimum rents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Retail and commercial</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110,548</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103,135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Residential (1)</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7,139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6,410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reimbursement</w:t>
            </w:r>
          </w:p>
        </w:tc>
        <w:tc>
          <w:tcPr>
            <w:tcW w:w="32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30,914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26,957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Percentage rent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2,161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1,957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2,457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2,202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rental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153,219</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140,661</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740" w:hanging="652"/>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Residential minimum rents consist of the rental amounts for residential units at Rollingwood Apartments, The Crest at Congressional Plaza Apartments, Santana Row and Bethesda Row.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Minimum rents include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3"/>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75"/>
        </w:trPr>
        <w:tc>
          <w:tcPr>
            <w:tcW w:w="85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gridSpan w:val="2"/>
          </w:tcPr>
          <w:p>
            <w:pPr>
              <w:jc w:val="center"/>
              <w:ind w:left="5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Borders>
              <w:bottom w:val="single" w:sz="8" w:color="auto"/>
            </w:tcBorders>
          </w:tcPr>
          <w:p>
            <w:pPr>
              <w:spacing w:after="0"/>
              <w:rPr>
                <w:sz w:val="23"/>
                <w:szCs w:val="23"/>
                <w:color w:val="auto"/>
              </w:rPr>
            </w:pP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2013</w:t>
            </w:r>
          </w:p>
        </w:tc>
        <w:tc>
          <w:tcPr>
            <w:tcW w:w="5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196"/>
        </w:trPr>
        <w:tc>
          <w:tcPr>
            <w:tcW w:w="8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gridSpan w:val="2"/>
          </w:tcPr>
          <w:p>
            <w:pPr>
              <w:jc w:val="center"/>
              <w:ind w:left="5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20" w:type="dxa"/>
            <w:vAlign w:val="bottom"/>
          </w:tcPr>
          <w:p>
            <w:pPr>
              <w:spacing w:after="0"/>
              <w:rPr>
                <w:sz w:val="17"/>
                <w:szCs w:val="17"/>
                <w:color w:val="auto"/>
              </w:rPr>
            </w:pPr>
          </w:p>
        </w:tc>
      </w:tr>
      <w:tr>
        <w:trPr>
          <w:trHeight w:val="255"/>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Straight-line rents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0.6</w:t>
            </w:r>
          </w:p>
        </w:tc>
        <w:tc>
          <w:tcPr>
            <w:tcW w:w="50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0.6</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above market leases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c>
          <w:tcPr>
            <w:tcW w:w="5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below market leases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5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85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9—SHARE-BASED COMPENSATION PLANS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share-based compensation expense included in net income is as follows:</w:t>
      </w:r>
    </w:p>
    <w:p>
      <w:pPr>
        <w:spacing w:after="0" w:line="394"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42"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24765</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196"/>
        </w:trPr>
        <w:tc>
          <w:tcPr>
            <w:tcW w:w="8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7"/>
                <w:szCs w:val="17"/>
                <w:color w:val="auto"/>
              </w:rPr>
            </w:pPr>
          </w:p>
        </w:tc>
      </w:tr>
      <w:tr>
        <w:trPr>
          <w:trHeight w:val="255"/>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Share-based compensation incurred</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Grants of common shares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2,989</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2,674</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Grants of options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158</w:t>
            </w:r>
          </w:p>
        </w:tc>
      </w:tr>
      <w:tr>
        <w:trPr>
          <w:trHeight w:val="237"/>
        </w:trPr>
        <w:tc>
          <w:tcPr>
            <w:tcW w:w="85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3,075</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2,832</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Capitalized share-based compensation</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2,873</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2,602</w:t>
            </w:r>
          </w:p>
        </w:tc>
      </w:tr>
      <w:tr>
        <w:trPr>
          <w:trHeight w:val="27"/>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10—EARNINGS PER SHARE</w:t>
      </w:r>
    </w:p>
    <w:p>
      <w:pPr>
        <w:spacing w:after="0" w:line="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calculated earnings per share (“EPS”) under the two-class method. The two-class method is an earnings allocation methodology whereby EPS for each class of common stock and participating securities is calculated according to dividends declared and participation rights in undistributed earnings. For the three months ended March 31, 2013 and 2012, we had 0.3 million weighted average unvested shares outstanding, which are considered participating securities. Therefore, we have allocated our earnings for basic and diluted EPS between common shares and unvested shares; the portion of earnings allocated to the unvested shares is reflected as “earnings allocated to unvested shares” in the reconciliation below.</w:t>
      </w:r>
    </w:p>
    <w:p>
      <w:pPr>
        <w:sectPr>
          <w:pgSz w:w="11900" w:h="16838" w:orient="portrait"/>
          <w:cols w:equalWidth="0" w:num="1">
            <w:col w:w="11420"/>
          </w:cols>
          <w:pgMar w:left="240" w:top="124"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4" w:right="2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the dilutive EPS calculation, dilutive stock options were calculated using the treasury stock method consistent with prior periods. There were no anti-dilutive stock options for the three months ended March 31, 2013 and 2012. The conversions of downREIT operating partnership units and 5.417% Series 1 Cumulative Convertible Preferred Shares are anti-dilutive for all periods presented and accordingly, have been excluded from the weighted average common shares used to compute diluted EPS.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180" w:type="dxa"/>
            <w:vAlign w:val="bottom"/>
            <w:gridSpan w:val="4"/>
          </w:tcPr>
          <w:p>
            <w:pPr>
              <w:jc w:val="center"/>
              <w:ind w:right="79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75"/>
        </w:trPr>
        <w:tc>
          <w:tcPr>
            <w:tcW w:w="8340" w:type="dxa"/>
            <w:vAlign w:val="bottom"/>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gridSpan w:val="3"/>
          </w:tcPr>
          <w:p>
            <w:pPr>
              <w:jc w:val="center"/>
              <w:ind w:left="7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196"/>
        </w:trPr>
        <w:tc>
          <w:tcPr>
            <w:tcW w:w="8340" w:type="dxa"/>
            <w:vAlign w:val="bottom"/>
          </w:tcPr>
          <w:p>
            <w:pPr>
              <w:spacing w:after="0"/>
              <w:rPr>
                <w:sz w:val="17"/>
                <w:szCs w:val="17"/>
                <w:color w:val="auto"/>
              </w:rPr>
            </w:pPr>
          </w:p>
        </w:tc>
        <w:tc>
          <w:tcPr>
            <w:tcW w:w="30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0" w:type="dxa"/>
            <w:vAlign w:val="bottom"/>
          </w:tcPr>
          <w:p>
            <w:pPr>
              <w:spacing w:after="0"/>
              <w:rPr>
                <w:sz w:val="1"/>
                <w:szCs w:val="1"/>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NUMERATOR</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900" w:type="dxa"/>
            <w:vAlign w:val="bottom"/>
          </w:tcPr>
          <w:p>
            <w:pPr>
              <w:jc w:val="right"/>
              <w:ind w:right="69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96"/>
              </w:rPr>
              <w:t>35,842</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32,262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Preferred share dividends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Income from continuing operations attributable to noncontrolling interests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Earnings allocated to unvested shares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from continuing operations available for common shareholders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96"/>
              </w:rPr>
              <w:t>34,239</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30,782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on sale of real estate in real estate partnership</w:t>
            </w:r>
          </w:p>
        </w:tc>
        <w:tc>
          <w:tcPr>
            <w:tcW w:w="9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11,860</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available for common shareholders, basic and diluted</w:t>
            </w:r>
          </w:p>
        </w:tc>
        <w:tc>
          <w:tcPr>
            <w:tcW w:w="900" w:type="dxa"/>
            <w:vAlign w:val="bottom"/>
            <w:tcBorders>
              <w:top w:val="single" w:sz="8" w:color="auto"/>
            </w:tcBorders>
          </w:tcPr>
          <w:p>
            <w:pPr>
              <w:jc w:val="right"/>
              <w:ind w:right="69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96"/>
              </w:rPr>
              <w:t>34,239</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42,642</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9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 outstanding—basic</w:t>
            </w:r>
          </w:p>
        </w:tc>
        <w:tc>
          <w:tcPr>
            <w:tcW w:w="9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96"/>
              </w:rPr>
              <w:t>64,692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63,411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 options</w:t>
            </w:r>
          </w:p>
        </w:tc>
        <w:tc>
          <w:tcPr>
            <w:tcW w:w="9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 outstanding—diluted</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96"/>
              </w:rPr>
              <w:t>64,847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63,585</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EARNINGS PER COMMON SHARE, BASIC</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Continuing operations</w:t>
            </w: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0.53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0.48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90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0.53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0.67</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EARNINGS PER COMMON SHARE, DILUTED</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Continuing operations</w:t>
            </w: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0.53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0.48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90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0.53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0.67</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Income from continuing operations attributable to the Trust</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900" w:type="dxa"/>
            <w:vAlign w:val="bottom"/>
          </w:tcPr>
          <w:p>
            <w:pPr>
              <w:jc w:val="right"/>
              <w:ind w:right="69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96"/>
              </w:rPr>
              <w:t>34,588</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31,126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11—SUBSEQUENT EVENTS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3, 2013, we acquired the fee interest in a 95,000 square foot retail property located in Darien, Connecticut for $47.3 million.</w:t>
      </w:r>
    </w:p>
    <w:p>
      <w:pPr>
        <w:spacing w:after="0" w:line="25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April 5, 2013, one of our tenants acquired our fee interest related to an office building at our Village of Shirlington property in Arlington, Virginia, that was subject to a long term ground lease. The ground lease included an option for the tenant to purchase the fee interest. The sales price was $6.5 million and the gain was approximately $5 million.</w:t>
      </w:r>
    </w:p>
    <w:p>
      <w:pPr>
        <w:spacing w:after="0" w:line="203" w:lineRule="exact"/>
        <w:rPr>
          <w:sz w:val="20"/>
          <w:szCs w:val="20"/>
          <w:color w:val="auto"/>
        </w:rPr>
      </w:pPr>
    </w:p>
    <w:p>
      <w:pPr>
        <w:ind w:right="260"/>
        <w:spacing w:after="0" w:line="313" w:lineRule="auto"/>
        <w:rPr>
          <w:sz w:val="20"/>
          <w:szCs w:val="20"/>
          <w:color w:val="auto"/>
        </w:rPr>
      </w:pPr>
      <w:r>
        <w:rPr>
          <w:rFonts w:ascii="Times New Roman" w:cs="Times New Roman" w:eastAsia="Times New Roman" w:hAnsi="Times New Roman"/>
          <w:sz w:val="17"/>
          <w:szCs w:val="17"/>
          <w:color w:val="auto"/>
        </w:rPr>
        <w:t>On April 22, 2013, we upsized our $400.0 million revolving credit facility to $600.0 million and extended the maturity date to April 21, 2017, subject to a one-year extension at our option. Under the amended credit facility, the spread over LIBOR is 90 basis points based on our credit rating as of May 1, 2013.</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24"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8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9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consolidated interim financial statements and notes thereto appearing in Item 1 of this report and the more detailed information contained in our Annual Report on Form 10-K for the year ended December 31, 2012 filed with the Securities and Exchange Commission (the “SEC”) on February 12, 2013.</w:t>
      </w:r>
    </w:p>
    <w:p>
      <w:pPr>
        <w:spacing w:after="0" w:line="12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This Form 10-Q contains forward-looking statements within the meaning of Section 27A of the Securities Act of 1933, Section 21E of the Securities Exchange Act of 1934 and the Private Securities Litigation Reform Act of 1995. When we refer to forward-looking statements or information, sometimes we use words such as “may,” “will,” “could,” “should,” “plans,” “intends,” “expects,” “believes,” “estimates,” “anticipates” and “continues.” Forward-looking statements are not historical facts or guarantees of future performance and involve certain known and unknown risks, uncertainties, and other factors, many of which are outside our control, that could cause actual results to differ materially from those we describe.</w:t>
      </w:r>
    </w:p>
    <w:p>
      <w:pPr>
        <w:spacing w:after="0" w:line="4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Given these uncertainties, readers are cautioned not to place undue reliance on any forward-looking statements that we make, including those in this Quarterly Report on Form 10-Q. Except as may be required by law, we make no promise to update any of the forward-looking statements as a result of new information, future events or otherwise. You should carefully review the risks and the risk factors included in our Annual Report on Form 10-K for the year ended December 31, 2012 and under Part II, Item 1A in this Quarterly Report on Form 10-Q, before making any investments in 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are an equity real estate investment trust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and California. As of March 31, 2013, we owned or had a majority interest in community and neighborhood shopping centers and mixed-use properties which are operated as 88 predominantly retail real estate projects comprising approximately 19.5 million square feet (excludes unconsolidated joint venture properties). In total, the real estate projects were 95.1% leased and 94.5% occupied at March 31, 2013. A joint venture in which we own a 30% interest owned seven retail real estate projects totaling approximately 1.0 million square feet as of March 31, 2013. In total, the joint venture properties in which we own a 30% interest were 86.4% leased and 86.2% occupied at March 31, 2013.</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2013 Significant Property Acquisition &amp; Disposition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3, 2013, we acquired the fee interest in a 95,000 square foot retail property located in Darien, Connecticut for $47.3 million.</w:t>
      </w:r>
    </w:p>
    <w:p>
      <w:pPr>
        <w:spacing w:after="0" w:line="25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April 5, 2013, one of our tenants acquired our fee interest related to an office building at our Village of Shirlington property in Arlington, Virginia, that was subject to a long term ground lease. The ground lease included an option for the tenant to purchase the fee interest. The sales price was $6.5 million and the gain was approximately $5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2013 Significant Debt and Equity Transactions</w:t>
      </w:r>
    </w:p>
    <w:p>
      <w:pPr>
        <w:spacing w:after="0" w:line="9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January 2, 2013, we repaid the mortgage loan on White Marsh Plaza prior to its original maturity date at par for $9.0 million. This loan had an original maturity date of April 1, 2013.</w:t>
      </w:r>
    </w:p>
    <w:p>
      <w:pPr>
        <w:spacing w:after="0" w:line="108" w:lineRule="exact"/>
        <w:rPr>
          <w:sz w:val="20"/>
          <w:szCs w:val="20"/>
          <w:color w:val="auto"/>
        </w:rPr>
      </w:pPr>
    </w:p>
    <w:p>
      <w:pPr>
        <w:ind w:right="260"/>
        <w:spacing w:after="0" w:line="313" w:lineRule="auto"/>
        <w:rPr>
          <w:sz w:val="20"/>
          <w:szCs w:val="20"/>
          <w:color w:val="auto"/>
        </w:rPr>
      </w:pPr>
      <w:r>
        <w:rPr>
          <w:rFonts w:ascii="Times New Roman" w:cs="Times New Roman" w:eastAsia="Times New Roman" w:hAnsi="Times New Roman"/>
          <w:sz w:val="17"/>
          <w:szCs w:val="17"/>
          <w:color w:val="auto"/>
        </w:rPr>
        <w:t>On April 22, 2013, we upsized our $400.0 million revolving credit facility to $600.0 million and extended the maturity date to April 21, 2017, subject to a one-year extension at our option. Under the amended credit facility, the spread over LIBOR is 90 basis points based on our credit rating as of May 1, 2013.</w:t>
      </w:r>
    </w:p>
    <w:p>
      <w:pPr>
        <w:spacing w:after="0" w:line="8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an at the market (“ATM”) equity program in which we may from time to time offer and sell common shares having an aggregate offering price of up to $300.0 million. We intend to use the net proceeds to fund potential acquisition opportunities, fund our development and redevelopment pipeline, repay amounts outstanding under our revolving credit facility and/or for general corporate purposes. For the three months ended March 31, 2013, we issued 302,057 common shares at a weighted average price per share of $108.11 for net cash proceeds of $32.2 million and paid $0.4 million in commissions and $0.1 million in additional offering expenses related to the sales of these common shares. As of March 31, 2013, we had the capacity to issue up to $180.7 million in common shares under our ATM equity program.</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4"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Capitalized Costs</w:t>
      </w:r>
    </w:p>
    <w:p>
      <w:pPr>
        <w:spacing w:after="0" w:line="94"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Certain external and internal costs directly related to the development, redevelopment and leasing of real estate, including pre-construction costs, real estate taxes, insurance, construction costs and salaries and related costs of personnel directly involved, are capitalized. We capitalized external and internal costs related to both development and redevelopment activities of $43 million and $1 million, respectively, for the three months ended March 31, 2013 and $16 million and $2 million, respectively, for the three months ended March 31, 2012. We capitalized external and internal costs related to other property improvements of $5 million and less than $1 million, respectively, for the three months ended March 31, 2013 and $10 million and less than $1 million, respectively, for the three months ended March 31, 2012. We capitalized external and internal costs related to leasing activities of $1 million and $1 million, respectively, for both the three months ended March 31, 2013 and 2012. The amount of capitalized internal costs for salaries and related benefits for development and redevelopment activities, other property improvements, and leasing activities were $1 million, less than $1 million, and $1 million, respectively, for both the three months ended March 31, 2013 and 2012.</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seek growth in earnings, funds from operations, and cash flows primarily through a combination of the following:</w:t>
      </w:r>
    </w:p>
    <w:p>
      <w:pPr>
        <w:spacing w:after="0" w:line="63" w:lineRule="exact"/>
        <w:rPr>
          <w:sz w:val="20"/>
          <w:szCs w:val="20"/>
          <w:color w:val="auto"/>
        </w:rPr>
      </w:pPr>
    </w:p>
    <w:p>
      <w:pPr>
        <w:ind w:left="1700" w:hanging="801"/>
        <w:spacing w:after="0"/>
        <w:tabs>
          <w:tab w:leader="none" w:pos="1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in our portfolio from property development and redevelopments,</w:t>
      </w:r>
    </w:p>
    <w:p>
      <w:pPr>
        <w:spacing w:after="0" w:line="63"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in our same-center portfolio, and</w:t>
      </w:r>
    </w:p>
    <w:p>
      <w:pPr>
        <w:spacing w:after="0" w:line="63"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our portfolio through property acquisitions.</w:t>
      </w:r>
    </w:p>
    <w:p>
      <w:pPr>
        <w:spacing w:after="0" w:line="17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properties are located in densely populated or affluent areas with high barriers to entry which allow us to take advantage of redevelopment opportunities that enhance our operating performance through renovation, expansion, reconfiguration, and/or retenanting. We evaluate our properties on an ongoing basis to identify these types of opportunities. In 2013, we expect to have redevelopment projects stabilizing with projected costs of approximately $28 million.</w:t>
      </w:r>
    </w:p>
    <w:p>
      <w:pPr>
        <w:spacing w:after="0" w:line="12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Additionally, we continue to invest in the development at Assembly Row which is a long-term development project we expect to be involved in over the coming years. The carrying value of the development portion of this project at March 31, 2013 is approximately $180 million. The project currently has zoning entitlements to build 2.3 million square feet of commercial-use buildings, 2,100 residential units, and a 200 room hotel. In December 2011, we entered into agreements with AvalonBay Communities ("AvalonBay") for a portion of the first phase of development at Assembly Row which will include 450 residential units (by AvalonBay) and approximately 326,000 square feet of retail space and 95,000 square feet of office space (both by the Trust). The Massachusetts Bay Transit Authority (MBTA) will also construct the new orange line T-Stop at the property. Our construction on the first phase commenced during first quarter 2012. Total expected costs for Phase I of Assembly Row range from $190 million to $200 million of which $49 million has been incurred to date. We expect Phase I to stabilize in 2015. Additionally during 2013, we are continuing our infrastructure work. In total, we expect to invest between $100 million and $115 million in Assembly Row in 2013, net of expected public funding.</w:t>
      </w:r>
    </w:p>
    <w:p>
      <w:pPr>
        <w:spacing w:after="0" w:line="135"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In the third quarter 2012, we broke ground on the first phase of Pike &amp; Rose in Rockville, MD, a long-term multi-phased mixed-use project located on a portion of our Mid-Pike Plaza property. The property currently has zoning entitlements to build 1.7 million square feet of commercial-use buildings and 1,583 residential units. Phase I of Pike &amp; Rose involves demolition of roughly 25% of the existing gross leasable area at Mid-Pike Plaza (which was completed during the second quarter 2012) and construction of 493 residential units, 151,000 square feet of retail space and 79,000 square feet of office space. Total expected costs for Phase I of Pike &amp; Rose range from $245 million to $255 million of which $37 million has been incurred to date. We expect Phase I of the project to stabilize in 2015/2016. We expect to invest between $75 million and $110 million in 2013.</w:t>
      </w:r>
    </w:p>
    <w:p>
      <w:pPr>
        <w:spacing w:after="0" w:line="13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continue our ongoing redevelopment efforts at Santana Row and are currently under construction on a 212 unit residential building which we expect to stabilize in 2014. Santana Row currently has zoning entitlements to build an additional 348 residential units and 200,000 square feet of retail and office space. Projected costs of the 212 unit residential building are $70 million to $75 million of which $29 million has been incurred to date. We expect to incur the remaining costs for the project throughout 2013 and early 2014.</w:t>
      </w:r>
    </w:p>
    <w:p>
      <w:pPr>
        <w:spacing w:after="0" w:line="12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development of future phases of Assembly Row, Pike &amp; Rose and Santana Row will be pursued opportunistically based on, among other things, market conditions, our evaluation of whether those phases will generate an appropriate financial return and our ability to structure the development of those future phases, through entitlement sales, third party capital investment or otherwise.</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same-center growth is primarily driven by increases in rental rates on new leases and lease renewals and changes in portfolio occupancy. Over the long-term, the infill nature and strong demographics of our properties provide a strategic advantage allowing us to maintain relatively high occupancy and increase rental rates. We have continued to see signs of</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124" w:right="2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4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improvement for many of our tenants as well as increased interest from prospective tenants for our retail spaces. While there can be no assurance that these positive signs will continue, we remain cautiously optimistic regarding the improved trends we have seen over the past few years. While we have seen improvements over much of our portfolio, we continue to see some tenants being negatively impacted by the economic environment and some filing for bankruptcy, though at a lower rate than in previous years. We believe the locations of our centers and diverse tenant base mitigates the negative impact of the economic environment, however, any reduction in our tenants' abilities to pay base rent, percentage rent or other charges, will adversely affect our financial condition and results of operations. During 2013, we expect to see increases in rental income as a result of our significant leasing activity over the past two years which resulted in higher occupancy in the latter half of 2012. We seek to maintain a mix of strong national, regional, and local retailers. At March 31, 2013, no single tenant accounted for more than 3.2% of annualized base rent.</w:t>
      </w:r>
    </w:p>
    <w:p>
      <w:pPr>
        <w:spacing w:after="0" w:line="13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continue to review acquisition opportunities in our primary markets that complement our portfolio and provide long-term growth opportunities. Some of our acquisitions do not initially contribute significantly to earnings growth; however, we believe they provide long-term re-leasing growth, redevelopment opportunities, and other strategic opportunities. Any growth from acquisitions is contingent on our ability to find properties that meet our qualitative standards at prices that meet our financial hurdles. Changes in interest rates may affect our success in achieving earnings growth through acquisitions by affecting both the price that must be paid to acquire a property, as well as our ability to economically finance the property acquisition. Generally, our acquisitions are initially financed by available cash and/or borrowings under our revolving credit facility which may be repaid later with funds raised through the issuance of new equity or new long-term debt. On occasion we also finance our acquisitions through the issuance of common shares, preferred shares, or downREIT units as well as through new or assumed mortgages.</w:t>
      </w:r>
    </w:p>
    <w:p>
      <w:pPr>
        <w:spacing w:after="0" w:line="13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At March 31, 2013, the leasable square feet in our properties was 94.5% occupied and 95.1% leased. The leased rate is higher than the occupied rate due to leased spaces that are being redeveloped or improved or that are awaiting permits and, therefore, are not yet ready to be occupied. Our occupancy and leased rates are subject to variability over time due to factors including acquisitions, the timing of the start and stabilization of our redevelopment projects, lease expirations and tenant bankruptcies.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 Rollovers</w:t>
      </w:r>
    </w:p>
    <w:p>
      <w:pPr>
        <w:spacing w:after="0" w:line="9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For the first quarter 2013, we signed leases for a total of 266,000 square feet of retail space including 254,000 square feet of comparable space leases (leases for which there was a prior tenant) at an average rental increase of 12% on a cash basis and 22% on a straight-line basis. New leases for comparable spaces were signed for 139,000 square feet at an average rental increase of 24% on a cash basis and 32% on a straight-line basis. Renewals for comparable spaces were signed for 115,000 square feet at an average rental increase of 4% on a cash basis and 15% on a straight-line basis. Tenant improvements and incentives were $52.39 per square foot for new leases and $0.11 per square foot for renewals. Tenant improvements and incentives increased for new deals relative to our historical experience primarily due to one grocery anchor lease and we expect the amount to return to levels more in line with our historical experience for the rest of 2013.</w:t>
      </w:r>
    </w:p>
    <w:p>
      <w:pPr>
        <w:spacing w:after="0" w:line="13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rental increases associated with comparable spaces generally include all leases signed in arms-length transactions reflecting market leverage between landlords and tenants during the period. The comparison between average rent for expiring leases and new leases is determined by including minimum rent and percentage rent paid on the expiring lease and minimum rent and in some instances, projections of first lease year percentage rent, to be paid on the new lease. In some instances, management exercises judgment as to how to most effectively reflect the comparability of spaces reported in this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 Tenant improvements and incentives include the total dollars committed for the improvement (fit-out) of a space as it relates to a specific lease but may also include base building costs (i.e. expansion, escalators or new entrances) which are required to make the space leasable. Incentives include amounts paid to tenants as an inducement to sign a lease that do not represent building improvements.</w:t>
      </w:r>
    </w:p>
    <w:p>
      <w:pPr>
        <w:spacing w:after="0" w:line="13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leases signed in 2013 generally become effective over the following two years though some may not become effective until 2016 and beyond. Further, there is risk that some new tenants will not ultimately take possession of their space and that tenants for both new and renewal leases may not pay all of their contractual rent due to operating, financing or other matters. However, these increases do provide information about the tenant/landlord relationship and the potential increase we may achieve in rental income over time.</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60"/>
          </w:cols>
          <w:pgMar w:left="240" w:top="124" w:right="2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2013, we believe our leasing volume will be in-line with our historical averages with overall positive increases in rental income. However, changes in rental income associated with individual signed leases on comparable spaces may be positive or negative, and we can provide no assurance that the rents on new leases will continue to increase at the above disclosed levels, if at all.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Same-Center</w:t>
      </w:r>
    </w:p>
    <w:p>
      <w:pPr>
        <w:spacing w:after="0" w:line="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Throughout this section, we have provided certain information on a “same-center” basis. Information provided on a same-center basis includes the results of properties that we owned and operated for the entirety of both periods being compared except for properties for which significant redevelopment or expansion occurred during either of the periods being compared and properties classified as discontinued operations. For the three months ended March 31, 2013, all or a portion of 81 properties were considered same-center and eight properties were considered redevelopment or expansion. For the three months ended March 31, 2013, two properties were moved from acquisitions to same-center designation and one property was moved from redevelopment to same-center designation when compared to the designations as of December 31, 2012. While there is judgment surrounding changes in designations, we typically move redevelopment properties to same-center once they have stabilized, which is typically considered 95% occupancy or when the growth expected from the redevelopment has been included in the comparable periods. We typically remove properties from same center when the redevelopment has or is expected to have a significant impact to property operating income within the calendar year. Acquisitions are moved to same-center once we have owned the property for the entirety of comparable periods and the property is not under significant development or expansion.</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124" w:right="2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 - THREE MONTHS ENDED MARCH 31, 2013 AND 2012</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8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80" w:type="dxa"/>
            <w:vAlign w:val="bottom"/>
            <w:tcBorders>
              <w:bottom w:val="single" w:sz="8" w:color="auto"/>
            </w:tcBorders>
          </w:tcPr>
          <w:p>
            <w:pPr>
              <w:spacing w:after="0"/>
              <w:rPr>
                <w:sz w:val="16"/>
                <w:szCs w:val="16"/>
                <w:color w:val="auto"/>
              </w:rPr>
            </w:pPr>
          </w:p>
        </w:tc>
      </w:tr>
      <w:tr>
        <w:trPr>
          <w:trHeight w:val="264"/>
        </w:trPr>
        <w:tc>
          <w:tcPr>
            <w:tcW w:w="58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8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5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(Dollar amounts in thousands)</w:t>
            </w:r>
          </w:p>
        </w:tc>
        <w:tc>
          <w:tcPr>
            <w:tcW w:w="880" w:type="dxa"/>
            <w:vAlign w:val="bottom"/>
          </w:tcPr>
          <w:p>
            <w:pPr>
              <w:spacing w:after="0"/>
              <w:rPr>
                <w:sz w:val="17"/>
                <w:szCs w:val="17"/>
                <w:color w:val="auto"/>
              </w:rPr>
            </w:pPr>
          </w:p>
        </w:tc>
      </w:tr>
      <w:tr>
        <w:trPr>
          <w:trHeight w:val="255"/>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Rental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153,219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140,661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12,558</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r>
      <w:tr>
        <w:trPr>
          <w:trHeight w:val="243"/>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property income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Mortgage interest income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1,265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1,266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7"/>
        </w:trPr>
        <w:tc>
          <w:tcPr>
            <w:tcW w:w="5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property revenue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157,752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146,289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11,463</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Rental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29,515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26,110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3,405</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w:t>
            </w:r>
          </w:p>
        </w:tc>
      </w:tr>
      <w:tr>
        <w:trPr>
          <w:trHeight w:val="243"/>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 estate taxes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17,651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16,057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1,594</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property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47,166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42,167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4,999</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11.9 %</w:t>
            </w:r>
          </w:p>
        </w:tc>
      </w:tr>
      <w:tr>
        <w:trPr>
          <w:trHeight w:val="237"/>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operating income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110,586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104,122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6,464</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r>
      <w:tr>
        <w:trPr>
          <w:trHeight w:val="243"/>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from real estate partnerships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1,388</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43"/>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(36,571)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11.1 %</w:t>
            </w:r>
          </w:p>
        </w:tc>
      </w:tr>
      <w:tr>
        <w:trPr>
          <w:trHeight w:val="237"/>
        </w:trPr>
        <w:tc>
          <w:tcPr>
            <w:tcW w:w="5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net</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(74,744)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(71,860)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35,842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32,262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3,580</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11.1 %</w:t>
            </w:r>
          </w:p>
        </w:tc>
      </w:tr>
      <w:tr>
        <w:trPr>
          <w:trHeight w:val="243"/>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 on sale of real estate in real estate partnership</w:t>
            </w:r>
          </w:p>
        </w:tc>
        <w:tc>
          <w:tcPr>
            <w:tcW w:w="3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11,860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(11,860)</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35,842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44,122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(8,280)</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43"/>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57"/>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the Trust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34,588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42,986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(8,398)</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0"/>
        </w:trPr>
        <w:tc>
          <w:tcPr>
            <w:tcW w:w="5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Revenues</w:t>
      </w:r>
    </w:p>
    <w:p>
      <w:pPr>
        <w:spacing w:after="0" w:line="9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Total property revenue increased $11.5 million, or 7.8%, to $157.8 million in the three months ended March 31, 2013 compared to $146.3 million in the three months ended March 31, 2012. The percentage occupied at our shopping centers increased to 94.5% at March 31, 2013 compared to 92.6% at March 31, 2012. Changes in the components of property revenue are discussed below.</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Rental Income</w:t>
      </w:r>
    </w:p>
    <w:p>
      <w:pPr>
        <w:spacing w:after="0" w:line="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Rental income consists primarily of minimum rent, cost reimbursements from tenants and percentage rent. Rental income increased $12.6 million, or 8.9%, to $153.2 million in the three months ended March 31, 2013 compared to $140.7 million in the three months ended March 31, 2012 due primarily to the following:</w:t>
      </w:r>
    </w:p>
    <w:p>
      <w:pPr>
        <w:spacing w:after="0" w:line="14" w:lineRule="exact"/>
        <w:rPr>
          <w:sz w:val="20"/>
          <w:szCs w:val="20"/>
          <w:color w:val="auto"/>
        </w:rPr>
      </w:pPr>
    </w:p>
    <w:p>
      <w:pPr>
        <w:ind w:left="1700" w:right="140" w:hanging="801"/>
        <w:spacing w:after="0" w:line="266" w:lineRule="auto"/>
        <w:tabs>
          <w:tab w:leader="none" w:pos="1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$8.3 million at same-center properties due primarily to approximately $3.6 million related to higher rental rates, increased occupancy of approximately $1.3 million, and an increase in recovery income (primarily the result of higher snow removal costs),</w:t>
      </w:r>
    </w:p>
    <w:p>
      <w:pPr>
        <w:spacing w:after="0" w:line="14"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$3.2 million attributable to properties acquired in 2012, and</w:t>
      </w:r>
    </w:p>
    <w:p>
      <w:pPr>
        <w:spacing w:after="0" w:line="63" w:lineRule="exact"/>
        <w:rPr>
          <w:rFonts w:ascii="Times New Roman" w:cs="Times New Roman" w:eastAsia="Times New Roman" w:hAnsi="Times New Roman"/>
          <w:sz w:val="18"/>
          <w:szCs w:val="18"/>
          <w:color w:val="auto"/>
        </w:rPr>
      </w:pPr>
    </w:p>
    <w:p>
      <w:pPr>
        <w:ind w:left="1700" w:right="60" w:hanging="801"/>
        <w:spacing w:after="0" w:line="282" w:lineRule="auto"/>
        <w:tabs>
          <w:tab w:leader="none" w:pos="1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$1.1 million at redevelopment properties due primarily to the lease-up and stabilization of certain of our redevelopment properties partially offset by lower income from Mid-Pike Plaza as the property is prepared for the development of Pike &amp; Rose.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Property Income</w:t>
      </w:r>
    </w:p>
    <w:p>
      <w:pPr>
        <w:spacing w:after="0" w:line="9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Other property income decreased $1.1 million, or 25.1%, to $3.3 million in the three months ended March 31, 2013 compared to $4.4 million in the three months ended March 31, 2012. Included in other property income are items which, although recurring, inherently tend to fluctuate more than rental income from period to period, such as lease termination fees. This decrease is primarily due to a net decrease in lease termination fees at same-center and redevelopment properties.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24"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Expenses</w:t>
      </w:r>
    </w:p>
    <w:p>
      <w:pPr>
        <w:spacing w:after="0" w:line="9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Total property expenses increased $5.0 million, or 11.9%, to $47.2 million in the three months ended March 31, 2013 compared to $42.2 million in the three months ended March 31, 2012. Changes in the components of property expenses are discussed below.</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Rental Expenses</w:t>
      </w:r>
    </w:p>
    <w:p>
      <w:pPr>
        <w:spacing w:after="0" w:line="92"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Rental expenses increased $3.4 million, or 13.0%, to $29.5 million in the three months ended March 31, 2013 compared to $26.1 million in the three months ended March 31, 2012. This increase is primarily due to the following:</w:t>
      </w:r>
    </w:p>
    <w:p>
      <w:pPr>
        <w:spacing w:after="0" w:line="2" w:lineRule="exact"/>
        <w:rPr>
          <w:sz w:val="20"/>
          <w:szCs w:val="20"/>
          <w:color w:val="auto"/>
        </w:rPr>
      </w:pPr>
    </w:p>
    <w:p>
      <w:pPr>
        <w:ind w:left="1700" w:right="400" w:hanging="801"/>
        <w:spacing w:after="0" w:line="281" w:lineRule="auto"/>
        <w:tabs>
          <w:tab w:leader="none" w:pos="1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$3.1 million in repairs and maintenance at same-center and redevelopment properties due primarily to higher snow removal costs, and</w:t>
      </w:r>
    </w:p>
    <w:p>
      <w:pPr>
        <w:spacing w:after="0" w:line="1"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$0.6 million related to properties acquired in 2012,</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63" w:lineRule="exact"/>
        <w:rPr>
          <w:sz w:val="20"/>
          <w:szCs w:val="20"/>
          <w:color w:val="auto"/>
        </w:rPr>
      </w:pPr>
    </w:p>
    <w:p>
      <w:pPr>
        <w:ind w:left="1700" w:hanging="801"/>
        <w:spacing w:after="0"/>
        <w:tabs>
          <w:tab w:leader="none" w:pos="1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$0.3 million in bad debt expense at same-center and redevelopment properties.</w:t>
      </w:r>
    </w:p>
    <w:p>
      <w:pPr>
        <w:spacing w:after="0" w:line="17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a result of the changes in rental income, other property income and rental expenses as discussed above, rental expenses as a percentage of rental income plus other property income increased to 18.9% in the three months ended March 31, 2013 from 18.0% in the three months ended March 31, 2012.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 Estate Taxes</w:t>
      </w:r>
    </w:p>
    <w:p>
      <w:pPr>
        <w:spacing w:after="0" w:line="9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Real estate tax expense increased $1.6 million, or 9.9% to $17.7 million in the three months ended March 31, 2013 compared to $16.1 million in the three months ended March 31, 2012 due primarily to properties acquired in 2012, tax refunds received in 2012 and higher assessments.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Operating Income</w:t>
      </w:r>
    </w:p>
    <w:p>
      <w:pPr>
        <w:spacing w:after="0" w:line="94"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Property operating income increased $6.5 million, or 6.2%, to $110.6 million in the three months ended March 31, 2013 compared to $104.1 million in the three months ended March 31, 2012. This increase is primarily due to growth in earnings at same-center properties, properties acquired in 2012 and redevelopment properties.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92"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Interest expense decreased $1.4 million, or 4.8%, to $27.4 million in the three months ended March 31, 2013 compared to $28.8 million in the three months ended March 31, 2012. This decrease is due primarily to the following:</w:t>
      </w:r>
    </w:p>
    <w:p>
      <w:pPr>
        <w:spacing w:after="0" w:line="2" w:lineRule="exact"/>
        <w:rPr>
          <w:sz w:val="20"/>
          <w:szCs w:val="20"/>
          <w:color w:val="auto"/>
        </w:rPr>
      </w:pPr>
    </w:p>
    <w:p>
      <w:pPr>
        <w:ind w:left="1700" w:hanging="801"/>
        <w:spacing w:after="0"/>
        <w:tabs>
          <w:tab w:leader="none" w:pos="1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$2.4 million due to a lower overall weighted average borrowing rate, and</w:t>
      </w:r>
    </w:p>
    <w:p>
      <w:pPr>
        <w:spacing w:after="0" w:line="63"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$0.4 million in capitalized interest,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63" w:lineRule="exact"/>
        <w:rPr>
          <w:sz w:val="20"/>
          <w:szCs w:val="20"/>
          <w:color w:val="auto"/>
        </w:rPr>
      </w:pPr>
    </w:p>
    <w:p>
      <w:pPr>
        <w:ind w:left="1700" w:hanging="801"/>
        <w:spacing w:after="0"/>
        <w:tabs>
          <w:tab w:leader="none" w:pos="1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$1.4 million due to higher borrowings.</w:t>
      </w:r>
    </w:p>
    <w:p>
      <w:pPr>
        <w:spacing w:after="0" w:line="17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Gross interest costs were $30.2 million and $31.3 million in the three months ended March 31, 2013 and 2012, respectively. Capitalized interest was $2.8 million and $2.5 million in the three months ended March 31, 2013 and 2012,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9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increased $4.1 million, or 11.1%, to $40.6 million in the three months ended March 31, 2013 from $36.6 million in the three months ended March 31, 2012. This increase is due primarily to 2012 acquisitions and accelerated depreciation due to the change in use of a redevelopment property.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Sale of Real Estate in Real Estate Partnership</w:t>
      </w:r>
    </w:p>
    <w:p>
      <w:pPr>
        <w:spacing w:after="0" w:line="92"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7"/>
          <w:szCs w:val="17"/>
          <w:color w:val="auto"/>
        </w:rPr>
        <w:t>The $11.9 million gain on sale of real estate in real estate partnership in the three months ended March 31, 2012 is due to the sale of our Newbury Street Partnership's entire portfolio of three buildings on October 31, 2011. Due to the timing of receiving financial information from the general partner, our share of earnings was recorded one quarter in arrears. Therefore, we recognized the gain on sale of $11.9 million in the three months ended March 31, 2012.</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4"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9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February 2013, the FASB issued ASU 2013-2, “Comprehensive Income (Topic 220): Reporting Amounts Reclassified Out of Accumulated Other Comprehensive Income.” ASU 2013-2 requires entities to disclose certain information relating to amounts reclassified out of accumulated other comprehensive income. We adopted the standard effective January 1, 2013 and it did not have a significant impact to our consolidated financial statements.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Due to the nature of our business and strategy, we typically generate significant amounts of cash from operations. The cash generated from operations is primarily paid to our common and preferred shareholders in the form of dividends. As a REIT, we must generally make annual distributions to shareholders of at least 90% of our taxable income.</w:t>
      </w:r>
    </w:p>
    <w:p>
      <w:pPr>
        <w:spacing w:after="0" w:line="12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Our short-term liquidity requirements consist primarily of normal recurring operating expenses, obligations under our capital and operating leases, regular debt service requirements (including debt service relating to additional or replacement debt, as well as scheduled debt maturities), recurring expenditures, non-recurring expenditures (such as tenant improvements and redevelopments) and dividends to common and preferred shareholders. Our long-term capital requirements consist primarily of maturities under our long-term debt agreements, development and redevelopment costs and potential acquisitions.</w:t>
      </w:r>
    </w:p>
    <w:p>
      <w:pPr>
        <w:spacing w:after="0" w:line="126"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We intend to operate with and maintain a conservative capital structure that will allow us to maintain strong debt service coverage and fixed-charge coverage ratios as part of our commitment to investment-grade debt ratings. In the short and long term, we may seek to obtain funds through the issuance of additional equity, unsecured and/or secured debt financings, joint venture relationships relating to existing properties or new acquisitions, and property dispositions that are consistent with this conservative structure.</w:t>
      </w:r>
    </w:p>
    <w:p>
      <w:pPr>
        <w:spacing w:after="0" w:line="12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Cash and cash equivalents decreased $5.7 million to $31.3 million at March 31, 2013; however, cash and cash equivalents are not the only indicator of our liquidity. Our $400.0 million unsecured revolving credit facility had no borrowings outstanding at March 31, 2013. On April 22, 2013, we upsized the facility to $600.0 million and extended the maturity date to April 21, 2017, subject to a one-year extension at our option. In addition, we have an option (subject to bank approval) to increase the credit facility through an accordion feature to $1.0 billion. Our $275.0 million unsecured term loan which matures on November 21, 2018 also has an option (subject to bank approval) to increase the term loan through an accordion feature to $350.0 million. As of March 31, 2013, we had the capacity to issue up to $180.7 million in common shares under our ATM equity program.</w:t>
      </w:r>
    </w:p>
    <w:p>
      <w:pPr>
        <w:spacing w:after="0" w:line="5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2013, the maximum amount of borrowings outstanding under our revolving credit facility was $36.0 million, the weighted average amount of borrowings outstanding was $16.9 million and the weighted average interest rate, before amortization of debt fees, was 1.37%. We have approximately $154 million of debt maturing in the remainder of 2013, of which $135.0 million relates to our 5.40% senior notes that mature in December 2013. We currently believe that cash flows from operations, cash on hand, our ATM equity program, our revolving credit facility and our general ability to access the capital markets will be sufficient to finance our operations and fund our debt service requirements (including maturities) and capital expenditures.</w:t>
      </w:r>
    </w:p>
    <w:p>
      <w:pPr>
        <w:spacing w:after="0" w:line="13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overall capital requirements for the remainder of 2013 will depend upon acquisition opportunities, the level of improvements and redevelopments on existing properties and the timing and cost of development of Assembly Row, Pike &amp; Rose and future phases of Santana Row. While the amount of future expenditures will depend on numerous factors, we expect to continue to see higher levels of capital investments in our properties under development and redevelopment in 2013 which is the result of the 212 unit residential building at Santana Row, a portion of which will be completed during 2013, and the continued construction of Phase 1 at both Assembly Row and Pike &amp; Rose with expected openings of portions of both projects in 2014. Over the next two years, we expect to invest approximately $400 million related to the current phases of these three projects. With respect to other capital investments related to our existing properties, we expect to incur levels consistent with prior years. Our capital investments will be funded on a short-term basis with cash flow from operations, cash on hand and/or our revolving credit facility, and on a long-term basis, with long-term debt or equity including shares issued under our ATM equity program. If necessary, we may access the debt or equity capital markets to finance significant acquisitions. Given our past ability to access the capital markets, we expect debt or equity to be available to us. Although there is no intent at this time, if market conditions deteriorate, we may also delay the timing of certain development and redevelopment projects as well as limit future acquisitions, reduce our operating expenditures, or re-evaluate our dividend policy.</w:t>
      </w:r>
    </w:p>
    <w:p>
      <w:pPr>
        <w:spacing w:after="0" w:line="13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to conditions in the capital markets which could affect our ability to access those markets, the following factors could affect our ability to meet our liquidity requirements:</w:t>
      </w:r>
    </w:p>
    <w:p>
      <w:pPr>
        <w:ind w:left="1700" w:right="20" w:hanging="801"/>
        <w:spacing w:after="0" w:line="261" w:lineRule="auto"/>
        <w:tabs>
          <w:tab w:leader="none" w:pos="1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in our debt instruments or preferred shares may limit us from incurring debt or issuing equity at all, or on acceptable terms under then-prevailing market conditions; and</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124" w:right="2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46" w:lineRule="exact"/>
        <w:rPr>
          <w:sz w:val="20"/>
          <w:szCs w:val="20"/>
          <w:color w:val="auto"/>
        </w:rPr>
      </w:pPr>
    </w:p>
    <w:p>
      <w:pPr>
        <w:ind w:left="1700" w:hanging="801"/>
        <w:spacing w:after="0"/>
        <w:tabs>
          <w:tab w:leader="none" w:pos="1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service additional or replacement debt due to increases in interest rates or a decline in our operating performance.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Cash Flows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85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196"/>
        </w:trPr>
        <w:tc>
          <w:tcPr>
            <w:tcW w:w="8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7"/>
                <w:szCs w:val="17"/>
                <w:color w:val="auto"/>
              </w:rPr>
            </w:pPr>
          </w:p>
        </w:tc>
      </w:tr>
      <w:tr>
        <w:trPr>
          <w:trHeight w:val="255"/>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67,693</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69,457</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(45,675)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(39,282)</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(28,799)</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(Decrease) increase in cash and cash equivalents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(5,714)</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1,376</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36,988</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67,806</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31,274</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69,182</w:t>
            </w:r>
          </w:p>
        </w:tc>
      </w:tr>
      <w:tr>
        <w:trPr>
          <w:trHeight w:val="27"/>
        </w:trPr>
        <w:tc>
          <w:tcPr>
            <w:tcW w:w="8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decreased $1.8 million to $67.7 million during the three months ended March 31, 2013 from $69.5 million during the three months ended March 31, 2012. The decrease was primarily attributable to lower prepaid rent partially offset by higher net income before certain non-cash items.</w:t>
      </w:r>
    </w:p>
    <w:p>
      <w:pPr>
        <w:spacing w:after="0" w:line="12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increased $6.4 million to $45.7 million during the three months ended March 31, 2013 from $39.3 million during the three months ended March 31, 2012. The increase was primarily attributable to a $5.8 million increase in capital investments in 2013.</w:t>
      </w:r>
    </w:p>
    <w:p>
      <w:pPr>
        <w:spacing w:after="0" w:line="108"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auto"/>
        </w:rPr>
        <w:t>Net cash used in financing activities decreased $1.1 million to $27.7 million during the three months ended March 31, 2013 from $28.8 million during the three months ended March 31, 2012. The decrease was primarily attributable to:</w:t>
      </w:r>
    </w:p>
    <w:p>
      <w:pPr>
        <w:spacing w:after="0" w:line="2" w:lineRule="exact"/>
        <w:rPr>
          <w:sz w:val="20"/>
          <w:szCs w:val="20"/>
          <w:color w:val="auto"/>
        </w:rPr>
      </w:pPr>
    </w:p>
    <w:p>
      <w:pPr>
        <w:jc w:val="both"/>
        <w:ind w:left="1700" w:right="180" w:hanging="801"/>
        <w:spacing w:after="0" w:line="266" w:lineRule="auto"/>
        <w:tabs>
          <w:tab w:leader="none" w:pos="1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 million increase in net proceeds from the issuance of common shares due primarily to the sale of 0.3 million shares under our ATM equity program in the three months ended March 31, 2013 compared to 0.2 million in the three months ended March 31, 2012, and</w:t>
      </w:r>
    </w:p>
    <w:p>
      <w:pPr>
        <w:spacing w:after="0" w:line="14"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million decrease due to lower redemptions of noncontrolling interests,</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63" w:lineRule="exact"/>
        <w:rPr>
          <w:sz w:val="20"/>
          <w:szCs w:val="20"/>
          <w:color w:val="auto"/>
        </w:rPr>
      </w:pPr>
    </w:p>
    <w:p>
      <w:pPr>
        <w:ind w:left="1700" w:right="280" w:hanging="801"/>
        <w:spacing w:after="0" w:line="281" w:lineRule="auto"/>
        <w:tabs>
          <w:tab w:leader="none" w:pos="1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 million increase in repayment of mortgages, capital leases and notes payable due to the payoff of the $9.0 million mortgage at White Marsh Plaza, and</w:t>
      </w:r>
    </w:p>
    <w:p>
      <w:pPr>
        <w:spacing w:after="0" w:line="1" w:lineRule="exact"/>
        <w:rPr>
          <w:rFonts w:ascii="Times New Roman" w:cs="Times New Roman" w:eastAsia="Times New Roman" w:hAnsi="Times New Roman"/>
          <w:sz w:val="18"/>
          <w:szCs w:val="18"/>
          <w:color w:val="auto"/>
        </w:rPr>
      </w:pPr>
    </w:p>
    <w:p>
      <w:pPr>
        <w:ind w:left="1700" w:right="680" w:hanging="801"/>
        <w:spacing w:after="0" w:line="282" w:lineRule="auto"/>
        <w:tabs>
          <w:tab w:leader="none" w:pos="1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million increase in dividends paid to shareholders due to an increase in the dividend rate and increased number of shares outstanding.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9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have a joint venture arrangement (the “Partnership”) with affiliates of a discretionary fund created and advised by ING Clarion Partners (“Clarion”). We own 30% of the equity in the Partnership and Clarion owns 70%. We hold a general partnership interest, however, Clarion also holds a general partnership interest and has substantive participating rights. We cannot make significant decisions without Clarion’s approval. Accordingly, we account for our interest in the Partnership using the equity method. As of March 31, 2013, the Partnership owned seven retail real estate properties. We are the manager of the Partnership and its properties, earning fees for acquisitions, management, leasing and financing. We also have the opportunity to receive performance-based earnings through our Partnership interest. The Partnership is subject to a buy-sell provision which is customary in real estate joint venture agreements and the industry. Either partner may initiate this provision at any time, which could result in either the sale of our interest or the use of available cash or borrowings to acquire Clarion’s interest. Accounting policies for the Partnership are similar to accounting policies followed by the Trust. At March 31, 2013, our investment in the Partnership was $33.1 million and the Partnership had approximately $57.1 million of mortgages payable outstanding.</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4"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Financing Arrangements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our total debt outstanding as of March 31, 2013:</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148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Original</w:t>
            </w:r>
          </w:p>
        </w:tc>
        <w:tc>
          <w:tcPr>
            <w:tcW w:w="120" w:type="dxa"/>
            <w:vAlign w:val="bottom"/>
          </w:tcPr>
          <w:p>
            <w:pPr>
              <w:spacing w:after="0"/>
              <w:rPr>
                <w:sz w:val="13"/>
                <w:szCs w:val="13"/>
                <w:color w:val="auto"/>
              </w:rPr>
            </w:pPr>
          </w:p>
        </w:tc>
        <w:tc>
          <w:tcPr>
            <w:tcW w:w="156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Principal Balance as of</w:t>
            </w:r>
          </w:p>
        </w:tc>
        <w:tc>
          <w:tcPr>
            <w:tcW w:w="120" w:type="dxa"/>
            <w:vAlign w:val="bottom"/>
          </w:tcPr>
          <w:p>
            <w:pPr>
              <w:spacing w:after="0"/>
              <w:rPr>
                <w:sz w:val="13"/>
                <w:szCs w:val="13"/>
                <w:color w:val="auto"/>
              </w:rPr>
            </w:pPr>
          </w:p>
        </w:tc>
        <w:tc>
          <w:tcPr>
            <w:tcW w:w="18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Stated Interest Rate as of</w:t>
            </w:r>
          </w:p>
        </w:tc>
        <w:tc>
          <w:tcPr>
            <w:tcW w:w="2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 of Debt</w:t>
            </w:r>
          </w:p>
        </w:tc>
        <w:tc>
          <w:tcPr>
            <w:tcW w:w="148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12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2160" w:type="dxa"/>
            <w:vAlign w:val="bottom"/>
            <w:vMerge w:val="restart"/>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0" w:type="dxa"/>
            <w:vAlign w:val="bottom"/>
          </w:tcPr>
          <w:p>
            <w:pPr>
              <w:spacing w:after="0"/>
              <w:rPr>
                <w:sz w:val="1"/>
                <w:szCs w:val="1"/>
                <w:color w:val="auto"/>
              </w:rPr>
            </w:pPr>
          </w:p>
        </w:tc>
      </w:tr>
      <w:tr>
        <w:trPr>
          <w:trHeight w:val="195"/>
        </w:trPr>
        <w:tc>
          <w:tcPr>
            <w:tcW w:w="4120" w:type="dxa"/>
            <w:vAlign w:val="bottom"/>
            <w:vMerge w:val="continue"/>
          </w:tcPr>
          <w:p>
            <w:pPr>
              <w:spacing w:after="0"/>
              <w:rPr>
                <w:sz w:val="16"/>
                <w:szCs w:val="16"/>
                <w:color w:val="auto"/>
              </w:rPr>
            </w:pPr>
          </w:p>
        </w:tc>
        <w:tc>
          <w:tcPr>
            <w:tcW w:w="148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Issued</w:t>
            </w:r>
          </w:p>
        </w:tc>
        <w:tc>
          <w:tcPr>
            <w:tcW w:w="120" w:type="dxa"/>
            <w:vAlign w:val="bottom"/>
          </w:tcPr>
          <w:p>
            <w:pPr>
              <w:spacing w:after="0"/>
              <w:rPr>
                <w:sz w:val="16"/>
                <w:szCs w:val="16"/>
                <w:color w:val="auto"/>
              </w:rPr>
            </w:pPr>
          </w:p>
        </w:tc>
        <w:tc>
          <w:tcPr>
            <w:tcW w:w="156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March 31, 2013</w:t>
            </w:r>
          </w:p>
        </w:tc>
        <w:tc>
          <w:tcPr>
            <w:tcW w:w="120" w:type="dxa"/>
            <w:vAlign w:val="bottom"/>
          </w:tcPr>
          <w:p>
            <w:pPr>
              <w:spacing w:after="0"/>
              <w:rPr>
                <w:sz w:val="16"/>
                <w:szCs w:val="16"/>
                <w:color w:val="auto"/>
              </w:rPr>
            </w:pP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March 31, 2013</w:t>
            </w:r>
          </w:p>
        </w:tc>
        <w:tc>
          <w:tcPr>
            <w:tcW w:w="2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3160" w:type="dxa"/>
            <w:vAlign w:val="bottom"/>
            <w:tcBorders>
              <w:top w:val="single" w:sz="8" w:color="auto"/>
            </w:tcBorders>
            <w:gridSpan w:val="3"/>
          </w:tcPr>
          <w:p>
            <w:pPr>
              <w:jc w:val="right"/>
              <w:ind w:right="799"/>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tcPr>
          <w:p>
            <w:pPr>
              <w:spacing w:after="0"/>
              <w:rPr>
                <w:sz w:val="21"/>
                <w:szCs w:val="21"/>
                <w:color w:val="auto"/>
              </w:rPr>
            </w:pPr>
          </w:p>
        </w:tc>
        <w:tc>
          <w:tcPr>
            <w:tcW w:w="17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Mortgages payable (1)</w:t>
            </w: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i w:val="1"/>
                <w:iCs w:val="1"/>
                <w:color w:val="auto"/>
              </w:rPr>
              <w:t>Secured fixed rate</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1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Crow Canyon</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Acquired</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19,360</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August 11, 2013</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Idylwood Plaza</w:t>
            </w:r>
          </w:p>
        </w:tc>
        <w:tc>
          <w:tcPr>
            <w:tcW w:w="14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16,910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15,912</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June 5, 2014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Leesburg Plaza</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29,423</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27,687</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June 5, 2014</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Loehmann’s Plaza</w:t>
            </w:r>
          </w:p>
        </w:tc>
        <w:tc>
          <w:tcPr>
            <w:tcW w:w="14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38,047</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35,802</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June 5, 2014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Pentagon Row</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54,619</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51,395</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June 5, 2014</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Melville Mall (2)</w:t>
            </w:r>
          </w:p>
        </w:tc>
        <w:tc>
          <w:tcPr>
            <w:tcW w:w="14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Acquired</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21,333</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September 1, 2014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THE AVENUE at White Marsh</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Acquired</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55,008</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January 1, 2015</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Barracks Road</w:t>
            </w:r>
          </w:p>
        </w:tc>
        <w:tc>
          <w:tcPr>
            <w:tcW w:w="14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44,300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37,827</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November 1, 2015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Hauppauge</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16,700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14,260</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November 1, 2015</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Lawrence Park</w:t>
            </w:r>
          </w:p>
        </w:tc>
        <w:tc>
          <w:tcPr>
            <w:tcW w:w="14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31,400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26,812</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November 1, 2015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Wildwood</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27,600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23,567</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November 1, 2015</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Wynnewood</w:t>
            </w:r>
          </w:p>
        </w:tc>
        <w:tc>
          <w:tcPr>
            <w:tcW w:w="14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32,000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27,325</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November 1, 2015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Brick Plaza</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33,000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27,844</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November 1, 2015</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East Bay Bridge</w:t>
            </w:r>
          </w:p>
        </w:tc>
        <w:tc>
          <w:tcPr>
            <w:tcW w:w="14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Acquired</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62,698</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March 1, 2016</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Plaza El Segundo</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Acquired</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175,000</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August 5, 2017</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Rollingwood Apartments</w:t>
            </w:r>
          </w:p>
        </w:tc>
        <w:tc>
          <w:tcPr>
            <w:tcW w:w="14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24,050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22,795</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May 1, 2019</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29th Place (Shoppers’ World)</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Acquired</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5,245</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January 31, 2021</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Montrose Crossing</w:t>
            </w:r>
          </w:p>
        </w:tc>
        <w:tc>
          <w:tcPr>
            <w:tcW w:w="14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80,000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78,407</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January 10, 2022</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Chelsea</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Acquired</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7,408</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w:t>
            </w:r>
          </w:p>
        </w:tc>
        <w:tc>
          <w:tcPr>
            <w:tcW w:w="10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January 15, 2031</w:t>
            </w:r>
          </w:p>
        </w:tc>
        <w:tc>
          <w:tcPr>
            <w:tcW w:w="0" w:type="dxa"/>
            <w:vAlign w:val="bottom"/>
          </w:tcPr>
          <w:p>
            <w:pPr>
              <w:spacing w:after="0"/>
              <w:rPr>
                <w:sz w:val="1"/>
                <w:szCs w:val="1"/>
                <w:color w:val="auto"/>
              </w:rPr>
            </w:pPr>
          </w:p>
        </w:tc>
      </w:tr>
      <w:tr>
        <w:trPr>
          <w:trHeight w:val="217"/>
        </w:trPr>
        <w:tc>
          <w:tcPr>
            <w:tcW w:w="412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Subtotal</w:t>
            </w:r>
          </w:p>
        </w:tc>
        <w:tc>
          <w:tcPr>
            <w:tcW w:w="14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735,685</w:t>
            </w: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Net unamortized premium</w:t>
            </w:r>
          </w:p>
        </w:tc>
        <w:tc>
          <w:tcPr>
            <w:tcW w:w="14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12,293</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12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Total mortgages payable</w:t>
            </w:r>
          </w:p>
        </w:tc>
        <w:tc>
          <w:tcPr>
            <w:tcW w:w="14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747,978</w:t>
            </w: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Notes payable</w:t>
            </w: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12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5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7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1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i w:val="1"/>
                <w:iCs w:val="1"/>
                <w:color w:val="auto"/>
              </w:rPr>
              <w:t>Unsecured fixed rate</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1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Term loan (3)</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275,000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275,000</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LIBOR + 1.45%</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November 21, 2018</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Various (4)</w:t>
            </w:r>
          </w:p>
        </w:tc>
        <w:tc>
          <w:tcPr>
            <w:tcW w:w="14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15,487</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15,195</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Various through 2027</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Unsecured variable rate</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Revolving credit facility (5)</w:t>
            </w:r>
          </w:p>
        </w:tc>
        <w:tc>
          <w:tcPr>
            <w:tcW w:w="14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400,000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8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LIBOR + 1.15%</w:t>
            </w: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July 6, 2015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Escondido (municipal bonds) (6)</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9,400</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9,400</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10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October 1, 2016</w:t>
            </w:r>
          </w:p>
        </w:tc>
        <w:tc>
          <w:tcPr>
            <w:tcW w:w="0" w:type="dxa"/>
            <w:vAlign w:val="bottom"/>
          </w:tcPr>
          <w:p>
            <w:pPr>
              <w:spacing w:after="0"/>
              <w:rPr>
                <w:sz w:val="1"/>
                <w:szCs w:val="1"/>
                <w:color w:val="auto"/>
              </w:rPr>
            </w:pPr>
          </w:p>
        </w:tc>
      </w:tr>
      <w:tr>
        <w:trPr>
          <w:trHeight w:val="217"/>
        </w:trPr>
        <w:tc>
          <w:tcPr>
            <w:tcW w:w="412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Total notes payable</w:t>
            </w:r>
          </w:p>
        </w:tc>
        <w:tc>
          <w:tcPr>
            <w:tcW w:w="14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299,595</w:t>
            </w: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Senior notes and debentures</w:t>
            </w: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12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5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7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1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i w:val="1"/>
                <w:iCs w:val="1"/>
                <w:color w:val="auto"/>
              </w:rPr>
              <w:t>Unsecured fixed rate</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1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5.40% notes</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135,000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135,000</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December 1, 2013</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5.95% notes</w:t>
            </w:r>
          </w:p>
        </w:tc>
        <w:tc>
          <w:tcPr>
            <w:tcW w:w="14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150,000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150,000</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August 15, 2014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5.65% notes</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125,000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125,000</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June 1, 2016</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6.20% notes</w:t>
            </w:r>
          </w:p>
        </w:tc>
        <w:tc>
          <w:tcPr>
            <w:tcW w:w="14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200,000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200,000</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6.20%</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January 15, 2017</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5.90% notes</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150,000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150,000</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April 1, 2020</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3.00% notes</w:t>
            </w:r>
          </w:p>
        </w:tc>
        <w:tc>
          <w:tcPr>
            <w:tcW w:w="14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250,000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250,000</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August 1, 2022</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7.48% debentures</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29,200</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August 15, 2026</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6.82% medium term notes</w:t>
            </w:r>
          </w:p>
        </w:tc>
        <w:tc>
          <w:tcPr>
            <w:tcW w:w="14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40,000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40,000</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August 1, 2027</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Subtotal</w:t>
            </w:r>
          </w:p>
        </w:tc>
        <w:tc>
          <w:tcPr>
            <w:tcW w:w="1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1,079,200</w:t>
            </w:r>
          </w:p>
        </w:tc>
        <w:tc>
          <w:tcPr>
            <w:tcW w:w="1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Net unamortized discount</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(2,565)</w:t>
            </w: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senior notes and debentures</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1,076,635</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Capital lease obligations</w:t>
            </w:r>
          </w:p>
        </w:tc>
        <w:tc>
          <w:tcPr>
            <w:tcW w:w="14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1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12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Various</w:t>
            </w:r>
          </w:p>
        </w:tc>
        <w:tc>
          <w:tcPr>
            <w:tcW w:w="14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71,687</w:t>
            </w:r>
          </w:p>
        </w:tc>
        <w:tc>
          <w:tcPr>
            <w:tcW w:w="12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Various</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Various through 2106</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Total debt and capital lease obligations</w:t>
            </w:r>
          </w:p>
        </w:tc>
        <w:tc>
          <w:tcPr>
            <w:tcW w:w="14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2,195,895</w:t>
            </w: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w:t>
            </w:r>
          </w:p>
        </w:tc>
        <w:tc>
          <w:tcPr>
            <w:tcW w:w="14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vMerge w:val="continu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vMerge w:val="continue"/>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660" w:right="240" w:hanging="652"/>
        <w:spacing w:after="0" w:line="28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payable do not include our 30% share ($17.1 million) of the $57.1 million debt of the partnership with a discretionary fund created and advised by ING Clarion Partners.</w:t>
      </w:r>
    </w:p>
    <w:p>
      <w:pPr>
        <w:spacing w:after="0" w:line="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acquired control of Melville Mall through a 20-year master lease and secondary financing. Because we control the activities that most</w:t>
      </w:r>
    </w:p>
    <w:p>
      <w:pPr>
        <w:sectPr>
          <w:pgSz w:w="11900" w:h="16838" w:orient="portrait"/>
          <w:cols w:equalWidth="0" w:num="1">
            <w:col w:w="11420"/>
          </w:cols>
          <w:pgMar w:left="240" w:top="124" w:right="239" w:bottom="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color w:val="auto"/>
        </w:rPr>
        <w:t>significantly impact this property and retain substantially all of the economic benefit and risk</w:t>
      </w:r>
    </w:p>
    <w:p>
      <w:pPr>
        <w:sectPr>
          <w:pgSz w:w="11900" w:h="16838" w:orient="portrait"/>
          <w:cols w:equalWidth="0" w:num="1">
            <w:col w:w="9559"/>
          </w:cols>
          <w:pgMar w:left="900" w:top="121" w:right="1440" w:bottom="1440" w:gutter="0" w:footer="0" w:header="0"/>
        </w:sectPr>
      </w:pPr>
    </w:p>
    <w:p>
      <w:pPr>
        <w:spacing w:after="0" w:line="26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9559"/>
          </w:cols>
          <w:pgMar w:left="900" w:top="121" w:right="1440"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3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associated with it, this property is consolidated and the mortgage loan is reflected on the balance sheet, though it is not our legal obligation.</w:t>
      </w:r>
    </w:p>
    <w:p>
      <w:pPr>
        <w:spacing w:after="0" w:line="77" w:lineRule="exact"/>
        <w:rPr>
          <w:sz w:val="20"/>
          <w:szCs w:val="20"/>
          <w:color w:val="auto"/>
        </w:rPr>
      </w:pPr>
    </w:p>
    <w:p>
      <w:pPr>
        <w:ind w:left="660" w:right="60" w:hanging="652"/>
        <w:spacing w:after="0" w:line="28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entered into two interest rate swap agreements that effectively fix the rate on the term loan at 3.17%. The fixed rate was lowered to 3.02% based on our credit rating as of May 1, 2013.</w:t>
      </w:r>
    </w:p>
    <w:p>
      <w:pPr>
        <w:spacing w:after="0" w:line="1" w:lineRule="exact"/>
        <w:rPr>
          <w:rFonts w:ascii="Times New Roman" w:cs="Times New Roman" w:eastAsia="Times New Roman" w:hAnsi="Times New Roman"/>
          <w:sz w:val="18"/>
          <w:szCs w:val="18"/>
          <w:color w:val="auto"/>
        </w:rPr>
      </w:pPr>
    </w:p>
    <w:p>
      <w:pPr>
        <w:ind w:left="660" w:right="580" w:hanging="652"/>
        <w:spacing w:after="0" w:line="28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of 5.28% represents the weighted average interest rate for nine unsecured fixed rate notes payable. These notes mature from November 15, 2014 to June 27, 2027.</w:t>
      </w:r>
    </w:p>
    <w:p>
      <w:pPr>
        <w:spacing w:after="0" w:line="1" w:lineRule="exact"/>
        <w:rPr>
          <w:rFonts w:ascii="Times New Roman" w:cs="Times New Roman" w:eastAsia="Times New Roman" w:hAnsi="Times New Roman"/>
          <w:sz w:val="18"/>
          <w:szCs w:val="18"/>
          <w:color w:val="auto"/>
        </w:rPr>
      </w:pPr>
    </w:p>
    <w:p>
      <w:pPr>
        <w:ind w:left="660" w:right="20" w:hanging="652"/>
        <w:spacing w:after="0" w:line="26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amount drawn under our revolving credit facility during the three months ended March 31, 2013 was $36.0 million, and the weighted average interest rate on borrowings under our revolving credit facility, before amortization of debt fees, was 1.37%. On April 22, 2013, we upsized our $400.0 million revolving credit facility to $600.0 million and extended the maturity date to April 21, 2017, subject to a one-year extension at our option. Under the amended credit facility, the spread over LIBOR is 90 basis points based on our credit rating as of May 1, 2013.</w:t>
      </w:r>
    </w:p>
    <w:p>
      <w:pPr>
        <w:spacing w:after="0" w:line="17" w:lineRule="exact"/>
        <w:rPr>
          <w:rFonts w:ascii="Times New Roman" w:cs="Times New Roman" w:eastAsia="Times New Roman" w:hAnsi="Times New Roman"/>
          <w:sz w:val="18"/>
          <w:szCs w:val="18"/>
          <w:color w:val="auto"/>
        </w:rPr>
      </w:pPr>
    </w:p>
    <w:p>
      <w:pPr>
        <w:ind w:left="660" w:right="400" w:hanging="652"/>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bonds require monthly interest only payments through maturity. The bonds bear interest at a variable rate determined weekly, which would enable the bonds to be remarketed at 100% of their principal amount. The Escondido Promenade property is not encumbered by a lien.</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revolving credit facility, term loan and other debt agreements include financial and other covenants that may limit our operating activities in the future. As of March 31, 2013, we were in compliance with all of the financial and other covenants. If we were to breach any of our debt covenants and did not cure the breach within an applicable cure period, our lenders could require us to repay the debt immediately and, if the debt is secured, could immediately begin proceedings to take possession of the property securing the loan. Many of our debt arrangements, including our public notes, term loan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 Our organizational documents do not limit the level or amount of debt that we may incur.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our scheduled principal repayments as of March 31, 2013:</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Unsecured</w:t>
            </w:r>
          </w:p>
        </w:tc>
        <w:tc>
          <w:tcPr>
            <w:tcW w:w="4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Secured</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Capital Lease</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2013</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135,276</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28,248</w:t>
            </w:r>
          </w:p>
        </w:tc>
        <w:tc>
          <w:tcPr>
            <w:tcW w:w="4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163,543</w:t>
            </w:r>
          </w:p>
        </w:tc>
        <w:tc>
          <w:tcPr>
            <w:tcW w:w="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2014</w:t>
            </w: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160,249</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158,855</w:t>
            </w: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319,129</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2015</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275</w:t>
            </w:r>
          </w:p>
        </w:tc>
        <w:tc>
          <w:tcPr>
            <w:tcW w:w="4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206,007</w:t>
            </w: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206,309</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134,702</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62,412</w:t>
            </w: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197,144</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200,335</w:t>
            </w: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177,654</w:t>
            </w: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378,023</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747,958</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102,509</w:t>
            </w: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71,552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922,019</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1,378,795</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735,685</w:t>
            </w:r>
          </w:p>
        </w:tc>
        <w:tc>
          <w:tcPr>
            <w:tcW w:w="46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71,687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2,186,167</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660" w:right="100" w:hanging="652"/>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$400.0 million revolving credit facility matures on July 6, 2015, subject to a one-year extension at our option. As of March 31, 2013, there was nothing drawn under our revolving credit facility. On April 22, 2013, we upsized our revolving credit facility to $600.0 million and extended the maturity date to April 21, 2017, subject to a one-year extension at our option.</w:t>
      </w:r>
    </w:p>
    <w:p>
      <w:pPr>
        <w:spacing w:after="0" w:line="14" w:lineRule="exact"/>
        <w:rPr>
          <w:rFonts w:ascii="Times New Roman" w:cs="Times New Roman" w:eastAsia="Times New Roman" w:hAnsi="Times New Roman"/>
          <w:sz w:val="18"/>
          <w:szCs w:val="18"/>
          <w:color w:val="auto"/>
        </w:rPr>
      </w:pPr>
    </w:p>
    <w:p>
      <w:pPr>
        <w:ind w:left="660" w:right="60" w:hanging="652"/>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debt maturities differs from the total reported on the consolidated balance sheet due to the unamortized net premium or discount on certain mortgage loans, senior notes and debentures as of March 31, 2013.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Hedging</w:t>
      </w:r>
    </w:p>
    <w:p>
      <w:pPr>
        <w:spacing w:after="0" w:line="9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spacing w:after="0" w:line="12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interest rate swaps associated with our cash flow hedges are recorded at fair value on a recurring basis. We assess effectiveness of our cash flow hedges both at inception and on an ongoing basis. The effective portion of changes in fair value of the interest rate swaps associated with our cash flow hedges is recorded in other comprehensive income which is included in accumulated other comprehensive loss on our consolidated balance sheet and our consolidated statement of of shareholders'</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380"/>
          </w:cols>
          <w:pgMar w:left="240" w:top="124" w:right="2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8"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equity. Our cash flow hedges become ineffective if critical terms of the hedging instrument and the debt instrument do not perfectly match such as notional amounts, settlement dates, reset dates, calculation period and LIBOR rate. In addition, we evaluate the default risk of the counterparty by monitoring the credit-worthiness of the counterparty which includes reviewing debt ratings and financial performance. However, management does not anticipate non-performance by the counterparty. If a cash flow hedge is deemed ineffective, the ineffective portion of changes in fair value of the interest rate swaps associated with our cash flow hedges is recognized in earnings in the period affected.</w:t>
      </w:r>
    </w:p>
    <w:p>
      <w:pPr>
        <w:spacing w:after="0" w:line="13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November 2011, we entered into two interest rate swap agreements that effectively fixed the rate on the term loan at 3.17%. Both swaps were designated and qualified as cash flow hedges and were recorded at fair value. Hedge ineffectiveness has not impacted earnings as of March 31, 2013, and we do not anticipate it will have a significant effect in the future.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REIT Qualification</w:t>
      </w:r>
    </w:p>
    <w:p>
      <w:pPr>
        <w:spacing w:after="0" w:line="9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We intend to maintain our qualification as a REIT under Section 856(c) of the Code. As a REIT, we generally will not be subject to corporate federal income taxes on income we distribute to our shareholders as long as we satisfy certain technical requirements of the Code, including the requirement to distribute at least 90% of our taxable income to our shareholders.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Funds From Operations</w:t>
      </w:r>
    </w:p>
    <w:p>
      <w:pPr>
        <w:spacing w:after="0" w:line="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Funds from operations (“FFO”) is a supplemental non-GAAP financial measure of real estate companies’ operating performance. The National Association of Real Estate Investment Trusts (“NAREIT”) defines FFO as follows: net income, computed in accordance with the U.S. GAAP, plus real estate related depreciation and amortization and excluding extraordinary items, gains and losses on the sale of real estate, and impairment write-downs of depreciable real estate. We compute FFO in accordance with the NAREIT definition, and we have historically reported our FFO available for common shareholders in addition to our net income and net cash provided by operating activities. It should be noted that FFO:</w:t>
      </w:r>
    </w:p>
    <w:p>
      <w:pPr>
        <w:spacing w:after="0" w:line="22" w:lineRule="exact"/>
        <w:rPr>
          <w:sz w:val="20"/>
          <w:szCs w:val="20"/>
          <w:color w:val="auto"/>
        </w:rPr>
      </w:pPr>
    </w:p>
    <w:p>
      <w:pPr>
        <w:ind w:left="1700" w:right="460" w:hanging="801"/>
        <w:spacing w:after="0" w:line="281" w:lineRule="auto"/>
        <w:tabs>
          <w:tab w:leader="none" w:pos="1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represent cash flows from operating activities in accordance with GAAP (which, unlike FFO, generally reflects all cash effects of transactions and other events in the determination of net income);</w:t>
      </w:r>
    </w:p>
    <w:p>
      <w:pPr>
        <w:spacing w:after="0" w:line="1"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not be considered an alternative to net income as an indication of our performance; and</w:t>
      </w:r>
    </w:p>
    <w:p>
      <w:pPr>
        <w:spacing w:after="0" w:line="63"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necessarily indicative of cash flow as a measure of liquidity or ability to fund cash needs, including the payment of dividends.</w:t>
      </w:r>
    </w:p>
    <w:p>
      <w:pPr>
        <w:spacing w:after="0" w:line="17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3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An increase or decrease in FFO available for common shareholders does not necessarily result in an increase or decrease in aggregate distributions because our Board of Trustees is not required to increase distributions on a quarterly basis unless necessary for us to maintain REIT status. However, we must distribute at least 90% of our taxable income to remain qualified as a REIT. Therefore, a significant increase in FFO will generally require an increase in distributions to shareholders although not necessarily on a proportionate basis.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24"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net income to FFO available for common shareholders is as follows: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3080" w:type="dxa"/>
            <w:vAlign w:val="bottom"/>
            <w:tcBorders>
              <w:bottom w:val="single" w:sz="8" w:color="auto"/>
            </w:tcBorders>
            <w:gridSpan w:val="5"/>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196"/>
        </w:trPr>
        <w:tc>
          <w:tcPr>
            <w:tcW w:w="8340" w:type="dxa"/>
            <w:vAlign w:val="bottom"/>
          </w:tcPr>
          <w:p>
            <w:pPr>
              <w:spacing w:after="0"/>
              <w:rPr>
                <w:sz w:val="17"/>
                <w:szCs w:val="17"/>
                <w:color w:val="auto"/>
              </w:rPr>
            </w:pPr>
          </w:p>
        </w:tc>
        <w:tc>
          <w:tcPr>
            <w:tcW w:w="3080" w:type="dxa"/>
            <w:vAlign w:val="bottom"/>
            <w:gridSpan w:val="5"/>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0" w:type="dxa"/>
            <w:vAlign w:val="bottom"/>
          </w:tcPr>
          <w:p>
            <w:pPr>
              <w:spacing w:after="0"/>
              <w:rPr>
                <w:sz w:val="1"/>
                <w:szCs w:val="1"/>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35,842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44,122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on sale of real estate in real estate partnership</w:t>
            </w:r>
          </w:p>
        </w:tc>
        <w:tc>
          <w:tcPr>
            <w:tcW w:w="9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 of real estate assets</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6"/>
              </w:rPr>
              <w:t>36,562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32,415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initial direct costs of leases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2,936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of joint venture real estate assets</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Funds from operations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74,294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66,858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 on preferred shares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attributable to operating partnership units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attributable to unvested shares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Funds from operations available for common shareholders</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74,050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66,654</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Weighted average number of common shares, diluted (1)</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6"/>
              </w:rPr>
              <w:t>65,158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63,943</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Funds from operations available for common shareholders, per diluted share</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jc w:val="both"/>
        <w:ind w:left="660" w:right="60" w:hanging="652"/>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common shares used to compute FFO per diluted common share includes operating partnership units that were excluded from the computation of diluted EPS. Conversion of these operating partnership units is dilutive in the computation of FFO per diluted common share but is anti-dilutive for the computation of diluted EPS for the periods presented.</w:t>
      </w:r>
    </w:p>
    <w:p>
      <w:pPr>
        <w:spacing w:after="0" w:line="200" w:lineRule="exact"/>
        <w:rPr>
          <w:sz w:val="20"/>
          <w:szCs w:val="20"/>
          <w:color w:val="auto"/>
        </w:rPr>
      </w:pPr>
    </w:p>
    <w:p>
      <w:pPr>
        <w:spacing w:after="0" w:line="21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may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 As of March 31, 2013, we were party to two interest rate swap agreements that effectively fixed the rate on the term loan at 3.17%.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9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following discusses the effect of hypothetical changes in market rates of interest on interest expense for our variable rate debt and on the fair value of our total outstanding debt, including our fixed-rate debt. Interest rate risk amounts were determined by considering the impact of hypothetical interest rates on our debt. Quoted market prices were used to estimate the fair value of our marketable senior notes and debentures and discounted cash flow analysis is generally used to estimate the fair value of our mortgages and notes payable. Considerable judgment is necessary to estimate the fair value of financial instruments.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Fixed Interest Rate Debt</w:t>
      </w:r>
    </w:p>
    <w:p>
      <w:pPr>
        <w:spacing w:after="0" w:line="92"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majority of our outstanding debt obligations (maturing at various times through 2031 or, with respect to capital lease obligations, through 2106) have fixed interest rates which limit the risk of fluctuating interest rates. However, interest rate fluctuations may affect the fair value of our fixed rate debt instruments. At March 31, 2013, we had $2.2 billion of fixed-rate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4"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3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debt outstanding, including our $275.0 million term loan as the rate is effectively fixed by two interest rate swap agreements, and $71.7 million of capital lease obligations. If market interest rates used to calculate the fair value on our fixed-rate debt instruments at March 31, 2013 had been 1.0% higher, the fair value of those debt instruments on that date would have decreased by approximately $76.2 million. If market interest rates used to calculate the fair value on our fixed-rate debt instruments at March 31, 2013 had been 1.0% lower, the fair value of those debt instruments on that date would have increased by approximately $80.3 million.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Interest Rate Debt</w:t>
      </w:r>
    </w:p>
    <w:p>
      <w:pPr>
        <w:spacing w:after="0" w:line="9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Generally, we believe that our primary interest rate risk is due to fluctuations in interest rates on our variable rate debt. At March 31, 2013, we had $9.4 million of variable rate debt outstanding which consisted of municipal bonds. Our revolving credit facility had no outstanding balance as of March 31, 2013. Based upon this amount of variable rate debt and the specific terms, if market interest rates increased 1.0%, our annual interest expense would increase by approximately $0.1 million, and our net income and cash flows for the year would decrease by approximately $0.1 million. Conversely, if market interest rates decreased 1.0%, our annual interest expense would decrease by less than $0.1 million with a corresponding increase in our net income and cash flows for the year.</w:t>
      </w:r>
    </w:p>
    <w:p>
      <w:pPr>
        <w:spacing w:after="0" w:line="200" w:lineRule="exact"/>
        <w:rPr>
          <w:sz w:val="20"/>
          <w:szCs w:val="20"/>
          <w:color w:val="auto"/>
        </w:rPr>
      </w:pPr>
    </w:p>
    <w:p>
      <w:pPr>
        <w:spacing w:after="0" w:line="22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Periodic Evaluation and Conclusion of Disclosure Controls and Procedures</w:t>
      </w:r>
    </w:p>
    <w:p>
      <w:pPr>
        <w:spacing w:after="0" w:line="9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An evaluation has been performed, under the supervision and with the participation of our management, including our Chief Executive Officer and Chief Financial Officer, of the effectiveness of the design and operation of our disclosure controls and procedures as of March 31, 2013. Based on this evaluation, our management, including our Chief Executive Officer and Chief Financial Officer, concluded that our disclosure controls and procedures were effective as of March 31, 2013 to provide reasonable assurance that information required to be disclosed in our reports filed or submitted under the Securities Exchange Act of 1934 is recorded, processed, summarized and reported within the time periods specified in the rules and forms of the SEC.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94"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quarterly period covered by this reports that materially affected, or is reasonably likely to materially affect, our internal control over financial reporting.</w:t>
      </w:r>
    </w:p>
    <w:p>
      <w:pPr>
        <w:spacing w:after="0" w:line="3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00" w:lineRule="exact"/>
        <w:rPr>
          <w:sz w:val="20"/>
          <w:szCs w:val="20"/>
          <w:color w:val="auto"/>
        </w:rPr>
      </w:pPr>
    </w:p>
    <w:p>
      <w:pPr>
        <w:spacing w:after="0" w:line="26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94"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our Annual Report for the year ended December 31, 2012 filed with the SEC on February 12, 2013. These factors include, but are not limited to, the following:</w:t>
      </w:r>
    </w:p>
    <w:p>
      <w:pPr>
        <w:spacing w:after="0" w:line="2" w:lineRule="exact"/>
        <w:rPr>
          <w:sz w:val="20"/>
          <w:szCs w:val="20"/>
          <w:color w:val="auto"/>
        </w:rPr>
      </w:pPr>
    </w:p>
    <w:p>
      <w:pPr>
        <w:ind w:left="1700" w:right="40" w:hanging="801"/>
        <w:spacing w:after="0" w:line="281" w:lineRule="auto"/>
        <w:tabs>
          <w:tab w:leader="none" w:pos="1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our tenants will not pay rent, may vacate early or may file for bankruptcy or that we may be unable to renew leases or re-let space at favorable rents as leases expire;</w:t>
      </w:r>
    </w:p>
    <w:p>
      <w:pPr>
        <w:spacing w:after="0" w:line="1" w:lineRule="exact"/>
        <w:rPr>
          <w:rFonts w:ascii="Times New Roman" w:cs="Times New Roman" w:eastAsia="Times New Roman" w:hAnsi="Times New Roman"/>
          <w:sz w:val="18"/>
          <w:szCs w:val="18"/>
          <w:color w:val="auto"/>
        </w:rPr>
      </w:pPr>
    </w:p>
    <w:p>
      <w:pPr>
        <w:ind w:left="1700" w:hanging="801"/>
        <w:spacing w:after="0" w:line="266" w:lineRule="auto"/>
        <w:tabs>
          <w:tab w:leader="none" w:pos="1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4" w:lineRule="exact"/>
        <w:rPr>
          <w:rFonts w:ascii="Times New Roman" w:cs="Times New Roman" w:eastAsia="Times New Roman" w:hAnsi="Times New Roman"/>
          <w:sz w:val="18"/>
          <w:szCs w:val="18"/>
          <w:color w:val="auto"/>
        </w:rPr>
      </w:pPr>
    </w:p>
    <w:p>
      <w:pPr>
        <w:ind w:left="1700" w:right="220" w:hanging="801"/>
        <w:spacing w:after="0" w:line="266" w:lineRule="auto"/>
        <w:tabs>
          <w:tab w:leader="none" w:pos="1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14"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normally associated with the real estate industry, including risks that:</w:t>
      </w:r>
    </w:p>
    <w:p>
      <w:pPr>
        <w:spacing w:after="0" w:line="63" w:lineRule="exact"/>
        <w:rPr>
          <w:rFonts w:ascii="Times New Roman" w:cs="Times New Roman" w:eastAsia="Times New Roman" w:hAnsi="Times New Roman"/>
          <w:sz w:val="18"/>
          <w:szCs w:val="18"/>
          <w:color w:val="auto"/>
        </w:rPr>
      </w:pPr>
    </w:p>
    <w:p>
      <w:pPr>
        <w:ind w:left="2760" w:right="500" w:hanging="807"/>
        <w:spacing w:after="0" w:line="282" w:lineRule="auto"/>
        <w:tabs>
          <w:tab w:leader="none" w:pos="27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occupancy levels at our properties and the amount of rent that we receive from our properties may be lower than expected,</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360"/>
          </w:cols>
          <w:pgMar w:left="240" w:top="124" w:right="2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300" w:lineRule="exact"/>
        <w:rPr>
          <w:sz w:val="20"/>
          <w:szCs w:val="20"/>
          <w:color w:val="auto"/>
        </w:rPr>
      </w:pPr>
    </w:p>
    <w:p>
      <w:pPr>
        <w:ind w:left="2760" w:hanging="807"/>
        <w:spacing w:after="0"/>
        <w:tabs>
          <w:tab w:leader="none" w:pos="27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acquisitions may fail to perform as expected,</w:t>
      </w:r>
    </w:p>
    <w:p>
      <w:pPr>
        <w:spacing w:after="0" w:line="63" w:lineRule="exact"/>
        <w:rPr>
          <w:rFonts w:ascii="Times New Roman" w:cs="Times New Roman" w:eastAsia="Times New Roman" w:hAnsi="Times New Roman"/>
          <w:sz w:val="18"/>
          <w:szCs w:val="18"/>
          <w:color w:val="auto"/>
        </w:rPr>
      </w:pPr>
    </w:p>
    <w:p>
      <w:pPr>
        <w:ind w:left="2760" w:hanging="807"/>
        <w:spacing w:after="0"/>
        <w:tabs>
          <w:tab w:leader="none" w:pos="27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acquisitions could result in increased prices for acquisitions,</w:t>
      </w:r>
    </w:p>
    <w:p>
      <w:pPr>
        <w:spacing w:after="0" w:line="63" w:lineRule="exact"/>
        <w:rPr>
          <w:rFonts w:ascii="Times New Roman" w:cs="Times New Roman" w:eastAsia="Times New Roman" w:hAnsi="Times New Roman"/>
          <w:sz w:val="18"/>
          <w:szCs w:val="18"/>
          <w:color w:val="auto"/>
        </w:rPr>
      </w:pPr>
    </w:p>
    <w:p>
      <w:pPr>
        <w:ind w:left="2760" w:hanging="807"/>
        <w:spacing w:after="0"/>
        <w:tabs>
          <w:tab w:leader="none" w:pos="27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issues may develop at our properties and result in unanticipated costs, and</w:t>
      </w:r>
    </w:p>
    <w:p>
      <w:pPr>
        <w:spacing w:after="0" w:line="63" w:lineRule="exact"/>
        <w:rPr>
          <w:rFonts w:ascii="Times New Roman" w:cs="Times New Roman" w:eastAsia="Times New Roman" w:hAnsi="Times New Roman"/>
          <w:sz w:val="18"/>
          <w:szCs w:val="18"/>
          <w:color w:val="auto"/>
        </w:rPr>
      </w:pPr>
    </w:p>
    <w:p>
      <w:pPr>
        <w:ind w:left="2760" w:hanging="807"/>
        <w:spacing w:after="0"/>
        <w:tabs>
          <w:tab w:leader="none" w:pos="27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real estate is illiquid, we may not be able to sell properties when appropriate;</w:t>
      </w:r>
    </w:p>
    <w:p>
      <w:pPr>
        <w:spacing w:after="0" w:line="63"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our growth will be limited if we cannot obtain additional capital;</w:t>
      </w:r>
    </w:p>
    <w:p>
      <w:pPr>
        <w:spacing w:after="0" w:line="63"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general economic conditions, including local economic conditions in our geographic markets;</w:t>
      </w:r>
    </w:p>
    <w:p>
      <w:pPr>
        <w:spacing w:after="0" w:line="63" w:lineRule="exact"/>
        <w:rPr>
          <w:rFonts w:ascii="Times New Roman" w:cs="Times New Roman" w:eastAsia="Times New Roman" w:hAnsi="Times New Roman"/>
          <w:sz w:val="18"/>
          <w:szCs w:val="18"/>
          <w:color w:val="auto"/>
        </w:rPr>
      </w:pPr>
    </w:p>
    <w:p>
      <w:pPr>
        <w:ind w:left="1700" w:right="180" w:hanging="801"/>
        <w:spacing w:after="0" w:line="266" w:lineRule="auto"/>
        <w:tabs>
          <w:tab w:leader="none" w:pos="1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14" w:lineRule="exact"/>
        <w:rPr>
          <w:rFonts w:ascii="Times New Roman" w:cs="Times New Roman" w:eastAsia="Times New Roman" w:hAnsi="Times New Roman"/>
          <w:sz w:val="18"/>
          <w:szCs w:val="18"/>
          <w:color w:val="auto"/>
        </w:rPr>
      </w:pPr>
    </w:p>
    <w:p>
      <w:pPr>
        <w:ind w:left="1700" w:hanging="801"/>
        <w:spacing w:after="0" w:line="266" w:lineRule="auto"/>
        <w:tabs>
          <w:tab w:leader="none" w:pos="1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25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EQUITY SECURITIES AND USE OF PROCEEDS</w:t>
      </w:r>
    </w:p>
    <w:p>
      <w:pPr>
        <w:spacing w:after="0" w:line="94" w:lineRule="exact"/>
        <w:rPr>
          <w:sz w:val="20"/>
          <w:szCs w:val="20"/>
          <w:color w:val="auto"/>
        </w:rPr>
      </w:pPr>
    </w:p>
    <w:p>
      <w:pPr>
        <w:jc w:val="both"/>
        <w:ind w:right="140"/>
        <w:spacing w:after="0" w:line="289" w:lineRule="auto"/>
        <w:rPr>
          <w:sz w:val="20"/>
          <w:szCs w:val="20"/>
          <w:color w:val="auto"/>
        </w:rPr>
      </w:pPr>
      <w:r>
        <w:rPr>
          <w:rFonts w:ascii="Times New Roman" w:cs="Times New Roman" w:eastAsia="Times New Roman" w:hAnsi="Times New Roman"/>
          <w:sz w:val="17"/>
          <w:szCs w:val="17"/>
          <w:color w:val="auto"/>
        </w:rPr>
        <w:t>Under the terms of various operating partnership agreements of certain of our affiliated limited partnerships, the interest of limited partners in those limited partnerships may be redeemed, subject to certain conditions, for cash or an equivalent number of our common shares, at our option. On February 15, 2013 and February 28, 2013, we redeemed 11,238 and 11,238 operating partnership units, respectively, for an equivalent number of our common shares.</w:t>
      </w:r>
    </w:p>
    <w:p>
      <w:pPr>
        <w:spacing w:after="0" w:line="15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94"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A list of exhibits to this Quarterly Report on Form 10-Q is set forth on the Exhibit Index immediately preceding such exhibits and is incorporated herein by reference.</w:t>
      </w: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320"/>
          </w:cols>
          <w:pgMar w:left="240" w:top="12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4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authorized.</w:t>
      </w:r>
    </w:p>
    <w:p>
      <w:pPr>
        <w:spacing w:after="0" w:line="29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189" w:lineRule="exact"/>
        <w:rPr>
          <w:sz w:val="20"/>
          <w:szCs w:val="20"/>
          <w:color w:val="auto"/>
        </w:rPr>
      </w:pPr>
    </w:p>
    <w:p>
      <w:pPr>
        <w:ind w:left="40"/>
        <w:spacing w:after="0"/>
        <w:tabs>
          <w:tab w:leader="none" w:pos="7640" w:val="left"/>
          <w:tab w:leader="none" w:pos="8000" w:val="left"/>
        </w:tabs>
        <w:rPr>
          <w:sz w:val="20"/>
          <w:szCs w:val="20"/>
          <w:color w:val="auto"/>
        </w:rPr>
      </w:pPr>
      <w:r>
        <w:rPr>
          <w:rFonts w:ascii="Times New Roman" w:cs="Times New Roman" w:eastAsia="Times New Roman" w:hAnsi="Times New Roman"/>
          <w:sz w:val="18"/>
          <w:szCs w:val="18"/>
          <w:color w:val="auto"/>
        </w:rPr>
        <w:t>May 1, 2013</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34290</wp:posOffset>
            </wp:positionV>
            <wp:extent cx="35502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Donald C. Wood,</w:t>
      </w:r>
    </w:p>
    <w:p>
      <w:pPr>
        <w:spacing w:after="0" w:line="63"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President, Chief Executive Officer and Trustee</w:t>
      </w:r>
    </w:p>
    <w:p>
      <w:pPr>
        <w:spacing w:after="0" w:line="63"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189" w:lineRule="exact"/>
        <w:rPr>
          <w:sz w:val="20"/>
          <w:szCs w:val="20"/>
          <w:color w:val="auto"/>
        </w:rPr>
      </w:pPr>
    </w:p>
    <w:p>
      <w:pPr>
        <w:ind w:left="40"/>
        <w:spacing w:after="0"/>
        <w:tabs>
          <w:tab w:leader="none" w:pos="7640" w:val="left"/>
          <w:tab w:leader="none" w:pos="7980" w:val="left"/>
        </w:tabs>
        <w:rPr>
          <w:sz w:val="20"/>
          <w:szCs w:val="20"/>
          <w:color w:val="auto"/>
        </w:rPr>
      </w:pPr>
      <w:r>
        <w:rPr>
          <w:rFonts w:ascii="Times New Roman" w:cs="Times New Roman" w:eastAsia="Times New Roman" w:hAnsi="Times New Roman"/>
          <w:sz w:val="18"/>
          <w:szCs w:val="18"/>
          <w:color w:val="auto"/>
        </w:rPr>
        <w:t>May 1, 2013</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James M. Taylor,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34290</wp:posOffset>
            </wp:positionV>
            <wp:extent cx="35502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James M. Taylor, Jr.,</w:t>
      </w:r>
    </w:p>
    <w:p>
      <w:pPr>
        <w:spacing w:after="0" w:line="63"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Executive Vice President -</w:t>
      </w:r>
    </w:p>
    <w:p>
      <w:pPr>
        <w:spacing w:after="0" w:line="63"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63"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80"/>
          </w:cols>
          <w:pgMar w:left="240" w:top="124"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39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3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5"/>
        </w:trPr>
        <w:tc>
          <w:tcPr>
            <w:tcW w:w="10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No.</w:t>
            </w:r>
          </w:p>
        </w:tc>
        <w:tc>
          <w:tcPr>
            <w:tcW w:w="10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5"/>
        </w:trPr>
        <w:tc>
          <w:tcPr>
            <w:tcW w:w="9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4"/>
                <w:szCs w:val="24"/>
                <w:color w:val="auto"/>
              </w:rPr>
            </w:pPr>
          </w:p>
        </w:tc>
        <w:tc>
          <w:tcPr>
            <w:tcW w:w="103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Declaration of Trust of Federal Realty Investment Trust dated May 5, 1999 as amended by the Articles of Amendment of Declaration of Trust</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Federal Realty Investment Trust dated May 6, 2004, as corrected by the Certificate of Correction of Articles of Amendment of Declaration</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Trust of Federal Realty Investment Trust dated June 17, 2004, as amended by the Articles of Amendment of Declaration of Trust of Federal</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Realty Investment Trust dated May 6, 2009 (previously filed as Exhibit 3.1 to the Trust’s Registration Statement on Form S-3 (File No. 333-</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160009)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Amended and Restated Bylaws of Federal Realty Investment Trust dated February 12, 2003, as amended October 29, 2003, May 5, 2004,</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February 17, 2006 and May 6, 2009 (previously filed as Exhibit 3.2 to the Trust’s Registration Statement on Form S-3 (File No. 333-160009)</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Specimen Common Share certificate (previously filed as Exhibit 4(i) to the Trust’s Annual Report on Form 10-K for the year ended</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December 31, 1999 (File No. 1-07533)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Articles Supplementary relating to the 5.417% Series 1 Cumulative Convertible Preferred Shares of Beneficial Interest (previously filed as</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4.1 to the Trust’s Current Report on Form 8-K filed on March 13, 2007, (File No. 1-07533)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Indenture dated December 1, 1993 related to the Trust’s 7.48% Debentures due August 15, 2026; and 6.82% Medium Term Notes due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August 1, 2027; (previously filed as Exhibit 4(a) to the Trust’s Registration Statement on Form S-3 (File No. 33-51029), and amended on</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S-3 (File No. 33-63687), filed on December 13, 1993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Indenture dated September 1, 1998 related to the Trust’s 5.65% Notes due 2016; 6.00% Notes due 2012; 6.20% Notes due 2017; 5.40% Notes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due 2013; 5.95% Notes due 2014 and the 5.90% Notes due 2020 (previously filed as Exhibit 4(a) to the Trust’s Registration Statement on</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S-3 (File No. 333-63619) filed on September 17, 1998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Amended and Restated 1993 Long-Term Incentive Plan, as amended on October 6, 1997 and further amended on May 6, 1998 (previously</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filed as Exhibit 10.26 to the Trust’s Annual Report on Form 10-K for the year ended December 31, 1998 (File No. 1-07533) and incorporated</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herein by reference)</w:t>
            </w:r>
          </w:p>
        </w:tc>
        <w:tc>
          <w:tcPr>
            <w:tcW w:w="0" w:type="dxa"/>
            <w:vAlign w:val="bottom"/>
          </w:tcPr>
          <w:p>
            <w:pPr>
              <w:spacing w:after="0"/>
              <w:rPr>
                <w:sz w:val="1"/>
                <w:szCs w:val="1"/>
                <w:color w:val="auto"/>
              </w:rPr>
            </w:pPr>
          </w:p>
        </w:tc>
      </w:tr>
      <w:tr>
        <w:trPr>
          <w:trHeight w:val="373"/>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Severance Agreement between the Trust and Donald C. Wood dated February 22, 1999 (previously filed as a portion of Exhibit 10 to the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Trust’s Quarterly Report on Form 10-Q for the quarter ended March 31, 1999 (File No. 1-07533) (the “1999 1Q Form 10-Q”) and incorporated</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herein by reference)</w:t>
            </w:r>
          </w:p>
        </w:tc>
        <w:tc>
          <w:tcPr>
            <w:tcW w:w="0" w:type="dxa"/>
            <w:vAlign w:val="bottom"/>
          </w:tcPr>
          <w:p>
            <w:pPr>
              <w:spacing w:after="0"/>
              <w:rPr>
                <w:sz w:val="1"/>
                <w:szCs w:val="1"/>
                <w:color w:val="auto"/>
              </w:rPr>
            </w:pPr>
          </w:p>
        </w:tc>
      </w:tr>
      <w:tr>
        <w:trPr>
          <w:trHeight w:val="373"/>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Executive Agreement between Federal Realty Investment Trust and Donald C. Wood dated February 22, 1999 (previously filed as a portion of</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10 to the 1999 1Q Form 10-Q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to Executive Agreement between Federal Realty Investment Trust and Donald C. Wood dated February 16, 2005 (previously filed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 Exhibit 10.12 to the Trust’s Annual Report on Form 10-K for the year ended December 31, 2004 (File No. 1-07533) (the “2004 Form 10-</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Split Dollar Life Insurance Agreement dated August 12, 1998 between the Trust and Donald C. Wood (previously filed as a portion of</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10 to the Trust’s Annual Report on Form 10-K for the year ended December 31, 2000 (File No. 1-07533) and incorporated herein by</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reference)</w:t>
            </w:r>
          </w:p>
        </w:tc>
        <w:tc>
          <w:tcPr>
            <w:tcW w:w="0" w:type="dxa"/>
            <w:vAlign w:val="bottom"/>
          </w:tcPr>
          <w:p>
            <w:pPr>
              <w:spacing w:after="0"/>
              <w:rPr>
                <w:sz w:val="1"/>
                <w:szCs w:val="1"/>
                <w:color w:val="auto"/>
              </w:rPr>
            </w:pPr>
          </w:p>
        </w:tc>
      </w:tr>
      <w:tr>
        <w:trPr>
          <w:trHeight w:val="373"/>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2001 Long-Term Incentive Plan (previously filed as Exhibit 99.1 to the Trust’s S-8 Registration Number 333-60364 filed on May 7, 2001 and</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Health Coverage Continuation Agreement between Federal Realty Investment Trust and Donald C. Wood dated February 16, 2005 (previously</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filed as Exhibit 10.26 to the 2004 Form 10-K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Severance Agreement between the Trust and Dawn M. Becker dated April 19, 2000 (previously filed as Exhibit 10.26 to the Trust’s 2005 2Q</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10-Q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to Severance Agreement between the Trust and Dawn M. Becker dated February 16, 2005 (previously filed as Exhibit 10.27 to</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2004 Form 10-K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10.10</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Restricted Share Award Agreement for awards made under the Trust’s 2003 Long-Term Incentive Award Program for shares issued</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out of 2001 Long-Term Incentive Plan (previously filed as Exhibit 10.28 to the 2004 Form 10-K and incorporated herein by reference)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4" w:right="239" w:bottom="1440" w:gutter="0" w:footer="0" w:header="0"/>
        </w:sectPr>
      </w:pP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24" w:right="2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39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3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5"/>
        </w:trPr>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No.</w:t>
            </w:r>
          </w:p>
        </w:tc>
        <w:tc>
          <w:tcPr>
            <w:tcW w:w="10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900" w:type="dxa"/>
            <w:vAlign w:val="bottom"/>
            <w:tcBorders>
              <w:top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10.11</w:t>
            </w:r>
          </w:p>
        </w:tc>
        <w:tc>
          <w:tcPr>
            <w:tcW w:w="140" w:type="dxa"/>
            <w:vAlign w:val="bottom"/>
          </w:tcPr>
          <w:p>
            <w:pPr>
              <w:spacing w:after="0"/>
              <w:rPr>
                <w:sz w:val="19"/>
                <w:szCs w:val="19"/>
                <w:color w:val="auto"/>
              </w:rPr>
            </w:pPr>
          </w:p>
        </w:tc>
        <w:tc>
          <w:tcPr>
            <w:tcW w:w="103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Form of Restricted Share Award Agreement for awards made under the Trust’s Annual Incentive Bonus Program for shares issued out of 2001</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Incentive Plan (previously filed as Exhibit 10.29 to the 2004 Form 10-K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10.12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Option Award Agreement for awards made under the Trust’s 2003 Long-Term Incentive Award Program for shares issued out of the</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2001 Long-Term Incentive Plan (previously filed as Exhibit 10.32 to the 2005 Form 10-K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10.13</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Amended and Restated 2001 Long-Term Incentive Plan (previously filed as Exhibit 10.34 to the Trust’s Quarterly Report on Form 10-Q for</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quarter ended June 30, 2008 (File No. 1-07533)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10.14</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in Control Agreement between the Trust and Andrew P. Blocher dated February 12, 2007 (previously filed as Exhibit 10.27 to the</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Trust’s Quarterly Report on Form 10-Q for the quarter ended September 30, 2008 (File No. 1-07533)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10.15</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to Severance Agreement between the Trust and Donald C. Wood dated January 1, 2009 (previously filed as Exhibit 10.26 to the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Trust’s Annual Report on Form 10-K for the year ended December 31, 2008 (File No. 1-07533) (“the 2008 Form 10-K”) and incorporated</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herein by reference)</w:t>
            </w:r>
          </w:p>
        </w:tc>
        <w:tc>
          <w:tcPr>
            <w:tcW w:w="0" w:type="dxa"/>
            <w:vAlign w:val="bottom"/>
          </w:tcPr>
          <w:p>
            <w:pPr>
              <w:spacing w:after="0"/>
              <w:rPr>
                <w:sz w:val="1"/>
                <w:szCs w:val="1"/>
                <w:color w:val="auto"/>
              </w:rPr>
            </w:pPr>
          </w:p>
        </w:tc>
      </w:tr>
      <w:tr>
        <w:trPr>
          <w:trHeight w:val="373"/>
        </w:trPr>
        <w:tc>
          <w:tcPr>
            <w:tcW w:w="90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10.16</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Second Amendment to Executive Agreement between the Trust and Donald C. Wood dated January 1, 2009 (previously filed as Exhibit 10.27</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 the Trust’s 2008 Form 10-K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10.17</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to Health Coverage Continuation Agreement between the Trust and Donald C. Wood dated January 1, 2009 (previously filed as</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10.28 to the Trust’s 2008 Form 10-K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10.18</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Second Amendment to Severance Agreement between the Trust and Dawn M. Becker dated January 1, 2009 (previously filed as Exhibit 10.30</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 the Trust’s 2008 Form 10-K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10.19</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to Change in Control Agreement between the Trust and Andrew P. Blocher dated January 1, 2009 (previously filed as Exhibit</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10.31 to the Trust’s 2008 Form 10-K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10.20</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Amendment to Stock Option Agreements between the Trust and Andrew P. Blocher dated February 17, 2009 (previously filed as Exhibit 10.32</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 the Trust’s 2008 Form 10-K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10.21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Restricted Share Award Agreement between the Trust and Andrew P. Blocher dated February 17, 2009 (previously filed as Exhibit 10.33 to the</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Trust’s 2008 Form 10-K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10.22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Combined Incentive and Non-Qualified Stock Option Agreement between the Trust and Andrew P. Blocher dated February 17, 2009</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(previously filed as Exhibit 10.34 to the Trust’s 2008 Form 10-K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10.23</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Severance Agreement between the Trust and Andrew P. Blocher dated February 17, 2009 (previously filed as Exhibit 10.35 to the Trust’s 2008</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10-K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10.24</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2010 Performance Incentive Plan (previously filed as Appendix A to the Trust’s Definitive Proxy Statement for the 2010 Annual Meeting of</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Shareholders (File No. 01-07533)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10.25</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to 2010 Performance Incentive Plan (“the 2010 Plan”) (previously filed as Appendix A to the Trust’s Proxy Supplement for the</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2010 Annual Meeting of Shareholders (File No. 01-07533)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10.26</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Share Award Agreement between the Trust and Donald C. Wood dated October 12, 2010 (previously filed as Exhibit 10.36 to the</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Trust’s Quarterly Report on Form 10-Q for the quarter ended September 30, 2010 (File No. 01-07533)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10.27</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Restricted Share Award Agreement for awards made under the Trust’s Long-Term Incentive Award Program and the Trust’s Annual</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Incentive Bonus Program and basic awards with annual vesting for shares issued out of the 2010 Plan (previously filed as Exhibit 10.34 to the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Trust’s Annual Report on Form 10-K for the year ended December 31, 2010 (File No. 1-07533) (the “2010 Form 10-K”) and incorporated</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herein by reference)</w:t>
            </w:r>
          </w:p>
        </w:tc>
        <w:tc>
          <w:tcPr>
            <w:tcW w:w="0" w:type="dxa"/>
            <w:vAlign w:val="bottom"/>
          </w:tcPr>
          <w:p>
            <w:pPr>
              <w:spacing w:after="0"/>
              <w:rPr>
                <w:sz w:val="1"/>
                <w:szCs w:val="1"/>
                <w:color w:val="auto"/>
              </w:rPr>
            </w:pPr>
          </w:p>
        </w:tc>
      </w:tr>
      <w:tr>
        <w:trPr>
          <w:trHeight w:val="373"/>
        </w:trPr>
        <w:tc>
          <w:tcPr>
            <w:tcW w:w="90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10.28</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Option Award Agreement for awards made under the Trust’s Long-Term Incentive Award Program for shares issued out of the 2010</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Plan (previously filed as Exhibit 10.38 to the Trust’s 2010 Form 10-K (File No. 1-07533) and incorporated herein by reference)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4" w:right="239" w:bottom="1440" w:gutter="0" w:footer="0" w:header="0"/>
        </w:sectPr>
      </w:pP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24" w:right="2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39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3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5"/>
        </w:trPr>
        <w:tc>
          <w:tcPr>
            <w:tcW w:w="10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No.</w:t>
            </w:r>
          </w:p>
        </w:tc>
        <w:tc>
          <w:tcPr>
            <w:tcW w:w="10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9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10.29</w:t>
            </w:r>
          </w:p>
        </w:tc>
        <w:tc>
          <w:tcPr>
            <w:tcW w:w="140" w:type="dxa"/>
            <w:vAlign w:val="bottom"/>
          </w:tcPr>
          <w:p>
            <w:pPr>
              <w:spacing w:after="0"/>
              <w:rPr>
                <w:sz w:val="19"/>
                <w:szCs w:val="19"/>
                <w:color w:val="auto"/>
              </w:rPr>
            </w:pPr>
          </w:p>
        </w:tc>
        <w:tc>
          <w:tcPr>
            <w:tcW w:w="103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Form of Option Award Agreement for front loaded awards made under the Trust’s Long-Term Incentive Award Program for shares issued out</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the 2010 Plan (previously filed as Exhibit 10.39 to the Trust’s 2010 Form 10-K (File No. 1-07533)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10.30</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Option Award Agreement for basic options awarded out of the 2010 Plan (previously filed as Exhibit 10.40 to the Trust’s 2010 Form</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10-K (File No. 1-07533)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Restricted Share Award Agreement, dated as of February 10, 2011, between the Trust and each of Dawn M. Becker, and Andrew P.</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Blocher (previously filed as Exhibit 10.41 to the Trust’s 2010 Form 10-K (File No. 1-07533)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Severance Agreement between the Trust and James M. Taylor dated July 30, 2012 (previously filed as Exhibit 10.35 to the Trust's Quarterly</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Report on Form 10-Q for the quarter ended September 30, 2012 (File No. 1-07533)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10.33</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Credit Agreement dated as of July 7, 2011, by and among the Trust, as Borrower, the financial institutions party thereto and their permitted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assignees under Section 12.6., as Lenders, Wells Fargo Bank, National Association, as Administrative Agent, PNC Bank, National</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Association, as Syndication Agent, Wells Fargo Securities, LLC, as a Lead Arranger and Book Manager, and PNC Capital Markets LLC, as a</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Lead Arranger and Book Manager (previously filed as Exhibit 10.1 to the Trust’s Current Report on Form 8-K (File No. 1-07533), filed on</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July 11, 2011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10.34</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 Loan Agreement dated as of November 22, 2011, by and among the Trust, as Borrower, the financial institutions party thereto and their</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permitted assignees under Section 12.6., as Lenders, PNC Bank, National Association, as Administrative Agent, Capital One, N.A., as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Syndication Agent, PNC Capital Markets, LLC, as a Lead Arranger and Book Manager, and Capital One, N.A., as a Lead Arranger and Book</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Manager (previously filed as Exhibit 10.1 to the Trust’s Current Report on Form 8-K (File No. 1-07533), filed on November 28, 2011 and</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10.35</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Restricted Share Award Agreement for front loaded awards made under the Trust’s Long-Term Incentive Award Program for shares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issued out of the 2010 Plan (previously filed as Exhibit 10.35 to the Trust's Annual Report on Form 10-K for the year ended December 31,</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2012 (File No. 1-07533) (the "2012 Form 10-K")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10.36</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Restricted Share Award Agreement for long-term vesting and retention awards made under the Trust’s Long-Term Incentive Award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Program for shares issued out of the 2010 Plan (previously filed as Exhibit 10.36 to the Trust's 2012 Form 10-K (File No. 1-07533) and</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10.37</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Performance Share Award Agreement for shares awarded out of the 2010 Plan (previously filed as Exhibit 10.37 to the Trust's 2012</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10-K (File No. 1-07533)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10.38</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Revised Form of Restricted Share Award Agreement for awards made under the Trust’s Long-Term Incentive Award Program and the Trust’s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Annual Incentive Bonus Program and basic awards with annual vesting for shares issued out of the 2010 Plan (previously filed as Exhibit</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10.38 to the Trust's 2012 Form 10-K (File No. 1-07533)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10.39</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First Amendment to Credit Agreement, dated as of April 22, 2013, by and among Federal Realty Investment Trust, each of the Lenders party</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thereto, and Wells Fargo Bank, National Association, as Administrative Agent (previsously filed as Exhibit 10.1 to the Trust's Current Report</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on Form 8-K (File No. 1-07533), filed on April 26, 2013 and incorporated herein by reference)</w:t>
            </w:r>
          </w:p>
        </w:tc>
        <w:tc>
          <w:tcPr>
            <w:tcW w:w="0" w:type="dxa"/>
            <w:vAlign w:val="bottom"/>
          </w:tcPr>
          <w:p>
            <w:pPr>
              <w:spacing w:after="0"/>
              <w:rPr>
                <w:sz w:val="1"/>
                <w:szCs w:val="1"/>
                <w:color w:val="auto"/>
              </w:rPr>
            </w:pPr>
          </w:p>
        </w:tc>
      </w:tr>
      <w:tr>
        <w:trPr>
          <w:trHeight w:val="373"/>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10.40</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First Amendment to Term Loan Agreement, dated as of April 22, 2013, by and among Federal Realty Investment Trust, each of the Lenders</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party thereto, and PNC Bank, National Association, as Administrative Agent (filed herewith)</w:t>
            </w:r>
          </w:p>
        </w:tc>
        <w:tc>
          <w:tcPr>
            <w:tcW w:w="0" w:type="dxa"/>
            <w:vAlign w:val="bottom"/>
          </w:tcPr>
          <w:p>
            <w:pPr>
              <w:spacing w:after="0"/>
              <w:rPr>
                <w:sz w:val="1"/>
                <w:szCs w:val="1"/>
                <w:color w:val="auto"/>
              </w:rPr>
            </w:pPr>
          </w:p>
        </w:tc>
      </w:tr>
      <w:tr>
        <w:trPr>
          <w:trHeight w:val="392"/>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Rule 13a-14(a) Certification of Chief Executive Officer (filed herewith)</w:t>
            </w:r>
          </w:p>
        </w:tc>
        <w:tc>
          <w:tcPr>
            <w:tcW w:w="0" w:type="dxa"/>
            <w:vAlign w:val="bottom"/>
          </w:tcPr>
          <w:p>
            <w:pPr>
              <w:spacing w:after="0"/>
              <w:rPr>
                <w:sz w:val="1"/>
                <w:szCs w:val="1"/>
                <w:color w:val="auto"/>
              </w:rPr>
            </w:pPr>
          </w:p>
        </w:tc>
      </w:tr>
      <w:tr>
        <w:trPr>
          <w:trHeight w:val="392"/>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Rule 13a-14(a) Certification of Chief Financial Officer (filed herewith)</w:t>
            </w:r>
          </w:p>
        </w:tc>
        <w:tc>
          <w:tcPr>
            <w:tcW w:w="0" w:type="dxa"/>
            <w:vAlign w:val="bottom"/>
          </w:tcPr>
          <w:p>
            <w:pPr>
              <w:spacing w:after="0"/>
              <w:rPr>
                <w:sz w:val="1"/>
                <w:szCs w:val="1"/>
                <w:color w:val="auto"/>
              </w:rPr>
            </w:pPr>
          </w:p>
        </w:tc>
      </w:tr>
      <w:tr>
        <w:trPr>
          <w:trHeight w:val="392"/>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Section 1350 Certification of Chief Executive Officer (filed herewith)</w:t>
            </w:r>
          </w:p>
        </w:tc>
        <w:tc>
          <w:tcPr>
            <w:tcW w:w="0" w:type="dxa"/>
            <w:vAlign w:val="bottom"/>
          </w:tcPr>
          <w:p>
            <w:pPr>
              <w:spacing w:after="0"/>
              <w:rPr>
                <w:sz w:val="1"/>
                <w:szCs w:val="1"/>
                <w:color w:val="auto"/>
              </w:rPr>
            </w:pPr>
          </w:p>
        </w:tc>
      </w:tr>
      <w:tr>
        <w:trPr>
          <w:trHeight w:val="392"/>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Section 1350 Certification of Chief Financial Officer (filed herewith)</w:t>
            </w:r>
          </w:p>
        </w:tc>
        <w:tc>
          <w:tcPr>
            <w:tcW w:w="0" w:type="dxa"/>
            <w:vAlign w:val="bottom"/>
          </w:tcPr>
          <w:p>
            <w:pPr>
              <w:spacing w:after="0"/>
              <w:rPr>
                <w:sz w:val="1"/>
                <w:szCs w:val="1"/>
                <w:color w:val="auto"/>
              </w:rPr>
            </w:pPr>
          </w:p>
        </w:tc>
      </w:tr>
      <w:tr>
        <w:trPr>
          <w:trHeight w:val="608"/>
        </w:trPr>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380" w:type="dxa"/>
            <w:vAlign w:val="bottom"/>
          </w:tcPr>
          <w:p>
            <w:pPr>
              <w:ind w:left="458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4"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4"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340"/>
        <w:spacing w:after="0"/>
        <w:tabs>
          <w:tab w:leader="none" w:pos="10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 w:lineRule="exact"/>
        <w:rPr>
          <w:sz w:val="20"/>
          <w:szCs w:val="20"/>
          <w:color w:val="auto"/>
        </w:rPr>
      </w:pPr>
    </w:p>
    <w:p>
      <w:pPr>
        <w:ind w:left="1080" w:hanging="1045"/>
        <w:spacing w:after="0" w:line="261"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Federal Realty Investment Trust’s Quarterly Report on Form 10-Q for the quarter ended March 31, 2013, formatted in XBRL (Extensible Business Reporting Language): (1) the Consolidated Balance Sheets, (2) the Consolidated Statements of Comprehensive Income, (3) the Consolidated Statement of Shareholders’ Equity, (4) the Consolidated Statements of Cash Flows, and (5) Notes to Consolidated Financial Statements that have been detail tagged.</w:t>
      </w:r>
    </w:p>
    <w:p>
      <w:pPr>
        <w:spacing w:after="0" w:line="234"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60"/>
          </w:cols>
          <w:pgMar w:left="240" w:top="124" w:right="69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FIRST AMENDMENT TO TERM LOAN AGREEMENT</w:t>
      </w:r>
    </w:p>
    <w:p>
      <w:pPr>
        <w:spacing w:after="0" w:line="200" w:lineRule="exact"/>
        <w:rPr>
          <w:sz w:val="20"/>
          <w:szCs w:val="20"/>
          <w:color w:val="auto"/>
        </w:rPr>
      </w:pPr>
    </w:p>
    <w:p>
      <w:pPr>
        <w:spacing w:after="0" w:line="232"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9"/>
          <w:szCs w:val="19"/>
          <w:color w:val="auto"/>
        </w:rPr>
        <w:t>This FIRST AMENDMENT TO TERM LOAN AGREEMENT (this “</w:t>
      </w:r>
      <w:r>
        <w:rPr>
          <w:rFonts w:ascii="Times New Roman" w:cs="Times New Roman" w:eastAsia="Times New Roman" w:hAnsi="Times New Roman"/>
          <w:sz w:val="19"/>
          <w:szCs w:val="19"/>
          <w:u w:val="single" w:color="auto"/>
          <w:color w:val="auto"/>
        </w:rPr>
        <w:t>Amendment</w:t>
      </w:r>
      <w:r>
        <w:rPr>
          <w:rFonts w:ascii="Times New Roman" w:cs="Times New Roman" w:eastAsia="Times New Roman" w:hAnsi="Times New Roman"/>
          <w:sz w:val="19"/>
          <w:szCs w:val="19"/>
          <w:color w:val="auto"/>
        </w:rPr>
        <w:t>”) dated as of April 22, 2013, by and among FEDERAL REALTY INVESTMENT TRUST, a real estate investment trust formed under the laws of the State of Maryland (the “</w:t>
      </w:r>
      <w:r>
        <w:rPr>
          <w:rFonts w:ascii="Times New Roman" w:cs="Times New Roman" w:eastAsia="Times New Roman" w:hAnsi="Times New Roman"/>
          <w:sz w:val="19"/>
          <w:szCs w:val="19"/>
          <w:u w:val="single" w:color="auto"/>
          <w:color w:val="auto"/>
        </w:rPr>
        <w:t>Borrower</w:t>
      </w:r>
      <w:r>
        <w:rPr>
          <w:rFonts w:ascii="Times New Roman" w:cs="Times New Roman" w:eastAsia="Times New Roman" w:hAnsi="Times New Roman"/>
          <w:sz w:val="19"/>
          <w:szCs w:val="19"/>
          <w:color w:val="auto"/>
        </w:rPr>
        <w:t>”), each of the Lenders party hereto and PNC BANK, NATIONAL ASSOCIATION, as Administrative Agent (the “</w:t>
      </w:r>
      <w:r>
        <w:rPr>
          <w:rFonts w:ascii="Times New Roman" w:cs="Times New Roman" w:eastAsia="Times New Roman" w:hAnsi="Times New Roman"/>
          <w:sz w:val="19"/>
          <w:szCs w:val="19"/>
          <w:u w:val="single" w:color="auto"/>
          <w:color w:val="auto"/>
        </w:rPr>
        <w:t>Administrative Agent</w:t>
      </w:r>
      <w:r>
        <w:rPr>
          <w:rFonts w:ascii="Times New Roman" w:cs="Times New Roman" w:eastAsia="Times New Roman" w:hAnsi="Times New Roman"/>
          <w:sz w:val="19"/>
          <w:szCs w:val="19"/>
          <w:color w:val="auto"/>
        </w:rPr>
        <w:t>”).</w:t>
      </w:r>
    </w:p>
    <w:p>
      <w:pPr>
        <w:spacing w:after="0" w:line="15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WHEREAS, the Borrower, the Lenders, the Administrative Agent and certain other parties have entered into that certain Term Loan Agreement dated as of November 22, 2011 (as amended and as in effect immediately prior to the effectiveness of this Amendment, the “</w:t>
      </w:r>
      <w:r>
        <w:rPr>
          <w:rFonts w:ascii="Times New Roman" w:cs="Times New Roman" w:eastAsia="Times New Roman" w:hAnsi="Times New Roman"/>
          <w:sz w:val="20"/>
          <w:szCs w:val="20"/>
          <w:u w:val="single" w:color="auto"/>
          <w:color w:val="auto"/>
        </w:rPr>
        <w:t>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and</w:t>
      </w:r>
    </w:p>
    <w:p>
      <w:pPr>
        <w:spacing w:after="0" w:line="17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WHEREAS, the Borrower, the Lenders and the Administrative Agent desire to amend certain provisions of the Credit Agreement on the terms and conditions contained herein.</w:t>
      </w:r>
    </w:p>
    <w:p>
      <w:pPr>
        <w:spacing w:after="0" w:line="16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NOW, THEREFORE, for good and valuable consideration, the receipt and sufficiency of which are hereby acknowledged by the parties hereto, the parties hereto agree as follows: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Section 1. </w:t>
      </w:r>
      <w:r>
        <w:rPr>
          <w:rFonts w:ascii="Times New Roman" w:cs="Times New Roman" w:eastAsia="Times New Roman" w:hAnsi="Times New Roman"/>
          <w:sz w:val="20"/>
          <w:szCs w:val="20"/>
          <w:u w:val="single" w:color="auto"/>
          <w:color w:val="auto"/>
        </w:rPr>
        <w:t>Specific Amendments to Credit Agreement</w:t>
      </w:r>
      <w:r>
        <w:rPr>
          <w:rFonts w:ascii="Times New Roman" w:cs="Times New Roman" w:eastAsia="Times New Roman" w:hAnsi="Times New Roman"/>
          <w:sz w:val="20"/>
          <w:szCs w:val="20"/>
          <w:color w:val="auto"/>
        </w:rPr>
        <w:t>. Upon the effectiveness of this Amendment, the parties hereto agree that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Credit Agreement shall be amended as follows:</w:t>
      </w:r>
    </w:p>
    <w:p>
      <w:pPr>
        <w:spacing w:after="0" w:line="207" w:lineRule="exact"/>
        <w:rPr>
          <w:sz w:val="20"/>
          <w:szCs w:val="20"/>
          <w:color w:val="auto"/>
        </w:rPr>
      </w:pPr>
    </w:p>
    <w:p>
      <w:pPr>
        <w:jc w:val="both"/>
        <w:ind w:firstLine="656"/>
        <w:spacing w:after="0" w:line="282" w:lineRule="auto"/>
        <w:tabs>
          <w:tab w:leader="none" w:pos="149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Credit Agreement is amended by restating the definitions of “Capitalization Rate”, “Controlled Property”, “Fixed Charges”, “Guarantor”, “Mandatorily Redeemable Stock”, “Permitted Liens”, “Total Budgeted Cost” and “Wholly Owned Property” contained in Section 1.1. thereof in their entirety as follows: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b w:val="1"/>
          <w:bCs w:val="1"/>
          <w:color w:val="auto"/>
        </w:rPr>
        <w:t>“Capitalization Rate</w:t>
      </w:r>
      <w:r>
        <w:rPr>
          <w:rFonts w:ascii="Times New Roman" w:cs="Times New Roman" w:eastAsia="Times New Roman" w:hAnsi="Times New Roman"/>
          <w:sz w:val="20"/>
          <w:szCs w:val="20"/>
          <w:color w:val="auto"/>
        </w:rPr>
        <w:t>” means 6.75%.</w:t>
      </w:r>
    </w:p>
    <w:p>
      <w:pPr>
        <w:spacing w:after="0" w:line="216" w:lineRule="exact"/>
        <w:rPr>
          <w:sz w:val="20"/>
          <w:szCs w:val="20"/>
          <w:color w:val="auto"/>
        </w:rPr>
      </w:pPr>
    </w:p>
    <w:p>
      <w:pPr>
        <w:jc w:val="both"/>
        <w:ind w:left="660" w:firstLine="648"/>
        <w:spacing w:after="0" w:line="24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Controlled Property</w:t>
      </w:r>
      <w:r>
        <w:rPr>
          <w:rFonts w:ascii="Times New Roman" w:cs="Times New Roman" w:eastAsia="Times New Roman" w:hAnsi="Times New Roman"/>
          <w:sz w:val="20"/>
          <w:szCs w:val="20"/>
          <w:color w:val="auto"/>
        </w:rPr>
        <w:t>” means a Property which is an Eligible Property that is owned in fee simple (or leased under a Ground Lease) by a Subsidiary that is not a Wholly Owned Subsidiary and with respect to which the Borrower or such Subsidiary has the right to take the following actions without the need to obtain the consent of any Person (other than the Requisite Lenders if required pursuant to the Loan Documents): (A) to create Liens on such Property as security for Indebtedness of the Borrower or such Subsidiary, as applicable and (B) to sell, convey, transfer or otherwise dispose of such Property.</w:t>
      </w:r>
    </w:p>
    <w:p>
      <w:pPr>
        <w:spacing w:after="0" w:line="176" w:lineRule="exact"/>
        <w:rPr>
          <w:sz w:val="20"/>
          <w:szCs w:val="20"/>
          <w:color w:val="auto"/>
        </w:rPr>
      </w:pPr>
    </w:p>
    <w:p>
      <w:pPr>
        <w:jc w:val="both"/>
        <w:ind w:left="66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Fixed Charges</w:t>
      </w:r>
      <w:r>
        <w:rPr>
          <w:rFonts w:ascii="Times New Roman" w:cs="Times New Roman" w:eastAsia="Times New Roman" w:hAnsi="Times New Roman"/>
          <w:sz w:val="20"/>
          <w:szCs w:val="20"/>
          <w:color w:val="auto"/>
        </w:rPr>
        <w:t xml:space="preserve">” means, for any period, the sum of (a) Interest Expense of the Borrower and its Subsidiaries determined on a consolidated basis and of Unconsolidated Affiliates for such period, (b) all regularly scheduled principal payments made with respect to Indebtedness of the Borrower, its Subsidiaries and its Unconsolidated Affiliates during such period, other than any balloon, bullet or similar principal payment which repays such Indebtedness in full, and (c) all Preferred Dividends paid by the Borrower, its Subsidiaries and Unconsolidated Affiliates during such period (other than such payments to the Borrower and any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only the Borrower's Ownership Share of the amounts (other than inter-company amounts) set forth in clauses (a) through (c) above with respect to Unconsolidated Affiliates of the Borrower shall be included in determinations of Fixed Charges.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Guarantor</w:t>
      </w:r>
      <w:r>
        <w:rPr>
          <w:rFonts w:ascii="Times New Roman" w:cs="Times New Roman" w:eastAsia="Times New Roman" w:hAnsi="Times New Roman"/>
          <w:sz w:val="20"/>
          <w:szCs w:val="20"/>
          <w:color w:val="auto"/>
        </w:rPr>
        <w:t>” means any Person that is party to the Guaranty as a Guarantor.</w:t>
      </w:r>
    </w:p>
    <w:p>
      <w:pPr>
        <w:spacing w:after="0" w:line="216"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“Mandatorily Redeemable Stock” </w:t>
      </w:r>
      <w:r>
        <w:rPr>
          <w:rFonts w:ascii="Times New Roman" w:cs="Times New Roman" w:eastAsia="Times New Roman" w:hAnsi="Times New Roman"/>
          <w:sz w:val="20"/>
          <w:szCs w:val="20"/>
          <w:color w:val="auto"/>
        </w:rPr>
        <w:t>means, with respect to a Person, any Equity Interest of such Person which by the terms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such Equity Interest (or by the terms of any security into which it is convertible or for which it is exchangeable or exercisable), upon the happening of any event or</w:t>
      </w:r>
    </w:p>
    <w:p>
      <w:pPr>
        <w:sectPr>
          <w:pgSz w:w="11900" w:h="16838" w:orient="portrait"/>
          <w:cols w:equalWidth="0" w:num="1">
            <w:col w:w="11420"/>
          </w:cols>
          <w:pgMar w:left="240" w:top="580" w:right="239" w:bottom="1440" w:gutter="0" w:footer="0" w:header="0"/>
        </w:sectPr>
      </w:pPr>
    </w:p>
    <w:bookmarkStart w:id="34" w:name="page35"/>
    <w:bookmarkEnd w:id="34"/>
    <w:p>
      <w:pPr>
        <w:jc w:val="both"/>
        <w:ind w:left="4"/>
        <w:spacing w:after="0" w:line="258" w:lineRule="auto"/>
        <w:rPr>
          <w:sz w:val="20"/>
          <w:szCs w:val="20"/>
          <w:color w:val="auto"/>
        </w:rPr>
      </w:pPr>
      <w:r>
        <w:rPr>
          <w:rFonts w:ascii="Times New Roman" w:cs="Times New Roman" w:eastAsia="Times New Roman" w:hAnsi="Times New Roman"/>
          <w:sz w:val="19"/>
          <w:szCs w:val="19"/>
          <w:color w:val="auto"/>
        </w:rPr>
        <w:t>otherwise (a) matures or is mandatorily redeemable, pursuant to a sinking fund obligation or otherwise (other than an Equity Interest to the extent redeemable in exchange for common stock or other equivalent common Equity Interests), (b) is convertible into or exchangeable or exercisable for Indebtedness or Mandatorily Redeemable Stock, or (c) is redeemable at the option of the holder thereof, in whole or in part (other than an Equity Interest which is redeemable solely in exchange for common stock or other equivalent common Equity Interests); in each case, on or prior to the Maturity Date. For purposes of this definition, Equity Interests in any of the following Subsidiaries which the Borrower is obligated to acquire pursuant to currently existing agreements (as in effect on the date hereof) with the holders of such Equity Interest shall not be considered to be Mandatorily Redeemable Stock: Congressional Plaza Associates, LLC, NVI-Avenue, LLC, Street Retail West 7, L.P., FR Pike 7 Limited Partnership and Federal Realty Partners L.P.</w:t>
      </w:r>
    </w:p>
    <w:p>
      <w:pPr>
        <w:spacing w:after="0" w:line="170" w:lineRule="exact"/>
        <w:rPr>
          <w:sz w:val="20"/>
          <w:szCs w:val="20"/>
          <w:color w:val="auto"/>
        </w:rPr>
      </w:pPr>
    </w:p>
    <w:p>
      <w:pPr>
        <w:jc w:val="both"/>
        <w:ind w:left="4"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Liens</w:t>
      </w:r>
      <w:r>
        <w:rPr>
          <w:rFonts w:ascii="Times New Roman" w:cs="Times New Roman" w:eastAsia="Times New Roman" w:hAnsi="Times New Roman"/>
          <w:sz w:val="20"/>
          <w:szCs w:val="20"/>
          <w:color w:val="auto"/>
        </w:rPr>
        <w:t>” means, with respect to any asset or property of a Person, (a) (i) Liens securing taxes, assessments and other charges or levies imposed by any Governmental Authority (excluding any Lien imposed pursuant to any of the provisions of ERISA or pursuant to any Environmental Laws) or (ii) the claims of materialmen, mechanics, carriers, warehousemen or landlords for labor, materials, supplies or rentals incurred in the ordinary course of business, which, in each case, are not at the time required to be paid or discharged under Section 7.6.; (b) Liens consisting of deposits or pledges made, in the ordinary course of business, in connection with, or to secure payment of, obligations under workmen's compensation, unemployment insurance or similar Applicable Laws; (c) Liens consisting of encumbrances in the nature of zoning restrictions, easements, and rights or restrictions of record on the use of real property, which do not materially detract from the value of such property or materially impair the use thereof in the business of such Person; (d) the rights of tenants under leases or subleases not interfering with the ordinary conduct of business of such Person; (e) Liens in favor of the Administrative Agent for its benefit and the benefit of the Lenders and each Specified Derivatives Provider; (f) Liens in favor of the Borrower or a Subsidiary securing obligations owing by a Subsidiary to the Borrower or a Subsidiary; (g) Liens in existence as of the Agreement Date and set forth on Part II of Schedule 6.1.(f); and (h) Liens securing Indebtedness permitted by the Loan Documents.</w:t>
      </w:r>
    </w:p>
    <w:p>
      <w:pPr>
        <w:spacing w:after="0" w:line="186" w:lineRule="exact"/>
        <w:rPr>
          <w:sz w:val="20"/>
          <w:szCs w:val="20"/>
          <w:color w:val="auto"/>
        </w:rPr>
      </w:pPr>
    </w:p>
    <w:p>
      <w:pPr>
        <w:jc w:val="both"/>
        <w:ind w:left="4" w:firstLine="648"/>
        <w:spacing w:after="0" w:line="25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Total Budgeted Cost</w:t>
      </w:r>
      <w:r>
        <w:rPr>
          <w:rFonts w:ascii="Times New Roman" w:cs="Times New Roman" w:eastAsia="Times New Roman" w:hAnsi="Times New Roman"/>
          <w:sz w:val="19"/>
          <w:szCs w:val="19"/>
          <w:color w:val="auto"/>
        </w:rPr>
        <w:t>” means, at any time, the aggregate amount of all costs (net of third party contributions to, or reimbursement of, costs) budgeted to be paid, incurred or otherwise expended or accrued by the Borrower, a Subsidiary or an Unconsolidated Affiliate with respect to such Property to complete development and achieve a stabilized Occupancy Rate as reasonably determined by the Borrower in good faith, including without limitation, all amounts budgeted with respect to all of the following: (a) acquisition of land and any related improvements; (b) a reserve for construction interest; (c) an operating deficit reserve;</w:t>
      </w:r>
    </w:p>
    <w:p>
      <w:pPr>
        <w:spacing w:after="0" w:line="4" w:lineRule="exact"/>
        <w:rPr>
          <w:sz w:val="20"/>
          <w:szCs w:val="20"/>
          <w:color w:val="auto"/>
        </w:rPr>
      </w:pPr>
    </w:p>
    <w:p>
      <w:pPr>
        <w:jc w:val="both"/>
        <w:ind w:left="4" w:hanging="4"/>
        <w:spacing w:after="0"/>
        <w:tabs>
          <w:tab w:leader="none" w:pos="284"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improvements; (e) leasing costs and commissions, (f) infrastructure costs and (g) other hard and soft costs associated with the development or redevelopment of such Property. Total Budgeted Costs shall also include the fully budgeted costs of Properties under construction (as evidenced by commencement of the pouring of footings), acquired or to be acquired pursuant to purchase agreements or being developed by third parties under a loan that the Borrower, its Subsidiary or an Unconsolidated Affiliate has guaranteed or otherwise has liability for the payment thereof. If a Property is owned by an Unconsolidated Affiliate the Total Budgeted Cost shall be equal to the product of (i) the Borrower's Ownership Share in such Unconsolidated Affiliate and (ii) the Total Budgeted Cost of such Property as calculated in accordance with this definition.</w:t>
      </w:r>
    </w:p>
    <w:p>
      <w:pPr>
        <w:spacing w:after="0" w:line="187" w:lineRule="exact"/>
        <w:rPr>
          <w:sz w:val="20"/>
          <w:szCs w:val="20"/>
          <w:color w:val="auto"/>
        </w:rPr>
      </w:pPr>
    </w:p>
    <w:p>
      <w:pPr>
        <w:ind w:left="4"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Wholly Owned Property</w:t>
      </w:r>
      <w:r>
        <w:rPr>
          <w:rFonts w:ascii="Times New Roman" w:cs="Times New Roman" w:eastAsia="Times New Roman" w:hAnsi="Times New Roman"/>
          <w:sz w:val="20"/>
          <w:szCs w:val="20"/>
          <w:color w:val="auto"/>
        </w:rPr>
        <w:t>” means an Eligible Property which is wholly owned in fee simple (or leased under a Ground Lease) by only the Borrower or a Wholly Owned Subsidiary.</w:t>
      </w:r>
    </w:p>
    <w:p>
      <w:pPr>
        <w:spacing w:after="0" w:line="170" w:lineRule="exact"/>
        <w:rPr>
          <w:sz w:val="20"/>
          <w:szCs w:val="20"/>
          <w:color w:val="auto"/>
        </w:rPr>
      </w:pPr>
    </w:p>
    <w:p>
      <w:pPr>
        <w:ind w:left="-656" w:firstLine="656"/>
        <w:spacing w:after="0" w:line="297" w:lineRule="auto"/>
        <w:tabs>
          <w:tab w:leader="none" w:pos="85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Credit Agreement is further amended by adding the following definition of “Recourse Indebtedness” to Section 1.1. thereof in the appropriate alphabetical location:</w:t>
      </w:r>
    </w:p>
    <w:p>
      <w:pPr>
        <w:spacing w:after="0" w:line="143" w:lineRule="exact"/>
        <w:rPr>
          <w:sz w:val="20"/>
          <w:szCs w:val="20"/>
          <w:color w:val="auto"/>
        </w:rPr>
      </w:pPr>
    </w:p>
    <w:p>
      <w:pPr>
        <w:ind w:left="4"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Recourse Indebtedness</w:t>
      </w:r>
      <w:r>
        <w:rPr>
          <w:rFonts w:ascii="Times New Roman" w:cs="Times New Roman" w:eastAsia="Times New Roman" w:hAnsi="Times New Roman"/>
          <w:sz w:val="20"/>
          <w:szCs w:val="20"/>
          <w:color w:val="auto"/>
        </w:rPr>
        <w:t>” means, with respect to a Person, any Indebtedness other than Indebtedness for borrowed money in respect of which recourse for payment (except for customary</w:t>
      </w:r>
    </w:p>
    <w:p>
      <w:pPr>
        <w:sectPr>
          <w:pgSz w:w="11900" w:h="16838" w:orient="portrait"/>
          <w:cols w:equalWidth="0" w:num="1">
            <w:col w:w="10764"/>
          </w:cols>
          <w:pgMar w:left="896" w:top="576" w:right="239" w:bottom="1440" w:gutter="0" w:footer="0" w:header="0"/>
        </w:sectPr>
      </w:pPr>
    </w:p>
    <w:bookmarkStart w:id="35" w:name="page36"/>
    <w:bookmarkEnd w:id="35"/>
    <w:p>
      <w:pPr>
        <w:jc w:val="both"/>
        <w:ind w:left="4"/>
        <w:spacing w:after="0" w:line="254" w:lineRule="auto"/>
        <w:rPr>
          <w:sz w:val="20"/>
          <w:szCs w:val="20"/>
          <w:color w:val="auto"/>
        </w:rPr>
      </w:pPr>
      <w:r>
        <w:rPr>
          <w:rFonts w:ascii="Times New Roman" w:cs="Times New Roman" w:eastAsia="Times New Roman" w:hAnsi="Times New Roman"/>
          <w:sz w:val="20"/>
          <w:szCs w:val="20"/>
          <w:color w:val="auto"/>
        </w:rPr>
        <w:t>exceptions for fraud, misapplication of funds, environmental indemnities, voluntary bankruptcy, collusive involuntary bankruptcy and other similar customary exceptions to nonrecourse liability) is contractually limited to specific assets of such Person encumbered by a Lien securing such Indebtedness.</w:t>
      </w:r>
    </w:p>
    <w:p>
      <w:pPr>
        <w:spacing w:after="0" w:line="188" w:lineRule="exact"/>
        <w:rPr>
          <w:sz w:val="20"/>
          <w:szCs w:val="20"/>
          <w:color w:val="auto"/>
        </w:rPr>
      </w:pPr>
    </w:p>
    <w:p>
      <w:pPr>
        <w:ind w:left="844" w:hanging="844"/>
        <w:spacing w:after="0"/>
        <w:tabs>
          <w:tab w:leader="none" w:pos="84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Credit Agreement is further amended by restating Section 7.14. thereof in its entirety as follows: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auto"/>
        </w:rPr>
        <w:t>Section 7.14. Guarantors.</w:t>
      </w:r>
    </w:p>
    <w:p>
      <w:pPr>
        <w:spacing w:after="0" w:line="220" w:lineRule="exact"/>
        <w:rPr>
          <w:sz w:val="20"/>
          <w:szCs w:val="20"/>
          <w:color w:val="auto"/>
        </w:rPr>
      </w:pPr>
    </w:p>
    <w:p>
      <w:pPr>
        <w:jc w:val="both"/>
        <w:ind w:left="4" w:firstLine="645"/>
        <w:spacing w:after="0" w:line="245" w:lineRule="auto"/>
        <w:tabs>
          <w:tab w:leader="none" w:pos="1052"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10 Business Days of the date on which any of the following conditions first applies to any Subsidiary (other than a Subsidiary owning a Non-Controlled Property) that is not already a Guarantor, the Borrower shall deliver to the Administrative Agent each of the following in form and substance satisfactory to the Administrative Agent: (i) an Accession Agreement executed by such Subsidiary (or if the Guaranty is not then in existence, a Guaranty executed by such Subsidiary) and (ii) the items that would have been delivered under subsections (iv), (v), (vi)(with such subsection being read to apply to such Subsidiary rather than the Borrower), (viii) and (ix) of Section 5.1.(a) if such Subsidiary had been required to become a Guarantor on the Agreement Date:</w:t>
      </w:r>
    </w:p>
    <w:p>
      <w:pPr>
        <w:spacing w:after="0" w:line="185" w:lineRule="exact"/>
        <w:rPr>
          <w:rFonts w:ascii="Times New Roman" w:cs="Times New Roman" w:eastAsia="Times New Roman" w:hAnsi="Times New Roman"/>
          <w:sz w:val="20"/>
          <w:szCs w:val="20"/>
          <w:color w:val="auto"/>
        </w:rPr>
      </w:pPr>
    </w:p>
    <w:p>
      <w:pPr>
        <w:ind w:left="644" w:firstLine="653"/>
        <w:spacing w:after="0" w:line="269" w:lineRule="auto"/>
        <w:tabs>
          <w:tab w:leader="none" w:pos="1743" w:val="left"/>
        </w:tabs>
        <w:numPr>
          <w:ilvl w:val="2"/>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Subsidiary Guarantees, or otherwise becomes obligated in respect of, any Indebtedness of the Borrower or any Subsidiary of the Borrower; or</w:t>
      </w:r>
    </w:p>
    <w:p>
      <w:pPr>
        <w:spacing w:after="0" w:line="159" w:lineRule="exact"/>
        <w:rPr>
          <w:rFonts w:ascii="Times New Roman" w:cs="Times New Roman" w:eastAsia="Times New Roman" w:hAnsi="Times New Roman"/>
          <w:sz w:val="20"/>
          <w:szCs w:val="20"/>
          <w:color w:val="auto"/>
        </w:rPr>
      </w:pPr>
    </w:p>
    <w:p>
      <w:pPr>
        <w:ind w:left="644" w:right="20" w:firstLine="653"/>
        <w:spacing w:after="0" w:line="269" w:lineRule="auto"/>
        <w:tabs>
          <w:tab w:leader="none" w:pos="1730" w:val="left"/>
        </w:tabs>
        <w:numPr>
          <w:ilvl w:val="2"/>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Subsidiary (A) owns any asset the value of which is included in the determination of Unencumbered Asset Value and (B) has incurred, acquired or suffered to exist any Recourse Indebtedness.</w:t>
      </w:r>
    </w:p>
    <w:p>
      <w:pPr>
        <w:spacing w:after="0" w:line="159" w:lineRule="exact"/>
        <w:rPr>
          <w:rFonts w:ascii="Times New Roman" w:cs="Times New Roman" w:eastAsia="Times New Roman" w:hAnsi="Times New Roman"/>
          <w:sz w:val="20"/>
          <w:szCs w:val="20"/>
          <w:color w:val="auto"/>
        </w:rPr>
      </w:pPr>
    </w:p>
    <w:p>
      <w:pPr>
        <w:ind w:left="1064" w:hanging="415"/>
        <w:spacing w:after="0"/>
        <w:tabs>
          <w:tab w:leader="none" w:pos="1064"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[Intentionally Omitted].</w:t>
      </w:r>
    </w:p>
    <w:p>
      <w:pPr>
        <w:spacing w:after="0" w:line="215" w:lineRule="exact"/>
        <w:rPr>
          <w:rFonts w:ascii="Times New Roman" w:cs="Times New Roman" w:eastAsia="Times New Roman" w:hAnsi="Times New Roman"/>
          <w:sz w:val="20"/>
          <w:szCs w:val="20"/>
          <w:color w:val="auto"/>
        </w:rPr>
      </w:pPr>
    </w:p>
    <w:p>
      <w:pPr>
        <w:jc w:val="both"/>
        <w:ind w:left="4" w:firstLine="645"/>
        <w:spacing w:after="0" w:line="243" w:lineRule="auto"/>
        <w:tabs>
          <w:tab w:leader="none" w:pos="1200"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may request in writing that the Administrative Agent release, and upon receipt of such request the Administrative Agent shall release, a Guarantor from the Guaranty so long as: (i) such Guarantor is not required to be a party to the Guaranty under the immediately preceding subsection (a); (ii) no Default or Event of Default shall then be in existence or would occur as a result of such release, including without limitation, a Default or Event of Default resulting from a violation of any of the covenants contained in Section 9.1.; and (iii) the Administrative Agent shall have received such written request at least ten (10) Business Days (or such shorter period as may be acceptable to the Administrative Agent) prior to the requested date of release. Delivery by the Borrower to the Administrative Agent of any such request shall constitute a representation by the Borrower that the matters set forth in the preceding sentence (both as of the date of the giving of such request and as of the date of the effectiveness of such request) are true and correct with respect to such request.</w:t>
      </w:r>
    </w:p>
    <w:p>
      <w:pPr>
        <w:spacing w:after="0" w:line="200" w:lineRule="exact"/>
        <w:rPr>
          <w:rFonts w:ascii="Times New Roman" w:cs="Times New Roman" w:eastAsia="Times New Roman" w:hAnsi="Times New Roman"/>
          <w:sz w:val="20"/>
          <w:szCs w:val="20"/>
          <w:color w:val="auto"/>
        </w:rPr>
      </w:pPr>
    </w:p>
    <w:p>
      <w:pPr>
        <w:ind w:left="864" w:hanging="864"/>
        <w:spacing w:after="0"/>
        <w:tabs>
          <w:tab w:leader="none" w:pos="86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Credit Agreement is further amended by restating Section 8.4.(l) thereof in its entirety as follows:</w:t>
      </w:r>
    </w:p>
    <w:p>
      <w:pPr>
        <w:spacing w:after="0" w:line="229" w:lineRule="exact"/>
        <w:rPr>
          <w:rFonts w:ascii="Times New Roman" w:cs="Times New Roman" w:eastAsia="Times New Roman" w:hAnsi="Times New Roman"/>
          <w:sz w:val="18"/>
          <w:szCs w:val="18"/>
          <w:color w:val="auto"/>
        </w:rPr>
      </w:pPr>
    </w:p>
    <w:p>
      <w:pPr>
        <w:ind w:left="1024" w:hanging="375"/>
        <w:spacing w:after="0"/>
        <w:tabs>
          <w:tab w:leader="none" w:pos="1024"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[Intentionally Omitted];</w:t>
      </w:r>
    </w:p>
    <w:p>
      <w:pPr>
        <w:spacing w:after="0" w:line="229" w:lineRule="exact"/>
        <w:rPr>
          <w:rFonts w:ascii="Times New Roman" w:cs="Times New Roman" w:eastAsia="Times New Roman" w:hAnsi="Times New Roman"/>
          <w:sz w:val="20"/>
          <w:szCs w:val="20"/>
          <w:color w:val="auto"/>
        </w:rPr>
      </w:pPr>
    </w:p>
    <w:p>
      <w:pPr>
        <w:ind w:left="844" w:hanging="844"/>
        <w:spacing w:after="0"/>
        <w:tabs>
          <w:tab w:leader="none" w:pos="84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Credit Agreement is further amended by restating Section 9.1.(a) thereof in its entirety as follows:</w:t>
      </w:r>
    </w:p>
    <w:p>
      <w:pPr>
        <w:spacing w:after="0" w:line="229" w:lineRule="exact"/>
        <w:rPr>
          <w:rFonts w:ascii="Times New Roman" w:cs="Times New Roman" w:eastAsia="Times New Roman" w:hAnsi="Times New Roman"/>
          <w:sz w:val="18"/>
          <w:szCs w:val="18"/>
          <w:color w:val="auto"/>
        </w:rPr>
      </w:pPr>
    </w:p>
    <w:p>
      <w:pPr>
        <w:ind w:left="1184" w:hanging="535"/>
        <w:spacing w:after="0"/>
        <w:tabs>
          <w:tab w:leader="none" w:pos="1184"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Minimum Tangible Net Worth</w:t>
      </w:r>
      <w:r>
        <w:rPr>
          <w:rFonts w:ascii="Times New Roman" w:cs="Times New Roman" w:eastAsia="Times New Roman" w:hAnsi="Times New Roman"/>
          <w:sz w:val="20"/>
          <w:szCs w:val="20"/>
          <w:color w:val="auto"/>
        </w:rPr>
        <w:t>. The Borrower shall not at any time permit the Tangible Net Worth to be less than</w:t>
      </w:r>
    </w:p>
    <w:p>
      <w:pPr>
        <w:spacing w:after="0" w:line="21" w:lineRule="exact"/>
        <w:rPr>
          <w:rFonts w:ascii="Times New Roman" w:cs="Times New Roman" w:eastAsia="Times New Roman" w:hAnsi="Times New Roman"/>
          <w:sz w:val="20"/>
          <w:szCs w:val="20"/>
          <w:color w:val="auto"/>
        </w:rPr>
      </w:pPr>
    </w:p>
    <w:p>
      <w:pPr>
        <w:ind w:left="4" w:hanging="4"/>
        <w:spacing w:after="0" w:line="246" w:lineRule="auto"/>
        <w:tabs>
          <w:tab w:leader="none" w:pos="267"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$1,900,000,000 plus (ii) 75% of the Net Proceeds of all Equity Issuances effected at any time after December 31, 2012 by the Borrower or any of its Subsidiaries to any Person other than the Borrower or any of its Subsidiaries.</w:t>
      </w:r>
    </w:p>
    <w:p>
      <w:pPr>
        <w:sectPr>
          <w:pgSz w:w="11900" w:h="16838" w:orient="portrait"/>
          <w:cols w:equalWidth="0" w:num="1">
            <w:col w:w="10764"/>
          </w:cols>
          <w:pgMar w:left="896" w:top="576" w:right="239" w:bottom="1440" w:gutter="0" w:footer="0" w:header="0"/>
        </w:sectPr>
      </w:pPr>
    </w:p>
    <w:bookmarkStart w:id="36" w:name="page37"/>
    <w:bookmarkEnd w:id="36"/>
    <w:p>
      <w:pPr>
        <w:ind w:left="1480" w:hanging="824"/>
        <w:spacing w:after="0"/>
        <w:tabs>
          <w:tab w:leader="none" w:pos="14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Credit Agreement is further amended by restating Section 9.1.(f) thereof in its entirety as follows:</w:t>
      </w:r>
    </w:p>
    <w:p>
      <w:pPr>
        <w:spacing w:after="0" w:line="229" w:lineRule="exact"/>
        <w:rPr>
          <w:rFonts w:ascii="Times New Roman" w:cs="Times New Roman" w:eastAsia="Times New Roman" w:hAnsi="Times New Roman"/>
          <w:sz w:val="18"/>
          <w:szCs w:val="18"/>
          <w:color w:val="auto"/>
        </w:rPr>
      </w:pPr>
    </w:p>
    <w:p>
      <w:pPr>
        <w:jc w:val="both"/>
        <w:ind w:left="660" w:firstLine="645"/>
        <w:spacing w:after="0" w:line="254" w:lineRule="auto"/>
        <w:tabs>
          <w:tab w:leader="none" w:pos="1740"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Minimum Unencumbered Debt Yield</w:t>
      </w:r>
      <w:r>
        <w:rPr>
          <w:rFonts w:ascii="Times New Roman" w:cs="Times New Roman" w:eastAsia="Times New Roman" w:hAnsi="Times New Roman"/>
          <w:sz w:val="20"/>
          <w:szCs w:val="20"/>
          <w:color w:val="auto"/>
        </w:rPr>
        <w:t xml:space="preserve">. The Borrower shall not permit the ratio of (i) Unencumbered Adjusted NOI on a consolidated basis for any fiscal quarter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color w:val="auto"/>
        </w:rPr>
        <w:t xml:space="preserve"> 4 to (ii) Unsecured Indebtedness of the Borrower and its Subsidiaries as of the last day of such fiscal quarter to be less than 0.11 to 1.00 at any time.</w:t>
      </w:r>
    </w:p>
    <w:p>
      <w:pPr>
        <w:spacing w:after="0" w:line="188" w:lineRule="exact"/>
        <w:rPr>
          <w:rFonts w:ascii="Times New Roman" w:cs="Times New Roman" w:eastAsia="Times New Roman" w:hAnsi="Times New Roman"/>
          <w:sz w:val="20"/>
          <w:szCs w:val="20"/>
          <w:color w:val="auto"/>
        </w:rPr>
      </w:pPr>
    </w:p>
    <w:p>
      <w:pPr>
        <w:ind w:left="1520" w:hanging="864"/>
        <w:spacing w:after="0"/>
        <w:tabs>
          <w:tab w:leader="none" w:pos="1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Credit Agreement is further amended by restating clause (iv) of Section 9.1.(g) thereof in its entirety as follows:</w:t>
      </w:r>
    </w:p>
    <w:p>
      <w:pPr>
        <w:spacing w:after="0" w:line="229" w:lineRule="exact"/>
        <w:rPr>
          <w:sz w:val="20"/>
          <w:szCs w:val="20"/>
          <w:color w:val="auto"/>
        </w:rPr>
      </w:pPr>
    </w:p>
    <w:p>
      <w:pPr>
        <w:ind w:left="660" w:firstLine="645"/>
        <w:spacing w:after="0" w:line="269" w:lineRule="auto"/>
        <w:tabs>
          <w:tab w:leader="none" w:pos="1815"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Unimproved Land such that the aggregate value of such Unimproved Land, calculated on the basis of acquisition cost, exceeds 5.00% of Total Asset Value; and</w:t>
      </w:r>
    </w:p>
    <w:p>
      <w:pPr>
        <w:spacing w:after="0" w:line="173" w:lineRule="exact"/>
        <w:rPr>
          <w:rFonts w:ascii="Times New Roman" w:cs="Times New Roman" w:eastAsia="Times New Roman" w:hAnsi="Times New Roman"/>
          <w:sz w:val="20"/>
          <w:szCs w:val="20"/>
          <w:color w:val="auto"/>
        </w:rPr>
      </w:pPr>
    </w:p>
    <w:p>
      <w:pPr>
        <w:ind w:left="1520" w:hanging="864"/>
        <w:spacing w:after="0"/>
        <w:tabs>
          <w:tab w:leader="none" w:pos="1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Credit Agreement is further amended by restating Section 9.1.(h) thereof in its entirety as follows:</w:t>
      </w:r>
    </w:p>
    <w:p>
      <w:pPr>
        <w:spacing w:after="0" w:line="229" w:lineRule="exact"/>
        <w:rPr>
          <w:sz w:val="20"/>
          <w:szCs w:val="20"/>
          <w:color w:val="auto"/>
        </w:rPr>
      </w:pPr>
    </w:p>
    <w:p>
      <w:pPr>
        <w:ind w:left="1720" w:hanging="415"/>
        <w:spacing w:after="0"/>
        <w:tabs>
          <w:tab w:leader="none" w:pos="1720"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Intentionally Omitted]</w:t>
      </w:r>
      <w:r>
        <w:rPr>
          <w:rFonts w:ascii="Times New Roman" w:cs="Times New Roman" w:eastAsia="Times New Roman" w:hAnsi="Times New Roman"/>
          <w:sz w:val="20"/>
          <w:szCs w:val="20"/>
          <w:color w:val="auto"/>
        </w:rPr>
        <w:t>.</w:t>
      </w:r>
    </w:p>
    <w:p>
      <w:pPr>
        <w:spacing w:after="0" w:line="200" w:lineRule="exact"/>
        <w:rPr>
          <w:rFonts w:ascii="Times New Roman" w:cs="Times New Roman" w:eastAsia="Times New Roman" w:hAnsi="Times New Roman"/>
          <w:sz w:val="20"/>
          <w:szCs w:val="20"/>
          <w:color w:val="auto"/>
        </w:rPr>
      </w:pPr>
    </w:p>
    <w:p>
      <w:pPr>
        <w:spacing w:after="0" w:line="245" w:lineRule="exact"/>
        <w:rPr>
          <w:rFonts w:ascii="Times New Roman" w:cs="Times New Roman" w:eastAsia="Times New Roman" w:hAnsi="Times New Roman"/>
          <w:sz w:val="20"/>
          <w:szCs w:val="20"/>
          <w:color w:val="auto"/>
        </w:rPr>
      </w:pPr>
    </w:p>
    <w:p>
      <w:pPr>
        <w:ind w:left="1480" w:hanging="824"/>
        <w:spacing w:after="0"/>
        <w:tabs>
          <w:tab w:leader="none" w:pos="14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Credit Agreement is further amended by restating Section 9.2.(b) thereof in its entirety as follows:</w:t>
      </w:r>
    </w:p>
    <w:p>
      <w:pPr>
        <w:spacing w:after="0" w:line="229" w:lineRule="exact"/>
        <w:rPr>
          <w:rFonts w:ascii="Times New Roman" w:cs="Times New Roman" w:eastAsia="Times New Roman" w:hAnsi="Times New Roman"/>
          <w:sz w:val="18"/>
          <w:szCs w:val="18"/>
          <w:color w:val="auto"/>
        </w:rPr>
      </w:pPr>
    </w:p>
    <w:p>
      <w:pPr>
        <w:jc w:val="both"/>
        <w:ind w:left="660" w:firstLine="645"/>
        <w:spacing w:after="0" w:line="247" w:lineRule="auto"/>
        <w:tabs>
          <w:tab w:leader="none" w:pos="1787"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to acquire Equity Interests of a Subsidiary or any other Person who after giving effect to such acquisition would be a Subsidiary, so long as in each case, (i) as a result of such Investment, and after giving effect thereto, no Default or Event of Default is or would be caused thereby, and no other Major Default or Event of Default has occurred and is continuing, and (ii) if such Subsidiary is (or after giving effect to such Investment would be) required to become a Guarantor pursuant to Section 7.14., the terms and conditions set forth in Section 7.14. are satisfied;</w:t>
      </w:r>
    </w:p>
    <w:p>
      <w:pPr>
        <w:spacing w:after="0" w:line="194" w:lineRule="exact"/>
        <w:rPr>
          <w:rFonts w:ascii="Times New Roman" w:cs="Times New Roman" w:eastAsia="Times New Roman" w:hAnsi="Times New Roman"/>
          <w:sz w:val="20"/>
          <w:szCs w:val="20"/>
          <w:color w:val="auto"/>
        </w:rPr>
      </w:pPr>
    </w:p>
    <w:p>
      <w:pPr>
        <w:ind w:left="1480" w:hanging="824"/>
        <w:spacing w:after="0"/>
        <w:tabs>
          <w:tab w:leader="none" w:pos="14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Credit Agreement is further amended by restating clause (i) of the proviso set forth in Section 9.5. thereof in its entirety</w:t>
      </w:r>
    </w:p>
    <w:p>
      <w:pPr>
        <w:spacing w:after="0" w:line="2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as follows:</w:t>
      </w:r>
    </w:p>
    <w:p>
      <w:pPr>
        <w:spacing w:after="0" w:line="227" w:lineRule="exact"/>
        <w:rPr>
          <w:rFonts w:ascii="Times New Roman" w:cs="Times New Roman" w:eastAsia="Times New Roman" w:hAnsi="Times New Roman"/>
          <w:sz w:val="18"/>
          <w:szCs w:val="18"/>
          <w:color w:val="auto"/>
        </w:rPr>
      </w:pPr>
    </w:p>
    <w:p>
      <w:pPr>
        <w:jc w:val="both"/>
        <w:ind w:left="660" w:firstLine="645"/>
        <w:spacing w:after="0" w:line="254" w:lineRule="auto"/>
        <w:tabs>
          <w:tab w:leader="none" w:pos="1783" w:val="left"/>
        </w:tabs>
        <w:numPr>
          <w:ilvl w:val="1"/>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of the actions described in the immediately preceding clauses (a), (b) and (c) may be taken with respect to any Subsidiary or any other Loan Party (other than the Borrower) so long as, as a result of the taking of such action, and after giving effect thereto, no Default or Event of Default is or would be caused thereby, and no other Major Default or Event of Default has occurred and is continuing; notwithstanding the foregoing, any such Loan Party may enter into a transaction of merger pursuant to which such Loan Party is not the survivor of such merger only if (A) the Borrower shall have given the Administrative Agent and the Lenders at least 10 Business Days' prior written notice of such merger; (B) if the survivor entity is required to become a Guarantor pursuant to Section 7.14. (and is not already a Guarantor), within five (5) Business Days of consummation of such merger, the survivor entity shall have executed and delivered an Accession Agreement (or if the Guaranty is not then in existence, a Guaranty executed by such survivor entity); (C) within 30 days of consummation of such merger, the survivor entity delivers to the Administrative Agent the following:</w:t>
      </w:r>
    </w:p>
    <w:p>
      <w:pPr>
        <w:spacing w:after="0" w:line="7" w:lineRule="exact"/>
        <w:rPr>
          <w:rFonts w:ascii="Times New Roman" w:cs="Times New Roman" w:eastAsia="Times New Roman" w:hAnsi="Times New Roman"/>
          <w:sz w:val="19"/>
          <w:szCs w:val="19"/>
          <w:color w:val="auto"/>
        </w:rPr>
      </w:pPr>
    </w:p>
    <w:p>
      <w:pPr>
        <w:jc w:val="both"/>
        <w:ind w:left="660"/>
        <w:spacing w:after="0" w:line="239"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 items of the type referred to in Sections 5.1.(a)(iv), (v), (vi)(with such subsection being read to apply to such survivor entity rather than the Borrower), (viii) and (ix) with respect to the survivor entity as in effect after consummation of such merger (if not previously delivered to the Administrative Agent and still in effect), (2) copies of all documents entered into by such Loan Party or the survivor entity to effectuate the consummation of such merger, including, but not limited to, articles of merger and the plan of merger,</w:t>
      </w:r>
    </w:p>
    <w:p>
      <w:pPr>
        <w:spacing w:after="0" w:line="2" w:lineRule="exact"/>
        <w:rPr>
          <w:rFonts w:ascii="Times New Roman" w:cs="Times New Roman" w:eastAsia="Times New Roman" w:hAnsi="Times New Roman"/>
          <w:sz w:val="19"/>
          <w:szCs w:val="19"/>
          <w:color w:val="auto"/>
        </w:rPr>
      </w:pPr>
    </w:p>
    <w:p>
      <w:pPr>
        <w:jc w:val="both"/>
        <w:ind w:left="660"/>
        <w:spacing w:after="0" w:line="242"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(3) copies, certified by the Secretary or Assistant Secretary (or other individual performing similar functions) of such Loan Party or the survivor entity, of all corporate and shareholder action authorizing such merger and (4) copies of any filings with the Securities and Exchange Commission in connection with such merger; and (D) such Loan Party and the survivor entity each takes such other</w:t>
      </w:r>
    </w:p>
    <w:p>
      <w:pPr>
        <w:sectPr>
          <w:pgSz w:w="11900" w:h="16838" w:orient="portrait"/>
          <w:cols w:equalWidth="0" w:num="1">
            <w:col w:w="11420"/>
          </w:cols>
          <w:pgMar w:left="240" w:top="589" w:right="239" w:bottom="1440" w:gutter="0" w:footer="0" w:header="0"/>
        </w:sectPr>
      </w:pPr>
    </w:p>
    <w:bookmarkStart w:id="37" w:name="page38"/>
    <w:bookmarkEnd w:id="37"/>
    <w:p>
      <w:pPr>
        <w:ind w:left="660"/>
        <w:spacing w:after="0"/>
        <w:rPr>
          <w:sz w:val="20"/>
          <w:szCs w:val="20"/>
          <w:color w:val="auto"/>
        </w:rPr>
      </w:pPr>
      <w:r>
        <w:rPr>
          <w:rFonts w:ascii="Times New Roman" w:cs="Times New Roman" w:eastAsia="Times New Roman" w:hAnsi="Times New Roman"/>
          <w:sz w:val="20"/>
          <w:szCs w:val="20"/>
          <w:color w:val="auto"/>
        </w:rPr>
        <w:t>action and delivers such other documents, instruments, opinions and agreements as the Administrative Agent may reasonably request;</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2. </w:t>
      </w:r>
      <w:r>
        <w:rPr>
          <w:rFonts w:ascii="Times New Roman" w:cs="Times New Roman" w:eastAsia="Times New Roman" w:hAnsi="Times New Roman"/>
          <w:sz w:val="20"/>
          <w:szCs w:val="20"/>
          <w:u w:val="single" w:color="auto"/>
          <w:color w:val="auto"/>
        </w:rPr>
        <w:t>Conditions Precedent</w:t>
      </w:r>
      <w:r>
        <w:rPr>
          <w:rFonts w:ascii="Times New Roman" w:cs="Times New Roman" w:eastAsia="Times New Roman" w:hAnsi="Times New Roman"/>
          <w:sz w:val="20"/>
          <w:szCs w:val="20"/>
          <w:color w:val="auto"/>
        </w:rPr>
        <w:t>. The effectiveness of this Amendment, including without limitation, the release of the Guarantors under Section 3 below, is subject to receipt by the Administrative Agent of each of the following in form and substance satisfactory to the Administrative Agent:</w:t>
      </w:r>
    </w:p>
    <w:p>
      <w:pPr>
        <w:spacing w:after="0" w:line="175" w:lineRule="exact"/>
        <w:rPr>
          <w:sz w:val="20"/>
          <w:szCs w:val="20"/>
          <w:color w:val="auto"/>
        </w:rPr>
      </w:pPr>
    </w:p>
    <w:p>
      <w:pPr>
        <w:ind w:left="1060" w:hanging="404"/>
        <w:spacing w:after="0"/>
        <w:tabs>
          <w:tab w:leader="none" w:pos="10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counterpart of this Amendment duly executed by the Borrower, the Administrative Agent and each of the Lenders;</w:t>
      </w:r>
    </w:p>
    <w:p>
      <w:pPr>
        <w:spacing w:after="0" w:line="215" w:lineRule="exact"/>
        <w:rPr>
          <w:rFonts w:ascii="Times New Roman" w:cs="Times New Roman" w:eastAsia="Times New Roman" w:hAnsi="Times New Roman"/>
          <w:sz w:val="20"/>
          <w:szCs w:val="20"/>
          <w:color w:val="auto"/>
        </w:rPr>
      </w:pPr>
    </w:p>
    <w:p>
      <w:pPr>
        <w:ind w:left="1060" w:hanging="404"/>
        <w:spacing w:after="0"/>
        <w:tabs>
          <w:tab w:leader="none" w:pos="10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Compliance Certificate calculated on a pro forma basis for the Borrower's fiscal quarter ending December 31, 2012;</w:t>
      </w:r>
    </w:p>
    <w:p>
      <w:pPr>
        <w:spacing w:after="0" w:line="215" w:lineRule="exact"/>
        <w:rPr>
          <w:rFonts w:ascii="Times New Roman" w:cs="Times New Roman" w:eastAsia="Times New Roman" w:hAnsi="Times New Roman"/>
          <w:sz w:val="20"/>
          <w:szCs w:val="20"/>
          <w:color w:val="auto"/>
        </w:rPr>
      </w:pPr>
    </w:p>
    <w:p>
      <w:pPr>
        <w:jc w:val="both"/>
        <w:ind w:firstLine="656"/>
        <w:spacing w:after="0" w:line="243" w:lineRule="auto"/>
        <w:tabs>
          <w:tab w:leader="none" w:pos="1102"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of the Borrower, signed on behalf of the Borrower by a Responsible Officer of the Borrower, certifying that (i) no Default or Event of Default has occurred and is continuing as of the date hereof nor will exist immediately after giving effect to this Amendment and (ii) the representations and warranties made or deemed made by the Borrower and each other Loan Party in the Loan Documents (including this Amendment) to which any of them is a party, are true and correct in all material respects (except in the case of a representation or warranty qualified by materiality, in which case such representation or warranty is true and correct in all respects) on and as of the date hereof immediately after giving effect to this Amendment except to the extent that such representations and warranties expressly relate solely to an earlier date (in which case such representations and warranties were true and correct in all material respects (except in the case of a representation or warranty qualified by materiality, in which case such representation or warranty was true and correct in all respects) on and as of such earlier date) and except for changes in factual circumstances not prohibited thereunder;</w:t>
      </w:r>
    </w:p>
    <w:p>
      <w:pPr>
        <w:spacing w:after="0" w:line="186" w:lineRule="exact"/>
        <w:rPr>
          <w:rFonts w:ascii="Times New Roman" w:cs="Times New Roman" w:eastAsia="Times New Roman" w:hAnsi="Times New Roman"/>
          <w:sz w:val="20"/>
          <w:szCs w:val="20"/>
          <w:color w:val="auto"/>
        </w:rPr>
      </w:pPr>
    </w:p>
    <w:p>
      <w:pPr>
        <w:jc w:val="both"/>
        <w:ind w:firstLine="656"/>
        <w:spacing w:after="0" w:line="254" w:lineRule="auto"/>
        <w:tabs>
          <w:tab w:leader="none" w:pos="1113"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copy of a duly executed amendment to the Existing Credit Agreement, amending the terms of the Existing Credit Agreement corresponding to the terms of the Credit Agreement amended by Section 1 of this Amendment so that all such terms and sections shall be substantially the same;</w:t>
      </w:r>
    </w:p>
    <w:p>
      <w:pPr>
        <w:spacing w:after="0" w:line="174" w:lineRule="exact"/>
        <w:rPr>
          <w:rFonts w:ascii="Times New Roman" w:cs="Times New Roman" w:eastAsia="Times New Roman" w:hAnsi="Times New Roman"/>
          <w:sz w:val="20"/>
          <w:szCs w:val="20"/>
          <w:color w:val="auto"/>
        </w:rPr>
      </w:pPr>
    </w:p>
    <w:p>
      <w:pPr>
        <w:ind w:firstLine="656"/>
        <w:spacing w:after="0" w:line="269" w:lineRule="auto"/>
        <w:tabs>
          <w:tab w:leader="none" w:pos="1129"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evidence that all fees, expenses and reimbursement amounts due and payable to the Administrative Agent and the Arrangers, including without limitation, the reasonable fees and expenses of counsel to the Administrative Agent, have been paid; and</w:t>
      </w:r>
    </w:p>
    <w:p>
      <w:pPr>
        <w:spacing w:after="0" w:line="159" w:lineRule="exact"/>
        <w:rPr>
          <w:rFonts w:ascii="Times New Roman" w:cs="Times New Roman" w:eastAsia="Times New Roman" w:hAnsi="Times New Roman"/>
          <w:sz w:val="20"/>
          <w:szCs w:val="20"/>
          <w:color w:val="auto"/>
        </w:rPr>
      </w:pPr>
    </w:p>
    <w:p>
      <w:pPr>
        <w:ind w:firstLine="656"/>
        <w:spacing w:after="0" w:line="269" w:lineRule="auto"/>
        <w:tabs>
          <w:tab w:leader="none" w:pos="10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documents, agreements and instruments as the Administrative Agent, or any Lender through the Administrative Agent, may reasonably request.</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3. </w:t>
      </w:r>
      <w:r>
        <w:rPr>
          <w:rFonts w:ascii="Times New Roman" w:cs="Times New Roman" w:eastAsia="Times New Roman" w:hAnsi="Times New Roman"/>
          <w:sz w:val="20"/>
          <w:szCs w:val="20"/>
          <w:u w:val="single" w:color="auto"/>
          <w:color w:val="auto"/>
        </w:rPr>
        <w:t>Release of Guarantors</w:t>
      </w:r>
      <w:r>
        <w:rPr>
          <w:rFonts w:ascii="Times New Roman" w:cs="Times New Roman" w:eastAsia="Times New Roman" w:hAnsi="Times New Roman"/>
          <w:sz w:val="20"/>
          <w:szCs w:val="20"/>
          <w:color w:val="auto"/>
        </w:rPr>
        <w:t>. Upon the effectiveness of this Amendment as provided in Section 2 above, the Administrative Agent and the Lenders agree that the Guarantors set forth on Schedule I attached hereto shall be released as Guarantors under the Guaranty in effect immediately prior to the effectiveness of this Amendment and such Guaranty shall terminate.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Section 4. </w:t>
      </w:r>
      <w:r>
        <w:rPr>
          <w:rFonts w:ascii="Times New Roman" w:cs="Times New Roman" w:eastAsia="Times New Roman" w:hAnsi="Times New Roman"/>
          <w:sz w:val="20"/>
          <w:szCs w:val="20"/>
          <w:u w:val="single" w:color="auto"/>
          <w:color w:val="auto"/>
        </w:rPr>
        <w:t>Representations</w:t>
      </w:r>
      <w:r>
        <w:rPr>
          <w:rFonts w:ascii="Times New Roman" w:cs="Times New Roman" w:eastAsia="Times New Roman" w:hAnsi="Times New Roman"/>
          <w:sz w:val="20"/>
          <w:szCs w:val="20"/>
          <w:color w:val="auto"/>
        </w:rPr>
        <w:t>. The Borrower represents and warrants to the Administrative Agent and the Lenders that:</w:t>
      </w:r>
    </w:p>
    <w:p>
      <w:pPr>
        <w:spacing w:after="0" w:line="216" w:lineRule="exact"/>
        <w:rPr>
          <w:sz w:val="20"/>
          <w:szCs w:val="20"/>
          <w:color w:val="auto"/>
        </w:rPr>
      </w:pPr>
    </w:p>
    <w:p>
      <w:pPr>
        <w:jc w:val="both"/>
        <w:ind w:firstLine="656"/>
        <w:spacing w:after="0" w:line="243" w:lineRule="auto"/>
        <w:tabs>
          <w:tab w:leader="none" w:pos="1075"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Authorization of Loan Documents and Borrowings</w:t>
      </w:r>
      <w:r>
        <w:rPr>
          <w:rFonts w:ascii="Times New Roman" w:cs="Times New Roman" w:eastAsia="Times New Roman" w:hAnsi="Times New Roman"/>
          <w:sz w:val="20"/>
          <w:szCs w:val="20"/>
          <w:color w:val="auto"/>
        </w:rPr>
        <w:t>. The Borrower has the right and power, and has taken all necessary action to authorize it, to execute and deliver the Amendment Documents and perform the Amendment Documents and the Credit Agreement as amended by this Amendment in accordance with their respective terms and to consummate the transactions contemplated hereby and thereby. The Amendment Documents have been duly executed and delivered by the duly authorized officers of the Borrower and each of the Amendment Documents and the Credit Agreement as amended by this Amendment is a legal, valid and binding obligation of such Person enforceable against such Person in accordance with its respective terms, except as the same may be limited by bankruptcy, insolvency, and other similar laws affecting the rights of creditors generally and the availability of equitable remedies for the enforcement of certain obligations (other than the payment of principal) contained herein or therein and as may be limited by equitable principles generally.</w:t>
      </w:r>
    </w:p>
    <w:p>
      <w:pPr>
        <w:sectPr>
          <w:pgSz w:w="11900" w:h="16838" w:orient="portrait"/>
          <w:cols w:equalWidth="0" w:num="1">
            <w:col w:w="11420"/>
          </w:cols>
          <w:pgMar w:left="240" w:top="576" w:right="239" w:bottom="1440" w:gutter="0" w:footer="0" w:header="0"/>
        </w:sectPr>
      </w:pPr>
    </w:p>
    <w:bookmarkStart w:id="38" w:name="page39"/>
    <w:bookmarkEnd w:id="38"/>
    <w:p>
      <w:pPr>
        <w:ind w:firstLine="656"/>
        <w:spacing w:after="0" w:line="269" w:lineRule="auto"/>
        <w:tabs>
          <w:tab w:leader="none" w:pos="1207"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Binding Effect</w:t>
      </w:r>
      <w:r>
        <w:rPr>
          <w:rFonts w:ascii="Times New Roman" w:cs="Times New Roman" w:eastAsia="Times New Roman" w:hAnsi="Times New Roman"/>
          <w:sz w:val="20"/>
          <w:szCs w:val="20"/>
          <w:color w:val="auto"/>
        </w:rPr>
        <w:t>. This Amendment and the Credit Agreement as amended by this Amendment constitute valid and binding agreements of the Borrower, enforceable against the Borrower in accordance with their terms.</w:t>
      </w:r>
    </w:p>
    <w:p>
      <w:pPr>
        <w:spacing w:after="0" w:line="159" w:lineRule="exact"/>
        <w:rPr>
          <w:rFonts w:ascii="Times New Roman" w:cs="Times New Roman" w:eastAsia="Times New Roman" w:hAnsi="Times New Roman"/>
          <w:sz w:val="20"/>
          <w:szCs w:val="20"/>
          <w:color w:val="auto"/>
        </w:rPr>
      </w:pPr>
    </w:p>
    <w:p>
      <w:pPr>
        <w:ind w:firstLine="656"/>
        <w:spacing w:after="0" w:line="269" w:lineRule="auto"/>
        <w:tabs>
          <w:tab w:leader="none" w:pos="1075"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Default</w:t>
      </w:r>
      <w:r>
        <w:rPr>
          <w:rFonts w:ascii="Times New Roman" w:cs="Times New Roman" w:eastAsia="Times New Roman" w:hAnsi="Times New Roman"/>
          <w:sz w:val="20"/>
          <w:szCs w:val="20"/>
          <w:color w:val="auto"/>
        </w:rPr>
        <w:t>. No Default or Event of Default has occurred and is continuing as of the date hereof nor will exist immediately after giving effect to this Amendment.</w:t>
      </w:r>
    </w:p>
    <w:p>
      <w:pPr>
        <w:spacing w:after="0" w:line="159" w:lineRule="exact"/>
        <w:rPr>
          <w:rFonts w:ascii="Times New Roman" w:cs="Times New Roman" w:eastAsia="Times New Roman" w:hAnsi="Times New Roman"/>
          <w:sz w:val="20"/>
          <w:szCs w:val="20"/>
          <w:color w:val="auto"/>
        </w:rPr>
      </w:pPr>
    </w:p>
    <w:p>
      <w:pPr>
        <w:ind w:firstLine="656"/>
        <w:spacing w:after="0" w:line="269" w:lineRule="auto"/>
        <w:tabs>
          <w:tab w:leader="none" w:pos="1153"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Guarantors</w:t>
      </w:r>
      <w:r>
        <w:rPr>
          <w:rFonts w:ascii="Times New Roman" w:cs="Times New Roman" w:eastAsia="Times New Roman" w:hAnsi="Times New Roman"/>
          <w:sz w:val="20"/>
          <w:szCs w:val="20"/>
          <w:color w:val="auto"/>
        </w:rPr>
        <w:t>. As of the effective date of this Amendment and after giving effect thereto, no Subsidiary is required to be a Guarantor pursuant to Section 7.14. of the Credit Agreement as amended by this Amendment.</w:t>
      </w:r>
    </w:p>
    <w:p>
      <w:pPr>
        <w:spacing w:after="0" w:line="16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 xml:space="preserve">Section 5. </w:t>
      </w:r>
      <w:r>
        <w:rPr>
          <w:rFonts w:ascii="Times New Roman" w:cs="Times New Roman" w:eastAsia="Times New Roman" w:hAnsi="Times New Roman"/>
          <w:sz w:val="20"/>
          <w:szCs w:val="20"/>
          <w:u w:val="single" w:color="auto"/>
          <w:color w:val="auto"/>
        </w:rPr>
        <w:t>Reaffirmation of Representations</w:t>
      </w:r>
      <w:r>
        <w:rPr>
          <w:rFonts w:ascii="Times New Roman" w:cs="Times New Roman" w:eastAsia="Times New Roman" w:hAnsi="Times New Roman"/>
          <w:sz w:val="20"/>
          <w:szCs w:val="20"/>
          <w:color w:val="auto"/>
        </w:rPr>
        <w:t>. The Borrower hereby repeats and reaffirms all representations and warranties made or deemed made by the Borrower to the Administrative Agent and the Lenders in the Credit Agreement as amended by this Amendment and the other Loan Documents on and as of the date hereof with the same force and effect as if such representations and warranties were set forth in this Amendment in full and such representations and warranties are true and correct in all material respects (except in the case of a representation or warranty qualified by materiality, in which case such representation or warranty is true and correct in all respects) on and as of the date hereof immediately after giving effect to this Amendment except to the extent that such representations and warranties expressly relate solely to an earlier date (in which case such representations and warranties were true and correct in all material respects (except in the case of a representation or warranty qualified by materiality, in which case such representation or warranty was true and correct in all respects) on and as of such earlier date) and except for changes in factual circumstances not prohibited thereunder.</w:t>
      </w:r>
    </w:p>
    <w:p>
      <w:pPr>
        <w:spacing w:after="0" w:line="187"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6. </w:t>
      </w:r>
      <w:r>
        <w:rPr>
          <w:rFonts w:ascii="Times New Roman" w:cs="Times New Roman" w:eastAsia="Times New Roman" w:hAnsi="Times New Roman"/>
          <w:sz w:val="20"/>
          <w:szCs w:val="20"/>
          <w:u w:val="single" w:color="auto"/>
          <w:color w:val="auto"/>
        </w:rPr>
        <w:t>Certain References</w:t>
      </w:r>
      <w:r>
        <w:rPr>
          <w:rFonts w:ascii="Times New Roman" w:cs="Times New Roman" w:eastAsia="Times New Roman" w:hAnsi="Times New Roman"/>
          <w:sz w:val="20"/>
          <w:szCs w:val="20"/>
          <w:color w:val="auto"/>
        </w:rPr>
        <w:t>. Each reference to the Credit Agreement in any of the Loan Documents shall be deemed to be a reference to the Credit Agreement as amended by this Amendment. This Amendment is a Loan Document.</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7. </w:t>
      </w:r>
      <w:r>
        <w:rPr>
          <w:rFonts w:ascii="Times New Roman" w:cs="Times New Roman" w:eastAsia="Times New Roman" w:hAnsi="Times New Roman"/>
          <w:sz w:val="20"/>
          <w:szCs w:val="20"/>
          <w:u w:val="single" w:color="auto"/>
          <w:color w:val="auto"/>
        </w:rPr>
        <w:t>Costs and Expenses</w:t>
      </w:r>
      <w:r>
        <w:rPr>
          <w:rFonts w:ascii="Times New Roman" w:cs="Times New Roman" w:eastAsia="Times New Roman" w:hAnsi="Times New Roman"/>
          <w:sz w:val="20"/>
          <w:szCs w:val="20"/>
          <w:color w:val="auto"/>
        </w:rPr>
        <w:t>. The Borrower shall reimburse the Administrative Agent for all reasonable out-of-pocket costs and expenses (including attorneys' fees) incurred by the Administrative Agent in connection with the preparation, negotiation and execution of this Amendment and the other agreements and documents executed and delivered in connection herewith.</w:t>
      </w:r>
    </w:p>
    <w:p>
      <w:pPr>
        <w:spacing w:after="0" w:line="17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8. </w:t>
      </w:r>
      <w:r>
        <w:rPr>
          <w:rFonts w:ascii="Times New Roman" w:cs="Times New Roman" w:eastAsia="Times New Roman" w:hAnsi="Times New Roman"/>
          <w:sz w:val="20"/>
          <w:szCs w:val="20"/>
          <w:u w:val="single" w:color="auto"/>
          <w:color w:val="auto"/>
        </w:rPr>
        <w:t>Benefits</w:t>
      </w:r>
      <w:r>
        <w:rPr>
          <w:rFonts w:ascii="Times New Roman" w:cs="Times New Roman" w:eastAsia="Times New Roman" w:hAnsi="Times New Roman"/>
          <w:sz w:val="20"/>
          <w:szCs w:val="20"/>
          <w:color w:val="auto"/>
        </w:rPr>
        <w:t>. This Amendment shall be binding upon and shall inure to the benefit of the parties hereto and their respective successors and assigns.</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9. </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AMENDMENT SHALL BE GOVERNED BY, AND CONSTRUED IN ACCORDANCE WITH, THE LAWS OF THE STATE OF NEW YORK APPLICABLE TO CONTRACTS EXECUTED, AND TO BE FULLY PERFORMED, IN SUCH STATE.</w:t>
      </w:r>
    </w:p>
    <w:p>
      <w:pPr>
        <w:spacing w:after="0" w:line="17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Section 10. </w:t>
      </w:r>
      <w:r>
        <w:rPr>
          <w:rFonts w:ascii="Times New Roman" w:cs="Times New Roman" w:eastAsia="Times New Roman" w:hAnsi="Times New Roman"/>
          <w:sz w:val="20"/>
          <w:szCs w:val="20"/>
          <w:u w:val="single" w:color="auto"/>
          <w:color w:val="auto"/>
        </w:rPr>
        <w:t>Effect; Ratification</w:t>
      </w:r>
      <w:r>
        <w:rPr>
          <w:rFonts w:ascii="Times New Roman" w:cs="Times New Roman" w:eastAsia="Times New Roman" w:hAnsi="Times New Roman"/>
          <w:sz w:val="20"/>
          <w:szCs w:val="20"/>
          <w:color w:val="auto"/>
        </w:rPr>
        <w:t>. Except as expressly herein amended, the terms and conditions of the Credit Agreement and the other Loan Documents remain in full force and effect. The amendments contained herein shall be deemed to have prospective application only. The Credit Agreement is hereby ratified and confirmed in all respects. Nothing in this Amendment shall limit, impair or constitute a waiver of the rights, powers or remedies available to the Administrative Agent or the Lenders under the Credit Agreement or any other Loan Document.</w:t>
      </w:r>
    </w:p>
    <w:p>
      <w:pPr>
        <w:spacing w:after="0" w:line="18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11.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Amendment may be executed in any number of counterparts, each of which shall be deemed to be an original and shall be binding upon all parties, their successors and assigns.</w:t>
      </w:r>
    </w:p>
    <w:p>
      <w:pPr>
        <w:spacing w:after="0" w:line="160"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12. </w:t>
      </w: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All capitalized terms not otherwise defined herein are used herein with the respective definitions given them in the Credit Agreement.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[Signatures on Next Page]</w:t>
      </w:r>
    </w:p>
    <w:p>
      <w:pPr>
        <w:sectPr>
          <w:pgSz w:w="11900" w:h="16838" w:orient="portrait"/>
          <w:cols w:equalWidth="0" w:num="1">
            <w:col w:w="11420"/>
          </w:cols>
          <w:pgMar w:left="240" w:top="792" w:right="239" w:bottom="1440" w:gutter="0" w:footer="0" w:header="0"/>
        </w:sectPr>
      </w:pPr>
    </w:p>
    <w:bookmarkStart w:id="39" w:name="page40"/>
    <w:bookmarkEnd w:id="39"/>
    <w:p>
      <w:pPr>
        <w:ind w:firstLine="648"/>
        <w:spacing w:after="0" w:line="269" w:lineRule="auto"/>
        <w:rPr>
          <w:sz w:val="20"/>
          <w:szCs w:val="20"/>
          <w:color w:val="auto"/>
        </w:rPr>
      </w:pPr>
      <w:r>
        <w:rPr>
          <w:rFonts w:ascii="Times New Roman" w:cs="Times New Roman" w:eastAsia="Times New Roman" w:hAnsi="Times New Roman"/>
          <w:sz w:val="20"/>
          <w:szCs w:val="20"/>
          <w:color w:val="auto"/>
        </w:rPr>
        <w:t>IN WITNESS WHEREOF, the parties hereto have caused this First Amendment to Term Loan Agreement to be executed as of the date first above written.</w:t>
      </w:r>
    </w:p>
    <w:p>
      <w:pPr>
        <w:spacing w:after="0" w:line="340"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FEDERAL REALTY INVESTMENT TRUST</w:t>
      </w:r>
    </w:p>
    <w:p>
      <w:pPr>
        <w:spacing w:after="0" w:line="38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34290</wp:posOffset>
            </wp:positionV>
            <wp:extent cx="40563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5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Name: Dawn M. Becker</w:t>
      </w:r>
    </w:p>
    <w:p>
      <w:pPr>
        <w:spacing w:after="0" w:line="6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Title: Executive Vice President - 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[Signatures Continued on Next Page]</w:t>
      </w:r>
    </w:p>
    <w:p>
      <w:pPr>
        <w:sectPr>
          <w:pgSz w:w="11900" w:h="16838" w:orient="portrait"/>
          <w:cols w:equalWidth="0" w:num="1">
            <w:col w:w="11360"/>
          </w:cols>
          <w:pgMar w:left="240" w:top="805" w:right="29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7"/>
          <w:szCs w:val="17"/>
          <w:b w:val="1"/>
          <w:bCs w:val="1"/>
          <w:color w:val="auto"/>
        </w:rPr>
        <w:t>[Signature Page to First Amendment to Term Loan Agreement for Federal Realty Investment Trust]</w:t>
      </w:r>
    </w:p>
    <w:p>
      <w:pPr>
        <w:spacing w:after="0" w:line="200" w:lineRule="exact"/>
        <w:rPr>
          <w:sz w:val="20"/>
          <w:szCs w:val="20"/>
          <w:color w:val="auto"/>
        </w:rPr>
      </w:pPr>
    </w:p>
    <w:p>
      <w:pPr>
        <w:spacing w:after="0" w:line="203"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PNC BANK, NATIONAL ASSOCIATION, as</w:t>
      </w:r>
    </w:p>
    <w:p>
      <w:pPr>
        <w:spacing w:after="0" w:line="6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Administrative Agent and as a Lender</w:t>
      </w:r>
    </w:p>
    <w:p>
      <w:pPr>
        <w:spacing w:after="0" w:line="387"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By: /s/ Benjamin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2433320</wp:posOffset>
            </wp:positionH>
            <wp:positionV relativeFrom="paragraph">
              <wp:posOffset>34290</wp:posOffset>
            </wp:positionV>
            <wp:extent cx="40563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5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Name: Benjamin Adams</w:t>
      </w:r>
    </w:p>
    <w:p>
      <w:pPr>
        <w:spacing w:after="0" w:line="63"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 Continued on Next Page]</w:t>
      </w:r>
    </w:p>
    <w:p>
      <w:pPr>
        <w:sectPr>
          <w:pgSz w:w="11900" w:h="16838" w:orient="portrait"/>
          <w:cols w:equalWidth="0" w:num="1">
            <w:col w:w="9019"/>
          </w:cols>
          <w:pgMar w:left="1440" w:top="792" w:right="1440"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7"/>
          <w:szCs w:val="17"/>
          <w:b w:val="1"/>
          <w:bCs w:val="1"/>
          <w:color w:val="auto"/>
        </w:rPr>
        <w:t>[Signature Page to First Amendment to Term Loan Agreement for Federal Realty Investment Trust]</w:t>
      </w:r>
    </w:p>
    <w:p>
      <w:pPr>
        <w:spacing w:after="0" w:line="200" w:lineRule="exact"/>
        <w:rPr>
          <w:sz w:val="20"/>
          <w:szCs w:val="20"/>
          <w:color w:val="auto"/>
        </w:rPr>
      </w:pPr>
    </w:p>
    <w:p>
      <w:pPr>
        <w:spacing w:after="0" w:line="203"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CAPITAL ONE, N.A., as a Lender</w:t>
      </w:r>
    </w:p>
    <w:p>
      <w:pPr>
        <w:spacing w:after="0" w:line="387"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By: /s/ Frederick H. Denecke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2433320</wp:posOffset>
            </wp:positionH>
            <wp:positionV relativeFrom="paragraph">
              <wp:posOffset>34290</wp:posOffset>
            </wp:positionV>
            <wp:extent cx="40563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5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Name: Frederick H. Denecke</w:t>
      </w:r>
    </w:p>
    <w:p>
      <w:pPr>
        <w:spacing w:after="0" w:line="63"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 Continued on Next Page]</w:t>
      </w:r>
    </w:p>
    <w:p>
      <w:pPr>
        <w:sectPr>
          <w:pgSz w:w="11900" w:h="16838" w:orient="portrait"/>
          <w:cols w:equalWidth="0" w:num="1">
            <w:col w:w="9019"/>
          </w:cols>
          <w:pgMar w:left="1440" w:top="792" w:right="1440"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7"/>
          <w:szCs w:val="17"/>
          <w:b w:val="1"/>
          <w:bCs w:val="1"/>
          <w:color w:val="auto"/>
        </w:rPr>
        <w:t>[Signature Page to First Amendment to Term Loan Agreement for Federal Realty Investment Trust]</w:t>
      </w:r>
    </w:p>
    <w:p>
      <w:pPr>
        <w:spacing w:after="0" w:line="200" w:lineRule="exact"/>
        <w:rPr>
          <w:sz w:val="20"/>
          <w:szCs w:val="20"/>
          <w:color w:val="auto"/>
        </w:rPr>
      </w:pPr>
    </w:p>
    <w:p>
      <w:pPr>
        <w:spacing w:after="0" w:line="203"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REGIONS BANK, as a Lender</w:t>
      </w:r>
    </w:p>
    <w:p>
      <w:pPr>
        <w:spacing w:after="0" w:line="387"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By: /s/ Kerri Raines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2433320</wp:posOffset>
            </wp:positionH>
            <wp:positionV relativeFrom="paragraph">
              <wp:posOffset>34290</wp:posOffset>
            </wp:positionV>
            <wp:extent cx="40563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5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Name: Kerri Raines</w:t>
      </w:r>
    </w:p>
    <w:p>
      <w:pPr>
        <w:spacing w:after="0" w:line="63"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 Continued on Next Page]</w:t>
      </w:r>
    </w:p>
    <w:p>
      <w:pPr>
        <w:sectPr>
          <w:pgSz w:w="11900" w:h="16838" w:orient="portrait"/>
          <w:cols w:equalWidth="0" w:num="1">
            <w:col w:w="9019"/>
          </w:cols>
          <w:pgMar w:left="1440" w:top="792" w:right="1440"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7"/>
          <w:szCs w:val="17"/>
          <w:b w:val="1"/>
          <w:bCs w:val="1"/>
          <w:color w:val="auto"/>
        </w:rPr>
        <w:t>[Signature Page to First Amendment to Term Loan Agreement for Federal Realty Investment Trust]</w:t>
      </w:r>
    </w:p>
    <w:p>
      <w:pPr>
        <w:spacing w:after="0" w:line="200" w:lineRule="exact"/>
        <w:rPr>
          <w:sz w:val="20"/>
          <w:szCs w:val="20"/>
          <w:color w:val="auto"/>
        </w:rPr>
      </w:pPr>
    </w:p>
    <w:p>
      <w:pPr>
        <w:spacing w:after="0" w:line="203"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SUNTRUST BANK, as a Lender</w:t>
      </w:r>
    </w:p>
    <w:p>
      <w:pPr>
        <w:spacing w:after="0" w:line="387"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By: /s/ W. John Wendler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2433320</wp:posOffset>
            </wp:positionH>
            <wp:positionV relativeFrom="paragraph">
              <wp:posOffset>34290</wp:posOffset>
            </wp:positionV>
            <wp:extent cx="40563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5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Name: W. John Wendler</w:t>
      </w:r>
    </w:p>
    <w:p>
      <w:pPr>
        <w:spacing w:after="0" w:line="63"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 Continued on Next Page]</w:t>
      </w:r>
    </w:p>
    <w:p>
      <w:pPr>
        <w:sectPr>
          <w:pgSz w:w="11900" w:h="16838" w:orient="portrait"/>
          <w:cols w:equalWidth="0" w:num="1">
            <w:col w:w="9019"/>
          </w:cols>
          <w:pgMar w:left="1440" w:top="793" w:right="1440"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7"/>
          <w:szCs w:val="17"/>
          <w:b w:val="1"/>
          <w:bCs w:val="1"/>
          <w:color w:val="auto"/>
        </w:rPr>
        <w:t>[Signature Page to First Amendment to Term Loan Agreement for Federal Realty Investment Trust]</w:t>
      </w:r>
    </w:p>
    <w:p>
      <w:pPr>
        <w:spacing w:after="0" w:line="200" w:lineRule="exact"/>
        <w:rPr>
          <w:sz w:val="20"/>
          <w:szCs w:val="20"/>
          <w:color w:val="auto"/>
        </w:rPr>
      </w:pPr>
    </w:p>
    <w:p>
      <w:pPr>
        <w:spacing w:after="0" w:line="203"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TD BANK, N.A., as a Lender</w:t>
      </w:r>
    </w:p>
    <w:p>
      <w:pPr>
        <w:spacing w:after="0" w:line="387"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By: /s/ Michael Duganich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2433320</wp:posOffset>
            </wp:positionH>
            <wp:positionV relativeFrom="paragraph">
              <wp:posOffset>34290</wp:posOffset>
            </wp:positionV>
            <wp:extent cx="40563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5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Name: Michael Duganich</w:t>
      </w:r>
    </w:p>
    <w:p>
      <w:pPr>
        <w:spacing w:after="0" w:line="63"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Title: Vice President</w:t>
      </w:r>
    </w:p>
    <w:p>
      <w:pPr>
        <w:sectPr>
          <w:pgSz w:w="11900" w:h="16838" w:orient="portrait"/>
          <w:cols w:equalWidth="0" w:num="1">
            <w:col w:w="9019"/>
          </w:cols>
          <w:pgMar w:left="1440" w:top="792" w:right="1440" w:bottom="1440" w:gutter="0" w:footer="0" w:header="0"/>
        </w:sectPr>
      </w:pPr>
    </w:p>
    <w:bookmarkStart w:id="45" w:name="page46"/>
    <w:bookmarkEnd w:id="45"/>
    <w:p>
      <w:pPr>
        <w:jc w:val="center"/>
        <w:ind w:right="-1220"/>
        <w:spacing w:after="0"/>
        <w:rPr>
          <w:sz w:val="20"/>
          <w:szCs w:val="20"/>
          <w:color w:val="auto"/>
        </w:rPr>
      </w:pPr>
      <w:r>
        <w:rPr>
          <w:rFonts w:ascii="Times New Roman" w:cs="Times New Roman" w:eastAsia="Times New Roman" w:hAnsi="Times New Roman"/>
          <w:sz w:val="20"/>
          <w:szCs w:val="20"/>
          <w:color w:val="auto"/>
        </w:rPr>
        <w:t>SCHEDULE I</w:t>
      </w:r>
    </w:p>
    <w:p>
      <w:pPr>
        <w:spacing w:after="0" w:line="216" w:lineRule="exact"/>
        <w:rPr>
          <w:sz w:val="20"/>
          <w:szCs w:val="20"/>
          <w:color w:val="auto"/>
        </w:rPr>
      </w:pPr>
    </w:p>
    <w:p>
      <w:pPr>
        <w:jc w:val="right"/>
        <w:ind w:right="3679"/>
        <w:spacing w:after="0"/>
        <w:rPr>
          <w:sz w:val="20"/>
          <w:szCs w:val="20"/>
          <w:color w:val="auto"/>
        </w:rPr>
      </w:pPr>
      <w:r>
        <w:rPr>
          <w:rFonts w:ascii="Times New Roman" w:cs="Times New Roman" w:eastAsia="Times New Roman" w:hAnsi="Times New Roman"/>
          <w:sz w:val="20"/>
          <w:szCs w:val="20"/>
          <w:u w:val="single" w:color="auto"/>
          <w:color w:val="auto"/>
        </w:rPr>
        <w:t>Released Guarantors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STREET RETAIL,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FR LINDEN SQUARE, INC.</w:t>
      </w:r>
    </w:p>
    <w:p>
      <w:pPr>
        <w:spacing w:after="0"/>
        <w:rPr>
          <w:sz w:val="20"/>
          <w:szCs w:val="20"/>
          <w:color w:val="auto"/>
        </w:rPr>
      </w:pPr>
      <w:r>
        <w:rPr>
          <w:rFonts w:ascii="Times New Roman" w:cs="Times New Roman" w:eastAsia="Times New Roman" w:hAnsi="Times New Roman"/>
          <w:sz w:val="20"/>
          <w:szCs w:val="20"/>
          <w:color w:val="auto"/>
        </w:rPr>
        <w:t>FR FEDERAL PLAZA, INC.</w:t>
      </w:r>
    </w:p>
    <w:p>
      <w:pPr>
        <w:spacing w:after="0"/>
        <w:rPr>
          <w:sz w:val="20"/>
          <w:szCs w:val="20"/>
          <w:color w:val="auto"/>
        </w:rPr>
      </w:pPr>
      <w:r>
        <w:rPr>
          <w:rFonts w:ascii="Times New Roman" w:cs="Times New Roman" w:eastAsia="Times New Roman" w:hAnsi="Times New Roman"/>
          <w:sz w:val="20"/>
          <w:szCs w:val="20"/>
          <w:color w:val="auto"/>
        </w:rPr>
        <w:t>FR WHITE MARSH, INC.</w:t>
      </w:r>
    </w:p>
    <w:p>
      <w:pPr>
        <w:spacing w:after="0"/>
        <w:rPr>
          <w:sz w:val="20"/>
          <w:szCs w:val="20"/>
          <w:color w:val="auto"/>
        </w:rPr>
      </w:pPr>
      <w:r>
        <w:rPr>
          <w:rFonts w:ascii="Times New Roman" w:cs="Times New Roman" w:eastAsia="Times New Roman" w:hAnsi="Times New Roman"/>
          <w:sz w:val="20"/>
          <w:szCs w:val="20"/>
          <w:color w:val="auto"/>
        </w:rPr>
        <w:t>FEDERAL REALTY PARTNERS L.P.</w:t>
      </w:r>
    </w:p>
    <w:p>
      <w:pPr>
        <w:spacing w:after="0"/>
        <w:rPr>
          <w:sz w:val="20"/>
          <w:szCs w:val="20"/>
          <w:color w:val="auto"/>
        </w:rPr>
      </w:pPr>
      <w:r>
        <w:rPr>
          <w:rFonts w:ascii="Times New Roman" w:cs="Times New Roman" w:eastAsia="Times New Roman" w:hAnsi="Times New Roman"/>
          <w:sz w:val="20"/>
          <w:szCs w:val="20"/>
          <w:color w:val="auto"/>
        </w:rPr>
        <w:t>FRIT SAN JOSE TOWN AND COUNTRY VILLAGE, LLC</w:t>
      </w:r>
    </w:p>
    <w:p>
      <w:pPr>
        <w:spacing w:after="0"/>
        <w:rPr>
          <w:sz w:val="20"/>
          <w:szCs w:val="20"/>
          <w:color w:val="auto"/>
        </w:rPr>
      </w:pPr>
      <w:r>
        <w:rPr>
          <w:rFonts w:ascii="Times New Roman" w:cs="Times New Roman" w:eastAsia="Times New Roman" w:hAnsi="Times New Roman"/>
          <w:sz w:val="20"/>
          <w:szCs w:val="20"/>
          <w:color w:val="auto"/>
        </w:rPr>
        <w:t>SRI ASSEMBLY ROW B2, LLC</w:t>
      </w:r>
    </w:p>
    <w:p>
      <w:pPr>
        <w:spacing w:after="0"/>
        <w:rPr>
          <w:sz w:val="20"/>
          <w:szCs w:val="20"/>
          <w:color w:val="auto"/>
        </w:rPr>
      </w:pPr>
      <w:r>
        <w:rPr>
          <w:rFonts w:ascii="Times New Roman" w:cs="Times New Roman" w:eastAsia="Times New Roman" w:hAnsi="Times New Roman"/>
          <w:sz w:val="20"/>
          <w:szCs w:val="20"/>
          <w:color w:val="auto"/>
        </w:rPr>
        <w:t>SRI ASSEMBLY ROW B3, LLC</w:t>
      </w:r>
    </w:p>
    <w:p>
      <w:pPr>
        <w:spacing w:after="0"/>
        <w:rPr>
          <w:sz w:val="20"/>
          <w:szCs w:val="20"/>
          <w:color w:val="auto"/>
        </w:rPr>
      </w:pPr>
      <w:r>
        <w:rPr>
          <w:rFonts w:ascii="Times New Roman" w:cs="Times New Roman" w:eastAsia="Times New Roman" w:hAnsi="Times New Roman"/>
          <w:sz w:val="20"/>
          <w:szCs w:val="20"/>
          <w:color w:val="auto"/>
        </w:rPr>
        <w:t>SRI ASSEMBLY ROW B5, LLC</w:t>
      </w:r>
    </w:p>
    <w:p>
      <w:pPr>
        <w:spacing w:after="0"/>
        <w:rPr>
          <w:sz w:val="20"/>
          <w:szCs w:val="20"/>
          <w:color w:val="auto"/>
        </w:rPr>
      </w:pPr>
      <w:r>
        <w:rPr>
          <w:rFonts w:ascii="Times New Roman" w:cs="Times New Roman" w:eastAsia="Times New Roman" w:hAnsi="Times New Roman"/>
          <w:sz w:val="20"/>
          <w:szCs w:val="20"/>
          <w:color w:val="auto"/>
        </w:rPr>
        <w:t>SRI ASSEMBLY ROW B6, LLC</w:t>
      </w:r>
    </w:p>
    <w:p>
      <w:pPr>
        <w:spacing w:after="0"/>
        <w:rPr>
          <w:sz w:val="20"/>
          <w:szCs w:val="20"/>
          <w:color w:val="auto"/>
        </w:rPr>
      </w:pPr>
      <w:r>
        <w:rPr>
          <w:rFonts w:ascii="Times New Roman" w:cs="Times New Roman" w:eastAsia="Times New Roman" w:hAnsi="Times New Roman"/>
          <w:sz w:val="20"/>
          <w:szCs w:val="20"/>
          <w:color w:val="auto"/>
        </w:rPr>
        <w:t>SRI ASSEMBLY ROW B7, LLC</w:t>
      </w:r>
    </w:p>
    <w:p>
      <w:pPr>
        <w:spacing w:after="0"/>
        <w:rPr>
          <w:sz w:val="20"/>
          <w:szCs w:val="20"/>
          <w:color w:val="auto"/>
        </w:rPr>
      </w:pPr>
      <w:r>
        <w:rPr>
          <w:rFonts w:ascii="Times New Roman" w:cs="Times New Roman" w:eastAsia="Times New Roman" w:hAnsi="Times New Roman"/>
          <w:sz w:val="20"/>
          <w:szCs w:val="20"/>
          <w:color w:val="auto"/>
        </w:rPr>
        <w:t>SRI ASSEMBLY ROW B8, LLC</w:t>
      </w:r>
    </w:p>
    <w:p>
      <w:pPr>
        <w:spacing w:after="0"/>
        <w:rPr>
          <w:sz w:val="20"/>
          <w:szCs w:val="20"/>
          <w:color w:val="auto"/>
        </w:rPr>
      </w:pPr>
      <w:r>
        <w:rPr>
          <w:rFonts w:ascii="Times New Roman" w:cs="Times New Roman" w:eastAsia="Times New Roman" w:hAnsi="Times New Roman"/>
          <w:sz w:val="20"/>
          <w:szCs w:val="20"/>
          <w:color w:val="auto"/>
        </w:rPr>
        <w:t>SRI ASSEMBLY ROW B9, LLC</w:t>
      </w:r>
    </w:p>
    <w:p>
      <w:pPr>
        <w:spacing w:after="0"/>
        <w:rPr>
          <w:sz w:val="20"/>
          <w:szCs w:val="20"/>
          <w:color w:val="auto"/>
        </w:rPr>
      </w:pPr>
      <w:r>
        <w:rPr>
          <w:rFonts w:ascii="Times New Roman" w:cs="Times New Roman" w:eastAsia="Times New Roman" w:hAnsi="Times New Roman"/>
          <w:sz w:val="20"/>
          <w:szCs w:val="20"/>
          <w:color w:val="auto"/>
        </w:rPr>
        <w:t>SRI OLD TOWN, LLC</w:t>
      </w:r>
    </w:p>
    <w:p>
      <w:pPr>
        <w:spacing w:after="0"/>
        <w:rPr>
          <w:sz w:val="20"/>
          <w:szCs w:val="20"/>
          <w:color w:val="auto"/>
        </w:rPr>
      </w:pPr>
      <w:r>
        <w:rPr>
          <w:rFonts w:ascii="Times New Roman" w:cs="Times New Roman" w:eastAsia="Times New Roman" w:hAnsi="Times New Roman"/>
          <w:sz w:val="20"/>
          <w:szCs w:val="20"/>
          <w:color w:val="auto"/>
        </w:rPr>
        <w:t>STREET RETAIL FOREST HILLS I, LLC</w:t>
      </w:r>
    </w:p>
    <w:p>
      <w:pPr>
        <w:spacing w:after="0"/>
        <w:rPr>
          <w:sz w:val="20"/>
          <w:szCs w:val="20"/>
          <w:color w:val="auto"/>
        </w:rPr>
      </w:pPr>
      <w:r>
        <w:rPr>
          <w:rFonts w:ascii="Times New Roman" w:cs="Times New Roman" w:eastAsia="Times New Roman" w:hAnsi="Times New Roman"/>
          <w:sz w:val="20"/>
          <w:szCs w:val="20"/>
          <w:color w:val="auto"/>
        </w:rPr>
        <w:t>STREET RETAIL WEST I, L.P.</w:t>
      </w:r>
    </w:p>
    <w:p>
      <w:pPr>
        <w:spacing w:after="0"/>
        <w:rPr>
          <w:sz w:val="20"/>
          <w:szCs w:val="20"/>
          <w:color w:val="auto"/>
        </w:rPr>
      </w:pPr>
      <w:r>
        <w:rPr>
          <w:rFonts w:ascii="Times New Roman" w:cs="Times New Roman" w:eastAsia="Times New Roman" w:hAnsi="Times New Roman"/>
          <w:sz w:val="20"/>
          <w:szCs w:val="20"/>
          <w:color w:val="auto"/>
        </w:rPr>
        <w:t>STREET RETAIL WEST II, L.P.</w:t>
      </w:r>
    </w:p>
    <w:p>
      <w:pPr>
        <w:spacing w:after="0"/>
        <w:rPr>
          <w:sz w:val="20"/>
          <w:szCs w:val="20"/>
          <w:color w:val="auto"/>
        </w:rPr>
      </w:pPr>
      <w:r>
        <w:rPr>
          <w:rFonts w:ascii="Times New Roman" w:cs="Times New Roman" w:eastAsia="Times New Roman" w:hAnsi="Times New Roman"/>
          <w:sz w:val="20"/>
          <w:szCs w:val="20"/>
          <w:color w:val="auto"/>
        </w:rPr>
        <w:t>STREET RETAIL WEST 3, L.P.</w:t>
      </w:r>
    </w:p>
    <w:p>
      <w:pPr>
        <w:spacing w:after="0"/>
        <w:rPr>
          <w:sz w:val="20"/>
          <w:szCs w:val="20"/>
          <w:color w:val="auto"/>
        </w:rPr>
      </w:pPr>
      <w:r>
        <w:rPr>
          <w:rFonts w:ascii="Times New Roman" w:cs="Times New Roman" w:eastAsia="Times New Roman" w:hAnsi="Times New Roman"/>
          <w:sz w:val="20"/>
          <w:szCs w:val="20"/>
          <w:color w:val="auto"/>
        </w:rPr>
        <w:t>STREET RETAIL WEST 4, L.P.</w:t>
      </w:r>
    </w:p>
    <w:p>
      <w:pPr>
        <w:spacing w:after="0"/>
        <w:rPr>
          <w:sz w:val="20"/>
          <w:szCs w:val="20"/>
          <w:color w:val="auto"/>
        </w:rPr>
      </w:pPr>
      <w:r>
        <w:rPr>
          <w:rFonts w:ascii="Times New Roman" w:cs="Times New Roman" w:eastAsia="Times New Roman" w:hAnsi="Times New Roman"/>
          <w:sz w:val="20"/>
          <w:szCs w:val="20"/>
          <w:color w:val="auto"/>
        </w:rPr>
        <w:t>STREET RETAIL WEST 6, L.P.</w:t>
      </w:r>
    </w:p>
    <w:p>
      <w:pPr>
        <w:spacing w:after="0"/>
        <w:rPr>
          <w:sz w:val="20"/>
          <w:szCs w:val="20"/>
          <w:color w:val="auto"/>
        </w:rPr>
      </w:pPr>
      <w:r>
        <w:rPr>
          <w:rFonts w:ascii="Times New Roman" w:cs="Times New Roman" w:eastAsia="Times New Roman" w:hAnsi="Times New Roman"/>
          <w:sz w:val="20"/>
          <w:szCs w:val="20"/>
          <w:color w:val="auto"/>
        </w:rPr>
        <w:t>STREET RETAIL WEST 10, L.P.</w:t>
      </w:r>
    </w:p>
    <w:p>
      <w:pPr>
        <w:spacing w:after="0"/>
        <w:rPr>
          <w:sz w:val="20"/>
          <w:szCs w:val="20"/>
          <w:color w:val="auto"/>
        </w:rPr>
      </w:pPr>
      <w:r>
        <w:rPr>
          <w:rFonts w:ascii="Times New Roman" w:cs="Times New Roman" w:eastAsia="Times New Roman" w:hAnsi="Times New Roman"/>
          <w:sz w:val="20"/>
          <w:szCs w:val="20"/>
          <w:color w:val="auto"/>
        </w:rPr>
        <w:t>FR STURTEVANT STREET, LLC</w:t>
      </w:r>
    </w:p>
    <w:p>
      <w:pPr>
        <w:spacing w:after="0"/>
        <w:rPr>
          <w:sz w:val="20"/>
          <w:szCs w:val="20"/>
          <w:color w:val="auto"/>
        </w:rPr>
      </w:pPr>
      <w:r>
        <w:rPr>
          <w:rFonts w:ascii="Times New Roman" w:cs="Times New Roman" w:eastAsia="Times New Roman" w:hAnsi="Times New Roman"/>
          <w:sz w:val="20"/>
          <w:szCs w:val="20"/>
          <w:color w:val="auto"/>
        </w:rPr>
        <w:t>FR WESTGATE MALL, LLC</w:t>
      </w:r>
    </w:p>
    <w:p>
      <w:pPr>
        <w:spacing w:after="0"/>
        <w:rPr>
          <w:sz w:val="20"/>
          <w:szCs w:val="20"/>
          <w:color w:val="auto"/>
        </w:rPr>
      </w:pPr>
      <w:r>
        <w:rPr>
          <w:rFonts w:ascii="Times New Roman" w:cs="Times New Roman" w:eastAsia="Times New Roman" w:hAnsi="Times New Roman"/>
          <w:sz w:val="20"/>
          <w:szCs w:val="20"/>
          <w:color w:val="auto"/>
        </w:rPr>
        <w:t>STREET RETAIL SAN ANTONIO, LP</w:t>
      </w:r>
    </w:p>
    <w:p>
      <w:pPr>
        <w:spacing w:after="0"/>
        <w:rPr>
          <w:sz w:val="20"/>
          <w:szCs w:val="20"/>
          <w:color w:val="auto"/>
        </w:rPr>
      </w:pPr>
      <w:r>
        <w:rPr>
          <w:rFonts w:ascii="Times New Roman" w:cs="Times New Roman" w:eastAsia="Times New Roman" w:hAnsi="Times New Roman"/>
          <w:sz w:val="20"/>
          <w:szCs w:val="20"/>
          <w:color w:val="auto"/>
        </w:rPr>
        <w:t>FR CHELSEA COMMONS II, LLC</w:t>
      </w:r>
    </w:p>
    <w:p>
      <w:pPr>
        <w:spacing w:after="0"/>
        <w:rPr>
          <w:sz w:val="20"/>
          <w:szCs w:val="20"/>
          <w:color w:val="auto"/>
        </w:rPr>
      </w:pPr>
      <w:r>
        <w:rPr>
          <w:rFonts w:ascii="Times New Roman" w:cs="Times New Roman" w:eastAsia="Times New Roman" w:hAnsi="Times New Roman"/>
          <w:sz w:val="20"/>
          <w:szCs w:val="20"/>
          <w:color w:val="auto"/>
        </w:rPr>
        <w:t>FR DEL MAR VILLAGE, LLC</w:t>
      </w:r>
    </w:p>
    <w:p>
      <w:pPr>
        <w:spacing w:after="0"/>
        <w:rPr>
          <w:sz w:val="20"/>
          <w:szCs w:val="20"/>
          <w:color w:val="auto"/>
        </w:rPr>
      </w:pPr>
      <w:r>
        <w:rPr>
          <w:rFonts w:ascii="Times New Roman" w:cs="Times New Roman" w:eastAsia="Times New Roman" w:hAnsi="Times New Roman"/>
          <w:sz w:val="20"/>
          <w:szCs w:val="20"/>
          <w:color w:val="auto"/>
        </w:rPr>
        <w:t>FR DEL MAR VILLAGE II, LLC</w:t>
      </w:r>
    </w:p>
    <w:p>
      <w:pPr>
        <w:spacing w:after="0"/>
        <w:rPr>
          <w:sz w:val="20"/>
          <w:szCs w:val="20"/>
          <w:color w:val="auto"/>
        </w:rPr>
      </w:pPr>
      <w:r>
        <w:rPr>
          <w:rFonts w:ascii="Times New Roman" w:cs="Times New Roman" w:eastAsia="Times New Roman" w:hAnsi="Times New Roman"/>
          <w:sz w:val="20"/>
          <w:szCs w:val="20"/>
          <w:color w:val="auto"/>
        </w:rPr>
        <w:t>FR MERCER MALL, LLC</w:t>
      </w:r>
    </w:p>
    <w:p>
      <w:pPr>
        <w:spacing w:after="0"/>
        <w:rPr>
          <w:sz w:val="20"/>
          <w:szCs w:val="20"/>
          <w:color w:val="auto"/>
        </w:rPr>
      </w:pPr>
      <w:r>
        <w:rPr>
          <w:rFonts w:ascii="Times New Roman" w:cs="Times New Roman" w:eastAsia="Times New Roman" w:hAnsi="Times New Roman"/>
          <w:sz w:val="20"/>
          <w:szCs w:val="20"/>
          <w:color w:val="auto"/>
        </w:rPr>
        <w:t>FR NORTH DARTMOUTH, LLC</w:t>
      </w:r>
    </w:p>
    <w:p>
      <w:pPr>
        <w:spacing w:after="0"/>
        <w:rPr>
          <w:sz w:val="20"/>
          <w:szCs w:val="20"/>
          <w:color w:val="auto"/>
        </w:rPr>
      </w:pPr>
      <w:r>
        <w:rPr>
          <w:rFonts w:ascii="Times New Roman" w:cs="Times New Roman" w:eastAsia="Times New Roman" w:hAnsi="Times New Roman"/>
          <w:sz w:val="20"/>
          <w:szCs w:val="20"/>
          <w:color w:val="auto"/>
        </w:rPr>
        <w:t>CORDON FAIRFIELD BUSINESS TRUST</w:t>
      </w:r>
    </w:p>
    <w:p>
      <w:pPr>
        <w:spacing w:after="0"/>
        <w:rPr>
          <w:sz w:val="20"/>
          <w:szCs w:val="20"/>
          <w:color w:val="auto"/>
        </w:rPr>
      </w:pPr>
      <w:r>
        <w:rPr>
          <w:rFonts w:ascii="Times New Roman" w:cs="Times New Roman" w:eastAsia="Times New Roman" w:hAnsi="Times New Roman"/>
          <w:sz w:val="20"/>
          <w:szCs w:val="20"/>
          <w:color w:val="auto"/>
        </w:rPr>
        <w:t>CAMPBELL-PHILADELPHIA BUSINESS TRUST</w:t>
      </w:r>
    </w:p>
    <w:p>
      <w:pPr>
        <w:spacing w:after="0"/>
        <w:rPr>
          <w:sz w:val="20"/>
          <w:szCs w:val="20"/>
          <w:color w:val="auto"/>
        </w:rPr>
      </w:pPr>
      <w:r>
        <w:rPr>
          <w:rFonts w:ascii="Times New Roman" w:cs="Times New Roman" w:eastAsia="Times New Roman" w:hAnsi="Times New Roman"/>
          <w:sz w:val="20"/>
          <w:szCs w:val="20"/>
          <w:color w:val="auto"/>
        </w:rPr>
        <w:t>SHOPPES AT NOTTINGHAM SQUARE BUSINESS TRUST</w:t>
      </w:r>
    </w:p>
    <w:p>
      <w:pPr>
        <w:spacing w:after="0"/>
        <w:rPr>
          <w:sz w:val="20"/>
          <w:szCs w:val="20"/>
          <w:color w:val="auto"/>
        </w:rPr>
      </w:pPr>
      <w:r>
        <w:rPr>
          <w:rFonts w:ascii="Times New Roman" w:cs="Times New Roman" w:eastAsia="Times New Roman" w:hAnsi="Times New Roman"/>
          <w:sz w:val="20"/>
          <w:szCs w:val="20"/>
          <w:color w:val="auto"/>
        </w:rPr>
        <w:t>RETAIL PROPERTIES BUSINESS TRUST</w:t>
      </w:r>
    </w:p>
    <w:p>
      <w:pPr>
        <w:spacing w:after="0"/>
        <w:rPr>
          <w:sz w:val="20"/>
          <w:szCs w:val="20"/>
          <w:color w:val="auto"/>
        </w:rPr>
      </w:pPr>
      <w:r>
        <w:rPr>
          <w:rFonts w:ascii="Times New Roman" w:cs="Times New Roman" w:eastAsia="Times New Roman" w:hAnsi="Times New Roman"/>
          <w:sz w:val="20"/>
          <w:szCs w:val="20"/>
          <w:color w:val="auto"/>
        </w:rPr>
        <w:t>NOTTINGHAM SQUARE BUSINESS TRUST</w:t>
      </w:r>
    </w:p>
    <w:p>
      <w:pPr>
        <w:spacing w:after="0"/>
        <w:rPr>
          <w:sz w:val="20"/>
          <w:szCs w:val="20"/>
          <w:color w:val="auto"/>
        </w:rPr>
      </w:pPr>
      <w:r>
        <w:rPr>
          <w:rFonts w:ascii="Times New Roman" w:cs="Times New Roman" w:eastAsia="Times New Roman" w:hAnsi="Times New Roman"/>
          <w:sz w:val="20"/>
          <w:szCs w:val="20"/>
          <w:color w:val="auto"/>
        </w:rPr>
        <w:t>BYRON STATION LIMITED PARTNERSHIP, LLLP</w:t>
      </w:r>
    </w:p>
    <w:p>
      <w:pPr>
        <w:spacing w:after="0"/>
        <w:rPr>
          <w:sz w:val="20"/>
          <w:szCs w:val="20"/>
          <w:color w:val="auto"/>
        </w:rPr>
      </w:pPr>
      <w:r>
        <w:rPr>
          <w:rFonts w:ascii="Times New Roman" w:cs="Times New Roman" w:eastAsia="Times New Roman" w:hAnsi="Times New Roman"/>
          <w:sz w:val="20"/>
          <w:szCs w:val="20"/>
          <w:color w:val="auto"/>
        </w:rPr>
        <w:t>BERMAN ENTERPRISES II LIMITED PARTNERSHIP</w:t>
      </w:r>
    </w:p>
    <w:p>
      <w:pPr>
        <w:spacing w:after="0"/>
        <w:rPr>
          <w:sz w:val="20"/>
          <w:szCs w:val="20"/>
          <w:color w:val="auto"/>
        </w:rPr>
      </w:pPr>
      <w:r>
        <w:rPr>
          <w:rFonts w:ascii="Times New Roman" w:cs="Times New Roman" w:eastAsia="Times New Roman" w:hAnsi="Times New Roman"/>
          <w:sz w:val="20"/>
          <w:szCs w:val="20"/>
          <w:color w:val="auto"/>
        </w:rPr>
        <w:t>ANDORRA ASSOCIATES</w:t>
      </w:r>
    </w:p>
    <w:p>
      <w:pPr>
        <w:spacing w:after="0"/>
        <w:rPr>
          <w:sz w:val="20"/>
          <w:szCs w:val="20"/>
          <w:color w:val="auto"/>
        </w:rPr>
      </w:pPr>
      <w:r>
        <w:rPr>
          <w:rFonts w:ascii="Times New Roman" w:cs="Times New Roman" w:eastAsia="Times New Roman" w:hAnsi="Times New Roman"/>
          <w:sz w:val="20"/>
          <w:szCs w:val="20"/>
          <w:color w:val="auto"/>
        </w:rPr>
        <w:t>SHOPPING CENTER ASSOCIATES</w:t>
      </w:r>
    </w:p>
    <w:p>
      <w:pPr>
        <w:spacing w:after="0"/>
        <w:rPr>
          <w:sz w:val="20"/>
          <w:szCs w:val="20"/>
          <w:color w:val="auto"/>
        </w:rPr>
      </w:pPr>
      <w:r>
        <w:rPr>
          <w:rFonts w:ascii="Times New Roman" w:cs="Times New Roman" w:eastAsia="Times New Roman" w:hAnsi="Times New Roman"/>
          <w:sz w:val="20"/>
          <w:szCs w:val="20"/>
          <w:color w:val="auto"/>
        </w:rPr>
        <w:t>FR PIKE 7 LIMITED PARTNERSHIP</w:t>
      </w:r>
    </w:p>
    <w:p>
      <w:pPr>
        <w:spacing w:after="0"/>
        <w:rPr>
          <w:sz w:val="20"/>
          <w:szCs w:val="20"/>
          <w:color w:val="auto"/>
        </w:rPr>
      </w:pPr>
      <w:r>
        <w:rPr>
          <w:rFonts w:ascii="Times New Roman" w:cs="Times New Roman" w:eastAsia="Times New Roman" w:hAnsi="Times New Roman"/>
          <w:sz w:val="20"/>
          <w:szCs w:val="20"/>
          <w:color w:val="auto"/>
        </w:rPr>
        <w:t>GOVERNOR PLAZA ASSOCIATES</w:t>
      </w:r>
    </w:p>
    <w:p>
      <w:pPr>
        <w:spacing w:after="0"/>
        <w:rPr>
          <w:sz w:val="20"/>
          <w:szCs w:val="20"/>
          <w:color w:val="auto"/>
        </w:rPr>
      </w:pPr>
      <w:r>
        <w:rPr>
          <w:rFonts w:ascii="Times New Roman" w:cs="Times New Roman" w:eastAsia="Times New Roman" w:hAnsi="Times New Roman"/>
          <w:sz w:val="20"/>
          <w:szCs w:val="20"/>
          <w:color w:val="auto"/>
        </w:rPr>
        <w:t>FR ASSEMBLY SQUARE, LLC</w:t>
      </w:r>
    </w:p>
    <w:p>
      <w:pPr>
        <w:spacing w:after="0"/>
        <w:rPr>
          <w:sz w:val="20"/>
          <w:szCs w:val="20"/>
          <w:color w:val="auto"/>
        </w:rPr>
      </w:pPr>
      <w:r>
        <w:rPr>
          <w:rFonts w:ascii="Times New Roman" w:cs="Times New Roman" w:eastAsia="Times New Roman" w:hAnsi="Times New Roman"/>
          <w:sz w:val="20"/>
          <w:szCs w:val="20"/>
          <w:color w:val="auto"/>
        </w:rPr>
        <w:t>FR CHELSEA COMMONS III, LLC</w:t>
      </w:r>
    </w:p>
    <w:p>
      <w:pPr>
        <w:spacing w:after="0"/>
        <w:rPr>
          <w:sz w:val="20"/>
          <w:szCs w:val="20"/>
          <w:color w:val="auto"/>
        </w:rPr>
      </w:pPr>
      <w:r>
        <w:rPr>
          <w:rFonts w:ascii="Times New Roman" w:cs="Times New Roman" w:eastAsia="Times New Roman" w:hAnsi="Times New Roman"/>
          <w:sz w:val="20"/>
          <w:szCs w:val="20"/>
          <w:color w:val="auto"/>
        </w:rPr>
        <w:t>FR HUNTINGTON SQUARE, LLC</w:t>
      </w:r>
    </w:p>
    <w:p>
      <w:pPr>
        <w:spacing w:after="0"/>
        <w:rPr>
          <w:sz w:val="20"/>
          <w:szCs w:val="20"/>
          <w:color w:val="auto"/>
        </w:rPr>
      </w:pPr>
      <w:r>
        <w:rPr>
          <w:rFonts w:ascii="Times New Roman" w:cs="Times New Roman" w:eastAsia="Times New Roman" w:hAnsi="Times New Roman"/>
          <w:sz w:val="20"/>
          <w:szCs w:val="20"/>
          <w:color w:val="auto"/>
        </w:rPr>
        <w:t>FR TOWER SHOPS, LLC</w:t>
      </w:r>
    </w:p>
    <w:p>
      <w:pPr>
        <w:sectPr>
          <w:pgSz w:w="11900" w:h="16838" w:orient="portrait"/>
          <w:cols w:equalWidth="0" w:num="1">
            <w:col w:w="10219"/>
          </w:cols>
          <w:pgMar w:left="240" w:top="576" w:right="1440"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i w:val="1"/>
          <w:iCs w:val="1"/>
          <w:color w:val="auto"/>
        </w:rPr>
        <w:t>Donald C. Wood</w:t>
      </w:r>
      <w:r>
        <w:rPr>
          <w:rFonts w:ascii="Times New Roman" w:cs="Times New Roman" w:eastAsia="Times New Roman" w:hAnsi="Times New Roman"/>
          <w:sz w:val="18"/>
          <w:szCs w:val="18"/>
          <w:color w:val="auto"/>
        </w:rPr>
        <w:t>, certify that:</w:t>
      </w:r>
    </w:p>
    <w:p>
      <w:pPr>
        <w:spacing w:after="0" w:line="92" w:lineRule="exact"/>
        <w:rPr>
          <w:sz w:val="20"/>
          <w:szCs w:val="20"/>
          <w:color w:val="auto"/>
        </w:rPr>
      </w:pPr>
    </w:p>
    <w:p>
      <w:pPr>
        <w:ind w:left="880" w:hanging="467"/>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Federal Realty Investment Trust;</w:t>
      </w:r>
    </w:p>
    <w:p>
      <w:pPr>
        <w:spacing w:after="0" w:line="90" w:lineRule="exact"/>
        <w:rPr>
          <w:rFonts w:ascii="Times New Roman" w:cs="Times New Roman" w:eastAsia="Times New Roman" w:hAnsi="Times New Roman"/>
          <w:sz w:val="18"/>
          <w:szCs w:val="18"/>
          <w:color w:val="auto"/>
        </w:rPr>
      </w:pPr>
    </w:p>
    <w:p>
      <w:pPr>
        <w:jc w:val="both"/>
        <w:ind w:left="880" w:right="80" w:hanging="467"/>
        <w:spacing w:after="0" w:line="266" w:lineRule="auto"/>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Times New Roman" w:cs="Times New Roman" w:eastAsia="Times New Roman" w:hAnsi="Times New Roman"/>
          <w:sz w:val="18"/>
          <w:szCs w:val="18"/>
          <w:color w:val="auto"/>
        </w:rPr>
      </w:pPr>
    </w:p>
    <w:p>
      <w:pPr>
        <w:ind w:left="880" w:right="40" w:hanging="467"/>
        <w:spacing w:after="0" w:line="282" w:lineRule="auto"/>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ind w:left="880" w:right="80" w:hanging="467"/>
        <w:spacing w:after="0" w:line="266" w:lineRule="auto"/>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rFonts w:ascii="Times New Roman" w:cs="Times New Roman" w:eastAsia="Times New Roman" w:hAnsi="Times New Roman"/>
          <w:sz w:val="18"/>
          <w:szCs w:val="18"/>
          <w:color w:val="auto"/>
        </w:rPr>
      </w:pPr>
    </w:p>
    <w:p>
      <w:pPr>
        <w:ind w:left="1420" w:hanging="440"/>
        <w:spacing w:after="0" w:line="266" w:lineRule="auto"/>
        <w:tabs>
          <w:tab w:leader="none" w:pos="14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Times New Roman" w:cs="Times New Roman" w:eastAsia="Times New Roman" w:hAnsi="Times New Roman"/>
          <w:sz w:val="18"/>
          <w:szCs w:val="18"/>
          <w:color w:val="auto"/>
        </w:rPr>
      </w:pPr>
    </w:p>
    <w:p>
      <w:pPr>
        <w:ind w:left="1420" w:right="100" w:hanging="440"/>
        <w:spacing w:after="0" w:line="266" w:lineRule="auto"/>
        <w:tabs>
          <w:tab w:leader="none" w:pos="14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Times New Roman" w:cs="Times New Roman" w:eastAsia="Times New Roman" w:hAnsi="Times New Roman"/>
          <w:sz w:val="18"/>
          <w:szCs w:val="18"/>
          <w:color w:val="auto"/>
        </w:rPr>
      </w:pPr>
    </w:p>
    <w:p>
      <w:pPr>
        <w:ind w:left="1420" w:right="260" w:hanging="440"/>
        <w:spacing w:after="0" w:line="282" w:lineRule="auto"/>
        <w:tabs>
          <w:tab w:leader="none" w:pos="14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1420" w:right="340" w:hanging="440"/>
        <w:spacing w:after="0" w:line="266" w:lineRule="auto"/>
        <w:tabs>
          <w:tab w:leader="none" w:pos="14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Times New Roman" w:cs="Times New Roman" w:eastAsia="Times New Roman" w:hAnsi="Times New Roman"/>
          <w:sz w:val="18"/>
          <w:szCs w:val="18"/>
          <w:color w:val="auto"/>
        </w:rPr>
      </w:pPr>
    </w:p>
    <w:p>
      <w:pPr>
        <w:ind w:left="880" w:right="240" w:hanging="467"/>
        <w:spacing w:after="0" w:line="282" w:lineRule="auto"/>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26" w:lineRule="exact"/>
        <w:rPr>
          <w:rFonts w:ascii="Times New Roman" w:cs="Times New Roman" w:eastAsia="Times New Roman" w:hAnsi="Times New Roman"/>
          <w:sz w:val="18"/>
          <w:szCs w:val="18"/>
          <w:color w:val="auto"/>
        </w:rPr>
      </w:pPr>
    </w:p>
    <w:p>
      <w:pPr>
        <w:ind w:left="1420" w:right="560" w:hanging="440"/>
        <w:spacing w:after="0" w:line="282" w:lineRule="auto"/>
        <w:tabs>
          <w:tab w:leader="none" w:pos="14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420" w:right="260" w:hanging="440"/>
        <w:spacing w:after="0" w:line="282" w:lineRule="auto"/>
        <w:tabs>
          <w:tab w:leader="none" w:pos="14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40"/>
        <w:spacing w:after="0"/>
        <w:tabs>
          <w:tab w:leader="none" w:pos="7900" w:val="left"/>
        </w:tabs>
        <w:rPr>
          <w:sz w:val="20"/>
          <w:szCs w:val="20"/>
          <w:color w:val="auto"/>
        </w:rPr>
      </w:pPr>
      <w:r>
        <w:rPr>
          <w:rFonts w:ascii="Times New Roman" w:cs="Times New Roman" w:eastAsia="Times New Roman" w:hAnsi="Times New Roman"/>
          <w:sz w:val="18"/>
          <w:szCs w:val="18"/>
          <w:color w:val="auto"/>
        </w:rPr>
        <w:t>May 1, 2013</w:t>
      </w:r>
      <w:r>
        <w:rPr>
          <w:sz w:val="20"/>
          <w:szCs w:val="20"/>
          <w:color w:val="auto"/>
        </w:rPr>
        <w:tab/>
      </w:r>
      <w:r>
        <w:rPr>
          <w:rFonts w:ascii="Times New Roman" w:cs="Times New Roman" w:eastAsia="Times New Roman" w:hAnsi="Times New Roman"/>
          <w:sz w:val="17"/>
          <w:szCs w:val="17"/>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34290</wp:posOffset>
            </wp:positionV>
            <wp:extent cx="35502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Donald C. Wood,</w:t>
      </w:r>
    </w:p>
    <w:p>
      <w:pPr>
        <w:spacing w:after="0" w:line="63"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President, Chief Executive Officer and Trustee</w:t>
      </w:r>
    </w:p>
    <w:p>
      <w:pPr>
        <w:spacing w:after="0" w:line="63"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420"/>
          </w:cols>
          <w:pgMar w:left="240" w:top="576" w:right="2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i w:val="1"/>
          <w:iCs w:val="1"/>
          <w:color w:val="auto"/>
        </w:rPr>
        <w:t>James M. Taylor, Jr.</w:t>
      </w:r>
      <w:r>
        <w:rPr>
          <w:rFonts w:ascii="Times New Roman" w:cs="Times New Roman" w:eastAsia="Times New Roman" w:hAnsi="Times New Roman"/>
          <w:sz w:val="18"/>
          <w:szCs w:val="18"/>
          <w:color w:val="auto"/>
        </w:rPr>
        <w:t>, certify that:</w:t>
      </w:r>
    </w:p>
    <w:p>
      <w:pPr>
        <w:spacing w:after="0" w:line="92" w:lineRule="exact"/>
        <w:rPr>
          <w:sz w:val="20"/>
          <w:szCs w:val="20"/>
          <w:color w:val="auto"/>
        </w:rPr>
      </w:pPr>
    </w:p>
    <w:p>
      <w:pPr>
        <w:ind w:left="880" w:hanging="467"/>
        <w:spacing w:after="0"/>
        <w:tabs>
          <w:tab w:leader="none" w:pos="8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Federal Realty Investment Trust;</w:t>
      </w:r>
    </w:p>
    <w:p>
      <w:pPr>
        <w:spacing w:after="0" w:line="90" w:lineRule="exact"/>
        <w:rPr>
          <w:rFonts w:ascii="Times New Roman" w:cs="Times New Roman" w:eastAsia="Times New Roman" w:hAnsi="Times New Roman"/>
          <w:sz w:val="18"/>
          <w:szCs w:val="18"/>
          <w:color w:val="auto"/>
        </w:rPr>
      </w:pPr>
    </w:p>
    <w:p>
      <w:pPr>
        <w:jc w:val="both"/>
        <w:ind w:left="880" w:right="80" w:hanging="467"/>
        <w:spacing w:after="0" w:line="266" w:lineRule="auto"/>
        <w:tabs>
          <w:tab w:leader="none" w:pos="8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Times New Roman" w:cs="Times New Roman" w:eastAsia="Times New Roman" w:hAnsi="Times New Roman"/>
          <w:sz w:val="18"/>
          <w:szCs w:val="18"/>
          <w:color w:val="auto"/>
        </w:rPr>
      </w:pPr>
    </w:p>
    <w:p>
      <w:pPr>
        <w:ind w:left="880" w:right="40" w:hanging="467"/>
        <w:spacing w:after="0" w:line="282" w:lineRule="auto"/>
        <w:tabs>
          <w:tab w:leader="none" w:pos="8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ind w:left="880" w:right="80" w:hanging="467"/>
        <w:spacing w:after="0" w:line="266" w:lineRule="auto"/>
        <w:tabs>
          <w:tab w:leader="none" w:pos="8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rFonts w:ascii="Times New Roman" w:cs="Times New Roman" w:eastAsia="Times New Roman" w:hAnsi="Times New Roman"/>
          <w:sz w:val="18"/>
          <w:szCs w:val="18"/>
          <w:color w:val="auto"/>
        </w:rPr>
      </w:pPr>
    </w:p>
    <w:p>
      <w:pPr>
        <w:ind w:left="1420" w:hanging="440"/>
        <w:spacing w:after="0" w:line="266" w:lineRule="auto"/>
        <w:tabs>
          <w:tab w:leader="none" w:pos="14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Times New Roman" w:cs="Times New Roman" w:eastAsia="Times New Roman" w:hAnsi="Times New Roman"/>
          <w:sz w:val="18"/>
          <w:szCs w:val="18"/>
          <w:color w:val="auto"/>
        </w:rPr>
      </w:pPr>
    </w:p>
    <w:p>
      <w:pPr>
        <w:ind w:left="1420" w:right="100" w:hanging="440"/>
        <w:spacing w:after="0" w:line="266" w:lineRule="auto"/>
        <w:tabs>
          <w:tab w:leader="none" w:pos="14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Times New Roman" w:cs="Times New Roman" w:eastAsia="Times New Roman" w:hAnsi="Times New Roman"/>
          <w:sz w:val="18"/>
          <w:szCs w:val="18"/>
          <w:color w:val="auto"/>
        </w:rPr>
      </w:pPr>
    </w:p>
    <w:p>
      <w:pPr>
        <w:ind w:left="1420" w:right="260" w:hanging="440"/>
        <w:spacing w:after="0" w:line="282" w:lineRule="auto"/>
        <w:tabs>
          <w:tab w:leader="none" w:pos="14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1420" w:right="340" w:hanging="440"/>
        <w:spacing w:after="0" w:line="266" w:lineRule="auto"/>
        <w:tabs>
          <w:tab w:leader="none" w:pos="14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Times New Roman" w:cs="Times New Roman" w:eastAsia="Times New Roman" w:hAnsi="Times New Roman"/>
          <w:sz w:val="18"/>
          <w:szCs w:val="18"/>
          <w:color w:val="auto"/>
        </w:rPr>
      </w:pPr>
    </w:p>
    <w:p>
      <w:pPr>
        <w:ind w:left="880" w:right="240" w:hanging="467"/>
        <w:spacing w:after="0" w:line="282" w:lineRule="auto"/>
        <w:tabs>
          <w:tab w:leader="none" w:pos="8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26" w:lineRule="exact"/>
        <w:rPr>
          <w:rFonts w:ascii="Times New Roman" w:cs="Times New Roman" w:eastAsia="Times New Roman" w:hAnsi="Times New Roman"/>
          <w:sz w:val="18"/>
          <w:szCs w:val="18"/>
          <w:color w:val="auto"/>
        </w:rPr>
      </w:pPr>
    </w:p>
    <w:p>
      <w:pPr>
        <w:ind w:left="1420" w:right="560" w:hanging="440"/>
        <w:spacing w:after="0" w:line="282" w:lineRule="auto"/>
        <w:tabs>
          <w:tab w:leader="none" w:pos="14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420" w:right="260" w:hanging="440"/>
        <w:spacing w:after="0" w:line="282" w:lineRule="auto"/>
        <w:tabs>
          <w:tab w:leader="none" w:pos="14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18"/>
          <w:szCs w:val="18"/>
          <w:color w:val="auto"/>
        </w:rPr>
        <w:t>May 1, 2013</w:t>
      </w:r>
      <w:r>
        <w:rPr>
          <w:sz w:val="20"/>
          <w:szCs w:val="20"/>
          <w:color w:val="auto"/>
        </w:rPr>
        <w:tab/>
      </w:r>
      <w:r>
        <w:rPr>
          <w:rFonts w:ascii="Times New Roman" w:cs="Times New Roman" w:eastAsia="Times New Roman" w:hAnsi="Times New Roman"/>
          <w:sz w:val="17"/>
          <w:szCs w:val="17"/>
          <w:color w:val="auto"/>
        </w:rPr>
        <w:t>/s/ James M. Taylor,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34290</wp:posOffset>
            </wp:positionV>
            <wp:extent cx="35502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b w:val="1"/>
          <w:bCs w:val="1"/>
          <w:color w:val="auto"/>
        </w:rPr>
        <w:t>James M. Taylor, Jr.</w:t>
      </w:r>
    </w:p>
    <w:p>
      <w:pPr>
        <w:spacing w:after="0" w:line="63"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b w:val="1"/>
          <w:bCs w:val="1"/>
          <w:color w:val="auto"/>
        </w:rPr>
        <w:t>Executive Vice President -</w:t>
      </w:r>
    </w:p>
    <w:p>
      <w:pPr>
        <w:spacing w:after="0" w:line="31"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41"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ectPr>
          <w:pgSz w:w="11900" w:h="16838" w:orient="portrait"/>
          <w:cols w:equalWidth="0" w:num="1">
            <w:col w:w="11420"/>
          </w:cols>
          <w:pgMar w:left="240" w:top="576" w:right="2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200" w:firstLine="432"/>
        <w:spacing w:after="0" w:line="266" w:lineRule="auto"/>
        <w:rPr>
          <w:sz w:val="20"/>
          <w:szCs w:val="20"/>
          <w:color w:val="auto"/>
        </w:rPr>
      </w:pPr>
      <w:r>
        <w:rPr>
          <w:rFonts w:ascii="Times New Roman" w:cs="Times New Roman" w:eastAsia="Times New Roman" w:hAnsi="Times New Roman"/>
          <w:sz w:val="18"/>
          <w:szCs w:val="18"/>
          <w:color w:val="auto"/>
        </w:rPr>
        <w:t>The undersigned, Donald C. Wood, the President and Chief Executive Officer of Federal Realty Investment Trust (the “Company”), has executed this certification in connection with the filing with the Securities and Exchange Commission of the Company’s Quarterly Report on Form 10-Q for the period ended March 31, 2013 (the “Report”). The undersigned hereby certifies, to the best of his knowledge, that:</w:t>
      </w:r>
    </w:p>
    <w:p>
      <w:pPr>
        <w:spacing w:after="0" w:line="68" w:lineRule="exact"/>
        <w:rPr>
          <w:sz w:val="20"/>
          <w:szCs w:val="20"/>
          <w:color w:val="auto"/>
        </w:rPr>
      </w:pPr>
    </w:p>
    <w:p>
      <w:pPr>
        <w:ind w:left="1300" w:hanging="887"/>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300" w:right="500" w:hanging="887"/>
        <w:spacing w:after="0" w:line="282" w:lineRule="auto"/>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24" w:lineRule="exact"/>
        <w:rPr>
          <w:sz w:val="20"/>
          <w:szCs w:val="20"/>
          <w:color w:val="auto"/>
        </w:rPr>
      </w:pPr>
    </w:p>
    <w:p>
      <w:pPr>
        <w:ind w:left="40"/>
        <w:spacing w:after="0"/>
        <w:tabs>
          <w:tab w:leader="none" w:pos="7900" w:val="left"/>
        </w:tabs>
        <w:rPr>
          <w:sz w:val="20"/>
          <w:szCs w:val="20"/>
          <w:color w:val="auto"/>
        </w:rPr>
      </w:pPr>
      <w:r>
        <w:rPr>
          <w:rFonts w:ascii="Times New Roman" w:cs="Times New Roman" w:eastAsia="Times New Roman" w:hAnsi="Times New Roman"/>
          <w:sz w:val="18"/>
          <w:szCs w:val="18"/>
          <w:color w:val="auto"/>
        </w:rPr>
        <w:t>May 1, 2013</w:t>
      </w:r>
      <w:r>
        <w:rPr>
          <w:sz w:val="20"/>
          <w:szCs w:val="20"/>
          <w:color w:val="auto"/>
        </w:rPr>
        <w:tab/>
      </w:r>
      <w:r>
        <w:rPr>
          <w:rFonts w:ascii="Times New Roman" w:cs="Times New Roman" w:eastAsia="Times New Roman" w:hAnsi="Times New Roman"/>
          <w:sz w:val="17"/>
          <w:szCs w:val="17"/>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34290</wp:posOffset>
            </wp:positionV>
            <wp:extent cx="35502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Donald C. Wood,</w:t>
      </w:r>
    </w:p>
    <w:p>
      <w:pPr>
        <w:spacing w:after="0" w:line="63"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President, Chief Executive Officer and Trustee</w:t>
      </w:r>
    </w:p>
    <w:p>
      <w:pPr>
        <w:spacing w:after="0" w:line="63"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420"/>
          </w:cols>
          <w:pgMar w:left="240" w:top="576" w:right="2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jc w:val="both"/>
        <w:ind w:right="120" w:firstLine="432"/>
        <w:spacing w:after="0" w:line="266" w:lineRule="auto"/>
        <w:rPr>
          <w:sz w:val="20"/>
          <w:szCs w:val="20"/>
          <w:color w:val="auto"/>
        </w:rPr>
      </w:pPr>
      <w:r>
        <w:rPr>
          <w:rFonts w:ascii="Times New Roman" w:cs="Times New Roman" w:eastAsia="Times New Roman" w:hAnsi="Times New Roman"/>
          <w:sz w:val="18"/>
          <w:szCs w:val="18"/>
          <w:color w:val="auto"/>
        </w:rPr>
        <w:t>The undersigned, James M. Taylor, Jr., the Executive Vice President and Chief Financial Officer and Treasurer of Federal Realty Investment Trust (the “Company”), has executed this certification in connection with the filing with the Securities and Exchange Commission of the Company’s Quarterly Report on Form 10-Q for the period ended March 31, 2013 (the “Report”). The undersigned hereby certifies, to the best of his knowledge, that:</w:t>
      </w:r>
    </w:p>
    <w:p>
      <w:pPr>
        <w:spacing w:after="0" w:line="68" w:lineRule="exact"/>
        <w:rPr>
          <w:sz w:val="20"/>
          <w:szCs w:val="20"/>
          <w:color w:val="auto"/>
        </w:rPr>
      </w:pPr>
    </w:p>
    <w:p>
      <w:pPr>
        <w:ind w:left="1300" w:hanging="887"/>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300" w:right="500" w:hanging="887"/>
        <w:spacing w:after="0" w:line="282" w:lineRule="auto"/>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24" w:lineRule="exact"/>
        <w:rPr>
          <w:sz w:val="20"/>
          <w:szCs w:val="20"/>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18"/>
          <w:szCs w:val="18"/>
          <w:color w:val="auto"/>
        </w:rPr>
        <w:t>May 1, 2013</w:t>
      </w:r>
      <w:r>
        <w:rPr>
          <w:sz w:val="20"/>
          <w:szCs w:val="20"/>
          <w:color w:val="auto"/>
        </w:rPr>
        <w:tab/>
      </w:r>
      <w:r>
        <w:rPr>
          <w:rFonts w:ascii="Times New Roman" w:cs="Times New Roman" w:eastAsia="Times New Roman" w:hAnsi="Times New Roman"/>
          <w:sz w:val="17"/>
          <w:szCs w:val="17"/>
          <w:color w:val="auto"/>
        </w:rPr>
        <w:t>/s/ James M. Taylor,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34290</wp:posOffset>
            </wp:positionV>
            <wp:extent cx="35502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b w:val="1"/>
          <w:bCs w:val="1"/>
          <w:color w:val="auto"/>
        </w:rPr>
        <w:t>James M. Taylor, Jr.</w:t>
      </w:r>
    </w:p>
    <w:p>
      <w:pPr>
        <w:spacing w:after="0" w:line="63"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b w:val="1"/>
          <w:bCs w:val="1"/>
          <w:color w:val="auto"/>
        </w:rPr>
        <w:t>Executive Vice President -</w:t>
      </w:r>
    </w:p>
    <w:p>
      <w:pPr>
        <w:spacing w:after="0" w:line="31"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41"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decimal"/>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1)"/>
      <w:numFmt w:val="decimal"/>
      <w:start w:val="1"/>
    </w:lvl>
  </w:abstractNum>
  <w:abstractNum w:abstractNumId="14">
    <w:nsid w:val="836C40E"/>
    <w:multiLevelType w:val="hybridMultilevel"/>
    <w:lvl w:ilvl="0">
      <w:lvlJc w:val="left"/>
      <w:lvlText w:val="%1)"/>
      <w:numFmt w:val="decimal"/>
      <w:start w:val="3"/>
    </w:lvl>
  </w:abstractNum>
  <w:abstractNum w:abstractNumId="15">
    <w:nsid w:val="2901D82"/>
    <w:multiLevelType w:val="hybridMultilevel"/>
    <w:lvl w:ilvl="0">
      <w:lvlJc w:val="left"/>
      <w:lvlText w:val="%1)"/>
      <w:numFmt w:val="decimal"/>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1)"/>
      <w:numFmt w:val="decimal"/>
      <w:start w:val="1"/>
    </w:lvl>
  </w:abstractNum>
  <w:abstractNum w:abstractNumId="18">
    <w:nsid w:val="1E7FF521"/>
    <w:multiLevelType w:val="hybridMultilevel"/>
    <w:lvl w:ilvl="0">
      <w:lvlJc w:val="left"/>
      <w:lvlText w:val="•"/>
      <w:numFmt w:val="bullet"/>
      <w:start w:val="1"/>
    </w:lvl>
    <w:lvl w:ilvl="1">
      <w:lvlJc w:val="left"/>
      <w:lvlText w:val="•"/>
      <w:numFmt w:val="bullet"/>
      <w:start w:val="1"/>
    </w:lvl>
  </w:abstractNum>
  <w:abstractNum w:abstractNumId="19">
    <w:nsid w:val="7C3DBD3D"/>
    <w:multiLevelType w:val="hybridMultilevel"/>
    <w:lvl w:ilvl="0">
      <w:lvlJc w:val="left"/>
      <w:lvlText w:val="•"/>
      <w:numFmt w:val="bullet"/>
      <w:start w:val="1"/>
    </w:lvl>
    <w:lvl w:ilvl="1">
      <w:lvlJc w:val="left"/>
      <w:lvlText w:val="•"/>
      <w:numFmt w:val="bullet"/>
      <w:start w:val="1"/>
    </w:lvl>
  </w:abstractNum>
  <w:abstractNum w:abstractNumId="20">
    <w:nsid w:val="737B8DDC"/>
    <w:multiLevelType w:val="hybridMultilevel"/>
    <w:lvl w:ilvl="0">
      <w:lvlJc w:val="left"/>
      <w:lvlText w:val="%1"/>
      <w:numFmt w:val="decimal"/>
      <w:start w:val="101"/>
    </w:lvl>
  </w:abstractNum>
  <w:abstractNum w:abstractNumId="21">
    <w:nsid w:val="6CEAF087"/>
    <w:multiLevelType w:val="hybridMultilevel"/>
    <w:lvl w:ilvl="0">
      <w:lvlJc w:val="left"/>
      <w:lvlText w:val="(%1)"/>
      <w:numFmt w:val="lowerLetter"/>
      <w:start w:val="1"/>
    </w:lvl>
  </w:abstractNum>
  <w:abstractNum w:abstractNumId="22">
    <w:nsid w:val="22221A70"/>
    <w:multiLevelType w:val="hybridMultilevel"/>
    <w:lvl w:ilvl="0">
      <w:lvlJc w:val="left"/>
      <w:lvlText w:val="(%1)"/>
      <w:numFmt w:val="lowerLetter"/>
      <w:start w:val="4"/>
    </w:lvl>
  </w:abstractNum>
  <w:abstractNum w:abstractNumId="23">
    <w:nsid w:val="4516DDE9"/>
    <w:multiLevelType w:val="hybridMultilevel"/>
    <w:lvl w:ilvl="0">
      <w:lvlJc w:val="left"/>
      <w:lvlText w:val="(%1)"/>
      <w:numFmt w:val="lowerLetter"/>
      <w:start w:val="2"/>
    </w:lvl>
  </w:abstractNum>
  <w:abstractNum w:abstractNumId="24">
    <w:nsid w:val="3006C83E"/>
    <w:multiLevelType w:val="hybridMultilevel"/>
    <w:lvl w:ilvl="0">
      <w:lvlJc w:val="left"/>
      <w:lvlText w:val="(%1)"/>
      <w:numFmt w:val="lowerLetter"/>
      <w:start w:val="3"/>
    </w:lvl>
  </w:abstractNum>
  <w:abstractNum w:abstractNumId="25">
    <w:nsid w:val="614FD4A1"/>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4"/>
    </w:lvl>
  </w:abstractNum>
  <w:abstractNum w:abstractNumId="26">
    <w:nsid w:val="419AC241"/>
    <w:multiLevelType w:val="hybridMultilevel"/>
    <w:lvl w:ilvl="0">
      <w:lvlJc w:val="left"/>
      <w:lvlText w:val="(%1)"/>
      <w:numFmt w:val="lowerLetter"/>
      <w:start w:val="4"/>
    </w:lvl>
    <w:lvl w:ilvl="1">
      <w:lvlJc w:val="left"/>
      <w:lvlText w:val="(%2)"/>
      <w:numFmt w:val="lowerLetter"/>
      <w:start w:val="12"/>
    </w:lvl>
    <w:lvl w:ilvl="2">
      <w:lvlJc w:val="left"/>
      <w:lvlText w:val="%3"/>
      <w:numFmt w:val="lowerLetter"/>
      <w:start w:val="1"/>
    </w:lvl>
  </w:abstractNum>
  <w:abstractNum w:abstractNumId="27">
    <w:nsid w:val="5577F8E1"/>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28">
    <w:nsid w:val="440BADFC"/>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abstractNum>
  <w:abstractNum w:abstractNumId="29">
    <w:nsid w:val="5072367"/>
    <w:multiLevelType w:val="hybridMultilevel"/>
    <w:lvl w:ilvl="0">
      <w:lvlJc w:val="left"/>
      <w:lvlText w:val="(%1)"/>
      <w:numFmt w:val="lowerLetter"/>
      <w:start w:val="6"/>
    </w:lvl>
    <w:lvl w:ilvl="1">
      <w:lvlJc w:val="left"/>
      <w:lvlText w:val="(%2)"/>
      <w:numFmt w:val="lowerLetter"/>
      <w:start w:val="6"/>
    </w:lvl>
  </w:abstractNum>
  <w:abstractNum w:abstractNumId="30">
    <w:nsid w:val="3804823E"/>
    <w:multiLevelType w:val="hybridMultilevel"/>
    <w:lvl w:ilvl="0">
      <w:lvlJc w:val="left"/>
      <w:lvlText w:val="%1"/>
      <w:numFmt w:val="lowerLetter"/>
      <w:start w:val="1"/>
    </w:lvl>
    <w:lvl w:ilvl="1">
      <w:lvlJc w:val="left"/>
      <w:lvlText w:val="(%2)"/>
      <w:numFmt w:val="lowerRoman"/>
      <w:start w:val="4"/>
    </w:lvl>
  </w:abstractNum>
  <w:abstractNum w:abstractNumId="31">
    <w:nsid w:val="77465F01"/>
    <w:multiLevelType w:val="hybridMultilevel"/>
    <w:lvl w:ilvl="0">
      <w:lvlJc w:val="left"/>
      <w:lvlText w:val="(%1)"/>
      <w:numFmt w:val="lowerLetter"/>
      <w:start w:val="8"/>
    </w:lvl>
    <w:lvl w:ilvl="1">
      <w:lvlJc w:val="left"/>
      <w:lvlText w:val="%2"/>
      <w:numFmt w:val="lowerRoman"/>
      <w:start w:val="1"/>
    </w:lvl>
  </w:abstractNum>
  <w:abstractNum w:abstractNumId="32">
    <w:nsid w:val="7724C67E"/>
    <w:multiLevelType w:val="hybridMultilevel"/>
    <w:lvl w:ilvl="0">
      <w:lvlJc w:val="left"/>
      <w:lvlText w:val="%1"/>
      <w:numFmt w:val="lowerLetter"/>
      <w:start w:val="1"/>
    </w:lvl>
    <w:lvl w:ilvl="1">
      <w:lvlJc w:val="left"/>
      <w:lvlText w:val="(%2)"/>
      <w:numFmt w:val="lowerLetter"/>
      <w:start w:val="8"/>
    </w:lvl>
  </w:abstractNum>
  <w:abstractNum w:abstractNumId="33">
    <w:nsid w:val="5C482A97"/>
    <w:multiLevelType w:val="hybridMultilevel"/>
    <w:lvl w:ilvl="0">
      <w:lvlJc w:val="left"/>
      <w:lvlText w:val="(%1)"/>
      <w:numFmt w:val="lowerLetter"/>
      <w:start w:val="9"/>
    </w:lvl>
    <w:lvl w:ilvl="1">
      <w:lvlJc w:val="left"/>
      <w:lvlText w:val="(%2)"/>
      <w:numFmt w:val="lowerLetter"/>
      <w:start w:val="2"/>
    </w:lvl>
  </w:abstractNum>
  <w:abstractNum w:abstractNumId="34">
    <w:nsid w:val="2463B9EA"/>
    <w:multiLevelType w:val="hybridMultilevel"/>
    <w:lvl w:ilvl="0">
      <w:lvlJc w:val="left"/>
      <w:lvlText w:val="%1"/>
      <w:numFmt w:val="lowerLetter"/>
      <w:start w:val="1"/>
    </w:lvl>
    <w:lvl w:ilvl="1">
      <w:lvlJc w:val="left"/>
      <w:lvlText w:val="(%2)"/>
      <w:numFmt w:val="lowerLetter"/>
      <w:start w:val="9"/>
    </w:lvl>
  </w:abstractNum>
  <w:abstractNum w:abstractNumId="35">
    <w:nsid w:val="5E884ADC"/>
    <w:multiLevelType w:val="hybridMultilevel"/>
    <w:lvl w:ilvl="0">
      <w:lvlJc w:val="left"/>
      <w:lvlText w:val="(%1)"/>
      <w:numFmt w:val="lowerLetter"/>
      <w:start w:val="1"/>
    </w:lvl>
  </w:abstractNum>
  <w:abstractNum w:abstractNumId="36">
    <w:nsid w:val="51EAD36B"/>
    <w:multiLevelType w:val="hybridMultilevel"/>
    <w:lvl w:ilvl="0">
      <w:lvlJc w:val="left"/>
      <w:lvlText w:val="(%1)"/>
      <w:numFmt w:val="lowerLetter"/>
      <w:start w:val="1"/>
    </w:lvl>
  </w:abstractNum>
  <w:abstractNum w:abstractNumId="37">
    <w:nsid w:val="2D517796"/>
    <w:multiLevelType w:val="hybridMultilevel"/>
    <w:lvl w:ilvl="0">
      <w:lvlJc w:val="left"/>
      <w:lvlText w:val="(%1)"/>
      <w:numFmt w:val="lowerLetter"/>
      <w:start w:val="2"/>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2019-12-05T09:49:52Z</dcterms:created>
  <dcterms:modified xsi:type="dcterms:W3CDTF">2019-12-05T09:49:52Z</dcterms:modified>
</cp:coreProperties>
</file>