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5,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800" w:type="dxa"/>
        <w:tblCellMar>
          <w:top w:w="0" w:type="dxa"/>
          <w:left w:w="0" w:type="dxa"/>
          <w:bottom w:w="0" w:type="dxa"/>
          <w:right w:w="0" w:type="dxa"/>
        </w:tblCellMar>
      </w:tblPr>
      <w:tr>
        <w:trPr>
          <w:trHeight w:val="218"/>
        </w:trPr>
        <w:tc>
          <w:tcPr>
            <w:tcW w:w="4320" w:type="dxa"/>
            <w:vAlign w:val="bottom"/>
          </w:tcPr>
          <w:p>
            <w:pPr>
              <w:jc w:val="center"/>
              <w:ind w:right="2002"/>
              <w:spacing w:after="0"/>
              <w:rPr>
                <w:sz w:val="20"/>
                <w:szCs w:val="20"/>
                <w:color w:val="auto"/>
              </w:rPr>
            </w:pPr>
            <w:r>
              <w:rPr>
                <w:rFonts w:ascii="Arial" w:cs="Arial" w:eastAsia="Arial" w:hAnsi="Arial"/>
                <w:sz w:val="18"/>
                <w:szCs w:val="18"/>
                <w:b w:val="1"/>
                <w:bCs w:val="1"/>
                <w:color w:val="auto"/>
                <w:w w:val="96"/>
              </w:rPr>
              <w:t>Maryland</w:t>
            </w:r>
          </w:p>
        </w:tc>
        <w:tc>
          <w:tcPr>
            <w:tcW w:w="3140" w:type="dxa"/>
            <w:vAlign w:val="bottom"/>
          </w:tcPr>
          <w:p>
            <w:pPr>
              <w:jc w:val="right"/>
              <w:ind w:right="24"/>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4320" w:type="dxa"/>
            <w:vAlign w:val="bottom"/>
          </w:tcPr>
          <w:p>
            <w:pPr>
              <w:jc w:val="center"/>
              <w:ind w:right="20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140" w:type="dxa"/>
            <w:vAlign w:val="bottom"/>
          </w:tcPr>
          <w:p>
            <w:pPr>
              <w:jc w:val="center"/>
              <w:ind w:left="20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320" w:type="dxa"/>
            <w:vAlign w:val="bottom"/>
          </w:tcPr>
          <w:p>
            <w:pPr>
              <w:jc w:val="center"/>
              <w:ind w:right="2002"/>
              <w:spacing w:after="0"/>
              <w:rPr>
                <w:sz w:val="20"/>
                <w:szCs w:val="20"/>
                <w:color w:val="auto"/>
              </w:rPr>
            </w:pPr>
            <w:r>
              <w:rPr>
                <w:rFonts w:ascii="Arial" w:cs="Arial" w:eastAsia="Arial" w:hAnsi="Arial"/>
                <w:sz w:val="14"/>
                <w:szCs w:val="14"/>
                <w:b w:val="1"/>
                <w:bCs w:val="1"/>
                <w:color w:val="auto"/>
                <w:w w:val="88"/>
              </w:rPr>
              <w:t>incorporation or organization)</w:t>
            </w:r>
          </w:p>
        </w:tc>
        <w:tc>
          <w:tcPr>
            <w:tcW w:w="3140" w:type="dxa"/>
            <w:vAlign w:val="bottom"/>
          </w:tcPr>
          <w:p>
            <w:pPr>
              <w:jc w:val="center"/>
              <w:ind w:left="2024"/>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4320" w:type="dxa"/>
            <w:vAlign w:val="bottom"/>
          </w:tcPr>
          <w:p>
            <w:pPr>
              <w:jc w:val="center"/>
              <w:ind w:right="2002"/>
              <w:spacing w:after="0"/>
              <w:rPr>
                <w:sz w:val="20"/>
                <w:szCs w:val="20"/>
                <w:color w:val="auto"/>
              </w:rPr>
            </w:pPr>
            <w:r>
              <w:rPr>
                <w:rFonts w:ascii="Arial" w:cs="Arial" w:eastAsia="Arial" w:hAnsi="Arial"/>
                <w:sz w:val="18"/>
                <w:szCs w:val="18"/>
                <w:b w:val="1"/>
                <w:bCs w:val="1"/>
                <w:color w:val="auto"/>
                <w:w w:val="87"/>
              </w:rPr>
              <w:t>1626 East Jefferson Street</w:t>
            </w:r>
          </w:p>
        </w:tc>
        <w:tc>
          <w:tcPr>
            <w:tcW w:w="3140" w:type="dxa"/>
            <w:vAlign w:val="bottom"/>
          </w:tcPr>
          <w:p>
            <w:pPr>
              <w:spacing w:after="0"/>
              <w:rPr>
                <w:sz w:val="24"/>
                <w:szCs w:val="24"/>
                <w:color w:val="auto"/>
              </w:rPr>
            </w:pPr>
          </w:p>
        </w:tc>
      </w:tr>
      <w:tr>
        <w:trPr>
          <w:trHeight w:val="231"/>
        </w:trPr>
        <w:tc>
          <w:tcPr>
            <w:tcW w:w="4320" w:type="dxa"/>
            <w:vAlign w:val="bottom"/>
          </w:tcPr>
          <w:p>
            <w:pPr>
              <w:jc w:val="center"/>
              <w:ind w:right="2022"/>
              <w:spacing w:after="0"/>
              <w:rPr>
                <w:sz w:val="20"/>
                <w:szCs w:val="20"/>
                <w:color w:val="auto"/>
              </w:rPr>
            </w:pPr>
            <w:r>
              <w:rPr>
                <w:rFonts w:ascii="Arial" w:cs="Arial" w:eastAsia="Arial" w:hAnsi="Arial"/>
                <w:sz w:val="18"/>
                <w:szCs w:val="18"/>
                <w:b w:val="1"/>
                <w:bCs w:val="1"/>
                <w:color w:val="auto"/>
                <w:w w:val="91"/>
              </w:rPr>
              <w:t>Rockville, Maryland</w:t>
            </w:r>
          </w:p>
        </w:tc>
        <w:tc>
          <w:tcPr>
            <w:tcW w:w="3140" w:type="dxa"/>
            <w:vAlign w:val="bottom"/>
          </w:tcPr>
          <w:p>
            <w:pPr>
              <w:jc w:val="right"/>
              <w:ind w:right="224"/>
              <w:spacing w:after="0"/>
              <w:rPr>
                <w:sz w:val="20"/>
                <w:szCs w:val="20"/>
                <w:color w:val="auto"/>
              </w:rPr>
            </w:pPr>
            <w:r>
              <w:rPr>
                <w:rFonts w:ascii="Arial" w:cs="Arial" w:eastAsia="Arial" w:hAnsi="Arial"/>
                <w:sz w:val="18"/>
                <w:szCs w:val="18"/>
                <w:b w:val="1"/>
                <w:bCs w:val="1"/>
                <w:color w:val="auto"/>
              </w:rPr>
              <w:t>20852</w:t>
            </w:r>
          </w:p>
        </w:tc>
      </w:tr>
      <w:tr>
        <w:trPr>
          <w:trHeight w:val="174"/>
        </w:trPr>
        <w:tc>
          <w:tcPr>
            <w:tcW w:w="4320" w:type="dxa"/>
            <w:vAlign w:val="bottom"/>
          </w:tcPr>
          <w:p>
            <w:pPr>
              <w:jc w:val="center"/>
              <w:ind w:right="20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140" w:type="dxa"/>
            <w:vAlign w:val="bottom"/>
          </w:tcPr>
          <w:p>
            <w:pPr>
              <w:jc w:val="center"/>
              <w:ind w:left="2024"/>
              <w:spacing w:after="0"/>
              <w:rPr>
                <w:sz w:val="20"/>
                <w:szCs w:val="20"/>
                <w:color w:val="auto"/>
              </w:rPr>
            </w:pPr>
            <w:r>
              <w:rPr>
                <w:rFonts w:ascii="Arial" w:cs="Arial" w:eastAsia="Arial" w:hAnsi="Arial"/>
                <w:sz w:val="14"/>
                <w:szCs w:val="14"/>
                <w:b w:val="1"/>
                <w:bCs w:val="1"/>
                <w:color w:val="auto"/>
                <w:w w:val="92"/>
              </w:rPr>
              <w:t>(Zip Code)</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2010 Performance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B. Grill,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M. Green,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32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80" w:type="dxa"/>
            <w:vAlign w:val="bottom"/>
            <w:gridSpan w:val="2"/>
          </w:tcPr>
          <w:p>
            <w:pPr>
              <w:ind w:left="5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8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600" w:type="dxa"/>
            <w:vAlign w:val="bottom"/>
          </w:tcPr>
          <w:p>
            <w:pPr>
              <w:spacing w:after="0"/>
              <w:rPr>
                <w:sz w:val="24"/>
                <w:szCs w:val="24"/>
                <w:color w:val="auto"/>
              </w:rPr>
            </w:pPr>
          </w:p>
        </w:tc>
        <w:tc>
          <w:tcPr>
            <w:tcW w:w="2880" w:type="dxa"/>
            <w:vAlign w:val="bottom"/>
            <w:gridSpan w:val="3"/>
          </w:tcPr>
          <w:p>
            <w:pPr>
              <w:ind w:left="5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ind w:left="22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8"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8" w:lineRule="exact"/>
              <w:rPr>
                <w:sz w:val="20"/>
                <w:szCs w:val="20"/>
                <w:color w:val="auto"/>
              </w:rPr>
            </w:pPr>
            <w:r>
              <w:rPr>
                <w:rFonts w:ascii="Arial" w:cs="Arial" w:eastAsia="Arial" w:hAnsi="Arial"/>
                <w:sz w:val="12"/>
                <w:szCs w:val="12"/>
                <w:b w:val="1"/>
                <w:bCs w:val="1"/>
                <w:color w:val="auto"/>
                <w:w w:val="97"/>
              </w:rPr>
              <w:t>Proposed</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80" w:type="dxa"/>
            <w:vAlign w:val="bottom"/>
          </w:tcPr>
          <w:p>
            <w:pPr>
              <w:spacing w:after="0"/>
              <w:rPr>
                <w:sz w:val="12"/>
                <w:szCs w:val="12"/>
                <w:color w:val="auto"/>
              </w:rPr>
            </w:pPr>
          </w:p>
        </w:tc>
        <w:tc>
          <w:tcPr>
            <w:tcW w:w="100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80" w:type="dxa"/>
            <w:vAlign w:val="bottom"/>
          </w:tcPr>
          <w:p>
            <w:pPr>
              <w:spacing w:after="0"/>
              <w:rPr>
                <w:sz w:val="12"/>
                <w:szCs w:val="12"/>
                <w:color w:val="auto"/>
              </w:rPr>
            </w:pPr>
          </w:p>
        </w:tc>
        <w:tc>
          <w:tcPr>
            <w:tcW w:w="100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5"/>
              </w:rPr>
              <w:t>per share (2)</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7"/>
              </w:rPr>
              <w:t>offering price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7"/>
              </w:rPr>
              <w:t>fee (3)</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Shares of Beneficial Interest, $0.01 par value (4)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2,450,000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$78.45</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$192,202,500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$13,705</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9" w:lineRule="exact"/>
        <w:rPr>
          <w:sz w:val="24"/>
          <w:szCs w:val="24"/>
          <w:color w:val="auto"/>
        </w:rPr>
      </w:pPr>
    </w:p>
    <w:p>
      <w:pPr>
        <w:ind w:left="460" w:right="260" w:hanging="452"/>
        <w:spacing w:after="0" w:line="303"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 under the Securities Act of 1933, as amended (the “Securities Act”), this registration statement shall also cover any additional common shares of beneficial interest, $0.01 par value, of the registrant (“Common Shares”) which become issuable under the Federal Realty Investment Trust 2010 Performance Incentive Plan (the “2010 Plan”) by reason of any share dividend, share split, recapitalization or other similar transaction.</w:t>
      </w:r>
    </w:p>
    <w:p>
      <w:pPr>
        <w:spacing w:after="0" w:line="1" w:lineRule="exact"/>
        <w:rPr>
          <w:rFonts w:ascii="Arial" w:cs="Arial" w:eastAsia="Arial" w:hAnsi="Arial"/>
          <w:sz w:val="15"/>
          <w:szCs w:val="15"/>
          <w:color w:val="auto"/>
        </w:rPr>
      </w:pP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solely for the purposes of calculating the registration fee, based on the average high and low prices of the Shares on April 30, 2010, as reported on the New York Stock Exchange.</w:t>
      </w:r>
    </w:p>
    <w:p>
      <w:pPr>
        <w:ind w:left="460" w:right="2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457(p) under the Securities Act, the registration fee due in connection with this registration statement is being offset by $3,569 that was previously paid with respect to 1,322,607 Common Shares, related to the Federal Realty Investment Trust Amended and Restated 2001 Long-Term Incentive Plan (the “2001 Plan”), that were previously registered on the registrant’s registration statement on Form S-8 (File No. 333-147080) filed on November 1, 2007 and were unsold at the time the 2010 Plan replaced the 2001 Plan.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registration statement on Form S-8 (this “Registration Statement”) is being filed to register 2,450,000 common shares of beneficial interest, $0.01 par value (“Common Shares”) of Federal Realty Investment Trust (the “Registrant”) that may be issued under the Federal Realty Investment Trust 2010 Performance Incentive Plan (the “2010 Plan”). The 2010 Plan replaced the Federal Realty Investment Trust Amended and Restated 2001 Long-Term Incentive Plan effective May 4, 2010.</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Part I is included in documents sent or given to participants in the 2010 Plan pursuant to Rule 428(b)(1) under the Securities Act of 1933, as amended (the “Securities Act”).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herein by reference:</w:t>
      </w:r>
    </w:p>
    <w:p>
      <w:pPr>
        <w:spacing w:after="0" w:line="107" w:lineRule="exact"/>
        <w:rPr>
          <w:sz w:val="20"/>
          <w:szCs w:val="20"/>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year ended December 31, 2009, filed with the Commission on February 17, 2010;</w:t>
      </w:r>
    </w:p>
    <w:p>
      <w:pPr>
        <w:spacing w:after="0" w:line="194" w:lineRule="exact"/>
        <w:rPr>
          <w:rFonts w:ascii="Arial" w:cs="Arial" w:eastAsia="Arial" w:hAnsi="Arial"/>
          <w:sz w:val="16"/>
          <w:szCs w:val="16"/>
          <w:color w:val="auto"/>
        </w:rPr>
      </w:pPr>
    </w:p>
    <w:p>
      <w:pPr>
        <w:ind w:right="320" w:firstLine="921"/>
        <w:spacing w:after="0" w:line="268" w:lineRule="auto"/>
        <w:tabs>
          <w:tab w:leader="none" w:pos="116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Definitive Proxy Statement for the 2010 Annual Meeting of Shareholders, filed with the Commission on March 24, 2010, as supplemented by the Proxy Supplement filed with the Commission on April 22, 2010;</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March 31, 2010, filed with the Commission on May 4, 2010;</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February 19, 2010;</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1, 2010;</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Shares contained in the Registration Statement on Form 8-A/A, filed with the Commission on June 6, 2002; and</w:t>
      </w:r>
    </w:p>
    <w:p>
      <w:pPr>
        <w:spacing w:after="0" w:line="194" w:lineRule="exact"/>
        <w:rPr>
          <w:rFonts w:ascii="Arial" w:cs="Arial" w:eastAsia="Arial" w:hAnsi="Arial"/>
          <w:sz w:val="16"/>
          <w:szCs w:val="16"/>
          <w:color w:val="auto"/>
        </w:rPr>
      </w:pPr>
    </w:p>
    <w:p>
      <w:pPr>
        <w:ind w:firstLine="921"/>
        <w:spacing w:after="0" w:line="298" w:lineRule="auto"/>
        <w:tabs>
          <w:tab w:leader="none" w:pos="116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ectPr>
          <w:pgSz w:w="11900" w:h="16838" w:orient="portrait"/>
          <w:cols w:equalWidth="0" w:num="1">
            <w:col w:w="11360"/>
          </w:cols>
          <w:pgMar w:left="240" w:top="274" w:right="299" w:bottom="1440" w:gutter="0" w:footer="0" w:header="0"/>
        </w:sectPr>
      </w:pPr>
    </w:p>
    <w:bookmarkStart w:id="2" w:name="page3"/>
    <w:bookmarkEnd w:id="2"/>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documents subsequently filed by the Registrant pursuant to Sections 13(a), 13(c), 14 and 15(d) of the Exchange Act prior to the filing of a post-effective amendment which indicates that all Common Shares offered hereby have been sold or which deregisters all Common Shares then remaining unsold, shall be deemed to be incorporated herein by reference and to be a part hereof from the date of filing of such documents.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Trustees and Officers.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05"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w:t>
      </w:r>
    </w:p>
    <w:p>
      <w:pPr>
        <w:spacing w:after="0" w:line="3" w:lineRule="exact"/>
        <w:rPr>
          <w:sz w:val="20"/>
          <w:szCs w:val="20"/>
          <w:color w:val="auto"/>
        </w:rPr>
      </w:pPr>
    </w:p>
    <w:p>
      <w:pPr>
        <w:ind w:right="40" w:firstLine="8"/>
        <w:spacing w:after="0" w:line="255"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w:t>
      </w:r>
    </w:p>
    <w:p>
      <w:pPr>
        <w:sectPr>
          <w:pgSz w:w="11900" w:h="16838" w:orient="portrait"/>
          <w:cols w:equalWidth="0" w:num="1">
            <w:col w:w="11400"/>
          </w:cols>
          <w:pgMar w:left="240" w:top="280" w:right="259" w:bottom="1440" w:gutter="0" w:footer="0" w:header="0"/>
        </w:sectPr>
      </w:pPr>
    </w:p>
    <w:bookmarkStart w:id="3" w:name="page4"/>
    <w:bookmarkEnd w:id="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immediately preceding the exhibits is attached hereto and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ectPr>
          <w:pgSz w:w="11900" w:h="16838" w:orient="portrait"/>
          <w:cols w:equalWidth="0" w:num="1">
            <w:col w:w="11400"/>
          </w:cols>
          <w:pgMar w:left="240" w:top="280" w:right="259" w:bottom="1440" w:gutter="0" w:footer="0" w:header="0"/>
        </w:sectPr>
      </w:pPr>
    </w:p>
    <w:bookmarkStart w:id="4" w:name="page5"/>
    <w:bookmarkEnd w:id="4"/>
    <w:p>
      <w:pPr>
        <w:ind w:left="460" w:right="140" w:firstLine="421"/>
        <w:spacing w:after="0" w:line="268" w:lineRule="auto"/>
        <w:tabs>
          <w:tab w:leader="none" w:pos="118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material information with respect to the plan of distribution not previously disclosed in this Registration Statement or any material change to such information in this Registration Statement;</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59" w:lineRule="exact"/>
        <w:rPr>
          <w:sz w:val="20"/>
          <w:szCs w:val="20"/>
          <w:color w:val="auto"/>
        </w:rPr>
      </w:pPr>
    </w:p>
    <w:p>
      <w:pPr>
        <w:ind w:right="300" w:firstLine="443"/>
        <w:spacing w:after="0" w:line="259" w:lineRule="auto"/>
        <w:tabs>
          <w:tab w:leader="none" w:pos="68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right="760" w:firstLine="443"/>
        <w:spacing w:after="0" w:line="268" w:lineRule="auto"/>
        <w:tabs>
          <w:tab w:leader="none" w:pos="68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460" w:firstLine="464"/>
        <w:spacing w:after="0" w:line="298"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Arial" w:cs="Arial" w:eastAsia="Arial" w:hAnsi="Arial"/>
          <w:sz w:val="16"/>
          <w:szCs w:val="16"/>
          <w:color w:val="auto"/>
        </w:rPr>
      </w:pPr>
    </w:p>
    <w:p>
      <w:pPr>
        <w:ind w:left="-460" w:right="220" w:firstLine="464"/>
        <w:spacing w:after="0" w:line="290" w:lineRule="auto"/>
        <w:tabs>
          <w:tab w:leader="none" w:pos="2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00"/>
          </w:cols>
          <w:pgMar w:left="700" w:top="280"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May 5, 2010.</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60" w:type="dxa"/>
            <w:vAlign w:val="bottom"/>
          </w:tcPr>
          <w:p>
            <w:pPr>
              <w:spacing w:after="0"/>
              <w:rPr>
                <w:sz w:val="14"/>
                <w:szCs w:val="14"/>
                <w:color w:val="auto"/>
              </w:rPr>
            </w:pPr>
          </w:p>
        </w:tc>
      </w:tr>
      <w:tr>
        <w:trPr>
          <w:trHeight w:val="424"/>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800" w:type="dxa"/>
            <w:vAlign w:val="bottom"/>
          </w:tcPr>
          <w:p>
            <w:pPr>
              <w:spacing w:after="0"/>
              <w:rPr>
                <w:sz w:val="19"/>
                <w:szCs w:val="19"/>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2"/>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Senior Vice President-Chief Financial Officer</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800" w:type="dxa"/>
            <w:vAlign w:val="bottom"/>
          </w:tcPr>
          <w:p>
            <w:pPr>
              <w:spacing w:after="0"/>
              <w:rPr>
                <w:sz w:val="19"/>
                <w:szCs w:val="19"/>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and Treasurer (principal financial and accounting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Non-Executive Chairman</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800" w:type="dxa"/>
            <w:vAlign w:val="bottom"/>
            <w:tcBorders>
              <w:bottom w:val="single" w:sz="8" w:color="auto"/>
            </w:tcBorders>
          </w:tcPr>
          <w:p>
            <w:pPr>
              <w:spacing w:after="0"/>
              <w:rPr>
                <w:sz w:val="24"/>
                <w:szCs w:val="24"/>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60" w:type="dxa"/>
            <w:vAlign w:val="bottom"/>
            <w:gridSpan w:val="3"/>
          </w:tcPr>
          <w:p>
            <w:pPr>
              <w:jc w:val="center"/>
              <w:ind w:left="472"/>
              <w:spacing w:after="0"/>
              <w:rPr>
                <w:sz w:val="20"/>
                <w:szCs w:val="20"/>
                <w:color w:val="auto"/>
              </w:rPr>
            </w:pPr>
            <w:r>
              <w:rPr>
                <w:rFonts w:ascii="Arial" w:cs="Arial" w:eastAsia="Arial" w:hAnsi="Arial"/>
                <w:sz w:val="18"/>
                <w:szCs w:val="18"/>
                <w:color w:val="auto"/>
                <w:w w:val="90"/>
              </w:rPr>
              <w:t>May 5, 2010</w:t>
            </w: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6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740" w:type="dxa"/>
            <w:vAlign w:val="bottom"/>
          </w:tcPr>
          <w:p>
            <w:pPr>
              <w:spacing w:after="0"/>
              <w:rPr>
                <w:sz w:val="24"/>
                <w:szCs w:val="24"/>
                <w:color w:val="auto"/>
              </w:rPr>
            </w:pPr>
          </w:p>
        </w:tc>
        <w:tc>
          <w:tcPr>
            <w:tcW w:w="996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0"/>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89"/>
              </w:rPr>
              <w:t>Trust of Federal Realty Investment Trust dated May 6, 2009 (previously filed as Exhibit 3.1 to the Trust’s Registration Statement on Form 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3, filed on June 16, 2009 (File No. 333-160009)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88"/>
              </w:rPr>
              <w:t>February 17, 2006 and May 6, 2009 (previously filed as Exhibit 3.2 to the Trust’s Registration Statement on Form S-3, filed on June 16, 2009</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(File No. 333-160009)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7"/>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1"/>
              </w:rPr>
              <w:t>&amp; Trust Company (previously filed as Exhibit 4.5 to the Trust’s Annual Report on Form 10-K for the year ended December 31, 2003 (File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No. 1-07533) and incorporated herein by reference)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2"/>
              </w:rPr>
              <w:t>Second Amendment to Amended and Restated Rights Agreement, dated as of March 16, 2009, between the Trust and American Stock</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0"/>
              </w:rPr>
              <w:t>Transfer &amp; Trust Company (previously filed as Exhibit 4.3 to the Trust’s Current Report on Form 8-K filed on March 19, 2009 (File No. 001-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07533) and incorporated herein by reference)</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Opinion of Pillsbury Winthrop Shaw Pittman LLP regarding the validity of the securities being registered</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23.1*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23.2*</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24.1*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 Washington, DC 20037</w:t>
      </w:r>
    </w:p>
    <w:p>
      <w:pPr>
        <w:spacing w:after="0" w:line="16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May 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S-8 (the “Registration Statement”) relating to the registration under the Securities Act of 1933 (the “Act”) of 2,450,000 common shares of beneficial interest, par value $0.01 per share (the “Shares”), issuable pursuant to the Company’s 2010 Performance Incentive Plan, as amended (the “Plan”).</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we are of the opinion that the Shares have been duly authorized and, when issued and sold in accordance with the Plan, will be validly issued, fully paid and nonassessable. This opinion is limited to matters governed by the Maryland General Corporation Law.</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issued our reports dated February 17, 2010, with respect to the consolidated financial statements, schedules and internal control over financial reporting included in the Annual Report of Federal Realty Investment Trust on Form 10-K for the year ended December 31, 2009, which are incorporated by reference in this Registration Statement. We consent to the incorporation by reference of the aforementioned reports in this Registration Statement on Form S-8 of Federal Realty Investment Trust.</w:t>
      </w:r>
    </w:p>
    <w:p>
      <w:pPr>
        <w:spacing w:after="0" w:line="14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2019-12-09T23:04:57Z</dcterms:created>
  <dcterms:modified xsi:type="dcterms:W3CDTF">2019-12-09T23:04:57Z</dcterms:modified>
</cp:coreProperties>
</file>