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10-K</w:t>
      </w:r>
    </w:p>
    <w:p>
      <w:pPr>
        <w:ind w:left="820" w:hanging="670"/>
        <w:spacing w:after="0" w:line="220" w:lineRule="auto"/>
        <w:tabs>
          <w:tab w:leader="none" w:pos="8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THE SECTION 13 OR 15(D) OF THE SECURITIES EXCHANGE ACT OF 1934</w:t>
      </w:r>
    </w:p>
    <w:p>
      <w:pPr>
        <w:spacing w:after="0" w:line="9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ind w:left="820" w:hanging="670"/>
        <w:spacing w:after="0" w:line="212" w:lineRule="auto"/>
        <w:tabs>
          <w:tab w:leader="none" w:pos="8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95"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1-07533</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34"/>
          <w:szCs w:val="34"/>
          <w:b w:val="1"/>
          <w:bCs w:val="1"/>
          <w:color w:val="auto"/>
        </w:rPr>
        <w:t>FEDERAL REALTY INVESTMENT TRUST</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400" w:type="dxa"/>
            <w:vAlign w:val="bottom"/>
            <w:gridSpan w:val="2"/>
          </w:tcPr>
          <w:p>
            <w:pPr>
              <w:jc w:val="center"/>
              <w:ind w:right="1565"/>
              <w:spacing w:after="0"/>
              <w:rPr>
                <w:sz w:val="20"/>
                <w:szCs w:val="20"/>
                <w:color w:val="auto"/>
              </w:rPr>
            </w:pPr>
            <w:r>
              <w:rPr>
                <w:rFonts w:ascii="Arial" w:cs="Arial" w:eastAsia="Arial" w:hAnsi="Arial"/>
                <w:sz w:val="18"/>
                <w:szCs w:val="18"/>
                <w:b w:val="1"/>
                <w:bCs w:val="1"/>
                <w:color w:val="auto"/>
                <w:w w:val="96"/>
              </w:rPr>
              <w:t>Maryland</w:t>
            </w: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20" w:type="dxa"/>
            <w:vAlign w:val="bottom"/>
            <w:gridSpan w:val="3"/>
          </w:tcPr>
          <w:p>
            <w:pPr>
              <w:jc w:val="right"/>
              <w:ind w:right="1739"/>
              <w:spacing w:after="0"/>
              <w:rPr>
                <w:sz w:val="20"/>
                <w:szCs w:val="20"/>
                <w:color w:val="auto"/>
              </w:rPr>
            </w:pPr>
            <w:r>
              <w:rPr>
                <w:rFonts w:ascii="Arial" w:cs="Arial" w:eastAsia="Arial" w:hAnsi="Arial"/>
                <w:sz w:val="18"/>
                <w:szCs w:val="18"/>
                <w:b w:val="1"/>
                <w:bCs w:val="1"/>
                <w:color w:val="auto"/>
              </w:rPr>
              <w:t>52-0782497</w:t>
            </w:r>
          </w:p>
        </w:tc>
      </w:tr>
      <w:tr>
        <w:trPr>
          <w:trHeight w:val="218"/>
        </w:trPr>
        <w:tc>
          <w:tcPr>
            <w:tcW w:w="1700" w:type="dxa"/>
            <w:vAlign w:val="bottom"/>
          </w:tcPr>
          <w:p>
            <w:pPr>
              <w:spacing w:after="0"/>
              <w:rPr>
                <w:sz w:val="18"/>
                <w:szCs w:val="18"/>
                <w:color w:val="auto"/>
              </w:rPr>
            </w:pPr>
          </w:p>
        </w:tc>
        <w:tc>
          <w:tcPr>
            <w:tcW w:w="3400" w:type="dxa"/>
            <w:vAlign w:val="bottom"/>
            <w:gridSpan w:val="2"/>
          </w:tcPr>
          <w:p>
            <w:pPr>
              <w:jc w:val="center"/>
              <w:ind w:right="1565"/>
              <w:spacing w:after="0"/>
              <w:rPr>
                <w:sz w:val="20"/>
                <w:szCs w:val="20"/>
                <w:color w:val="auto"/>
              </w:rPr>
            </w:pPr>
            <w:r>
              <w:rPr>
                <w:rFonts w:ascii="Arial" w:cs="Arial" w:eastAsia="Arial" w:hAnsi="Arial"/>
                <w:sz w:val="14"/>
                <w:szCs w:val="14"/>
                <w:b w:val="1"/>
                <w:bCs w:val="1"/>
                <w:color w:val="auto"/>
                <w:w w:val="93"/>
              </w:rPr>
              <w:t>(State of Organization)</w:t>
            </w: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20" w:type="dxa"/>
            <w:vAlign w:val="bottom"/>
            <w:gridSpan w:val="3"/>
          </w:tcPr>
          <w:p>
            <w:pPr>
              <w:jc w:val="center"/>
              <w:ind w:right="109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259"/>
        </w:trPr>
        <w:tc>
          <w:tcPr>
            <w:tcW w:w="17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280" w:type="dxa"/>
            <w:vAlign w:val="bottom"/>
            <w:gridSpan w:val="5"/>
          </w:tcPr>
          <w:p>
            <w:pPr>
              <w:jc w:val="center"/>
              <w:ind w:left="65"/>
              <w:spacing w:after="0"/>
              <w:rPr>
                <w:sz w:val="20"/>
                <w:szCs w:val="20"/>
                <w:color w:val="auto"/>
              </w:rPr>
            </w:pPr>
            <w:r>
              <w:rPr>
                <w:rFonts w:ascii="Arial" w:cs="Arial" w:eastAsia="Arial" w:hAnsi="Arial"/>
                <w:sz w:val="16"/>
                <w:szCs w:val="16"/>
                <w:b w:val="1"/>
                <w:bCs w:val="1"/>
                <w:color w:val="auto"/>
                <w:w w:val="91"/>
              </w:rPr>
              <w:t>1626 East Jefferson Street, Rockville, Maryland 20852</w:t>
            </w:r>
          </w:p>
        </w:tc>
        <w:tc>
          <w:tcPr>
            <w:tcW w:w="2360" w:type="dxa"/>
            <w:vAlign w:val="bottom"/>
          </w:tcPr>
          <w:p>
            <w:pPr>
              <w:spacing w:after="0"/>
              <w:rPr>
                <w:sz w:val="22"/>
                <w:szCs w:val="22"/>
                <w:color w:val="auto"/>
              </w:rPr>
            </w:pPr>
          </w:p>
        </w:tc>
      </w:tr>
      <w:tr>
        <w:trPr>
          <w:trHeight w:val="186"/>
        </w:trPr>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320" w:type="dxa"/>
            <w:vAlign w:val="bottom"/>
            <w:gridSpan w:val="3"/>
          </w:tcPr>
          <w:p>
            <w:pPr>
              <w:jc w:val="center"/>
              <w:ind w:left="104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46"/>
        </w:trPr>
        <w:tc>
          <w:tcPr>
            <w:tcW w:w="17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20" w:type="dxa"/>
            <w:vAlign w:val="bottom"/>
          </w:tcPr>
          <w:p>
            <w:pPr>
              <w:jc w:val="center"/>
              <w:ind w:left="14"/>
              <w:spacing w:after="0"/>
              <w:rPr>
                <w:sz w:val="20"/>
                <w:szCs w:val="20"/>
                <w:color w:val="auto"/>
              </w:rPr>
            </w:pPr>
            <w:r>
              <w:rPr>
                <w:rFonts w:ascii="Arial" w:cs="Arial" w:eastAsia="Arial" w:hAnsi="Arial"/>
                <w:sz w:val="16"/>
                <w:szCs w:val="16"/>
                <w:b w:val="1"/>
                <w:bCs w:val="1"/>
                <w:color w:val="auto"/>
                <w:w w:val="93"/>
              </w:rPr>
              <w:t>(301) 998-8100</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186"/>
        </w:trPr>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80" w:type="dxa"/>
            <w:vAlign w:val="bottom"/>
            <w:gridSpan w:val="5"/>
          </w:tcPr>
          <w:p>
            <w:pPr>
              <w:jc w:val="center"/>
              <w:ind w:left="4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2360" w:type="dxa"/>
            <w:vAlign w:val="bottom"/>
          </w:tcPr>
          <w:p>
            <w:pPr>
              <w:spacing w:after="0"/>
              <w:rPr>
                <w:sz w:val="16"/>
                <w:szCs w:val="16"/>
                <w:color w:val="auto"/>
              </w:rPr>
            </w:pPr>
          </w:p>
        </w:tc>
      </w:tr>
      <w:tr>
        <w:trPr>
          <w:trHeight w:val="276"/>
        </w:trPr>
        <w:tc>
          <w:tcPr>
            <w:tcW w:w="51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17"/>
        </w:trPr>
        <w:tc>
          <w:tcPr>
            <w:tcW w:w="1700" w:type="dxa"/>
            <w:vAlign w:val="bottom"/>
          </w:tcPr>
          <w:p>
            <w:pPr>
              <w:spacing w:after="0"/>
              <w:rPr>
                <w:sz w:val="24"/>
                <w:szCs w:val="24"/>
                <w:color w:val="auto"/>
              </w:rPr>
            </w:pPr>
          </w:p>
        </w:tc>
        <w:tc>
          <w:tcPr>
            <w:tcW w:w="3400" w:type="dxa"/>
            <w:vAlign w:val="bottom"/>
            <w:gridSpan w:val="2"/>
          </w:tcPr>
          <w:p>
            <w:pPr>
              <w:jc w:val="center"/>
              <w:ind w:right="2025"/>
              <w:spacing w:after="0"/>
              <w:rPr>
                <w:sz w:val="20"/>
                <w:szCs w:val="20"/>
                <w:color w:val="auto"/>
              </w:rPr>
            </w:pPr>
            <w:r>
              <w:rPr>
                <w:rFonts w:ascii="Arial" w:cs="Arial" w:eastAsia="Arial" w:hAnsi="Arial"/>
                <w:sz w:val="16"/>
                <w:szCs w:val="16"/>
                <w:b w:val="1"/>
                <w:bCs w:val="1"/>
                <w:color w:val="auto"/>
                <w:w w:val="91"/>
              </w:rPr>
              <w:t>Title of Each Class</w:t>
            </w:r>
          </w:p>
        </w:tc>
        <w:tc>
          <w:tcPr>
            <w:tcW w:w="222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w w:val="92"/>
              </w:rPr>
              <w:t>Trading Symbol</w:t>
            </w:r>
          </w:p>
        </w:tc>
        <w:tc>
          <w:tcPr>
            <w:tcW w:w="332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gridSpan w:val="2"/>
            <w:shd w:val="clear" w:color="auto" w:fill="000000"/>
          </w:tcPr>
          <w:p>
            <w:pPr>
              <w:spacing w:after="0" w:line="20" w:lineRule="exact"/>
              <w:rPr>
                <w:sz w:val="1"/>
                <w:szCs w:val="1"/>
                <w:color w:val="auto"/>
              </w:rPr>
            </w:pPr>
          </w:p>
        </w:tc>
      </w:tr>
      <w:tr>
        <w:trPr>
          <w:trHeight w:val="291"/>
        </w:trPr>
        <w:tc>
          <w:tcPr>
            <w:tcW w:w="5100" w:type="dxa"/>
            <w:vAlign w:val="bottom"/>
            <w:gridSpan w:val="3"/>
          </w:tcPr>
          <w:p>
            <w:pPr>
              <w:jc w:val="center"/>
              <w:ind w:right="325"/>
              <w:spacing w:after="0"/>
              <w:rPr>
                <w:sz w:val="20"/>
                <w:szCs w:val="20"/>
                <w:color w:val="auto"/>
              </w:rPr>
            </w:pPr>
            <w:r>
              <w:rPr>
                <w:rFonts w:ascii="Arial" w:cs="Arial" w:eastAsia="Arial" w:hAnsi="Arial"/>
                <w:sz w:val="16"/>
                <w:szCs w:val="16"/>
                <w:color w:val="auto"/>
                <w:w w:val="92"/>
              </w:rPr>
              <w:t>Common Shares of Beneficial Interest</w:t>
            </w:r>
          </w:p>
        </w:tc>
        <w:tc>
          <w:tcPr>
            <w:tcW w:w="2220" w:type="dxa"/>
            <w:vAlign w:val="bottom"/>
            <w:gridSpan w:val="2"/>
          </w:tcPr>
          <w:p>
            <w:pPr>
              <w:jc w:val="center"/>
              <w:ind w:right="1100"/>
              <w:spacing w:after="0"/>
              <w:rPr>
                <w:sz w:val="20"/>
                <w:szCs w:val="20"/>
                <w:color w:val="auto"/>
              </w:rPr>
            </w:pPr>
            <w:r>
              <w:rPr>
                <w:rFonts w:ascii="Arial" w:cs="Arial" w:eastAsia="Arial" w:hAnsi="Arial"/>
                <w:sz w:val="18"/>
                <w:szCs w:val="18"/>
                <w:color w:val="auto"/>
                <w:w w:val="91"/>
              </w:rPr>
              <w:t>FRT</w:t>
            </w:r>
          </w:p>
        </w:tc>
        <w:tc>
          <w:tcPr>
            <w:tcW w:w="100" w:type="dxa"/>
            <w:vAlign w:val="bottom"/>
          </w:tcPr>
          <w:p>
            <w:pPr>
              <w:spacing w:after="0"/>
              <w:rPr>
                <w:sz w:val="24"/>
                <w:szCs w:val="24"/>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247"/>
        </w:trPr>
        <w:tc>
          <w:tcPr>
            <w:tcW w:w="5100" w:type="dxa"/>
            <w:vAlign w:val="bottom"/>
            <w:gridSpan w:val="3"/>
          </w:tcPr>
          <w:p>
            <w:pPr>
              <w:jc w:val="center"/>
              <w:ind w:right="325"/>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1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06"/>
        </w:trPr>
        <w:tc>
          <w:tcPr>
            <w:tcW w:w="1700" w:type="dxa"/>
            <w:vAlign w:val="bottom"/>
          </w:tcPr>
          <w:p>
            <w:pPr>
              <w:spacing w:after="0"/>
              <w:rPr>
                <w:sz w:val="17"/>
                <w:szCs w:val="17"/>
                <w:color w:val="auto"/>
              </w:rPr>
            </w:pPr>
          </w:p>
        </w:tc>
        <w:tc>
          <w:tcPr>
            <w:tcW w:w="3400" w:type="dxa"/>
            <w:vAlign w:val="bottom"/>
            <w:gridSpan w:val="2"/>
          </w:tcPr>
          <w:p>
            <w:pPr>
              <w:jc w:val="center"/>
              <w:ind w:right="2025"/>
              <w:spacing w:after="0"/>
              <w:rPr>
                <w:sz w:val="20"/>
                <w:szCs w:val="20"/>
                <w:color w:val="auto"/>
              </w:rPr>
            </w:pPr>
            <w:r>
              <w:rPr>
                <w:rFonts w:ascii="Arial" w:cs="Arial" w:eastAsia="Arial" w:hAnsi="Arial"/>
                <w:sz w:val="16"/>
                <w:szCs w:val="16"/>
                <w:color w:val="auto"/>
                <w:w w:val="92"/>
              </w:rPr>
              <w:t>Rights</w:t>
            </w: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398"/>
        </w:trPr>
        <w:tc>
          <w:tcPr>
            <w:tcW w:w="5100" w:type="dxa"/>
            <w:vAlign w:val="bottom"/>
            <w:gridSpan w:val="3"/>
          </w:tcPr>
          <w:p>
            <w:pPr>
              <w:jc w:val="center"/>
              <w:ind w:right="325"/>
              <w:spacing w:after="0"/>
              <w:rPr>
                <w:sz w:val="20"/>
                <w:szCs w:val="20"/>
                <w:color w:val="auto"/>
              </w:rPr>
            </w:pPr>
            <w:r>
              <w:rPr>
                <w:rFonts w:ascii="Arial" w:cs="Arial" w:eastAsia="Arial" w:hAnsi="Arial"/>
                <w:sz w:val="16"/>
                <w:szCs w:val="16"/>
                <w:color w:val="auto"/>
                <w:w w:val="90"/>
              </w:rPr>
              <w:t>Depositary Shares, each representing 1/1000 of a share</w:t>
            </w:r>
          </w:p>
        </w:tc>
        <w:tc>
          <w:tcPr>
            <w:tcW w:w="2220" w:type="dxa"/>
            <w:vAlign w:val="bottom"/>
            <w:gridSpan w:val="2"/>
          </w:tcPr>
          <w:p>
            <w:pPr>
              <w:jc w:val="center"/>
              <w:ind w:right="1100"/>
              <w:spacing w:after="0"/>
              <w:rPr>
                <w:sz w:val="20"/>
                <w:szCs w:val="20"/>
                <w:color w:val="auto"/>
              </w:rPr>
            </w:pPr>
            <w:r>
              <w:rPr>
                <w:rFonts w:ascii="Arial" w:cs="Arial" w:eastAsia="Arial" w:hAnsi="Arial"/>
                <w:sz w:val="18"/>
                <w:szCs w:val="18"/>
                <w:color w:val="auto"/>
                <w:w w:val="88"/>
              </w:rPr>
              <w:t>FRT-C</w:t>
            </w:r>
          </w:p>
        </w:tc>
        <w:tc>
          <w:tcPr>
            <w:tcW w:w="100" w:type="dxa"/>
            <w:vAlign w:val="bottom"/>
          </w:tcPr>
          <w:p>
            <w:pPr>
              <w:spacing w:after="0"/>
              <w:rPr>
                <w:sz w:val="24"/>
                <w:szCs w:val="24"/>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247"/>
        </w:trPr>
        <w:tc>
          <w:tcPr>
            <w:tcW w:w="5100" w:type="dxa"/>
            <w:vAlign w:val="bottom"/>
            <w:gridSpan w:val="3"/>
          </w:tcPr>
          <w:p>
            <w:pPr>
              <w:jc w:val="center"/>
              <w:ind w:right="305"/>
              <w:spacing w:after="0"/>
              <w:rPr>
                <w:sz w:val="20"/>
                <w:szCs w:val="20"/>
                <w:color w:val="auto"/>
              </w:rPr>
            </w:pPr>
            <w:r>
              <w:rPr>
                <w:rFonts w:ascii="Arial" w:cs="Arial" w:eastAsia="Arial" w:hAnsi="Arial"/>
                <w:sz w:val="16"/>
                <w:szCs w:val="16"/>
                <w:color w:val="auto"/>
                <w:w w:val="91"/>
              </w:rPr>
              <w:t>of 5.00% Series C Cumulative Redeemable Preferred Stock, $.01 par</w:t>
            </w:r>
          </w:p>
        </w:tc>
        <w:tc>
          <w:tcPr>
            <w:tcW w:w="1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06"/>
        </w:trPr>
        <w:tc>
          <w:tcPr>
            <w:tcW w:w="1700" w:type="dxa"/>
            <w:vAlign w:val="bottom"/>
          </w:tcPr>
          <w:p>
            <w:pPr>
              <w:spacing w:after="0"/>
              <w:rPr>
                <w:sz w:val="17"/>
                <w:szCs w:val="17"/>
                <w:color w:val="auto"/>
              </w:rPr>
            </w:pPr>
          </w:p>
        </w:tc>
        <w:tc>
          <w:tcPr>
            <w:tcW w:w="3400" w:type="dxa"/>
            <w:vAlign w:val="bottom"/>
            <w:gridSpan w:val="2"/>
          </w:tcPr>
          <w:p>
            <w:pPr>
              <w:jc w:val="center"/>
              <w:ind w:right="2025"/>
              <w:spacing w:after="0"/>
              <w:rPr>
                <w:sz w:val="20"/>
                <w:szCs w:val="20"/>
                <w:color w:val="auto"/>
              </w:rPr>
            </w:pPr>
            <w:r>
              <w:rPr>
                <w:rFonts w:ascii="Arial" w:cs="Arial" w:eastAsia="Arial" w:hAnsi="Arial"/>
                <w:sz w:val="16"/>
                <w:szCs w:val="16"/>
                <w:color w:val="auto"/>
                <w:w w:val="88"/>
              </w:rPr>
              <w:t>value per share</w:t>
            </w: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84"/>
        </w:trPr>
        <w:tc>
          <w:tcPr>
            <w:tcW w:w="51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12(g) of the Act: None</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50"/>
        </w:trPr>
        <w:tc>
          <w:tcPr>
            <w:tcW w:w="8280" w:type="dxa"/>
            <w:vAlign w:val="bottom"/>
            <w:gridSpan w:val="7"/>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w:t>
            </w:r>
            <w:r>
              <w:rPr>
                <w:rFonts w:ascii="MS PGothic" w:cs="MS PGothic" w:eastAsia="MS PGothic" w:hAnsi="MS PGothic"/>
                <w:sz w:val="16"/>
                <w:szCs w:val="16"/>
                <w:color w:val="auto"/>
                <w:w w:val="93"/>
              </w:rPr>
              <w:t>☒</w:t>
            </w:r>
            <w:r>
              <w:rPr>
                <w:rFonts w:ascii="Arial" w:cs="Arial" w:eastAsia="Arial" w:hAnsi="Arial"/>
                <w:sz w:val="16"/>
                <w:szCs w:val="16"/>
                <w:color w:val="auto"/>
                <w:w w:val="93"/>
              </w:rPr>
              <w:t xml:space="preserve"> Yes</w:t>
            </w:r>
          </w:p>
        </w:tc>
        <w:tc>
          <w:tcPr>
            <w:tcW w:w="236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54"/>
        </w:trPr>
        <w:tc>
          <w:tcPr>
            <w:tcW w:w="8280" w:type="dxa"/>
            <w:vAlign w:val="bottom"/>
            <w:gridSpan w:val="7"/>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w:t>
            </w:r>
            <w:r>
              <w:rPr>
                <w:rFonts w:ascii="MS PGothic" w:cs="MS PGothic" w:eastAsia="MS PGothic" w:hAnsi="MS PGothic"/>
                <w:sz w:val="16"/>
                <w:szCs w:val="16"/>
                <w:color w:val="auto"/>
                <w:w w:val="92"/>
              </w:rPr>
              <w:t>☐</w:t>
            </w:r>
            <w:r>
              <w:rPr>
                <w:rFonts w:ascii="Arial" w:cs="Arial" w:eastAsia="Arial" w:hAnsi="Arial"/>
                <w:sz w:val="16"/>
                <w:szCs w:val="16"/>
                <w:color w:val="auto"/>
                <w:w w:val="92"/>
              </w:rPr>
              <w:t xml:space="preserve"> Yes</w:t>
            </w:r>
          </w:p>
        </w:tc>
        <w:tc>
          <w:tcPr>
            <w:tcW w:w="236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bl>
    <w:p>
      <w:pPr>
        <w:spacing w:after="0" w:line="19"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Arial" w:cs="Arial" w:eastAsia="Arial" w:hAnsi="Arial"/>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51" w:lineRule="exact"/>
        <w:rPr>
          <w:sz w:val="24"/>
          <w:szCs w:val="24"/>
          <w:color w:val="auto"/>
        </w:rPr>
      </w:pPr>
    </w:p>
    <w:p>
      <w:pPr>
        <w:ind w:right="22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 w:lineRule="exact"/>
        <w:rPr>
          <w:sz w:val="24"/>
          <w:szCs w:val="24"/>
          <w:color w:val="auto"/>
        </w:rPr>
      </w:pPr>
    </w:p>
    <w:p>
      <w:pPr>
        <w:ind w:right="6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5920" w:type="dxa"/>
            <w:vAlign w:val="bottom"/>
          </w:tcPr>
          <w:p>
            <w:pPr>
              <w:ind w:left="222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5920" w:type="dxa"/>
            <w:vAlign w:val="bottom"/>
          </w:tcPr>
          <w:p>
            <w:pPr>
              <w:ind w:left="222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920" w:type="dxa"/>
            <w:vAlign w:val="bottom"/>
          </w:tcPr>
          <w:p>
            <w:pPr>
              <w:ind w:left="222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2"/>
        </w:trPr>
        <w:tc>
          <w:tcPr>
            <w:tcW w:w="10640" w:type="dxa"/>
            <w:vAlign w:val="bottom"/>
            <w:gridSpan w:val="3"/>
          </w:tcPr>
          <w:p>
            <w:pPr>
              <w:spacing w:after="0"/>
              <w:rPr>
                <w:sz w:val="20"/>
                <w:szCs w:val="20"/>
                <w:color w:val="auto"/>
              </w:rPr>
            </w:pPr>
            <w:r>
              <w:rPr>
                <w:rFonts w:ascii="Arial" w:cs="Arial" w:eastAsia="Arial" w:hAnsi="Arial"/>
                <w:sz w:val="16"/>
                <w:szCs w:val="16"/>
                <w:color w:val="auto"/>
                <w:w w:val="93"/>
              </w:rPr>
              <w:t>If an emerging growth company, indicate by checkmark if the registrant has elected not use the extended transition period for complying with any new or revised</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ind w:left="40"/>
        <w:spacing w:after="0"/>
        <w:rPr>
          <w:sz w:val="20"/>
          <w:szCs w:val="20"/>
          <w:color w:val="auto"/>
        </w:rPr>
      </w:pPr>
      <w:r>
        <w:rPr>
          <w:rFonts w:ascii="Arial" w:cs="Arial" w:eastAsia="Arial" w:hAnsi="Arial"/>
          <w:sz w:val="16"/>
          <w:szCs w:val="16"/>
          <w:color w:val="auto"/>
        </w:rPr>
        <w:t>financial accounting standards provided pursuant to Section 13(a) of the Exchange Act.</w:t>
      </w:r>
    </w:p>
    <w:p>
      <w:pPr>
        <w:spacing w:after="0" w:line="29" w:lineRule="exact"/>
        <w:rPr>
          <w:sz w:val="24"/>
          <w:szCs w:val="24"/>
          <w:color w:val="auto"/>
        </w:rPr>
      </w:pPr>
    </w:p>
    <w:p>
      <w:pPr>
        <w:spacing w:after="0" w:line="184" w:lineRule="exact"/>
        <w:tabs>
          <w:tab w:leader="none" w:pos="68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70" w:lineRule="exact"/>
        <w:rPr>
          <w:sz w:val="24"/>
          <w:szCs w:val="24"/>
          <w:color w:val="auto"/>
        </w:rPr>
      </w:pPr>
    </w:p>
    <w:p>
      <w:pPr>
        <w:ind w:right="20"/>
        <w:spacing w:after="0" w:line="265" w:lineRule="auto"/>
        <w:rPr>
          <w:sz w:val="20"/>
          <w:szCs w:val="20"/>
          <w:color w:val="auto"/>
        </w:rPr>
      </w:pPr>
      <w:r>
        <w:rPr>
          <w:rFonts w:ascii="Arial" w:cs="Arial" w:eastAsia="Arial" w:hAnsi="Arial"/>
          <w:sz w:val="16"/>
          <w:szCs w:val="16"/>
          <w:color w:val="auto"/>
        </w:rPr>
        <w:t>The aggregate market value of the registrant's common shares held by non-affiliates of the registrant, based upon the closing sales price of the registrant's common shares on June 30, 2019 was $9.7 billion.</w:t>
      </w:r>
    </w:p>
    <w:p>
      <w:pPr>
        <w:spacing w:after="0" w:line="7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registrant’s common shares outstanding on February 5, 2020 was 75,651,842.</w:t>
      </w:r>
    </w:p>
    <w:p>
      <w:pPr>
        <w:sectPr>
          <w:pgSz w:w="11900" w:h="16838" w:orient="portrait"/>
          <w:cols w:equalWidth="0" w:num="1">
            <w:col w:w="11240"/>
          </w:cols>
          <w:pgMar w:left="240" w:top="234" w:right="4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FISCAL YEAR ENDED DECEMBER 31, 2019</w:t>
      </w: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the Registrant’s 2019 annual meeting of shareholders to be held in May 2020 will be incorporated by reference into Part III hereof.</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72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PART 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19"/>
                <w:szCs w:val="19"/>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80" w:type="dxa"/>
            <w:vAlign w:val="bottom"/>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972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17</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615"/>
        </w:trPr>
        <w:tc>
          <w:tcPr>
            <w:tcW w:w="1240" w:type="dxa"/>
            <w:vAlign w:val="bottom"/>
          </w:tcPr>
          <w:p>
            <w:pPr>
              <w:spacing w:after="0"/>
              <w:rPr>
                <w:sz w:val="20"/>
                <w:szCs w:val="20"/>
                <w:color w:val="auto"/>
              </w:rPr>
            </w:pPr>
            <w:r>
              <w:rPr>
                <w:rFonts w:ascii="Arial" w:cs="Arial" w:eastAsia="Arial" w:hAnsi="Arial"/>
                <w:sz w:val="18"/>
                <w:szCs w:val="18"/>
                <w:color w:val="auto"/>
              </w:rPr>
              <w:t>PART 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tcPr>
          <w:p>
            <w:pPr>
              <w:ind w:left="140"/>
              <w:spacing w:after="0"/>
              <w:rPr>
                <w:sz w:val="20"/>
                <w:szCs w:val="20"/>
                <w:color w:val="auto"/>
              </w:rPr>
            </w:pPr>
            <w:r>
              <w:rPr>
                <w:rFonts w:ascii="Arial" w:cs="Arial" w:eastAsia="Arial" w:hAnsi="Arial"/>
                <w:sz w:val="18"/>
                <w:szCs w:val="18"/>
                <w:color w:val="auto"/>
              </w:rPr>
              <w:t>Market for Our Common Equity and Related Shareholder Matters and Issuer Purchases of Equity Securities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97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97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972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972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7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97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615"/>
        </w:trPr>
        <w:tc>
          <w:tcPr>
            <w:tcW w:w="1240" w:type="dxa"/>
            <w:vAlign w:val="bottom"/>
          </w:tcPr>
          <w:p>
            <w:pPr>
              <w:spacing w:after="0"/>
              <w:rPr>
                <w:sz w:val="20"/>
                <w:szCs w:val="20"/>
                <w:color w:val="auto"/>
              </w:rPr>
            </w:pPr>
            <w:r>
              <w:rPr>
                <w:rFonts w:ascii="Arial" w:cs="Arial" w:eastAsia="Arial" w:hAnsi="Arial"/>
                <w:sz w:val="18"/>
                <w:szCs w:val="18"/>
                <w:color w:val="auto"/>
              </w:rPr>
              <w:t>PART III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9720" w:type="dxa"/>
            <w:vAlign w:val="bottom"/>
          </w:tcPr>
          <w:p>
            <w:pPr>
              <w:ind w:left="140"/>
              <w:spacing w:after="0"/>
              <w:rPr>
                <w:sz w:val="20"/>
                <w:szCs w:val="20"/>
                <w:color w:val="auto"/>
              </w:rPr>
            </w:pPr>
            <w:r>
              <w:rPr>
                <w:rFonts w:ascii="Arial" w:cs="Arial" w:eastAsia="Arial" w:hAnsi="Arial"/>
                <w:sz w:val="18"/>
                <w:szCs w:val="18"/>
                <w:color w:val="auto"/>
              </w:rPr>
              <w:t>Trustees, Executive Officers and Corporate Governance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972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972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972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Trustee Independence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72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615"/>
        </w:trPr>
        <w:tc>
          <w:tcPr>
            <w:tcW w:w="1240" w:type="dxa"/>
            <w:vAlign w:val="bottom"/>
          </w:tcPr>
          <w:p>
            <w:pPr>
              <w:spacing w:after="0"/>
              <w:rPr>
                <w:sz w:val="20"/>
                <w:szCs w:val="20"/>
                <w:color w:val="auto"/>
              </w:rPr>
            </w:pPr>
            <w:r>
              <w:rPr>
                <w:rFonts w:ascii="Arial" w:cs="Arial" w:eastAsia="Arial" w:hAnsi="Arial"/>
                <w:sz w:val="18"/>
                <w:szCs w:val="18"/>
                <w:color w:val="auto"/>
              </w:rPr>
              <w:t>PART IV</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972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16.</w:t>
            </w:r>
          </w:p>
        </w:tc>
        <w:tc>
          <w:tcPr>
            <w:tcW w:w="9720" w:type="dxa"/>
            <w:vAlign w:val="bottom"/>
          </w:tcPr>
          <w:p>
            <w:pPr>
              <w:ind w:left="140"/>
              <w:spacing w:after="0"/>
              <w:rPr>
                <w:sz w:val="20"/>
                <w:szCs w:val="20"/>
                <w:color w:val="auto"/>
              </w:rPr>
            </w:pPr>
            <w:r>
              <w:rPr>
                <w:rFonts w:ascii="Arial" w:cs="Arial" w:eastAsia="Arial" w:hAnsi="Arial"/>
                <w:sz w:val="18"/>
                <w:szCs w:val="18"/>
                <w:color w:val="auto"/>
              </w:rPr>
              <w:t>Form 10-K Summary</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574"/>
        </w:trPr>
        <w:tc>
          <w:tcPr>
            <w:tcW w:w="1240" w:type="dxa"/>
            <w:vAlign w:val="bottom"/>
          </w:tcPr>
          <w:p>
            <w:pPr>
              <w:spacing w:after="0"/>
              <w:rPr>
                <w:sz w:val="20"/>
                <w:szCs w:val="20"/>
                <w:color w:val="auto"/>
              </w:rPr>
            </w:pPr>
            <w:r>
              <w:rPr>
                <w:rFonts w:ascii="Arial" w:cs="Arial" w:eastAsia="Arial" w:hAnsi="Arial"/>
                <w:sz w:val="18"/>
                <w:szCs w:val="18"/>
                <w:color w:val="auto"/>
              </w:rPr>
              <w:t>SIGNATURES</w:t>
            </w:r>
          </w:p>
        </w:tc>
        <w:tc>
          <w:tcPr>
            <w:tcW w:w="97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0"/>
        </w:trPr>
        <w:tc>
          <w:tcPr>
            <w:tcW w:w="1240" w:type="dxa"/>
            <w:vAlign w:val="bottom"/>
          </w:tcPr>
          <w:p>
            <w:pPr>
              <w:spacing w:after="0"/>
              <w:rPr>
                <w:sz w:val="24"/>
                <w:szCs w:val="24"/>
                <w:color w:val="auto"/>
              </w:rPr>
            </w:pPr>
          </w:p>
        </w:tc>
        <w:tc>
          <w:tcPr>
            <w:tcW w:w="9720" w:type="dxa"/>
            <w:vAlign w:val="bottom"/>
          </w:tcPr>
          <w:p>
            <w:pPr>
              <w:ind w:left="4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80"/>
          </w:cols>
          <w:pgMar w:left="240" w:top="126" w:right="47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statements included in this Annual Report on Form 10-K are forward-looking statements. Those statements include statements regarding the intent, belief or current expectations of Federal Realty Investment Trust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are some of the risks and uncertainties, although not all risks and uncertainties, that could cause our actual results to differ materially from those presented in our forward-looking statements:</w:t>
      </w:r>
    </w:p>
    <w:p>
      <w:pPr>
        <w:spacing w:after="0" w:line="170"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we describe risks and uncertainties that could cause actual results and events to differ materially in “Risk Factors” (Part I, Item 1A of this Annual Report on Form 10-K), “Quantitative and Qualitative Disclosures about Market Risk” (Part II, Item 7A), and “Management’s Discussion and Analysis of Financial Conditions and Results of Operations” (Part II, Item 7).</w:t>
      </w:r>
    </w:p>
    <w:p>
      <w:pPr>
        <w:spacing w:after="0" w:line="1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2019, we owned or had a majority interest in community and neighborhood shopping centers and mixed-use properties which are operated as 104 predominantly retail real estate projects comprising approximately 23.7 million square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feet. In total, the real estate projects were 94.2% leased and 92.5% occupied at December 31, 2019. Our revenue is primarily generated from lease agreements with tenants. We have paid quarterly dividends to our shareholders continuously since our founding in 1962 and have increased our dividends per common share for 52 consecutive years.</w:t>
      </w:r>
    </w:p>
    <w:p>
      <w:pPr>
        <w:spacing w:after="0" w:line="1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primary business objective is to own, manage, acquire and redevelop a portfolio of high quality retail focused properties that will:</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increasing cash flow for distribution to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 higher internal growth than the shopping center industry over the long term;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potential for capital appreciation;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15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office, residential and/or hotel components.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core operating strategy is to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4" w:lineRule="exact"/>
        <w:rPr>
          <w:sz w:val="20"/>
          <w:szCs w:val="20"/>
          <w:color w:val="auto"/>
        </w:rPr>
      </w:pPr>
    </w:p>
    <w:p>
      <w:pPr>
        <w:ind w:left="660" w:right="1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or operating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monitoring the merchandising mix of our tenant base to achieve a balance of strong national and regional tenants with local specialty tenants;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9" w:lineRule="exact"/>
        <w:rPr>
          <w:rFonts w:ascii="Arial" w:cs="Arial" w:eastAsia="Arial" w:hAnsi="Arial"/>
          <w:sz w:val="18"/>
          <w:szCs w:val="18"/>
          <w:color w:val="auto"/>
        </w:rPr>
      </w:pPr>
    </w:p>
    <w:p>
      <w:pPr>
        <w:ind w:left="660" w:right="34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exceptional customer service; and</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90"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ind w:left="660" w:right="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or expanding tenant spaces for tenants capable of producing higher sales, and therefore, paying higher rents;</w:t>
      </w:r>
    </w:p>
    <w:p>
      <w:pPr>
        <w:spacing w:after="0" w:line="9" w:lineRule="exact"/>
        <w:rPr>
          <w:rFonts w:ascii="Arial" w:cs="Arial" w:eastAsia="Arial" w:hAnsi="Arial"/>
          <w:sz w:val="18"/>
          <w:szCs w:val="18"/>
          <w:color w:val="auto"/>
        </w:rPr>
      </w:pPr>
    </w:p>
    <w:p>
      <w:pPr>
        <w:jc w:val="both"/>
        <w:ind w:left="660" w:right="18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6" w:right="25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right="5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acquisition and development opportunities, we consider such factors as:</w:t>
      </w:r>
    </w:p>
    <w:p>
      <w:pPr>
        <w:spacing w:after="0" w:line="23" w:lineRule="exact"/>
        <w:rPr>
          <w:sz w:val="20"/>
          <w:szCs w:val="20"/>
          <w:color w:val="auto"/>
        </w:rPr>
      </w:pPr>
    </w:p>
    <w:p>
      <w:pPr>
        <w:ind w:left="660" w:right="5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returns in relation to our short and long-term cost of capital as well as the anticipated risk we will face in achieving the expected returns;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increase the long-term value of the property through redevelopment and retenanting;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geographic area in which the property is located, including the population density, household incomes, education levels, as well as the population and income trends in that geographic area;</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gross leasable area (GLA) per capita, competition for tenants and the ability of others to create competing properties through redevelopment, new construction or renovation;</w:t>
      </w:r>
    </w:p>
    <w:p>
      <w:pPr>
        <w:ind w:left="660" w:right="10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9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660" w:right="5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an available line of credit to fund operating and investing needs on a short-term basis;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relative to our size does not mature in any one year;</w:t>
      </w:r>
    </w:p>
    <w:p>
      <w:pPr>
        <w:ind w:left="660" w:right="1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60" w:right="5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utilizing the most advantageous long-term source of capital available to us to finance redevelopment and acquisition opportunities, which may include:</w:t>
      </w:r>
    </w:p>
    <w:p>
      <w:pPr>
        <w:ind w:left="1300" w:right="34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sale of our equity or debt securities through public offerings, including our at-the-market ("ATM") equity program in which we may from time to time offer and sell common shares, or private placements,</w:t>
      </w: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incurrence of indebtedness through unsecured or secured borrowings,</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issuance of operating partnership units in a new or existing “downREIT partnership” that is controlled and consolidated by us (generally operating partnership units in a “downREIT” partnership are issued in exchange for a tax deferred contribution of property; these units typically receive the same distributions as our common shares and the holders of these units have the right to exchange their units for cash or common shares, at our option), or</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February 5, 2020, we had 308 full-time employees and 5 part-time employees. None of our employees are represented by a collective bargaining unit. We believe that our relationship with our employees is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As a REIT, we are generally not subject to federal income tax on taxable income that we distribute to our shareholders. Under the Code, REITs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2017,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 without limitation:</w:t>
      </w:r>
    </w:p>
    <w:p>
      <w:pPr>
        <w:spacing w:after="0" w:line="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we refer to as CERCLA;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1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 practicable after we electronically file the material with, or furnish the material to, the Securities and Exchange Commission, or the SEC.</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the Corporate Governance section of our website as well.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26" w:right="31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Real Estate Investments and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may impact the success of our tenants’ retail operations and therefore the amount of rent and expense reimbursements we receive from our tenants. Any reduction in our tenants' abilities to pay base rent, percentage rent, or other charges on a timely basis, including the closing of stores prior to the end of the lease term or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We continue to see higher levels of anchor turnover and closings in some markets, which has caused an oversupply of larger retail spaces. Therefore, tenant demand for certain of our anchor spaces may decrease and as a result, we may see an increase in vacancy and/or a decrease in rents for those spaces that could have a negative impact to our net income. As of December 31, 2019, our anchor tenant space is 97.5% leased and 95.9% occupied.</w:t>
      </w:r>
    </w:p>
    <w:p>
      <w:pPr>
        <w:spacing w:after="0" w:line="18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shift in retail shopping from brick and mortar stores to online shopping may have an adverse impact on our cash flow, financial condition and results of operations.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retailers operating brick and mortar stores have made online sales a vital piece of their business. The shift to online shopping may cause declines in brick and mortar sales generated by certain of our tenants and may cause certain of our tenants to reduce the size or number of their retail locations in the future. This risk is partially mitigated by our strategy of maintaining a diverse portfolio of retail properties. The trend of retailers utilizing brick and mortar locations for ‘showroom’ and on-line sales distribution purposes (particularly at shopping centers in densely populated areas like ours) may further mitigate this risk. However, there can be no assurance that our shopping centers will not be further impacted by the shift to online shopping. As a result, our cash flow, financial condition, and results of operations could be adversely affected.</w:t>
      </w:r>
    </w:p>
    <w:p>
      <w:pPr>
        <w:spacing w:after="0" w:line="18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properties that are geographically concentrated, and adverse economic or real estate market declines in these areas could have a material adverse effect on us.</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December 31, 2019, our tenants operated in 12 states and the District of Columbia. Any adverse situation that disproportionately affects the the markets where our properties are concentrated may have a magnified adverse effect on our portfolio. Refer to “Properties” (Item 2 of this Annual Report on Form 10-</w:t>
      </w:r>
    </w:p>
    <w:p>
      <w:pPr>
        <w:ind w:right="280" w:firstLine="8"/>
        <w:spacing w:after="0" w:line="261" w:lineRule="auto"/>
        <w:tabs>
          <w:tab w:leader="none" w:pos="2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additional discussion of the geographic concentration. Real estate markets are subject to economic downturns, as they have been in the past, and we cannot predict how economic conditions will impact this market in both the short and long term.</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Declines in the economy or a decline in the real estate market in these states could hurt our financial performance and the value of our properties. Factors that may negatively affect economic conditions in these states include:</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layoffs or downsizing;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slowdowns;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relocations of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demographics;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telecommuting and use of alternative work places;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infrastructure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oversupply of, or reduced demand for, real estate;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concessions or reduced rental rates under new leases for properties where tenants defaulted;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operating costs including insurance premiums and real estate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that file for bankruptcy protection.</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9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3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2019, construction was substantially completed on the development of Phase II at both Assembly Row and Pike &amp; Rose, with portions of both projects opening during 2018 and 2019. Additionally, we continued construction on Phase III at both projects, and our on-going redevelopment efforts at Santana Row. A further discussion of these projects, expected costs, and current status can be found in Item 7. Management's Discussion and Analysis of Financial Condition and Results of Operations in the "Outlook" subsection.</w:t>
      </w:r>
    </w:p>
    <w:p>
      <w:pPr>
        <w:spacing w:after="0" w:line="133"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contractor changes may delay the completion of development projects and increase overall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time lag between commencement and stabilization subjects us to greater risks due to fluctuations in the general economy;</w:t>
      </w:r>
    </w:p>
    <w:p>
      <w:pPr>
        <w:spacing w:after="0" w:line="9" w:lineRule="exact"/>
        <w:rPr>
          <w:rFonts w:ascii="Arial" w:cs="Arial" w:eastAsia="Arial" w:hAnsi="Arial"/>
          <w:sz w:val="18"/>
          <w:szCs w:val="18"/>
          <w:color w:val="auto"/>
        </w:rPr>
      </w:pPr>
    </w:p>
    <w:p>
      <w:pPr>
        <w:ind w:left="660" w:right="8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of residential product into uncertain residential environments may result in lower rents or longer time periods to reach economic stabilization;</w:t>
      </w:r>
    </w:p>
    <w:p>
      <w:pPr>
        <w:ind w:left="660" w:right="60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amount of our investment is related to infrastructure and the overall value of the project may be negatively impacted if we do not complete subsequent phases;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securing key anchor or other tenants may impact occupancy rates and projected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6" w:right="29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right="52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4"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ind w:left="660" w:right="3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identify suitable properties to acquire or may be unable to complete the acquisition of the properties we identify;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660" w:hanging="328"/>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ind w:left="660" w:right="560" w:hanging="328"/>
        <w:spacing w:after="0" w:line="32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94" w:lineRule="exact"/>
        <w:rPr>
          <w:sz w:val="20"/>
          <w:szCs w:val="20"/>
          <w:color w:val="auto"/>
        </w:rPr>
      </w:pPr>
    </w:p>
    <w:p>
      <w:pPr>
        <w:ind w:left="60" w:right="40"/>
        <w:spacing w:after="0" w:line="288"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9" w:lineRule="exact"/>
        <w:rPr>
          <w:rFonts w:ascii="Arial" w:cs="Arial" w:eastAsia="Arial" w:hAnsi="Arial"/>
          <w:sz w:val="18"/>
          <w:szCs w:val="18"/>
          <w:color w:val="auto"/>
        </w:rPr>
      </w:pPr>
    </w:p>
    <w:p>
      <w:pPr>
        <w:ind w:left="660" w:right="50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3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Each of these risks could result in decreases in market rental rates and increases in vacancy rates, which could adversely affect our financial condition and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Numerous commercial developers and real estate companies compete with us in seeking tenants for our existing properties and properties for acquisition. This competition may:</w:t>
      </w:r>
    </w:p>
    <w:p>
      <w:pPr>
        <w:spacing w:after="0" w:line="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organizational documents do not limit the amount of funds that we may invest in properties and assets owned jointly with other persons or entities. As of December 31, 2019, we held 16 predominantly retail real estate projects jointly with other persons in addition to properties owned in a “downREIT” structure. Additionally, we own an interest in the joint ventures that own the hotel components of Pike &amp; Rose and Assembly Row.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2019, we held the controlling interests in all of our existing co-investments (except the hotel investments discussed above and the investment in the La Alameda shopping center acquired in 2017),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 and climate change could have an adverse impact on our cash flow and operating results.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Climate change may add to the unpredictability and frequency of natural disasters and severe weather conditions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Funding Strategies and Capital Structure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December 31, 2019, all of our $3.4 billion of debt outstanding has a fixed rate or is fixed via interest rate swap agreements. Of that outstanding debt, approximately $547.2 million was secured by all or a portion of 13 of our real estate projects. Our organizational documents do not limit the level or amount of debt that we may incur. The amount of our debt outstanding from time to time could have important consequences to our shareholders. For example, it could:</w:t>
      </w:r>
    </w:p>
    <w:p>
      <w:pPr>
        <w:spacing w:after="0" w:line="2" w:lineRule="exact"/>
        <w:rPr>
          <w:sz w:val="20"/>
          <w:szCs w:val="20"/>
          <w:color w:val="auto"/>
        </w:rPr>
      </w:pPr>
    </w:p>
    <w:p>
      <w:pPr>
        <w:ind w:left="660" w:right="80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debt upon refinancing or on our variable rate, unhedged debt, if interest rates rise;</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9" w:lineRule="exact"/>
        <w:rPr>
          <w:rFonts w:ascii="Arial" w:cs="Arial" w:eastAsia="Arial" w:hAnsi="Arial"/>
          <w:sz w:val="18"/>
          <w:szCs w:val="18"/>
          <w:color w:val="auto"/>
        </w:rPr>
      </w:pPr>
    </w:p>
    <w:p>
      <w:pPr>
        <w:ind w:left="660" w:right="92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1" w:lineRule="exact"/>
        <w:rPr>
          <w:rFonts w:ascii="Arial" w:cs="Arial" w:eastAsia="Arial" w:hAnsi="Arial"/>
          <w:sz w:val="16"/>
          <w:szCs w:val="16"/>
          <w:color w:val="auto"/>
        </w:rPr>
      </w:pPr>
    </w:p>
    <w:p>
      <w:pPr>
        <w:ind w:left="660" w:right="50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88"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revolving credit facility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6" w:right="2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December 31, 2019,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our credit rating could affect our borrowing capacity and borrowing terms.</w:t>
      </w:r>
    </w:p>
    <w:p>
      <w:pPr>
        <w:spacing w:after="0" w:line="9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our $3.4 billion of debt outstanding as of December 31, 2019, approximately $56.5 million bears interest at a variable rate of LIBOR plus 195.0 basis points and is effectively fixed through two interest rate swap agreements. We also have a $1.0 billion revolving credit facility, on which no balance was outstanding at December 31, 2019, that bears interest at LIBOR plus 77.5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additional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phase-out of LIBOR could affect interest rates under our variable rate debt and interest rate swap arrangements.</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LIBOR is used as a reference rate for our revolving credit facility, certain mortgage payables, and in our interest rate swap arrangements. On July 27, 2017, the United Kingdom's Financial Conduct Authority announced it intends to stop compelling banks to submit rates for the calculation of LIBOR after 2021. It is unclear if LIBOR will cease to exist at that time, if a new method of calculating LIBOR will be established, or if an alternative reference rate will be established. The Federal Reserve Board and the Federal Reserve Bank of New York organized the Alternative Reference Rates Committee which identified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6" w:right="27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Secured Overnight Financing Rate ("SOFR") as its preferred alternative to U.S. dollar LIBOR in derivatives and other financial contracts. We are not able to predict when LIBOR will cease to be available or if SOFR, or another alternative rate reference rate, attains market traction as a LIBOR replacement. If LIBOR ceases to exist, we will need to agree upon a benchmark replacement index with the bank, and as such the interest rate on our revolving credit facility and certain mortgage payables may change. The new rate may not be as favorable as those in effect prior to any LIBOR phase-out. Furthermore, the transition process may result in delays in funding, higher interest expense, additional expenses, and increased volatility in markets for instruments that currently rely on LIBOR, all of which could negatively impact our cash flow.</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94" w:lineRule="exact"/>
        <w:rPr>
          <w:sz w:val="20"/>
          <w:szCs w:val="20"/>
          <w:color w:val="auto"/>
        </w:rPr>
      </w:pPr>
    </w:p>
    <w:p>
      <w:pPr>
        <w:ind w:left="60" w:right="120"/>
        <w:spacing w:after="0" w:line="253" w:lineRule="auto"/>
        <w:rPr>
          <w:sz w:val="20"/>
          <w:szCs w:val="20"/>
          <w:color w:val="auto"/>
        </w:rPr>
      </w:pPr>
      <w:r>
        <w:rPr>
          <w:rFonts w:ascii="Arial" w:cs="Arial" w:eastAsia="Arial" w:hAnsi="Arial"/>
          <w:sz w:val="18"/>
          <w:szCs w:val="18"/>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4" w:lineRule="exact"/>
        <w:rPr>
          <w:sz w:val="20"/>
          <w:szCs w:val="20"/>
          <w:color w:val="auto"/>
        </w:rPr>
      </w:pPr>
    </w:p>
    <w:p>
      <w:pPr>
        <w:ind w:left="660" w:right="1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6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Company and the Market Price of our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our debt and equity securities is subject to various factors that may cause significant fluctuations or volatility.</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access the capital markets to raise additional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additional equity or debt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funds from operations (“FFO”) or earnings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credit or analyst ratings;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financial condition and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perception of our business compared to other REITs;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perception of REITs, in general, compared to other investment alternatives.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94"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by our tenants under their contractual lease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do not maintain or increase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6" w:right="2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of our key management could adversely affect performance and the value of our common shares.</w:t>
      </w:r>
    </w:p>
    <w:p>
      <w:pPr>
        <w:spacing w:after="0" w:line="94"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We may adjust our business policies without shareholder approval.</w:t>
      </w:r>
    </w:p>
    <w:p>
      <w:pPr>
        <w:spacing w:after="0" w:line="94" w:lineRule="exact"/>
        <w:rPr>
          <w:sz w:val="20"/>
          <w:szCs w:val="20"/>
          <w:color w:val="auto"/>
        </w:rPr>
      </w:pPr>
    </w:p>
    <w:p>
      <w:pPr>
        <w:ind w:left="60" w:right="80"/>
        <w:spacing w:after="0" w:line="308" w:lineRule="auto"/>
        <w:rPr>
          <w:sz w:val="20"/>
          <w:szCs w:val="20"/>
          <w:color w:val="auto"/>
        </w:rPr>
      </w:pPr>
      <w:r>
        <w:rPr>
          <w:rFonts w:ascii="Arial" w:cs="Arial" w:eastAsia="Arial" w:hAnsi="Arial"/>
          <w:sz w:val="17"/>
          <w:szCs w:val="17"/>
          <w:color w:val="auto"/>
        </w:rPr>
        <w:t>We may modify our approach to investment, financing, borrowing, and other operating strategies without shareholder approval. A change in the approach to any of these items could adversely affect our financial condition and results of operations, and the market price of our securities.</w:t>
      </w:r>
    </w:p>
    <w:p>
      <w:pPr>
        <w:spacing w:after="0" w:line="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current business plan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cyber attacks that could cause loss of confidential information and other business disruptions.</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rely extensively on information technology systems to process transactions and manage our business, and our business is at risk from and may be impacted by cyber attacks. These could include attempts to gain unauthorized access to our data and computer systems as well as attacks on third party's information technology systems that we rely on to provide important information technology services relating to key business functions, such as payroll. Attacks can be both individual and/or highly organized attempts by very sophisticated hacking organizations. We employ a number of measures to prevent, detect and mitigate these threats, which include password encryption, frequent password change events, firewall detection systems, anti-virus software in-place, frequent backups, a redundant data system for core applications and penetration testing; however, there is no guarantee such efforts will be successful in preventing a cyber attack. A cyber attack could compromise the confidential information of our employees, tenants and vendors. A successful attack could disrupt and otherwise adversely affect our business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REIT Status and Other Laws and Regulations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3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6" w:right="25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forced to pay these costs. If not addressed, environmental conditions could impair our ability to sell or re-lease the affected properties in the future or result in lower sales prices or rent payments.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9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3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9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2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ind w:left="660" w:right="18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capital stock. If that happened, either the transfer of ownership would be void or the shares would be transferred to a charitable trust and then sold to someone who can own those shares without violating the 9.8% ownership limit.</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tax reform legislation now and in the future could affect REITs, both positively and negatively, in ways that are difficult to anticipate.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Tax Cuts and Jobs Act of 2017 (the “2017 Tax Act”), signed into law on December 22, 2017, represents sweeping tax reform legislation that makes significant changes to corporate and individual tax rates and the calculation of taxes. While we currently do not expect the 2017 Tax Act will have a significant direct impact on us, it may impact us indirectly as our tenants and the jurisdictions in which we do business as well as the overall investment thesis for REITs may be impacted both positively and negatively in ways that are difficult to predict. Additionally, the overall impact of the 2017 Tax Act depends on future interpretations and regulations that may be issued by federal tax authorities, as well as changes in state and local taxation in response to the 2017 Tax Act, and it is possible that such future interpretations, regulations and other changes could adversely impact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ind w:left="660" w:right="2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w:t>
      </w:r>
    </w:p>
    <w:p>
      <w:pPr>
        <w:spacing w:after="0" w:line="15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22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December 31, 2019, we owned or had a majority ownership interest in community and neighborhood shopping centers and mixed-used properties which are operated as 104 predominantly retail real estate projects comprising approximately 23.7 million square feet. These properties are located primarily in densely populated and affluent communities in strategic metropolitan markets in the Northeast and Mid-Atlantic regions of the United States, California, and South Florida. No single commercial or residential property accounted for over 10% of our 2019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2019, we had approximately 3,000 commercial leases and 2,700 residential leases, with tenants ranging from sole proprietors to major national and international retailers. No one tenant or affiliated group of tenants accounted for more than 2.6% of our annualized base rent as of December 31, 2019. As a result of our tenant diversification, we believe our exposure to any one bankruptcy filing in the retail sector has not been and will not be significant, however, multiple filings by a number of retailers could have a significant impact.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9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Our 104 real estate projects are located in 12 states and the District of Columbia. The following table shows the number of projects, the gross leasable area (“GLA”) of commercial space and the percentage of total portfolio gross leasable area of commercial space in each state as of December 31, 2019.</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Leasable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Gross</w:t>
            </w: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1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Leasable</w:t>
            </w:r>
          </w:p>
        </w:tc>
        <w:tc>
          <w:tcPr>
            <w:tcW w:w="0" w:type="dxa"/>
            <w:vAlign w:val="bottom"/>
          </w:tcPr>
          <w:p>
            <w:pPr>
              <w:spacing w:after="0"/>
              <w:rPr>
                <w:sz w:val="1"/>
                <w:szCs w:val="1"/>
                <w:color w:val="auto"/>
              </w:rPr>
            </w:pPr>
          </w:p>
        </w:tc>
      </w:tr>
      <w:tr>
        <w:trPr>
          <w:trHeight w:val="192"/>
        </w:trPr>
        <w:tc>
          <w:tcPr>
            <w:tcW w:w="6360" w:type="dxa"/>
            <w:vAlign w:val="bottom"/>
            <w:gridSpan w:val="2"/>
            <w:vMerge w:val="continue"/>
          </w:tcPr>
          <w:p>
            <w:pPr>
              <w:spacing w:after="0"/>
              <w:rPr>
                <w:sz w:val="16"/>
                <w:szCs w:val="16"/>
                <w:color w:val="auto"/>
              </w:rPr>
            </w:pPr>
          </w:p>
        </w:tc>
        <w:tc>
          <w:tcPr>
            <w:tcW w:w="116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Projects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Area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Area</w:t>
            </w:r>
          </w:p>
        </w:tc>
        <w:tc>
          <w:tcPr>
            <w:tcW w:w="0" w:type="dxa"/>
            <w:vAlign w:val="bottom"/>
          </w:tcPr>
          <w:p>
            <w:pPr>
              <w:spacing w:after="0"/>
              <w:rPr>
                <w:sz w:val="1"/>
                <w:szCs w:val="1"/>
                <w:color w:val="auto"/>
              </w:rPr>
            </w:pPr>
          </w:p>
        </w:tc>
      </w:tr>
      <w:tr>
        <w:trPr>
          <w:trHeight w:val="250"/>
        </w:trPr>
        <w:tc>
          <w:tcPr>
            <w:tcW w:w="6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square feet)</w:t>
            </w: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5,119,000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Maryland</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4,349,000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3,685,000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Pennsylvania(1)</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2,247,000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1,978,000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New Jersey</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1,887,000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1,366,000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Florida</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1,309,000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Connecticut</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394,000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District of Columbia</w:t>
            </w:r>
          </w:p>
        </w:tc>
        <w:tc>
          <w:tcPr>
            <w:tcW w:w="1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170,000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Carolina</w:t>
            </w: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158,000</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104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23,676,000</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17145</wp:posOffset>
            </wp:positionV>
            <wp:extent cx="3215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3" w:lineRule="exact"/>
        <w:rPr>
          <w:sz w:val="20"/>
          <w:szCs w:val="20"/>
          <w:color w:val="auto"/>
        </w:rPr>
      </w:pPr>
    </w:p>
    <w:p>
      <w:pPr>
        <w:ind w:right="500"/>
        <w:spacing w:after="0" w:line="391" w:lineRule="auto"/>
        <w:rPr>
          <w:sz w:val="20"/>
          <w:szCs w:val="20"/>
          <w:color w:val="auto"/>
        </w:rPr>
      </w:pPr>
      <w:r>
        <w:rPr>
          <w:rFonts w:ascii="Arial" w:cs="Arial" w:eastAsia="Arial" w:hAnsi="Arial"/>
          <w:sz w:val="18"/>
          <w:szCs w:val="18"/>
          <w:color w:val="auto"/>
        </w:rPr>
        <w:t xml:space="preserve">(1) Additionally, we own two participating mortgages totaling approximately $30.4 million secured by multiple buildings in Manayunk, Pennsylvania. </w:t>
      </w:r>
      <w:r>
        <w:rPr>
          <w:rFonts w:ascii="Arial" w:cs="Arial" w:eastAsia="Arial" w:hAnsi="Arial"/>
          <w:sz w:val="18"/>
          <w:szCs w:val="18"/>
          <w:b w:val="1"/>
          <w:bCs w:val="1"/>
          <w:color w:val="auto"/>
        </w:rPr>
        <w:t>Leases, Lease Terms and 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-427355</wp:posOffset>
            </wp:positionV>
            <wp:extent cx="3215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ind w:right="100"/>
        <w:spacing w:after="0" w:line="338" w:lineRule="auto"/>
        <w:rPr>
          <w:sz w:val="20"/>
          <w:szCs w:val="20"/>
          <w:color w:val="auto"/>
        </w:rPr>
      </w:pPr>
      <w:r>
        <w:rPr>
          <w:rFonts w:ascii="Arial" w:cs="Arial" w:eastAsia="Arial" w:hAnsi="Arial"/>
          <w:sz w:val="15"/>
          <w:szCs w:val="15"/>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2019, represented approximately 9.1% of total rental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2019 for each of the 10 years beginning with 2020 and after 2029 in the aggregate assuming that none of the tenants exercise future renewal options. Annualized base rents reflect in-place contractual rents as of December 31, 2019.</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Leased</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Annualized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Square</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Leased Square</w:t>
            </w:r>
          </w:p>
        </w:tc>
        <w:tc>
          <w:tcPr>
            <w:tcW w:w="20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Base Rent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Annualized Base Rent</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Footage</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Footage</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Represented by</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Represented by Expiring</w:t>
            </w:r>
          </w:p>
        </w:tc>
        <w:tc>
          <w:tcPr>
            <w:tcW w:w="0" w:type="dxa"/>
            <w:vAlign w:val="bottom"/>
          </w:tcPr>
          <w:p>
            <w:pPr>
              <w:spacing w:after="0"/>
              <w:rPr>
                <w:sz w:val="1"/>
                <w:szCs w:val="1"/>
                <w:color w:val="auto"/>
              </w:rPr>
            </w:pPr>
          </w:p>
        </w:tc>
      </w:tr>
      <w:tr>
        <w:trPr>
          <w:trHeight w:val="192"/>
        </w:trPr>
        <w:tc>
          <w:tcPr>
            <w:tcW w:w="4600" w:type="dxa"/>
            <w:vAlign w:val="bottom"/>
            <w:gridSpan w:val="2"/>
            <w:vMerge w:val="continue"/>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Expiring</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Expiring</w:t>
            </w:r>
          </w:p>
        </w:tc>
        <w:tc>
          <w:tcPr>
            <w:tcW w:w="20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50"/>
        </w:trPr>
        <w:tc>
          <w:tcPr>
            <w:tcW w:w="4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50,041,000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2,469,000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72,709,000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2,943,000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77,883,000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2,453,000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74,976,000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3,301,000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85,620,000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2,026,000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58,415,000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1,067,000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34,694,000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1,299,000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50,746,000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38,455,000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1,322,000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41,396,000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2,025,000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50,644,000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6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21,879,000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635,579,000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2019, we signed leases for a total of 1,675,000 square feet of retail space including 1,557,000 square feet of comparable space leases (leases for which there was a prior tenant) at an average rental increase of 8% on a cash basis. New leases for comparable spaces were signed for 793,000 square feet at an average rental increase of 11% on a cash basis. Renewals for comparable spaces were signed for 763,000 square feet at an average rental increase of 4% on a cash basis. Tenant improvements and incentives for comparable spaces were $42.60 per square foot, of which, $81.24 per square foot was for new leases and $2.43 per square foot was for renewals in 2019.</w:t>
      </w:r>
    </w:p>
    <w:p>
      <w:pPr>
        <w:spacing w:after="0" w:line="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2018, we signed leases for a total of 1,972,000 square feet of retail space including 1,874,000 square feet of comparable space leases (leases for which there was a prior tenant) at an average rental increase of 12% on a cash basis. New leases for comparable spaces were signed for 796,000 square feet at an average rental increase of 25% on a cash basis. Renewals for comparable spaces were signed for 1,078,000 square feet at an average rental increase of 4% on a cash basis. Tenant improvements and incentives for comparable spaces were $27.09 per square foot, of which, $61.02 per square foot was for new leases and $2.02 per square foot was for renewals in 2018.</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w:t>
      </w:r>
    </w:p>
    <w:p>
      <w:pPr>
        <w:spacing w:after="0" w:line="5" w:lineRule="exact"/>
        <w:rPr>
          <w:sz w:val="20"/>
          <w:szCs w:val="20"/>
          <w:color w:val="auto"/>
        </w:rPr>
      </w:pPr>
    </w:p>
    <w:p>
      <w:pPr>
        <w:ind w:right="2340"/>
        <w:spacing w:after="0" w:line="271" w:lineRule="auto"/>
        <w:rPr>
          <w:sz w:val="20"/>
          <w:szCs w:val="20"/>
          <w:color w:val="auto"/>
        </w:rPr>
      </w:pPr>
      <w:r>
        <w:rPr>
          <w:rFonts w:ascii="Arial" w:cs="Arial" w:eastAsia="Arial" w:hAnsi="Arial"/>
          <w:sz w:val="17"/>
          <w:szCs w:val="17"/>
          <w:color w:val="auto"/>
        </w:rPr>
        <w:t>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 Costs related to redevelopments require judgment by management in determining what reflects base building costs and thus, is not included in the "tenant improvements and incentives" amount.</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leases signed in 2019 generally become effective over the following two years though some may not become effective until 2022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Historically, we have executed comparable space leases for 1.3 to 1.9 million square feet of retail space each year and expect the volume for 2020 will be in line with our historical averages with overall positive increases in rental income. However,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2019. Except as otherwise noted, we are the sole owner of our real estate projects. Principal tenants are the largest tenants in the project based on square feet leased or are tenants important to a project’s success due to their ability to attract retail customers.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4"/>
                <w:szCs w:val="1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310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Completed</w:t>
            </w:r>
          </w:p>
        </w:tc>
        <w:tc>
          <w:tcPr>
            <w:tcW w:w="16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Acquired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/Apartment Units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Foot(2)</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2"/>
                <w:shd w:val="clear" w:color="auto" w:fill="CCEEFF"/>
              </w:rPr>
              <w:t>California</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2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100" w:type="dxa"/>
            <w:vAlign w:val="bottom"/>
            <w:tcBorders>
              <w:top w:val="single" w:sz="8" w:color="CCEEFF"/>
            </w:tcBorders>
            <w:gridSpan w:val="5"/>
          </w:tcPr>
          <w:p>
            <w:pPr>
              <w:ind w:left="40"/>
              <w:spacing w:after="0" w:line="157" w:lineRule="exact"/>
              <w:rPr>
                <w:sz w:val="20"/>
                <w:szCs w:val="20"/>
                <w:color w:val="auto"/>
              </w:rPr>
            </w:pPr>
            <w:r>
              <w:rPr>
                <w:rFonts w:ascii="Arial" w:cs="Arial" w:eastAsia="Arial" w:hAnsi="Arial"/>
                <w:sz w:val="14"/>
                <w:szCs w:val="14"/>
                <w:color w:val="auto"/>
              </w:rPr>
              <w:t>Azalea</w:t>
            </w:r>
          </w:p>
        </w:tc>
        <w:tc>
          <w:tcPr>
            <w:tcW w:w="1040" w:type="dxa"/>
            <w:vAlign w:val="bottom"/>
            <w:tcBorders>
              <w:top w:val="single" w:sz="8" w:color="CCEEFF"/>
            </w:tcBorders>
            <w:gridSpan w:val="2"/>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2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gridSpan w:val="2"/>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4"/>
              </w:rPr>
              <w:t>223,000</w:t>
            </w:r>
          </w:p>
        </w:tc>
        <w:tc>
          <w:tcPr>
            <w:tcW w:w="1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3"/>
              </w:rPr>
              <w:t>$29.03</w:t>
            </w:r>
          </w:p>
        </w:tc>
        <w:tc>
          <w:tcPr>
            <w:tcW w:w="1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Borders>
              <w:top w:val="single" w:sz="8" w:color="CCEEFF"/>
            </w:tcBorders>
          </w:tcPr>
          <w:p>
            <w:pPr>
              <w:spacing w:after="0"/>
              <w:rPr>
                <w:sz w:val="13"/>
                <w:szCs w:val="13"/>
                <w:color w:val="auto"/>
              </w:rPr>
            </w:pPr>
          </w:p>
        </w:tc>
        <w:tc>
          <w:tcPr>
            <w:tcW w:w="2400" w:type="dxa"/>
            <w:vAlign w:val="bottom"/>
            <w:tcBorders>
              <w:top w:val="single" w:sz="8" w:color="CCEEFF"/>
            </w:tcBorders>
            <w:gridSpan w:val="4"/>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South Gate, CA 90280(5)(9)</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Ulta Michaels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Bell Gardens</w:t>
            </w: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1"/>
                <w:shd w:val="clear" w:color="auto" w:fill="CCEEFF"/>
              </w:rPr>
              <w:t>1990, 2003,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shd w:val="clear" w:color="auto" w:fill="CCEEFF"/>
              </w:rPr>
              <w:t>2017/2018</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330,000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$22.24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Food4Less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7"/>
                <w:shd w:val="clear" w:color="auto" w:fill="CCEEFF"/>
              </w:rPr>
              <w:t>Bell Gardens,</w:t>
            </w:r>
          </w:p>
        </w:tc>
        <w:tc>
          <w:tcPr>
            <w:tcW w:w="2180" w:type="dxa"/>
            <w:vAlign w:val="bottom"/>
            <w:shd w:val="clear" w:color="auto" w:fill="CCEEFF"/>
          </w:tcPr>
          <w:p>
            <w:pPr>
              <w:jc w:val="right"/>
              <w:ind w:right="948"/>
              <w:spacing w:after="0" w:line="149" w:lineRule="exact"/>
              <w:rPr>
                <w:sz w:val="20"/>
                <w:szCs w:val="20"/>
                <w:color w:val="auto"/>
              </w:rPr>
            </w:pPr>
            <w:r>
              <w:rPr>
                <w:rFonts w:ascii="Arial" w:cs="Arial" w:eastAsia="Arial" w:hAnsi="Arial"/>
                <w:sz w:val="14"/>
                <w:szCs w:val="14"/>
                <w:color w:val="auto"/>
                <w:shd w:val="clear" w:color="auto" w:fill="CCEEFF"/>
              </w:rPr>
              <w:t>CA 90201(4)(5)(9)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w w:val="89"/>
                <w:shd w:val="clear" w:color="auto" w:fill="CCEEFF"/>
              </w:rPr>
              <w:t>2006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Marshalls</w:t>
            </w: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74"/>
                <w:shd w:val="clear" w:color="auto" w:fill="CCEEFF"/>
              </w:rPr>
              <w:t>Ross Dress</w:t>
            </w:r>
          </w:p>
        </w:tc>
        <w:tc>
          <w:tcPr>
            <w:tcW w:w="1800" w:type="dxa"/>
            <w:vAlign w:val="bottom"/>
            <w:shd w:val="clear" w:color="auto" w:fill="CCEEFF"/>
          </w:tcPr>
          <w:p>
            <w:pPr>
              <w:jc w:val="center"/>
              <w:ind w:right="1028"/>
              <w:spacing w:after="0" w:line="149" w:lineRule="exact"/>
              <w:rPr>
                <w:sz w:val="20"/>
                <w:szCs w:val="20"/>
                <w:color w:val="auto"/>
              </w:rPr>
            </w:pPr>
            <w:r>
              <w:rPr>
                <w:rFonts w:ascii="Arial" w:cs="Arial" w:eastAsia="Arial" w:hAnsi="Arial"/>
                <w:sz w:val="14"/>
                <w:szCs w:val="14"/>
                <w:color w:val="auto"/>
                <w:w w:val="92"/>
                <w:shd w:val="clear" w:color="auto" w:fill="CCEEFF"/>
              </w:rPr>
              <w:t>for Less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Bob's Discount Furniture</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Colorado Blvd</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5"/>
              </w:rPr>
              <w:t>1905-1988</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0"/>
              </w:rPr>
              <w:t>1996/1998</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61,000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$47.20</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82"/>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Pasadena, CA 91103(4)</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12 Units</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N/A</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5"/>
                <w:szCs w:val="15"/>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Banana Republic True Food Kitchen</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29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Crow Canyon Commons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right="108"/>
              <w:spacing w:after="0" w:line="157" w:lineRule="exact"/>
              <w:rPr>
                <w:sz w:val="20"/>
                <w:szCs w:val="20"/>
                <w:color w:val="auto"/>
              </w:rPr>
            </w:pPr>
            <w:r>
              <w:rPr>
                <w:rFonts w:ascii="Arial" w:cs="Arial" w:eastAsia="Arial" w:hAnsi="Arial"/>
                <w:sz w:val="14"/>
                <w:szCs w:val="14"/>
                <w:color w:val="auto"/>
                <w:w w:val="91"/>
                <w:shd w:val="clear" w:color="auto" w:fill="CCEEFF"/>
              </w:rPr>
              <w:t>1980, 1998,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88"/>
              <w:spacing w:after="0" w:line="157" w:lineRule="exact"/>
              <w:rPr>
                <w:sz w:val="20"/>
                <w:szCs w:val="20"/>
                <w:color w:val="auto"/>
              </w:rPr>
            </w:pPr>
            <w:r>
              <w:rPr>
                <w:rFonts w:ascii="Arial" w:cs="Arial" w:eastAsia="Arial" w:hAnsi="Arial"/>
                <w:sz w:val="14"/>
                <w:szCs w:val="14"/>
                <w:color w:val="auto"/>
                <w:w w:val="90"/>
                <w:shd w:val="clear" w:color="auto" w:fill="CCEEFF"/>
              </w:rPr>
              <w:t>2005/2007</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241,000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$29.59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88 %</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w w:val="99"/>
                <w:shd w:val="clear" w:color="auto" w:fill="CCEEFF"/>
              </w:rPr>
              <w:t>Sprouts</w:t>
            </w:r>
          </w:p>
        </w:tc>
        <w:tc>
          <w:tcPr>
            <w:tcW w:w="18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San Ramon, CA 94583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108"/>
              <w:spacing w:after="0" w:line="149" w:lineRule="exact"/>
              <w:rPr>
                <w:sz w:val="20"/>
                <w:szCs w:val="20"/>
                <w:color w:val="auto"/>
              </w:rPr>
            </w:pPr>
            <w:r>
              <w:rPr>
                <w:rFonts w:ascii="Arial" w:cs="Arial" w:eastAsia="Arial" w:hAnsi="Arial"/>
                <w:sz w:val="14"/>
                <w:szCs w:val="14"/>
                <w:color w:val="auto"/>
                <w:w w:val="89"/>
                <w:shd w:val="clear" w:color="auto" w:fill="CCEEFF"/>
              </w:rPr>
              <w:t>2006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Total Wine &amp; More</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7"/>
                <w:shd w:val="clear" w:color="auto" w:fill="CCEEFF"/>
              </w:rPr>
              <w:t>Rite Aid</w:t>
            </w:r>
          </w:p>
        </w:tc>
        <w:tc>
          <w:tcPr>
            <w:tcW w:w="186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East Bay Bridge</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1994-2001,</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441,000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$18.53</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Pak-N-Save</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Emeryville &amp; Oakland, CA 94608</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2011, 2012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Escondido Promenade</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1987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shd w:val="clear" w:color="auto" w:fill="CCEEFF"/>
              </w:rPr>
              <w:t>1996/2010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297,000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$28.98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98 %</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TJ Maxx</w:t>
            </w:r>
          </w:p>
        </w:tc>
        <w:tc>
          <w:tcPr>
            <w:tcW w:w="18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Escondido, CA 92029(5)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Dick's</w:t>
            </w:r>
          </w:p>
        </w:tc>
        <w:tc>
          <w:tcPr>
            <w:tcW w:w="1860" w:type="dxa"/>
            <w:vAlign w:val="bottom"/>
            <w:gridSpan w:val="2"/>
            <w:shd w:val="clear" w:color="auto" w:fill="CCEEFF"/>
          </w:tcPr>
          <w:p>
            <w:pPr>
              <w:jc w:val="center"/>
              <w:ind w:right="988"/>
              <w:spacing w:after="0" w:line="149" w:lineRule="exact"/>
              <w:rPr>
                <w:sz w:val="20"/>
                <w:szCs w:val="20"/>
                <w:color w:val="auto"/>
              </w:rPr>
            </w:pPr>
            <w:r>
              <w:rPr>
                <w:rFonts w:ascii="Arial" w:cs="Arial" w:eastAsia="Arial" w:hAnsi="Arial"/>
                <w:sz w:val="14"/>
                <w:szCs w:val="14"/>
                <w:color w:val="auto"/>
                <w:w w:val="82"/>
                <w:shd w:val="clear" w:color="auto" w:fill="CCEEFF"/>
              </w:rPr>
              <w:t>Sporting Goods</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Ross Dress For Less</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0" w:type="dxa"/>
            <w:vAlign w:val="bottom"/>
            <w:tcBorders>
              <w:bottom w:val="single" w:sz="8" w:color="CCEEFF"/>
            </w:tcBorders>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Bob's Discount Furniture</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Fourth Street</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1948, 1975</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71,000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$30.69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73 %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CB2</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Berkeley, CA 94710(5)</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Ingram Book Group</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Bellwether Coffee</w:t>
            </w: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97"/>
              </w:rPr>
              <w:t>Freedom Plaza (formerly known as Jordan Downs</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$32.07</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Blink Fitness</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Plaza)</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Los Angeles, CA 90002(4)(5)(6)</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Hastings Ranch Plaza</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1958, 1984,</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273,000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1"/>
              </w:rPr>
              <w:t>$7.36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Pasadena, CA 91107(4)</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2006, 2007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Hollywood Blvd</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1929, 1991</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1999</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179,000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$36.71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Hollywood, CA 90028</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La La Land</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Kings Court</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79,000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$41.27</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Lunardi's</w:t>
            </w: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Los Gatos, CA 95032(4)(7)</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La Alameda</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245,000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$26.73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80%</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Walnut Park, CA 90255(4)(8)(9)</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Old Town Center</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1962, 1998</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97,000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$42.21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86 %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Los Gatos, CA 95030</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Olivo at Mission Hills</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139,000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$31.38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Mission Hills, CA 91345(5)</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24 Hour Fitness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Plaza Del Sol</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2009</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48,000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$23.27</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South El Monte, CA 91733(5)(9)</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Plaza El Segundo / The Point</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2006-2007, 2016</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2011/2013</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502,000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$44.23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9"/>
        </w:trPr>
        <w:tc>
          <w:tcPr>
            <w:tcW w:w="31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rPr>
              <w:t>El Segundo, CA 90245(5)(9)</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San Antonio Center</w:t>
            </w:r>
          </w:p>
        </w:tc>
        <w:tc>
          <w:tcPr>
            <w:tcW w:w="10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1"/>
              </w:rPr>
              <w:t>1958,</w:t>
            </w:r>
          </w:p>
        </w:tc>
        <w:tc>
          <w:tcPr>
            <w:tcW w:w="120" w:type="dxa"/>
            <w:vAlign w:val="bottom"/>
          </w:tcPr>
          <w:p>
            <w:pPr>
              <w:spacing w:after="0"/>
              <w:rPr>
                <w:sz w:val="13"/>
                <w:szCs w:val="13"/>
                <w:color w:val="auto"/>
              </w:rPr>
            </w:pP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0"/>
              </w:rPr>
              <w:t>2015/2019</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212,000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$15.90</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94 %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Mountain View, CA 94040(4)(7)</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1964-1965,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Walmart 24 Hour Fitness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1974-1975,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5"/>
              </w:rPr>
              <w:t>1995-1997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7"/>
                <w:shd w:val="clear" w:color="auto" w:fill="CCEEFF"/>
              </w:rPr>
              <w:t>Santana Row</w:t>
            </w: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2002, 2009,</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895,000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$55.26</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Crate &amp; Barrel H&amp;M Best Buy</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6"/>
                <w:shd w:val="clear" w:color="auto" w:fill="CCEEFF"/>
              </w:rPr>
              <w:t>San Jose, CA</w:t>
            </w:r>
          </w:p>
        </w:tc>
        <w:tc>
          <w:tcPr>
            <w:tcW w:w="2180" w:type="dxa"/>
            <w:vAlign w:val="bottom"/>
            <w:shd w:val="clear" w:color="auto" w:fill="CCEEFF"/>
          </w:tcPr>
          <w:p>
            <w:pPr>
              <w:jc w:val="right"/>
              <w:ind w:right="1308"/>
              <w:spacing w:after="0" w:line="149" w:lineRule="exact"/>
              <w:rPr>
                <w:sz w:val="20"/>
                <w:szCs w:val="20"/>
                <w:color w:val="auto"/>
              </w:rPr>
            </w:pPr>
            <w:r>
              <w:rPr>
                <w:rFonts w:ascii="Arial" w:cs="Arial" w:eastAsia="Arial" w:hAnsi="Arial"/>
                <w:sz w:val="14"/>
                <w:szCs w:val="14"/>
                <w:color w:val="auto"/>
                <w:w w:val="96"/>
                <w:shd w:val="clear" w:color="auto" w:fill="CCEEFF"/>
              </w:rPr>
              <w:t>95128(4)(11)</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8"/>
                <w:shd w:val="clear" w:color="auto" w:fill="CCEEFF"/>
              </w:rPr>
              <w:t>Splunk</w:t>
            </w:r>
          </w:p>
        </w:tc>
        <w:tc>
          <w:tcPr>
            <w:tcW w:w="1960" w:type="dxa"/>
            <w:vAlign w:val="bottom"/>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78"/>
                <w:shd w:val="clear" w:color="auto" w:fill="CCEEFF"/>
              </w:rPr>
              <w:t>Multiple</w:t>
            </w:r>
          </w:p>
        </w:tc>
        <w:tc>
          <w:tcPr>
            <w:tcW w:w="19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shd w:val="clear" w:color="auto" w:fill="CCEEFF"/>
              </w:rPr>
              <w:t>Restaurants</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11"/>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gridSpan w:val="11"/>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2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100" w:type="dxa"/>
            <w:vAlign w:val="bottom"/>
            <w:gridSpan w:val="12"/>
          </w:tcPr>
          <w:p>
            <w:pPr>
              <w:ind w:left="40"/>
              <w:spacing w:after="0" w:line="157" w:lineRule="exact"/>
              <w:rPr>
                <w:sz w:val="20"/>
                <w:szCs w:val="20"/>
                <w:color w:val="auto"/>
              </w:rPr>
            </w:pPr>
            <w:r>
              <w:rPr>
                <w:rFonts w:ascii="Arial" w:cs="Arial" w:eastAsia="Arial" w:hAnsi="Arial"/>
                <w:sz w:val="14"/>
                <w:szCs w:val="14"/>
                <w:color w:val="auto"/>
              </w:rPr>
              <w:t>Santana Row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2003-2006,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1997/2012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1"/>
              </w:rPr>
              <w:t>662 units</w:t>
            </w:r>
          </w:p>
        </w:tc>
        <w:tc>
          <w:tcPr>
            <w:tcW w:w="420" w:type="dxa"/>
            <w:vAlign w:val="bottom"/>
          </w:tcPr>
          <w:p>
            <w:pPr>
              <w:spacing w:after="0"/>
              <w:rPr>
                <w:sz w:val="13"/>
                <w:szCs w:val="13"/>
                <w:color w:val="auto"/>
              </w:rPr>
            </w:pPr>
          </w:p>
        </w:tc>
        <w:tc>
          <w:tcPr>
            <w:tcW w:w="820" w:type="dxa"/>
            <w:vAlign w:val="bottom"/>
            <w:gridSpan w:val="2"/>
          </w:tcPr>
          <w:p>
            <w:pPr>
              <w:jc w:val="center"/>
              <w:ind w:right="500"/>
              <w:spacing w:after="0" w:line="157"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94 %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12"/>
          </w:tcPr>
          <w:p>
            <w:pPr>
              <w:ind w:left="40"/>
              <w:spacing w:after="0"/>
              <w:rPr>
                <w:sz w:val="20"/>
                <w:szCs w:val="20"/>
                <w:color w:val="auto"/>
              </w:rPr>
            </w:pPr>
            <w:r>
              <w:rPr>
                <w:rFonts w:ascii="Arial" w:cs="Arial" w:eastAsia="Arial" w:hAnsi="Arial"/>
                <w:sz w:val="14"/>
                <w:szCs w:val="14"/>
                <w:color w:val="auto"/>
              </w:rPr>
              <w:t>San Jose, CA 95128</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2011, 2014</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260" w:type="dxa"/>
            <w:vAlign w:val="bottom"/>
            <w:gridSpan w:val="9"/>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Sylmar Towne Center</w:t>
            </w: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148,000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$15.92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89 %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Food4Less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4"/>
                <w:szCs w:val="14"/>
                <w:color w:val="auto"/>
                <w:w w:val="83"/>
                <w:shd w:val="clear" w:color="auto" w:fill="CCEEFF"/>
              </w:rPr>
              <w:t>Sylmar, CA 91342(5)(9)</w:t>
            </w: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CVS</w:t>
            </w: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12"/>
          </w:tcPr>
          <w:p>
            <w:pPr>
              <w:ind w:left="40"/>
              <w:spacing w:after="0" w:line="157" w:lineRule="exact"/>
              <w:rPr>
                <w:sz w:val="20"/>
                <w:szCs w:val="20"/>
                <w:color w:val="auto"/>
              </w:rPr>
            </w:pPr>
            <w:r>
              <w:rPr>
                <w:rFonts w:ascii="Arial" w:cs="Arial" w:eastAsia="Arial" w:hAnsi="Arial"/>
                <w:sz w:val="14"/>
                <w:szCs w:val="14"/>
                <w:color w:val="auto"/>
              </w:rPr>
              <w:t>Third Street Promenade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1888-2000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5"/>
              </w:rPr>
              <w:t>1996-2000</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209,000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$90.68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adidas</w:t>
            </w:r>
          </w:p>
        </w:tc>
        <w:tc>
          <w:tcPr>
            <w:tcW w:w="0" w:type="dxa"/>
            <w:vAlign w:val="bottom"/>
          </w:tcPr>
          <w:p>
            <w:pPr>
              <w:spacing w:after="0"/>
              <w:rPr>
                <w:sz w:val="1"/>
                <w:szCs w:val="1"/>
                <w:color w:val="auto"/>
              </w:rPr>
            </w:pPr>
          </w:p>
        </w:tc>
      </w:tr>
      <w:tr>
        <w:trPr>
          <w:trHeight w:val="149"/>
        </w:trPr>
        <w:tc>
          <w:tcPr>
            <w:tcW w:w="3100" w:type="dxa"/>
            <w:vAlign w:val="bottom"/>
            <w:gridSpan w:val="12"/>
          </w:tcPr>
          <w:p>
            <w:pPr>
              <w:ind w:left="40"/>
              <w:spacing w:after="0" w:line="149" w:lineRule="exact"/>
              <w:rPr>
                <w:sz w:val="20"/>
                <w:szCs w:val="20"/>
                <w:color w:val="auto"/>
              </w:rPr>
            </w:pPr>
            <w:r>
              <w:rPr>
                <w:rFonts w:ascii="Arial" w:cs="Arial" w:eastAsia="Arial" w:hAnsi="Arial"/>
                <w:sz w:val="14"/>
                <w:szCs w:val="14"/>
                <w:color w:val="auto"/>
              </w:rPr>
              <w:t>Santa Monica, CA 90401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04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7"/>
                <w:shd w:val="clear" w:color="auto" w:fill="CCEEFF"/>
              </w:rPr>
              <w:t>Westgate Center</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1960-1966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653,000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$19.72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99 %</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Target</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260" w:type="dxa"/>
            <w:vAlign w:val="bottom"/>
            <w:gridSpan w:val="9"/>
            <w:shd w:val="clear" w:color="auto" w:fill="CCEEFF"/>
          </w:tcPr>
          <w:p>
            <w:pPr>
              <w:spacing w:after="0" w:line="149" w:lineRule="exact"/>
              <w:rPr>
                <w:sz w:val="20"/>
                <w:szCs w:val="20"/>
                <w:color w:val="auto"/>
              </w:rPr>
            </w:pPr>
            <w:r>
              <w:rPr>
                <w:rFonts w:ascii="Arial" w:cs="Arial" w:eastAsia="Arial" w:hAnsi="Arial"/>
                <w:sz w:val="14"/>
                <w:szCs w:val="14"/>
                <w:color w:val="auto"/>
                <w:w w:val="96"/>
                <w:shd w:val="clear" w:color="auto" w:fill="CCEEFF"/>
              </w:rPr>
              <w:t>San Jose, CA 95129</w:t>
            </w: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Nordstrom Rack</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Nike Factory</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TJ Maxx</w:t>
            </w:r>
          </w:p>
        </w:tc>
        <w:tc>
          <w:tcPr>
            <w:tcW w:w="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00" w:type="dxa"/>
            <w:vAlign w:val="bottom"/>
            <w:gridSpan w:val="12"/>
          </w:tcPr>
          <w:p>
            <w:pPr>
              <w:ind w:left="40"/>
              <w:spacing w:after="0"/>
              <w:rPr>
                <w:sz w:val="20"/>
                <w:szCs w:val="20"/>
                <w:color w:val="auto"/>
              </w:rPr>
            </w:pPr>
            <w:r>
              <w:rPr>
                <w:rFonts w:ascii="Arial" w:cs="Arial" w:eastAsia="Arial" w:hAnsi="Arial"/>
                <w:sz w:val="14"/>
                <w:szCs w:val="14"/>
                <w:b w:val="1"/>
                <w:bCs w:val="1"/>
                <w:color w:val="auto"/>
              </w:rPr>
              <w:t>Connecticut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spacing w:after="0" w:line="157" w:lineRule="exact"/>
              <w:rPr>
                <w:sz w:val="20"/>
                <w:szCs w:val="20"/>
                <w:color w:val="auto"/>
              </w:rPr>
            </w:pPr>
            <w:r>
              <w:rPr>
                <w:rFonts w:ascii="Arial" w:cs="Arial" w:eastAsia="Arial" w:hAnsi="Arial"/>
                <w:sz w:val="14"/>
                <w:szCs w:val="14"/>
                <w:color w:val="auto"/>
                <w:w w:val="92"/>
                <w:shd w:val="clear" w:color="auto" w:fill="CCEEFF"/>
              </w:rPr>
              <w:t>Bristol Plaza</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266,000</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$13.94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87 %</w:t>
            </w:r>
          </w:p>
        </w:tc>
        <w:tc>
          <w:tcPr>
            <w:tcW w:w="100" w:type="dxa"/>
            <w:vAlign w:val="bottom"/>
            <w:shd w:val="clear" w:color="auto" w:fill="CCEEFF"/>
          </w:tcPr>
          <w:p>
            <w:pPr>
              <w:spacing w:after="0"/>
              <w:rPr>
                <w:sz w:val="13"/>
                <w:szCs w:val="13"/>
                <w:color w:val="auto"/>
              </w:rPr>
            </w:pPr>
          </w:p>
        </w:tc>
        <w:tc>
          <w:tcPr>
            <w:tcW w:w="24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Stop &amp; Shop</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shd w:val="clear" w:color="auto" w:fill="CCEEFF"/>
              </w:rPr>
              <w:t>Bristol, CT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71"/>
                <w:shd w:val="clear" w:color="auto" w:fill="CCEEFF"/>
              </w:rPr>
              <w:t>06010</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TJ Maxx</w:t>
            </w:r>
          </w:p>
        </w:tc>
        <w:tc>
          <w:tcPr>
            <w:tcW w:w="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12"/>
          </w:tcPr>
          <w:p>
            <w:pPr>
              <w:ind w:left="40"/>
              <w:spacing w:after="0" w:line="157" w:lineRule="exact"/>
              <w:rPr>
                <w:sz w:val="20"/>
                <w:szCs w:val="20"/>
                <w:color w:val="auto"/>
              </w:rPr>
            </w:pPr>
            <w:r>
              <w:rPr>
                <w:rFonts w:ascii="Arial" w:cs="Arial" w:eastAsia="Arial" w:hAnsi="Arial"/>
                <w:sz w:val="14"/>
                <w:szCs w:val="14"/>
                <w:color w:val="auto"/>
              </w:rPr>
              <w:t>Darien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1920-2009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2013/2018</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92,000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$29.66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93 %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49"/>
        </w:trPr>
        <w:tc>
          <w:tcPr>
            <w:tcW w:w="3100" w:type="dxa"/>
            <w:vAlign w:val="bottom"/>
            <w:gridSpan w:val="12"/>
          </w:tcPr>
          <w:p>
            <w:pPr>
              <w:ind w:left="40"/>
              <w:spacing w:after="0" w:line="149" w:lineRule="exact"/>
              <w:rPr>
                <w:sz w:val="20"/>
                <w:szCs w:val="20"/>
                <w:color w:val="auto"/>
              </w:rPr>
            </w:pPr>
            <w:r>
              <w:rPr>
                <w:rFonts w:ascii="Arial" w:cs="Arial" w:eastAsia="Arial" w:hAnsi="Arial"/>
                <w:sz w:val="14"/>
                <w:szCs w:val="14"/>
                <w:color w:val="auto"/>
              </w:rPr>
              <w:t>Darien, CT 06820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2 Units</w:t>
            </w:r>
          </w:p>
        </w:tc>
        <w:tc>
          <w:tcPr>
            <w:tcW w:w="420" w:type="dxa"/>
            <w:vAlign w:val="bottom"/>
          </w:tcPr>
          <w:p>
            <w:pPr>
              <w:spacing w:after="0"/>
              <w:rPr>
                <w:sz w:val="12"/>
                <w:szCs w:val="12"/>
                <w:color w:val="auto"/>
              </w:rPr>
            </w:pPr>
          </w:p>
        </w:tc>
        <w:tc>
          <w:tcPr>
            <w:tcW w:w="820" w:type="dxa"/>
            <w:vAlign w:val="bottom"/>
            <w:gridSpan w:val="2"/>
            <w:vMerge w:val="restart"/>
          </w:tcPr>
          <w:p>
            <w:pPr>
              <w:jc w:val="center"/>
              <w:ind w:right="500"/>
              <w:spacing w:after="0"/>
              <w:rPr>
                <w:sz w:val="20"/>
                <w:szCs w:val="20"/>
                <w:color w:val="auto"/>
              </w:rPr>
            </w:pPr>
            <w:r>
              <w:rPr>
                <w:rFonts w:ascii="Arial" w:cs="Arial" w:eastAsia="Arial" w:hAnsi="Arial"/>
                <w:sz w:val="14"/>
                <w:szCs w:val="14"/>
                <w:color w:val="auto"/>
              </w:rPr>
              <w:t>N/A</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Equinox</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1100" w:type="dxa"/>
            <w:vAlign w:val="bottom"/>
            <w:gridSpan w:val="8"/>
            <w:shd w:val="clear" w:color="auto" w:fill="CCEEFF"/>
          </w:tcPr>
          <w:p>
            <w:pPr>
              <w:spacing w:after="0" w:line="157" w:lineRule="exact"/>
              <w:rPr>
                <w:sz w:val="20"/>
                <w:szCs w:val="20"/>
                <w:color w:val="auto"/>
              </w:rPr>
            </w:pPr>
            <w:r>
              <w:rPr>
                <w:rFonts w:ascii="Arial" w:cs="Arial" w:eastAsia="Arial" w:hAnsi="Arial"/>
                <w:sz w:val="14"/>
                <w:szCs w:val="14"/>
                <w:color w:val="auto"/>
                <w:w w:val="91"/>
                <w:shd w:val="clear" w:color="auto" w:fill="CCEEFF"/>
              </w:rPr>
              <w:t>Greenwich Avenue</w:t>
            </w: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36,000</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$96.19</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shd w:val="clear" w:color="auto" w:fill="CCEEFF"/>
          </w:tcPr>
          <w:p>
            <w:pPr>
              <w:spacing w:after="0"/>
              <w:rPr>
                <w:sz w:val="13"/>
                <w:szCs w:val="13"/>
                <w:color w:val="auto"/>
              </w:rPr>
            </w:pPr>
          </w:p>
        </w:tc>
        <w:tc>
          <w:tcPr>
            <w:tcW w:w="24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Saks Fifth Avenue</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Greenwich Avenue,</w:t>
            </w:r>
          </w:p>
        </w:tc>
        <w:tc>
          <w:tcPr>
            <w:tcW w:w="1840" w:type="dxa"/>
            <w:vAlign w:val="bottom"/>
            <w:tcBorders>
              <w:bottom w:val="single" w:sz="8" w:color="CCEEFF"/>
            </w:tcBorders>
            <w:gridSpan w:val="2"/>
            <w:shd w:val="clear" w:color="auto" w:fill="CCEEFF"/>
          </w:tcPr>
          <w:p>
            <w:pPr>
              <w:jc w:val="right"/>
              <w:ind w:right="1180"/>
              <w:spacing w:after="0"/>
              <w:rPr>
                <w:sz w:val="20"/>
                <w:szCs w:val="20"/>
                <w:color w:val="auto"/>
              </w:rPr>
            </w:pPr>
            <w:r>
              <w:rPr>
                <w:rFonts w:ascii="Arial" w:cs="Arial" w:eastAsia="Arial" w:hAnsi="Arial"/>
                <w:sz w:val="14"/>
                <w:szCs w:val="14"/>
                <w:color w:val="auto"/>
                <w:shd w:val="clear" w:color="auto" w:fill="CCEEFF"/>
              </w:rPr>
              <w:t>CT 06830</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00" w:type="dxa"/>
            <w:vAlign w:val="bottom"/>
            <w:gridSpan w:val="12"/>
          </w:tcPr>
          <w:p>
            <w:pPr>
              <w:ind w:left="40"/>
              <w:spacing w:after="0"/>
              <w:rPr>
                <w:sz w:val="20"/>
                <w:szCs w:val="20"/>
                <w:color w:val="auto"/>
              </w:rPr>
            </w:pPr>
            <w:r>
              <w:rPr>
                <w:rFonts w:ascii="Arial" w:cs="Arial" w:eastAsia="Arial" w:hAnsi="Arial"/>
                <w:sz w:val="14"/>
                <w:szCs w:val="14"/>
                <w:b w:val="1"/>
                <w:bCs w:val="1"/>
                <w:color w:val="auto"/>
              </w:rPr>
              <w:t>District of Columbia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1040" w:type="dxa"/>
            <w:vAlign w:val="bottom"/>
            <w:gridSpan w:val="7"/>
            <w:shd w:val="clear" w:color="auto" w:fill="CCEEFF"/>
          </w:tcPr>
          <w:p>
            <w:pPr>
              <w:spacing w:after="0" w:line="157" w:lineRule="exact"/>
              <w:rPr>
                <w:sz w:val="20"/>
                <w:szCs w:val="20"/>
                <w:color w:val="auto"/>
              </w:rPr>
            </w:pPr>
            <w:r>
              <w:rPr>
                <w:rFonts w:ascii="Arial" w:cs="Arial" w:eastAsia="Arial" w:hAnsi="Arial"/>
                <w:sz w:val="14"/>
                <w:szCs w:val="14"/>
                <w:color w:val="auto"/>
                <w:w w:val="91"/>
                <w:shd w:val="clear" w:color="auto" w:fill="CCEEFF"/>
              </w:rPr>
              <w:t>Friendship Center</w:t>
            </w:r>
          </w:p>
        </w:tc>
        <w:tc>
          <w:tcPr>
            <w:tcW w:w="220" w:type="dxa"/>
            <w:vAlign w:val="bottom"/>
            <w:gridSpan w:val="2"/>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2001</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119,000</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$30.83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w w:val="90"/>
                <w:shd w:val="clear" w:color="auto" w:fill="CCEEFF"/>
              </w:rPr>
              <w:t>Marshalls</w:t>
            </w:r>
          </w:p>
        </w:tc>
        <w:tc>
          <w:tcPr>
            <w:tcW w:w="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Washington, DC</w:t>
            </w:r>
          </w:p>
        </w:tc>
        <w:tc>
          <w:tcPr>
            <w:tcW w:w="1900" w:type="dxa"/>
            <w:vAlign w:val="bottom"/>
            <w:gridSpan w:val="3"/>
            <w:shd w:val="clear" w:color="auto" w:fill="CCEEFF"/>
          </w:tcPr>
          <w:p>
            <w:pPr>
              <w:jc w:val="right"/>
              <w:ind w:right="1600"/>
              <w:spacing w:after="0" w:line="149" w:lineRule="exact"/>
              <w:rPr>
                <w:sz w:val="20"/>
                <w:szCs w:val="20"/>
                <w:color w:val="auto"/>
              </w:rPr>
            </w:pPr>
            <w:r>
              <w:rPr>
                <w:rFonts w:ascii="Arial" w:cs="Arial" w:eastAsia="Arial" w:hAnsi="Arial"/>
                <w:sz w:val="14"/>
                <w:szCs w:val="14"/>
                <w:color w:val="auto"/>
                <w:w w:val="71"/>
                <w:shd w:val="clear" w:color="auto" w:fill="CCEEFF"/>
              </w:rPr>
              <w:t>20015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82"/>
                <w:shd w:val="clear" w:color="auto" w:fill="CCEEFF"/>
              </w:rPr>
              <w:t>Nordstrom</w:t>
            </w:r>
          </w:p>
        </w:tc>
        <w:tc>
          <w:tcPr>
            <w:tcW w:w="40" w:type="dxa"/>
            <w:vAlign w:val="bottom"/>
            <w:shd w:val="clear" w:color="auto" w:fill="CCEEFF"/>
          </w:tcPr>
          <w:p>
            <w:pPr>
              <w:spacing w:after="0"/>
              <w:rPr>
                <w:sz w:val="12"/>
                <w:szCs w:val="12"/>
                <w:color w:val="auto"/>
              </w:rPr>
            </w:pPr>
          </w:p>
        </w:tc>
        <w:tc>
          <w:tcPr>
            <w:tcW w:w="17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shd w:val="clear" w:color="auto" w:fill="CCEEFF"/>
              </w:rPr>
              <w:t>Rack</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DSW</w:t>
            </w:r>
          </w:p>
        </w:tc>
        <w:tc>
          <w:tcPr>
            <w:tcW w:w="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Maggiano's</w:t>
            </w:r>
          </w:p>
        </w:tc>
        <w:tc>
          <w:tcPr>
            <w:tcW w:w="0" w:type="dxa"/>
            <w:vAlign w:val="bottom"/>
          </w:tcPr>
          <w:p>
            <w:pPr>
              <w:spacing w:after="0"/>
              <w:rPr>
                <w:sz w:val="1"/>
                <w:szCs w:val="1"/>
                <w:color w:val="auto"/>
              </w:rPr>
            </w:pPr>
          </w:p>
        </w:tc>
      </w:tr>
      <w:tr>
        <w:trPr>
          <w:trHeight w:val="157"/>
        </w:trPr>
        <w:tc>
          <w:tcPr>
            <w:tcW w:w="3100" w:type="dxa"/>
            <w:vAlign w:val="bottom"/>
            <w:gridSpan w:val="12"/>
          </w:tcPr>
          <w:p>
            <w:pPr>
              <w:ind w:left="40"/>
              <w:spacing w:after="0" w:line="157" w:lineRule="exact"/>
              <w:rPr>
                <w:sz w:val="20"/>
                <w:szCs w:val="20"/>
                <w:color w:val="auto"/>
              </w:rPr>
            </w:pPr>
            <w:r>
              <w:rPr>
                <w:rFonts w:ascii="Arial" w:cs="Arial" w:eastAsia="Arial" w:hAnsi="Arial"/>
                <w:sz w:val="14"/>
                <w:szCs w:val="14"/>
                <w:color w:val="auto"/>
              </w:rPr>
              <w:t>Sam's Park &amp; Shop</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1930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51,000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$39.22</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94 %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8"/>
        </w:trPr>
        <w:tc>
          <w:tcPr>
            <w:tcW w:w="3100" w:type="dxa"/>
            <w:vAlign w:val="bottom"/>
            <w:gridSpan w:val="12"/>
          </w:tcPr>
          <w:p>
            <w:pPr>
              <w:ind w:left="40"/>
              <w:spacing w:after="0"/>
              <w:rPr>
                <w:sz w:val="20"/>
                <w:szCs w:val="20"/>
                <w:color w:val="auto"/>
              </w:rPr>
            </w:pPr>
            <w:r>
              <w:rPr>
                <w:rFonts w:ascii="Arial" w:cs="Arial" w:eastAsia="Arial" w:hAnsi="Arial"/>
                <w:sz w:val="14"/>
                <w:szCs w:val="14"/>
                <w:color w:val="auto"/>
              </w:rPr>
              <w:t>Washington, DC 20008</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4"/>
                <w:shd w:val="clear" w:color="auto" w:fill="CCEEFF"/>
              </w:rPr>
              <w:t>Florida</w:t>
            </w:r>
          </w:p>
        </w:tc>
        <w:tc>
          <w:tcPr>
            <w:tcW w:w="1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2"/>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12"/>
          </w:tcPr>
          <w:p>
            <w:pPr>
              <w:ind w:left="40"/>
              <w:spacing w:after="0" w:line="157" w:lineRule="exact"/>
              <w:rPr>
                <w:sz w:val="20"/>
                <w:szCs w:val="20"/>
                <w:color w:val="auto"/>
              </w:rPr>
            </w:pPr>
            <w:r>
              <w:rPr>
                <w:rFonts w:ascii="Arial" w:cs="Arial" w:eastAsia="Arial" w:hAnsi="Arial"/>
                <w:sz w:val="14"/>
                <w:szCs w:val="14"/>
                <w:color w:val="auto"/>
              </w:rPr>
              <w:t>CocoWalk</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1990/1994,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5"/>
              </w:rPr>
              <w:t>2015-2017</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169,000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$19.84</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77 %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Cinepolis Theaters</w:t>
            </w:r>
          </w:p>
        </w:tc>
        <w:tc>
          <w:tcPr>
            <w:tcW w:w="0" w:type="dxa"/>
            <w:vAlign w:val="bottom"/>
          </w:tcPr>
          <w:p>
            <w:pPr>
              <w:spacing w:after="0"/>
              <w:rPr>
                <w:sz w:val="1"/>
                <w:szCs w:val="1"/>
                <w:color w:val="auto"/>
              </w:rPr>
            </w:pPr>
          </w:p>
        </w:tc>
      </w:tr>
      <w:tr>
        <w:trPr>
          <w:trHeight w:val="188"/>
        </w:trPr>
        <w:tc>
          <w:tcPr>
            <w:tcW w:w="3100" w:type="dxa"/>
            <w:vAlign w:val="bottom"/>
            <w:gridSpan w:val="12"/>
          </w:tcPr>
          <w:p>
            <w:pPr>
              <w:ind w:left="40"/>
              <w:spacing w:after="0"/>
              <w:rPr>
                <w:sz w:val="20"/>
                <w:szCs w:val="20"/>
                <w:color w:val="auto"/>
              </w:rPr>
            </w:pPr>
            <w:r>
              <w:rPr>
                <w:rFonts w:ascii="Arial" w:cs="Arial" w:eastAsia="Arial" w:hAnsi="Arial"/>
                <w:sz w:val="14"/>
                <w:szCs w:val="14"/>
                <w:color w:val="auto"/>
              </w:rPr>
              <w:t>Coconut Grove, FL 33133(5)(12)</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1922-1973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Youfit Health Club</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92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Del Mar Village</w:t>
            </w: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1982, 1994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2008/2014</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191,000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$19.10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Winn Dixie</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9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w w:val="92"/>
                <w:shd w:val="clear" w:color="auto" w:fill="CCEEFF"/>
              </w:rPr>
              <w:t>Boca Raton, FL</w:t>
            </w:r>
          </w:p>
        </w:tc>
        <w:tc>
          <w:tcPr>
            <w:tcW w:w="2020" w:type="dxa"/>
            <w:vAlign w:val="bottom"/>
            <w:gridSpan w:val="4"/>
            <w:shd w:val="clear" w:color="auto" w:fill="CCEEFF"/>
          </w:tcPr>
          <w:p>
            <w:pPr>
              <w:jc w:val="right"/>
              <w:ind w:right="1640"/>
              <w:spacing w:after="0" w:line="149" w:lineRule="exact"/>
              <w:rPr>
                <w:sz w:val="20"/>
                <w:szCs w:val="20"/>
                <w:color w:val="auto"/>
              </w:rPr>
            </w:pPr>
            <w:r>
              <w:rPr>
                <w:rFonts w:ascii="Arial" w:cs="Arial" w:eastAsia="Arial" w:hAnsi="Arial"/>
                <w:sz w:val="14"/>
                <w:szCs w:val="14"/>
                <w:color w:val="auto"/>
                <w:w w:val="92"/>
                <w:shd w:val="clear" w:color="auto" w:fill="CCEEFF"/>
              </w:rPr>
              <w:t>33433</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&amp; 2007</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CVS</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L.A.</w:t>
            </w:r>
          </w:p>
        </w:tc>
        <w:tc>
          <w:tcPr>
            <w:tcW w:w="2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Fitness</w:t>
            </w:r>
          </w:p>
        </w:tc>
        <w:tc>
          <w:tcPr>
            <w:tcW w:w="0" w:type="dxa"/>
            <w:vAlign w:val="bottom"/>
          </w:tcPr>
          <w:p>
            <w:pPr>
              <w:spacing w:after="0"/>
              <w:rPr>
                <w:sz w:val="1"/>
                <w:szCs w:val="1"/>
                <w:color w:val="auto"/>
              </w:rPr>
            </w:pPr>
          </w:p>
        </w:tc>
      </w:tr>
      <w:tr>
        <w:trPr>
          <w:trHeight w:val="157"/>
        </w:trPr>
        <w:tc>
          <w:tcPr>
            <w:tcW w:w="3100" w:type="dxa"/>
            <w:vAlign w:val="bottom"/>
            <w:gridSpan w:val="12"/>
          </w:tcPr>
          <w:p>
            <w:pPr>
              <w:ind w:left="40"/>
              <w:spacing w:after="0" w:line="157" w:lineRule="exact"/>
              <w:rPr>
                <w:sz w:val="20"/>
                <w:szCs w:val="20"/>
                <w:color w:val="auto"/>
              </w:rPr>
            </w:pPr>
            <w:r>
              <w:rPr>
                <w:rFonts w:ascii="Arial" w:cs="Arial" w:eastAsia="Arial" w:hAnsi="Arial"/>
                <w:sz w:val="14"/>
                <w:szCs w:val="14"/>
                <w:color w:val="auto"/>
              </w:rPr>
              <w:t>The Shops at Sunset Place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523,000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$17.26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62 %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9"/>
        </w:trPr>
        <w:tc>
          <w:tcPr>
            <w:tcW w:w="3100" w:type="dxa"/>
            <w:vAlign w:val="bottom"/>
            <w:gridSpan w:val="12"/>
          </w:tcPr>
          <w:p>
            <w:pPr>
              <w:ind w:left="40"/>
              <w:spacing w:after="0" w:line="149" w:lineRule="exact"/>
              <w:rPr>
                <w:sz w:val="20"/>
                <w:szCs w:val="20"/>
                <w:color w:val="auto"/>
              </w:rPr>
            </w:pPr>
            <w:r>
              <w:rPr>
                <w:rFonts w:ascii="Arial" w:cs="Arial" w:eastAsia="Arial" w:hAnsi="Arial"/>
                <w:sz w:val="14"/>
                <w:szCs w:val="14"/>
                <w:color w:val="auto"/>
              </w:rPr>
              <w:t>South Miami, FL 33143(5)(9)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Restoration Hardware Outlet</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80" w:type="dxa"/>
            <w:vAlign w:val="bottom"/>
            <w:gridSpan w:val="5"/>
            <w:shd w:val="clear" w:color="auto" w:fill="CCEEFF"/>
          </w:tcPr>
          <w:p>
            <w:pPr>
              <w:spacing w:after="0"/>
              <w:rPr>
                <w:sz w:val="20"/>
                <w:szCs w:val="20"/>
                <w:color w:val="auto"/>
              </w:rPr>
            </w:pPr>
            <w:r>
              <w:rPr>
                <w:rFonts w:ascii="Arial" w:cs="Arial" w:eastAsia="Arial" w:hAnsi="Arial"/>
                <w:sz w:val="14"/>
                <w:szCs w:val="14"/>
                <w:color w:val="auto"/>
                <w:shd w:val="clear" w:color="auto" w:fill="CCEEFF"/>
              </w:rPr>
              <w:t>Tower Shops</w:t>
            </w:r>
          </w:p>
        </w:tc>
        <w:tc>
          <w:tcPr>
            <w:tcW w:w="160" w:type="dxa"/>
            <w:vAlign w:val="bottom"/>
            <w:gridSpan w:val="2"/>
            <w:shd w:val="clear" w:color="auto" w:fill="CCEEFF"/>
          </w:tcPr>
          <w:p>
            <w:pPr>
              <w:spacing w:after="0"/>
              <w:rPr>
                <w:sz w:val="14"/>
                <w:szCs w:val="14"/>
                <w:color w:val="auto"/>
              </w:rPr>
            </w:pPr>
          </w:p>
        </w:tc>
        <w:tc>
          <w:tcPr>
            <w:tcW w:w="220" w:type="dxa"/>
            <w:vAlign w:val="bottom"/>
            <w:gridSpan w:val="2"/>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1989, 2017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2011/2014</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426,000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$24.99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Trader Joe's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w w:val="99"/>
                <w:shd w:val="clear" w:color="auto" w:fill="CCEEFF"/>
              </w:rPr>
              <w:t>Davie, FL 33324</w:t>
            </w:r>
          </w:p>
        </w:tc>
        <w:tc>
          <w:tcPr>
            <w:tcW w:w="220" w:type="dxa"/>
            <w:vAlign w:val="bottom"/>
            <w:gridSpan w:val="2"/>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TJ Maxx</w:t>
            </w:r>
          </w:p>
        </w:tc>
        <w:tc>
          <w:tcPr>
            <w:tcW w:w="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Ross Dress for Less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6"/>
                <w:shd w:val="clear" w:color="auto" w:fill="CCEEFF"/>
              </w:rPr>
              <w:t>Best Buy</w:t>
            </w:r>
          </w:p>
        </w:tc>
        <w:tc>
          <w:tcPr>
            <w:tcW w:w="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Ulta</w:t>
            </w: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00" w:type="dxa"/>
            <w:vAlign w:val="bottom"/>
            <w:gridSpan w:val="12"/>
          </w:tcPr>
          <w:p>
            <w:pPr>
              <w:ind w:left="40"/>
              <w:spacing w:after="0"/>
              <w:rPr>
                <w:sz w:val="20"/>
                <w:szCs w:val="20"/>
                <w:color w:val="auto"/>
              </w:rPr>
            </w:pPr>
            <w:r>
              <w:rPr>
                <w:rFonts w:ascii="Arial" w:cs="Arial" w:eastAsia="Arial" w:hAnsi="Arial"/>
                <w:sz w:val="14"/>
                <w:szCs w:val="14"/>
                <w:b w:val="1"/>
                <w:bCs w:val="1"/>
                <w:color w:val="auto"/>
              </w:rPr>
              <w:t>Illinois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w w:val="83"/>
                <w:shd w:val="clear" w:color="auto" w:fill="CCEEFF"/>
              </w:rPr>
              <w:t>Crossroads</w:t>
            </w:r>
          </w:p>
        </w:tc>
        <w:tc>
          <w:tcPr>
            <w:tcW w:w="260" w:type="dxa"/>
            <w:vAlign w:val="bottom"/>
            <w:gridSpan w:val="2"/>
            <w:shd w:val="clear" w:color="auto" w:fill="CCEEFF"/>
          </w:tcPr>
          <w:p>
            <w:pPr>
              <w:spacing w:after="0"/>
              <w:rPr>
                <w:sz w:val="13"/>
                <w:szCs w:val="13"/>
                <w:color w:val="auto"/>
              </w:rPr>
            </w:pPr>
          </w:p>
        </w:tc>
        <w:tc>
          <w:tcPr>
            <w:tcW w:w="380" w:type="dxa"/>
            <w:vAlign w:val="bottom"/>
            <w:gridSpan w:val="4"/>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168,000</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$22.34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91 %</w:t>
            </w:r>
          </w:p>
        </w:tc>
        <w:tc>
          <w:tcPr>
            <w:tcW w:w="100" w:type="dxa"/>
            <w:vAlign w:val="bottom"/>
            <w:shd w:val="clear" w:color="auto" w:fill="CCEEFF"/>
          </w:tcPr>
          <w:p>
            <w:pPr>
              <w:spacing w:after="0"/>
              <w:rPr>
                <w:sz w:val="13"/>
                <w:szCs w:val="13"/>
                <w:color w:val="auto"/>
              </w:rPr>
            </w:pPr>
          </w:p>
        </w:tc>
        <w:tc>
          <w:tcPr>
            <w:tcW w:w="24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L.A. Fitness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Highland</w:t>
            </w:r>
          </w:p>
        </w:tc>
        <w:tc>
          <w:tcPr>
            <w:tcW w:w="2320" w:type="dxa"/>
            <w:vAlign w:val="bottom"/>
            <w:gridSpan w:val="7"/>
            <w:shd w:val="clear" w:color="auto" w:fill="CCEEFF"/>
          </w:tcPr>
          <w:p>
            <w:pPr>
              <w:jc w:val="right"/>
              <w:ind w:right="1500"/>
              <w:spacing w:after="0" w:line="149" w:lineRule="exact"/>
              <w:rPr>
                <w:sz w:val="20"/>
                <w:szCs w:val="20"/>
                <w:color w:val="auto"/>
              </w:rPr>
            </w:pPr>
            <w:r>
              <w:rPr>
                <w:rFonts w:ascii="Arial" w:cs="Arial" w:eastAsia="Arial" w:hAnsi="Arial"/>
                <w:sz w:val="14"/>
                <w:szCs w:val="14"/>
                <w:color w:val="auto"/>
                <w:w w:val="87"/>
                <w:shd w:val="clear" w:color="auto" w:fill="CCEEFF"/>
              </w:rPr>
              <w:t>Park, IL 60035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Ulta</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Binny's</w:t>
            </w:r>
          </w:p>
        </w:tc>
        <w:tc>
          <w:tcPr>
            <w:tcW w:w="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Ferguson's Bath, Kitchen, &amp; Lighting</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Gallery</w:t>
            </w:r>
          </w:p>
        </w:tc>
        <w:tc>
          <w:tcPr>
            <w:tcW w:w="4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00" w:type="dxa"/>
            <w:vAlign w:val="bottom"/>
            <w:gridSpan w:val="12"/>
          </w:tcPr>
          <w:p>
            <w:pPr>
              <w:ind w:left="40"/>
              <w:spacing w:after="0" w:line="157" w:lineRule="exact"/>
              <w:rPr>
                <w:sz w:val="20"/>
                <w:szCs w:val="20"/>
                <w:color w:val="auto"/>
              </w:rPr>
            </w:pPr>
            <w:r>
              <w:rPr>
                <w:rFonts w:ascii="Arial" w:cs="Arial" w:eastAsia="Arial" w:hAnsi="Arial"/>
                <w:sz w:val="14"/>
                <w:szCs w:val="14"/>
                <w:color w:val="auto"/>
              </w:rPr>
              <w:t>Finley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278,000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$15.73</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98 %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3100" w:type="dxa"/>
            <w:vAlign w:val="bottom"/>
            <w:gridSpan w:val="12"/>
          </w:tcPr>
          <w:p>
            <w:pPr>
              <w:ind w:left="40"/>
              <w:spacing w:after="0" w:line="149" w:lineRule="exact"/>
              <w:rPr>
                <w:sz w:val="20"/>
                <w:szCs w:val="20"/>
                <w:color w:val="auto"/>
              </w:rPr>
            </w:pPr>
            <w:r>
              <w:rPr>
                <w:rFonts w:ascii="Arial" w:cs="Arial" w:eastAsia="Arial" w:hAnsi="Arial"/>
                <w:sz w:val="14"/>
                <w:szCs w:val="14"/>
                <w:color w:val="auto"/>
              </w:rPr>
              <w:t>Downers Grove, IL 60515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Michaels Portillo's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8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Garden Market</w:t>
            </w:r>
          </w:p>
        </w:tc>
        <w:tc>
          <w:tcPr>
            <w:tcW w:w="380" w:type="dxa"/>
            <w:vAlign w:val="bottom"/>
            <w:gridSpan w:val="4"/>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4"/>
              </w:rPr>
              <w:t>140,000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$14.14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Mariano's Fresh Market</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4"/>
                <w:szCs w:val="14"/>
                <w:color w:val="auto"/>
                <w:w w:val="80"/>
                <w:shd w:val="clear" w:color="auto" w:fill="CCEEFF"/>
              </w:rPr>
              <w:t>Western Springs,</w:t>
            </w:r>
          </w:p>
        </w:tc>
        <w:tc>
          <w:tcPr>
            <w:tcW w:w="2060" w:type="dxa"/>
            <w:vAlign w:val="bottom"/>
            <w:tcBorders>
              <w:bottom w:val="single" w:sz="8" w:color="CCEEFF"/>
            </w:tcBorders>
            <w:gridSpan w:val="5"/>
            <w:shd w:val="clear" w:color="auto" w:fill="CCEEFF"/>
          </w:tcPr>
          <w:p>
            <w:pPr>
              <w:jc w:val="right"/>
              <w:ind w:right="1400"/>
              <w:spacing w:after="0"/>
              <w:rPr>
                <w:sz w:val="20"/>
                <w:szCs w:val="20"/>
                <w:color w:val="auto"/>
              </w:rPr>
            </w:pPr>
            <w:r>
              <w:rPr>
                <w:rFonts w:ascii="Arial" w:cs="Arial" w:eastAsia="Arial" w:hAnsi="Arial"/>
                <w:sz w:val="14"/>
                <w:szCs w:val="14"/>
                <w:color w:val="auto"/>
                <w:shd w:val="clear" w:color="auto" w:fill="CCEEFF"/>
              </w:rPr>
              <w:t>IL 60558</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w w:val="86"/>
                <w:shd w:val="clear" w:color="auto" w:fill="CCEEFF"/>
              </w:rPr>
              <w:t>Walgreens</w:t>
            </w: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12"/>
          </w:tcPr>
          <w:p>
            <w:pPr>
              <w:ind w:left="40"/>
              <w:spacing w:after="0" w:line="157" w:lineRule="exact"/>
              <w:rPr>
                <w:sz w:val="20"/>
                <w:szCs w:val="20"/>
                <w:color w:val="auto"/>
              </w:rPr>
            </w:pPr>
            <w:r>
              <w:rPr>
                <w:rFonts w:ascii="Arial" w:cs="Arial" w:eastAsia="Arial" w:hAnsi="Arial"/>
                <w:sz w:val="14"/>
                <w:szCs w:val="14"/>
                <w:color w:val="auto"/>
              </w:rPr>
              <w:t>Riverpoint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1989, 2012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0"/>
              </w:rPr>
              <w:t>211,000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$21.17</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93 %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Jewel Osco</w:t>
            </w:r>
          </w:p>
        </w:tc>
        <w:tc>
          <w:tcPr>
            <w:tcW w:w="0" w:type="dxa"/>
            <w:vAlign w:val="bottom"/>
          </w:tcPr>
          <w:p>
            <w:pPr>
              <w:spacing w:after="0"/>
              <w:rPr>
                <w:sz w:val="1"/>
                <w:szCs w:val="1"/>
                <w:color w:val="auto"/>
              </w:rPr>
            </w:pPr>
          </w:p>
        </w:tc>
      </w:tr>
      <w:tr>
        <w:trPr>
          <w:trHeight w:val="149"/>
        </w:trPr>
        <w:tc>
          <w:tcPr>
            <w:tcW w:w="3100" w:type="dxa"/>
            <w:vAlign w:val="bottom"/>
            <w:gridSpan w:val="12"/>
          </w:tcPr>
          <w:p>
            <w:pPr>
              <w:ind w:left="40"/>
              <w:spacing w:after="0" w:line="149" w:lineRule="exact"/>
              <w:rPr>
                <w:sz w:val="20"/>
                <w:szCs w:val="20"/>
                <w:color w:val="auto"/>
              </w:rPr>
            </w:pPr>
            <w:r>
              <w:rPr>
                <w:rFonts w:ascii="Arial" w:cs="Arial" w:eastAsia="Arial" w:hAnsi="Arial"/>
                <w:sz w:val="14"/>
                <w:szCs w:val="14"/>
                <w:color w:val="auto"/>
              </w:rPr>
              <w:t>Chicago, IL 60614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7"/>
                <w:shd w:val="clear" w:color="auto" w:fill="CCEEFF"/>
              </w:rPr>
              <w:t>Maryland</w:t>
            </w:r>
          </w:p>
        </w:tc>
        <w:tc>
          <w:tcPr>
            <w:tcW w:w="640" w:type="dxa"/>
            <w:vAlign w:val="bottom"/>
            <w:tcBorders>
              <w:bottom w:val="single" w:sz="8" w:color="CCEEFF"/>
            </w:tcBorders>
            <w:gridSpan w:val="6"/>
            <w:shd w:val="clear" w:color="auto" w:fill="CCEEFF"/>
          </w:tcPr>
          <w:p>
            <w:pPr>
              <w:spacing w:after="0"/>
              <w:rPr>
                <w:sz w:val="14"/>
                <w:szCs w:val="14"/>
                <w:color w:val="auto"/>
              </w:rPr>
            </w:pPr>
          </w:p>
        </w:tc>
        <w:tc>
          <w:tcPr>
            <w:tcW w:w="1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12"/>
          </w:tcPr>
          <w:p>
            <w:pPr>
              <w:ind w:left="40"/>
              <w:spacing w:after="0" w:line="157" w:lineRule="exact"/>
              <w:rPr>
                <w:sz w:val="20"/>
                <w:szCs w:val="20"/>
                <w:color w:val="auto"/>
              </w:rPr>
            </w:pPr>
            <w:r>
              <w:rPr>
                <w:rFonts w:ascii="Arial" w:cs="Arial" w:eastAsia="Arial" w:hAnsi="Arial"/>
                <w:sz w:val="14"/>
                <w:szCs w:val="14"/>
                <w:color w:val="auto"/>
              </w:rPr>
              <w:t>Bethesda Row</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1945-1991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5"/>
              </w:rPr>
              <w:t>1993-2006/</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536,000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$53.39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97 %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12"/>
          </w:tcPr>
          <w:p>
            <w:pPr>
              <w:ind w:left="40"/>
              <w:spacing w:after="0" w:line="149" w:lineRule="exact"/>
              <w:rPr>
                <w:sz w:val="20"/>
                <w:szCs w:val="20"/>
                <w:color w:val="auto"/>
              </w:rPr>
            </w:pPr>
            <w:r>
              <w:rPr>
                <w:rFonts w:ascii="Arial" w:cs="Arial" w:eastAsia="Arial" w:hAnsi="Arial"/>
                <w:sz w:val="14"/>
                <w:szCs w:val="14"/>
                <w:color w:val="auto"/>
              </w:rPr>
              <w:t>Bethesda, MD 20814(4)</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2001, 2008</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0"/>
              </w:rPr>
              <w:t>2008/2010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Apple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Equinox</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940" w:type="dxa"/>
            <w:vAlign w:val="bottom"/>
            <w:gridSpan w:val="10"/>
            <w:shd w:val="clear" w:color="auto" w:fill="CCEEFF"/>
          </w:tcPr>
          <w:p>
            <w:pPr>
              <w:spacing w:after="0"/>
              <w:rPr>
                <w:sz w:val="20"/>
                <w:szCs w:val="20"/>
                <w:color w:val="auto"/>
              </w:rPr>
            </w:pPr>
            <w:r>
              <w:rPr>
                <w:rFonts w:ascii="Arial" w:cs="Arial" w:eastAsia="Arial" w:hAnsi="Arial"/>
                <w:sz w:val="14"/>
                <w:szCs w:val="14"/>
                <w:color w:val="auto"/>
                <w:shd w:val="clear" w:color="auto" w:fill="CCEEFF"/>
              </w:rPr>
              <w:t>Bethesda Row Residential</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228"/>
              <w:spacing w:after="0"/>
              <w:rPr>
                <w:sz w:val="20"/>
                <w:szCs w:val="20"/>
                <w:color w:val="auto"/>
              </w:rPr>
            </w:pPr>
            <w:r>
              <w:rPr>
                <w:rFonts w:ascii="Arial" w:cs="Arial" w:eastAsia="Arial" w:hAnsi="Arial"/>
                <w:sz w:val="14"/>
                <w:szCs w:val="14"/>
                <w:color w:val="auto"/>
                <w:w w:val="91"/>
              </w:rPr>
              <w:t>180 units</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right="308"/>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Bethesda, MD 20814</w:t>
            </w:r>
          </w:p>
        </w:tc>
        <w:tc>
          <w:tcPr>
            <w:tcW w:w="1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12"/>
          </w:tcPr>
          <w:p>
            <w:pPr>
              <w:ind w:left="40"/>
              <w:spacing w:after="0" w:line="157" w:lineRule="exact"/>
              <w:rPr>
                <w:sz w:val="20"/>
                <w:szCs w:val="20"/>
                <w:color w:val="auto"/>
              </w:rPr>
            </w:pPr>
            <w:r>
              <w:rPr>
                <w:rFonts w:ascii="Arial" w:cs="Arial" w:eastAsia="Arial" w:hAnsi="Arial"/>
                <w:sz w:val="14"/>
                <w:szCs w:val="14"/>
                <w:color w:val="auto"/>
              </w:rPr>
              <w:t>Congressional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tcPr>
          <w:p>
            <w:pPr>
              <w:spacing w:after="0"/>
              <w:rPr>
                <w:sz w:val="13"/>
                <w:szCs w:val="13"/>
                <w:color w:val="auto"/>
              </w:rPr>
            </w:pPr>
          </w:p>
        </w:tc>
        <w:tc>
          <w:tcPr>
            <w:tcW w:w="124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324,000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$38.51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97 %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The Fresh Market</w:t>
            </w:r>
          </w:p>
        </w:tc>
        <w:tc>
          <w:tcPr>
            <w:tcW w:w="0" w:type="dxa"/>
            <w:vAlign w:val="bottom"/>
          </w:tcPr>
          <w:p>
            <w:pPr>
              <w:spacing w:after="0"/>
              <w:rPr>
                <w:sz w:val="1"/>
                <w:szCs w:val="1"/>
                <w:color w:val="auto"/>
              </w:rPr>
            </w:pPr>
          </w:p>
        </w:tc>
      </w:tr>
      <w:tr>
        <w:trPr>
          <w:trHeight w:val="149"/>
        </w:trPr>
        <w:tc>
          <w:tcPr>
            <w:tcW w:w="3100" w:type="dxa"/>
            <w:vAlign w:val="bottom"/>
            <w:gridSpan w:val="12"/>
          </w:tcPr>
          <w:p>
            <w:pPr>
              <w:ind w:left="40"/>
              <w:spacing w:after="0" w:line="149" w:lineRule="exact"/>
              <w:rPr>
                <w:sz w:val="20"/>
                <w:szCs w:val="20"/>
                <w:color w:val="auto"/>
              </w:rPr>
            </w:pPr>
            <w:r>
              <w:rPr>
                <w:rFonts w:ascii="Arial" w:cs="Arial" w:eastAsia="Arial" w:hAnsi="Arial"/>
                <w:sz w:val="14"/>
                <w:szCs w:val="14"/>
                <w:color w:val="auto"/>
              </w:rPr>
              <w:t>Rockville, MD 20852(5)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1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3100" w:type="dxa"/>
            <w:vAlign w:val="bottom"/>
            <w:gridSpan w:val="5"/>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Completed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/Apartment Units</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Foot(2)</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Borders>
              <w:top w:val="single" w:sz="8" w:color="auto"/>
            </w:tcBorders>
            <w:shd w:val="clear" w:color="auto" w:fill="CCEEFF"/>
          </w:tcPr>
          <w:p>
            <w:pPr>
              <w:spacing w:after="0"/>
              <w:rPr>
                <w:sz w:val="13"/>
                <w:szCs w:val="13"/>
                <w:color w:val="auto"/>
              </w:rPr>
            </w:pPr>
          </w:p>
        </w:tc>
        <w:tc>
          <w:tcPr>
            <w:tcW w:w="2940" w:type="dxa"/>
            <w:vAlign w:val="bottom"/>
            <w:tcBorders>
              <w:top w:val="single" w:sz="8" w:color="auto"/>
            </w:tcBorders>
            <w:gridSpan w:val="3"/>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Congressional Plaza Residential</w:t>
            </w: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2003, 2016</w:t>
            </w: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center"/>
              <w:ind w:right="228"/>
              <w:spacing w:after="0" w:line="157" w:lineRule="exact"/>
              <w:rPr>
                <w:sz w:val="20"/>
                <w:szCs w:val="20"/>
                <w:color w:val="auto"/>
              </w:rPr>
            </w:pPr>
            <w:r>
              <w:rPr>
                <w:rFonts w:ascii="Arial" w:cs="Arial" w:eastAsia="Arial" w:hAnsi="Arial"/>
                <w:sz w:val="14"/>
                <w:szCs w:val="14"/>
                <w:color w:val="auto"/>
                <w:w w:val="91"/>
              </w:rPr>
              <w:t>194 units</w:t>
            </w: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center"/>
              <w:ind w:right="308"/>
              <w:spacing w:after="0" w:line="157"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95 %</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Rockville, MD 20852(5)</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Courthouse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360" w:type="dxa"/>
            <w:vAlign w:val="bottom"/>
            <w:gridSpan w:val="3"/>
          </w:tcPr>
          <w:p>
            <w:pPr>
              <w:jc w:val="center"/>
              <w:ind w:left="48"/>
              <w:spacing w:after="0" w:line="157" w:lineRule="exact"/>
              <w:rPr>
                <w:sz w:val="20"/>
                <w:szCs w:val="20"/>
                <w:color w:val="auto"/>
              </w:rPr>
            </w:pPr>
            <w:r>
              <w:rPr>
                <w:rFonts w:ascii="Arial" w:cs="Arial" w:eastAsia="Arial" w:hAnsi="Arial"/>
                <w:sz w:val="14"/>
                <w:szCs w:val="14"/>
                <w:color w:val="auto"/>
                <w:w w:val="93"/>
              </w:rPr>
              <w:t>38,000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$24.26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81 %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Rockville, MD 20852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4"/>
                <w:szCs w:val="14"/>
                <w:color w:val="auto"/>
                <w:w w:val="99"/>
                <w:shd w:val="clear" w:color="auto" w:fill="CCEEFF"/>
              </w:rPr>
              <w:t>Federal Plaza</w:t>
            </w:r>
          </w:p>
        </w:tc>
        <w:tc>
          <w:tcPr>
            <w:tcW w:w="2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1989</w:t>
            </w:r>
          </w:p>
        </w:tc>
        <w:tc>
          <w:tcPr>
            <w:tcW w:w="1360" w:type="dxa"/>
            <w:vAlign w:val="bottom"/>
            <w:gridSpan w:val="3"/>
            <w:shd w:val="clear" w:color="auto" w:fill="CCEEFF"/>
          </w:tcPr>
          <w:p>
            <w:pPr>
              <w:jc w:val="center"/>
              <w:ind w:left="48"/>
              <w:spacing w:after="0"/>
              <w:rPr>
                <w:sz w:val="20"/>
                <w:szCs w:val="20"/>
                <w:color w:val="auto"/>
              </w:rPr>
            </w:pPr>
            <w:r>
              <w:rPr>
                <w:rFonts w:ascii="Arial" w:cs="Arial" w:eastAsia="Arial" w:hAnsi="Arial"/>
                <w:sz w:val="14"/>
                <w:szCs w:val="14"/>
                <w:color w:val="auto"/>
                <w:w w:val="94"/>
              </w:rPr>
              <w:t>250,000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$38.23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96 %</w:t>
            </w:r>
          </w:p>
        </w:tc>
        <w:tc>
          <w:tcPr>
            <w:tcW w:w="100" w:type="dxa"/>
            <w:vAlign w:val="bottom"/>
            <w:shd w:val="clear" w:color="auto" w:fill="CCEEFF"/>
          </w:tcPr>
          <w:p>
            <w:pPr>
              <w:spacing w:after="0"/>
              <w:rPr>
                <w:sz w:val="14"/>
                <w:szCs w:val="14"/>
                <w:color w:val="auto"/>
              </w:rPr>
            </w:pPr>
          </w:p>
        </w:tc>
        <w:tc>
          <w:tcPr>
            <w:tcW w:w="7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85"/>
                <w:shd w:val="clear" w:color="auto" w:fill="CCEEFF"/>
              </w:rPr>
              <w:t>Trader Joe's</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Rockville, MD 20852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TJ Maxx</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Micro Center</w:t>
            </w: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Ross Dress for Less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Gaithersburg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360" w:type="dxa"/>
            <w:vAlign w:val="bottom"/>
            <w:gridSpan w:val="3"/>
          </w:tcPr>
          <w:p>
            <w:pPr>
              <w:jc w:val="center"/>
              <w:ind w:left="48"/>
              <w:spacing w:after="0" w:line="157" w:lineRule="exact"/>
              <w:rPr>
                <w:sz w:val="20"/>
                <w:szCs w:val="20"/>
                <w:color w:val="auto"/>
              </w:rPr>
            </w:pPr>
            <w:r>
              <w:rPr>
                <w:rFonts w:ascii="Arial" w:cs="Arial" w:eastAsia="Arial" w:hAnsi="Arial"/>
                <w:sz w:val="14"/>
                <w:szCs w:val="14"/>
                <w:color w:val="auto"/>
                <w:w w:val="94"/>
              </w:rPr>
              <w:t>207,000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$28.91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96 %</w:t>
            </w:r>
          </w:p>
        </w:tc>
        <w:tc>
          <w:tcPr>
            <w:tcW w:w="100" w:type="dxa"/>
            <w:vAlign w:val="bottom"/>
          </w:tcPr>
          <w:p>
            <w:pPr>
              <w:spacing w:after="0"/>
              <w:rPr>
                <w:sz w:val="13"/>
                <w:szCs w:val="13"/>
                <w:color w:val="auto"/>
              </w:rPr>
            </w:pPr>
          </w:p>
        </w:tc>
        <w:tc>
          <w:tcPr>
            <w:tcW w:w="24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Gaithersburg, MD 20878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Ashley Furniture HomeStore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Governor Plaza</w:t>
            </w: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360" w:type="dxa"/>
            <w:vAlign w:val="bottom"/>
            <w:gridSpan w:val="3"/>
            <w:shd w:val="clear" w:color="auto" w:fill="CCEEFF"/>
          </w:tcPr>
          <w:p>
            <w:pPr>
              <w:jc w:val="center"/>
              <w:ind w:left="48"/>
              <w:spacing w:after="0"/>
              <w:rPr>
                <w:sz w:val="20"/>
                <w:szCs w:val="20"/>
                <w:color w:val="auto"/>
              </w:rPr>
            </w:pPr>
            <w:r>
              <w:rPr>
                <w:rFonts w:ascii="Arial" w:cs="Arial" w:eastAsia="Arial" w:hAnsi="Arial"/>
                <w:sz w:val="14"/>
                <w:szCs w:val="14"/>
                <w:color w:val="auto"/>
                <w:w w:val="94"/>
              </w:rPr>
              <w:t>243,000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$20.18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98 %</w:t>
            </w: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Aldi</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Glen Burnie, MD 21961</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Dick's Sporting Goods</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w w:val="93"/>
                <w:shd w:val="clear" w:color="auto" w:fill="CCEEFF"/>
              </w:rPr>
              <w:t>A.C. Moore</w:t>
            </w:r>
          </w:p>
        </w:tc>
        <w:tc>
          <w:tcPr>
            <w:tcW w:w="24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Laurel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360" w:type="dxa"/>
            <w:vAlign w:val="bottom"/>
            <w:gridSpan w:val="3"/>
          </w:tcPr>
          <w:p>
            <w:pPr>
              <w:jc w:val="center"/>
              <w:ind w:left="48"/>
              <w:spacing w:after="0" w:line="157" w:lineRule="exact"/>
              <w:rPr>
                <w:sz w:val="20"/>
                <w:szCs w:val="20"/>
                <w:color w:val="auto"/>
              </w:rPr>
            </w:pPr>
            <w:r>
              <w:rPr>
                <w:rFonts w:ascii="Arial" w:cs="Arial" w:eastAsia="Arial" w:hAnsi="Arial"/>
                <w:sz w:val="14"/>
                <w:szCs w:val="14"/>
                <w:color w:val="auto"/>
                <w:w w:val="94"/>
              </w:rPr>
              <w:t>359,000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$22.75</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00" w:type="dxa"/>
            <w:vAlign w:val="bottom"/>
          </w:tcPr>
          <w:p>
            <w:pPr>
              <w:spacing w:after="0"/>
              <w:rPr>
                <w:sz w:val="13"/>
                <w:szCs w:val="13"/>
                <w:color w:val="auto"/>
              </w:rPr>
            </w:pPr>
          </w:p>
        </w:tc>
        <w:tc>
          <w:tcPr>
            <w:tcW w:w="24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Laurel, MD 20707</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Montrose Crossing</w:t>
            </w: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1960-1979,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2011/2013</w:t>
            </w:r>
          </w:p>
        </w:tc>
        <w:tc>
          <w:tcPr>
            <w:tcW w:w="1360" w:type="dxa"/>
            <w:vAlign w:val="bottom"/>
            <w:gridSpan w:val="3"/>
            <w:shd w:val="clear" w:color="auto" w:fill="CCEEFF"/>
          </w:tcPr>
          <w:p>
            <w:pPr>
              <w:jc w:val="center"/>
              <w:ind w:left="48"/>
              <w:spacing w:after="0"/>
              <w:rPr>
                <w:sz w:val="20"/>
                <w:szCs w:val="20"/>
                <w:color w:val="auto"/>
              </w:rPr>
            </w:pPr>
            <w:r>
              <w:rPr>
                <w:rFonts w:ascii="Arial" w:cs="Arial" w:eastAsia="Arial" w:hAnsi="Arial"/>
                <w:sz w:val="14"/>
                <w:szCs w:val="14"/>
                <w:color w:val="auto"/>
                <w:w w:val="94"/>
              </w:rPr>
              <w:t>371,000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$32.35</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100 %</w:t>
            </w:r>
          </w:p>
        </w:tc>
        <w:tc>
          <w:tcPr>
            <w:tcW w:w="100" w:type="dxa"/>
            <w:vAlign w:val="bottom"/>
            <w:shd w:val="clear" w:color="auto" w:fill="CCEEFF"/>
          </w:tcPr>
          <w:p>
            <w:pPr>
              <w:spacing w:after="0"/>
              <w:rPr>
                <w:sz w:val="14"/>
                <w:szCs w:val="14"/>
                <w:color w:val="auto"/>
              </w:rPr>
            </w:pPr>
          </w:p>
        </w:tc>
        <w:tc>
          <w:tcPr>
            <w:tcW w:w="7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95"/>
                <w:shd w:val="clear" w:color="auto" w:fill="CCEEFF"/>
              </w:rPr>
              <w:t>Giant Food</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Rockville, MD 20852(9)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1996, 2011</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0"/>
              </w:rPr>
              <w:t>Marshalls</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Old Navy</w:t>
            </w:r>
          </w:p>
        </w:tc>
        <w:tc>
          <w:tcPr>
            <w:tcW w:w="360" w:type="dxa"/>
            <w:vAlign w:val="bottom"/>
            <w:gridSpan w:val="2"/>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3"/>
                <w:shd w:val="clear" w:color="auto" w:fill="CCEEFF"/>
              </w:rPr>
              <w:t>Barnes &amp;</w:t>
            </w:r>
          </w:p>
        </w:tc>
        <w:tc>
          <w:tcPr>
            <w:tcW w:w="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7"/>
                <w:shd w:val="clear" w:color="auto" w:fill="CCEEFF"/>
              </w:rPr>
              <w:t>Noble</w:t>
            </w: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4"/>
                <w:szCs w:val="14"/>
                <w:color w:val="auto"/>
                <w:w w:val="96"/>
                <w:shd w:val="clear" w:color="auto" w:fill="CCEEFF"/>
              </w:rPr>
              <w:t>Bob's Discount</w:t>
            </w: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Furniture</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Perring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360" w:type="dxa"/>
            <w:vAlign w:val="bottom"/>
            <w:gridSpan w:val="3"/>
          </w:tcPr>
          <w:p>
            <w:pPr>
              <w:jc w:val="center"/>
              <w:ind w:left="48"/>
              <w:spacing w:after="0" w:line="157" w:lineRule="exact"/>
              <w:rPr>
                <w:sz w:val="20"/>
                <w:szCs w:val="20"/>
                <w:color w:val="auto"/>
              </w:rPr>
            </w:pPr>
            <w:r>
              <w:rPr>
                <w:rFonts w:ascii="Arial" w:cs="Arial" w:eastAsia="Arial" w:hAnsi="Arial"/>
                <w:sz w:val="14"/>
                <w:szCs w:val="14"/>
                <w:color w:val="auto"/>
                <w:w w:val="94"/>
              </w:rPr>
              <w:t>396,000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$14.93</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99 %</w:t>
            </w:r>
          </w:p>
        </w:tc>
        <w:tc>
          <w:tcPr>
            <w:tcW w:w="100" w:type="dxa"/>
            <w:vAlign w:val="bottom"/>
          </w:tcPr>
          <w:p>
            <w:pPr>
              <w:spacing w:after="0"/>
              <w:rPr>
                <w:sz w:val="13"/>
                <w:szCs w:val="13"/>
                <w:color w:val="auto"/>
              </w:rPr>
            </w:pPr>
          </w:p>
        </w:tc>
        <w:tc>
          <w:tcPr>
            <w:tcW w:w="24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Baltimore, MD 21134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Pike &amp; Rose</w:t>
            </w:r>
          </w:p>
        </w:tc>
        <w:tc>
          <w:tcPr>
            <w:tcW w:w="2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1963, 2014,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1982/2007/</w:t>
            </w:r>
          </w:p>
        </w:tc>
        <w:tc>
          <w:tcPr>
            <w:tcW w:w="1360" w:type="dxa"/>
            <w:vAlign w:val="bottom"/>
            <w:gridSpan w:val="3"/>
            <w:shd w:val="clear" w:color="auto" w:fill="CCEEFF"/>
          </w:tcPr>
          <w:p>
            <w:pPr>
              <w:jc w:val="center"/>
              <w:ind w:left="48"/>
              <w:spacing w:after="0"/>
              <w:rPr>
                <w:sz w:val="20"/>
                <w:szCs w:val="20"/>
                <w:color w:val="auto"/>
              </w:rPr>
            </w:pPr>
            <w:r>
              <w:rPr>
                <w:rFonts w:ascii="Arial" w:cs="Arial" w:eastAsia="Arial" w:hAnsi="Arial"/>
                <w:sz w:val="14"/>
                <w:szCs w:val="14"/>
                <w:color w:val="auto"/>
                <w:w w:val="94"/>
              </w:rPr>
              <w:t>469,000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$40.09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99 %</w:t>
            </w:r>
          </w:p>
        </w:tc>
        <w:tc>
          <w:tcPr>
            <w:tcW w:w="100" w:type="dxa"/>
            <w:vAlign w:val="bottom"/>
            <w:shd w:val="clear" w:color="auto" w:fill="CCEEFF"/>
          </w:tcPr>
          <w:p>
            <w:pPr>
              <w:spacing w:after="0"/>
              <w:rPr>
                <w:sz w:val="14"/>
                <w:szCs w:val="14"/>
                <w:color w:val="auto"/>
              </w:rPr>
            </w:pPr>
          </w:p>
        </w:tc>
        <w:tc>
          <w:tcPr>
            <w:tcW w:w="96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iPic Theater</w:t>
            </w: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North Bethesda, MD 20852(11)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2012</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Porsche</w:t>
            </w:r>
          </w:p>
        </w:tc>
        <w:tc>
          <w:tcPr>
            <w:tcW w:w="360" w:type="dxa"/>
            <w:vAlign w:val="bottom"/>
            <w:gridSpan w:val="2"/>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Uniqlo</w:t>
            </w:r>
          </w:p>
        </w:tc>
        <w:tc>
          <w:tcPr>
            <w:tcW w:w="1800" w:type="dxa"/>
            <w:vAlign w:val="bottom"/>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shd w:val="clear" w:color="auto" w:fill="CCEEFF"/>
              </w:rPr>
              <w:t>REI</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Pinstripes Multiple Restaurants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Pike &amp; Rose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2014, 2016,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1982/2007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1"/>
              </w:rPr>
              <w:t>765 units</w:t>
            </w:r>
          </w:p>
        </w:tc>
        <w:tc>
          <w:tcPr>
            <w:tcW w:w="420" w:type="dxa"/>
            <w:vAlign w:val="bottom"/>
          </w:tcPr>
          <w:p>
            <w:pPr>
              <w:spacing w:after="0"/>
              <w:rPr>
                <w:sz w:val="13"/>
                <w:szCs w:val="13"/>
                <w:color w:val="auto"/>
              </w:rPr>
            </w:pPr>
          </w:p>
        </w:tc>
        <w:tc>
          <w:tcPr>
            <w:tcW w:w="820" w:type="dxa"/>
            <w:vAlign w:val="bottom"/>
            <w:gridSpan w:val="2"/>
          </w:tcPr>
          <w:p>
            <w:pPr>
              <w:jc w:val="center"/>
              <w:ind w:right="500"/>
              <w:spacing w:after="0" w:line="157"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97 %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North Bethesda, MD 20852(11)</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Plaza Del Mercado</w:t>
            </w: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360" w:type="dxa"/>
            <w:vAlign w:val="bottom"/>
            <w:gridSpan w:val="3"/>
            <w:shd w:val="clear" w:color="auto" w:fill="CCEEFF"/>
          </w:tcPr>
          <w:p>
            <w:pPr>
              <w:jc w:val="center"/>
              <w:ind w:left="68"/>
              <w:spacing w:after="0"/>
              <w:rPr>
                <w:sz w:val="20"/>
                <w:szCs w:val="20"/>
                <w:color w:val="auto"/>
              </w:rPr>
            </w:pPr>
            <w:r>
              <w:rPr>
                <w:rFonts w:ascii="Arial" w:cs="Arial" w:eastAsia="Arial" w:hAnsi="Arial"/>
                <w:sz w:val="14"/>
                <w:szCs w:val="14"/>
                <w:color w:val="auto"/>
                <w:w w:val="90"/>
              </w:rPr>
              <w:t>117,000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$31.50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97 %</w:t>
            </w: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Aldi</w:t>
            </w:r>
          </w:p>
        </w:tc>
        <w:tc>
          <w:tcPr>
            <w:tcW w:w="80" w:type="dxa"/>
            <w:vAlign w:val="bottom"/>
            <w:shd w:val="clear" w:color="auto" w:fill="CCEEFF"/>
          </w:tcPr>
          <w:p>
            <w:pPr>
              <w:spacing w:after="0"/>
              <w:rPr>
                <w:sz w:val="14"/>
                <w:szCs w:val="14"/>
                <w:color w:val="auto"/>
              </w:rPr>
            </w:pPr>
          </w:p>
        </w:tc>
        <w:tc>
          <w:tcPr>
            <w:tcW w:w="2000" w:type="dxa"/>
            <w:vAlign w:val="bottom"/>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shd w:val="clear" w:color="auto" w:fill="CCEEFF"/>
              </w:rPr>
              <w:t>Silver Spring, MD</w:t>
            </w:r>
          </w:p>
        </w:tc>
        <w:tc>
          <w:tcPr>
            <w:tcW w:w="1840" w:type="dxa"/>
            <w:vAlign w:val="bottom"/>
            <w:shd w:val="clear" w:color="auto" w:fill="CCEEFF"/>
          </w:tcPr>
          <w:p>
            <w:pPr>
              <w:jc w:val="right"/>
              <w:ind w:right="1408"/>
              <w:spacing w:after="0" w:line="149" w:lineRule="exact"/>
              <w:rPr>
                <w:sz w:val="20"/>
                <w:szCs w:val="20"/>
                <w:color w:val="auto"/>
              </w:rPr>
            </w:pPr>
            <w:r>
              <w:rPr>
                <w:rFonts w:ascii="Arial" w:cs="Arial" w:eastAsia="Arial" w:hAnsi="Arial"/>
                <w:sz w:val="14"/>
                <w:szCs w:val="14"/>
                <w:color w:val="auto"/>
                <w:w w:val="87"/>
                <w:shd w:val="clear" w:color="auto" w:fill="CCEEFF"/>
              </w:rPr>
              <w:t>20906</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CVS</w:t>
            </w:r>
          </w:p>
        </w:tc>
        <w:tc>
          <w:tcPr>
            <w:tcW w:w="80" w:type="dxa"/>
            <w:vAlign w:val="bottom"/>
            <w:shd w:val="clear" w:color="auto" w:fill="CCEEFF"/>
          </w:tcPr>
          <w:p>
            <w:pPr>
              <w:spacing w:after="0"/>
              <w:rPr>
                <w:sz w:val="12"/>
                <w:szCs w:val="12"/>
                <w:color w:val="auto"/>
              </w:rPr>
            </w:pPr>
          </w:p>
        </w:tc>
        <w:tc>
          <w:tcPr>
            <w:tcW w:w="2000" w:type="dxa"/>
            <w:vAlign w:val="bottom"/>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L.A.</w:t>
            </w:r>
          </w:p>
        </w:tc>
        <w:tc>
          <w:tcPr>
            <w:tcW w:w="6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Fitness</w:t>
            </w:r>
          </w:p>
        </w:tc>
        <w:tc>
          <w:tcPr>
            <w:tcW w:w="1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Quince Orchard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360" w:type="dxa"/>
            <w:vAlign w:val="bottom"/>
            <w:gridSpan w:val="3"/>
          </w:tcPr>
          <w:p>
            <w:pPr>
              <w:jc w:val="center"/>
              <w:ind w:left="48"/>
              <w:spacing w:after="0" w:line="157" w:lineRule="exact"/>
              <w:rPr>
                <w:sz w:val="20"/>
                <w:szCs w:val="20"/>
                <w:color w:val="auto"/>
              </w:rPr>
            </w:pPr>
            <w:r>
              <w:rPr>
                <w:rFonts w:ascii="Arial" w:cs="Arial" w:eastAsia="Arial" w:hAnsi="Arial"/>
                <w:sz w:val="14"/>
                <w:szCs w:val="14"/>
                <w:color w:val="auto"/>
                <w:w w:val="94"/>
              </w:rPr>
              <w:t>266,000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$24.50</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94 %</w:t>
            </w:r>
          </w:p>
        </w:tc>
        <w:tc>
          <w:tcPr>
            <w:tcW w:w="100" w:type="dxa"/>
            <w:vAlign w:val="bottom"/>
          </w:tcPr>
          <w:p>
            <w:pPr>
              <w:spacing w:after="0"/>
              <w:rPr>
                <w:sz w:val="13"/>
                <w:szCs w:val="13"/>
                <w:color w:val="auto"/>
              </w:rPr>
            </w:pPr>
          </w:p>
        </w:tc>
        <w:tc>
          <w:tcPr>
            <w:tcW w:w="24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Gaithersburg, MD 20877(4)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Rockville Town Square</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2006-2007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2006/2007</w:t>
            </w:r>
          </w:p>
        </w:tc>
        <w:tc>
          <w:tcPr>
            <w:tcW w:w="1360" w:type="dxa"/>
            <w:vAlign w:val="bottom"/>
            <w:gridSpan w:val="3"/>
            <w:shd w:val="clear" w:color="auto" w:fill="CCEEFF"/>
          </w:tcPr>
          <w:p>
            <w:pPr>
              <w:jc w:val="center"/>
              <w:ind w:left="48"/>
              <w:spacing w:after="0"/>
              <w:rPr>
                <w:sz w:val="20"/>
                <w:szCs w:val="20"/>
                <w:color w:val="auto"/>
              </w:rPr>
            </w:pPr>
            <w:r>
              <w:rPr>
                <w:rFonts w:ascii="Arial" w:cs="Arial" w:eastAsia="Arial" w:hAnsi="Arial"/>
                <w:sz w:val="14"/>
                <w:szCs w:val="14"/>
                <w:color w:val="auto"/>
                <w:w w:val="94"/>
              </w:rPr>
              <w:t>186,000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$30.49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84 %</w:t>
            </w:r>
          </w:p>
        </w:tc>
        <w:tc>
          <w:tcPr>
            <w:tcW w:w="100" w:type="dxa"/>
            <w:vAlign w:val="bottom"/>
            <w:shd w:val="clear" w:color="auto" w:fill="CCEEFF"/>
          </w:tcPr>
          <w:p>
            <w:pPr>
              <w:spacing w:after="0"/>
              <w:rPr>
                <w:sz w:val="14"/>
                <w:szCs w:val="14"/>
                <w:color w:val="auto"/>
              </w:rPr>
            </w:pPr>
          </w:p>
        </w:tc>
        <w:tc>
          <w:tcPr>
            <w:tcW w:w="2400" w:type="dxa"/>
            <w:vAlign w:val="bottom"/>
            <w:gridSpan w:val="7"/>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Dawson's Market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Rockville, MD 20852(4)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CVS</w:t>
            </w:r>
          </w:p>
        </w:tc>
        <w:tc>
          <w:tcPr>
            <w:tcW w:w="80" w:type="dxa"/>
            <w:vAlign w:val="bottom"/>
            <w:shd w:val="clear" w:color="auto" w:fill="CCEEFF"/>
          </w:tcPr>
          <w:p>
            <w:pPr>
              <w:spacing w:after="0"/>
              <w:rPr>
                <w:sz w:val="12"/>
                <w:szCs w:val="12"/>
                <w:color w:val="auto"/>
              </w:rPr>
            </w:pPr>
          </w:p>
        </w:tc>
        <w:tc>
          <w:tcPr>
            <w:tcW w:w="2000" w:type="dxa"/>
            <w:vAlign w:val="bottom"/>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71"/>
                <w:shd w:val="clear" w:color="auto" w:fill="CCEEFF"/>
              </w:rPr>
              <w:t>Gold's</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87"/>
                <w:shd w:val="clear" w:color="auto" w:fill="CCEEFF"/>
              </w:rPr>
              <w:t>Gym</w:t>
            </w:r>
          </w:p>
        </w:tc>
        <w:tc>
          <w:tcPr>
            <w:tcW w:w="168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Multiple</w:t>
            </w: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Restaurants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Rollingwood Apartments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1971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1"/>
              </w:rPr>
              <w:t>282 units</w:t>
            </w:r>
          </w:p>
        </w:tc>
        <w:tc>
          <w:tcPr>
            <w:tcW w:w="420" w:type="dxa"/>
            <w:vAlign w:val="bottom"/>
          </w:tcPr>
          <w:p>
            <w:pPr>
              <w:spacing w:after="0"/>
              <w:rPr>
                <w:sz w:val="13"/>
                <w:szCs w:val="13"/>
                <w:color w:val="auto"/>
              </w:rPr>
            </w:pPr>
          </w:p>
        </w:tc>
        <w:tc>
          <w:tcPr>
            <w:tcW w:w="820" w:type="dxa"/>
            <w:vAlign w:val="bottom"/>
            <w:gridSpan w:val="2"/>
          </w:tcPr>
          <w:p>
            <w:pPr>
              <w:jc w:val="center"/>
              <w:ind w:right="500"/>
              <w:spacing w:after="0" w:line="157"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95 %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Silver Spring, MD 20910(9)</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THE AVENUE at White Marsh</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360" w:type="dxa"/>
            <w:vAlign w:val="bottom"/>
            <w:gridSpan w:val="3"/>
            <w:shd w:val="clear" w:color="auto" w:fill="CCEEFF"/>
          </w:tcPr>
          <w:p>
            <w:pPr>
              <w:jc w:val="center"/>
              <w:ind w:left="48"/>
              <w:spacing w:after="0"/>
              <w:rPr>
                <w:sz w:val="20"/>
                <w:szCs w:val="20"/>
                <w:color w:val="auto"/>
              </w:rPr>
            </w:pPr>
            <w:r>
              <w:rPr>
                <w:rFonts w:ascii="Arial" w:cs="Arial" w:eastAsia="Arial" w:hAnsi="Arial"/>
                <w:sz w:val="14"/>
                <w:szCs w:val="14"/>
                <w:color w:val="auto"/>
                <w:w w:val="94"/>
              </w:rPr>
              <w:t>314,000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$24.23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96 %</w:t>
            </w: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AMC</w:t>
            </w:r>
          </w:p>
        </w:tc>
        <w:tc>
          <w:tcPr>
            <w:tcW w:w="2000" w:type="dxa"/>
            <w:vAlign w:val="bottom"/>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Baltimore, MD 21236(7)(9)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8"/>
                <w:shd w:val="clear" w:color="auto" w:fill="CCEEFF"/>
              </w:rPr>
              <w:t>Ulta</w:t>
            </w:r>
          </w:p>
        </w:tc>
        <w:tc>
          <w:tcPr>
            <w:tcW w:w="120" w:type="dxa"/>
            <w:vAlign w:val="bottom"/>
            <w:gridSpan w:val="2"/>
            <w:shd w:val="clear" w:color="auto" w:fill="CCEEFF"/>
          </w:tcPr>
          <w:p>
            <w:pPr>
              <w:spacing w:after="0"/>
              <w:rPr>
                <w:sz w:val="12"/>
                <w:szCs w:val="12"/>
                <w:color w:val="auto"/>
              </w:rPr>
            </w:pPr>
          </w:p>
        </w:tc>
        <w:tc>
          <w:tcPr>
            <w:tcW w:w="2000" w:type="dxa"/>
            <w:vAlign w:val="bottom"/>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Old</w:t>
            </w:r>
          </w:p>
        </w:tc>
        <w:tc>
          <w:tcPr>
            <w:tcW w:w="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3"/>
                <w:shd w:val="clear" w:color="auto" w:fill="CCEEFF"/>
              </w:rPr>
              <w:t>Navy</w:t>
            </w:r>
          </w:p>
        </w:tc>
        <w:tc>
          <w:tcPr>
            <w:tcW w:w="1800" w:type="dxa"/>
            <w:vAlign w:val="bottom"/>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w w:val="93"/>
                <w:shd w:val="clear" w:color="auto" w:fill="CCEEFF"/>
              </w:rPr>
              <w:t>Barnes &amp;</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87"/>
                <w:shd w:val="clear" w:color="auto" w:fill="CCEEFF"/>
              </w:rPr>
              <w:t>Noble</w:t>
            </w:r>
          </w:p>
        </w:tc>
        <w:tc>
          <w:tcPr>
            <w:tcW w:w="14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The Shoppes at Nottingham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2005-2006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360" w:type="dxa"/>
            <w:vAlign w:val="bottom"/>
            <w:gridSpan w:val="3"/>
          </w:tcPr>
          <w:p>
            <w:pPr>
              <w:jc w:val="center"/>
              <w:ind w:left="48"/>
              <w:spacing w:after="0" w:line="157" w:lineRule="exact"/>
              <w:rPr>
                <w:sz w:val="20"/>
                <w:szCs w:val="20"/>
                <w:color w:val="auto"/>
              </w:rPr>
            </w:pPr>
            <w:r>
              <w:rPr>
                <w:rFonts w:ascii="Arial" w:cs="Arial" w:eastAsia="Arial" w:hAnsi="Arial"/>
                <w:sz w:val="14"/>
                <w:szCs w:val="14"/>
                <w:color w:val="auto"/>
                <w:w w:val="93"/>
              </w:rPr>
              <w:t>32,000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$49.05</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96 %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Towson Residential (Flats @703)</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4,000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$71.41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4"/>
                <w:szCs w:val="14"/>
                <w:color w:val="auto"/>
                <w:shd w:val="clear" w:color="auto" w:fill="CCEEFF"/>
              </w:rPr>
              <w:t>Baltimore, MD 21236</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420"/>
              <w:spacing w:after="0"/>
              <w:rPr>
                <w:sz w:val="20"/>
                <w:szCs w:val="20"/>
                <w:color w:val="auto"/>
              </w:rPr>
            </w:pPr>
            <w:r>
              <w:rPr>
                <w:rFonts w:ascii="Arial" w:cs="Arial" w:eastAsia="Arial" w:hAnsi="Arial"/>
                <w:sz w:val="14"/>
                <w:szCs w:val="14"/>
                <w:color w:val="auto"/>
                <w:w w:val="91"/>
              </w:rPr>
              <w:t>105 units</w:t>
            </w:r>
          </w:p>
        </w:tc>
        <w:tc>
          <w:tcPr>
            <w:tcW w:w="4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center"/>
              <w:ind w:right="500"/>
              <w:spacing w:after="0"/>
              <w:rPr>
                <w:sz w:val="20"/>
                <w:szCs w:val="20"/>
                <w:color w:val="auto"/>
              </w:rPr>
            </w:pPr>
            <w:r>
              <w:rPr>
                <w:rFonts w:ascii="Arial" w:cs="Arial" w:eastAsia="Arial" w:hAnsi="Arial"/>
                <w:sz w:val="14"/>
                <w:szCs w:val="14"/>
                <w:color w:val="auto"/>
              </w:rPr>
              <w:t>N/A</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91 %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White Marsh Other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360" w:type="dxa"/>
            <w:vAlign w:val="bottom"/>
            <w:gridSpan w:val="3"/>
          </w:tcPr>
          <w:p>
            <w:pPr>
              <w:jc w:val="center"/>
              <w:ind w:left="48"/>
              <w:spacing w:after="0" w:line="157" w:lineRule="exact"/>
              <w:rPr>
                <w:sz w:val="20"/>
                <w:szCs w:val="20"/>
                <w:color w:val="auto"/>
              </w:rPr>
            </w:pPr>
            <w:r>
              <w:rPr>
                <w:rFonts w:ascii="Arial" w:cs="Arial" w:eastAsia="Arial" w:hAnsi="Arial"/>
                <w:sz w:val="14"/>
                <w:szCs w:val="14"/>
                <w:color w:val="auto"/>
                <w:w w:val="93"/>
              </w:rPr>
              <w:t>70,000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3"/>
              </w:rPr>
              <w:t>$31.74</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97 %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White Marsh Plaza</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2007</w:t>
            </w:r>
          </w:p>
        </w:tc>
        <w:tc>
          <w:tcPr>
            <w:tcW w:w="1360" w:type="dxa"/>
            <w:vAlign w:val="bottom"/>
            <w:gridSpan w:val="3"/>
            <w:shd w:val="clear" w:color="auto" w:fill="CCEEFF"/>
          </w:tcPr>
          <w:p>
            <w:pPr>
              <w:jc w:val="center"/>
              <w:ind w:left="48"/>
              <w:spacing w:after="0"/>
              <w:rPr>
                <w:sz w:val="20"/>
                <w:szCs w:val="20"/>
                <w:color w:val="auto"/>
              </w:rPr>
            </w:pPr>
            <w:r>
              <w:rPr>
                <w:rFonts w:ascii="Arial" w:cs="Arial" w:eastAsia="Arial" w:hAnsi="Arial"/>
                <w:sz w:val="14"/>
                <w:szCs w:val="14"/>
                <w:color w:val="auto"/>
                <w:w w:val="93"/>
              </w:rPr>
              <w:t>80,000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$22.64</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96 %</w:t>
            </w:r>
          </w:p>
        </w:tc>
        <w:tc>
          <w:tcPr>
            <w:tcW w:w="100" w:type="dxa"/>
            <w:vAlign w:val="bottom"/>
            <w:shd w:val="clear" w:color="auto" w:fill="CCEEFF"/>
          </w:tcPr>
          <w:p>
            <w:pPr>
              <w:spacing w:after="0"/>
              <w:rPr>
                <w:sz w:val="15"/>
                <w:szCs w:val="15"/>
                <w:color w:val="auto"/>
              </w:rPr>
            </w:pPr>
          </w:p>
        </w:tc>
        <w:tc>
          <w:tcPr>
            <w:tcW w:w="72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w w:val="95"/>
                <w:shd w:val="clear" w:color="auto" w:fill="CCEEFF"/>
              </w:rPr>
              <w:t>Giant Food</w:t>
            </w:r>
          </w:p>
        </w:tc>
        <w:tc>
          <w:tcPr>
            <w:tcW w:w="168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2940" w:type="dxa"/>
            <w:vAlign w:val="bottom"/>
            <w:tcBorders>
              <w:bottom w:val="single" w:sz="8" w:color="CCEEFF"/>
            </w:tcBorders>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Baltimore, MD 21236</w:t>
            </w: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Wildwood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360" w:type="dxa"/>
            <w:vAlign w:val="bottom"/>
            <w:gridSpan w:val="3"/>
          </w:tcPr>
          <w:p>
            <w:pPr>
              <w:jc w:val="center"/>
              <w:ind w:left="48"/>
              <w:spacing w:after="0" w:line="157" w:lineRule="exact"/>
              <w:rPr>
                <w:sz w:val="20"/>
                <w:szCs w:val="20"/>
                <w:color w:val="auto"/>
              </w:rPr>
            </w:pPr>
            <w:r>
              <w:rPr>
                <w:rFonts w:ascii="Arial" w:cs="Arial" w:eastAsia="Arial" w:hAnsi="Arial"/>
                <w:sz w:val="14"/>
                <w:szCs w:val="14"/>
                <w:color w:val="auto"/>
                <w:w w:val="93"/>
              </w:rPr>
              <w:t>87,000</w:t>
            </w:r>
          </w:p>
        </w:tc>
        <w:tc>
          <w:tcPr>
            <w:tcW w:w="120" w:type="dxa"/>
            <w:vAlign w:val="bottom"/>
          </w:tcPr>
          <w:p>
            <w:pPr>
              <w:spacing w:after="0"/>
              <w:rPr>
                <w:sz w:val="13"/>
                <w:szCs w:val="13"/>
                <w:color w:val="auto"/>
              </w:rPr>
            </w:pPr>
          </w:p>
        </w:tc>
        <w:tc>
          <w:tcPr>
            <w:tcW w:w="1120" w:type="dxa"/>
            <w:vAlign w:val="bottom"/>
            <w:gridSpan w:val="2"/>
          </w:tcPr>
          <w:p>
            <w:pPr>
              <w:jc w:val="center"/>
              <w:spacing w:after="0" w:line="157" w:lineRule="exact"/>
              <w:rPr>
                <w:sz w:val="20"/>
                <w:szCs w:val="20"/>
                <w:color w:val="auto"/>
              </w:rPr>
            </w:pPr>
            <w:r>
              <w:rPr>
                <w:rFonts w:ascii="Arial" w:cs="Arial" w:eastAsia="Arial" w:hAnsi="Arial"/>
                <w:sz w:val="14"/>
                <w:szCs w:val="14"/>
                <w:color w:val="auto"/>
                <w:w w:val="94"/>
              </w:rPr>
              <w:t>$102.53</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96 %</w:t>
            </w:r>
          </w:p>
        </w:tc>
        <w:tc>
          <w:tcPr>
            <w:tcW w:w="100" w:type="dxa"/>
            <w:vAlign w:val="bottom"/>
          </w:tcPr>
          <w:p>
            <w:pPr>
              <w:spacing w:after="0"/>
              <w:rPr>
                <w:sz w:val="13"/>
                <w:szCs w:val="13"/>
                <w:color w:val="auto"/>
              </w:rPr>
            </w:pPr>
          </w:p>
        </w:tc>
        <w:tc>
          <w:tcPr>
            <w:tcW w:w="240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Bethesda, MD 20814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color w:val="auto"/>
              </w:rPr>
              <w:t>Flower Child</w:t>
            </w:r>
          </w:p>
        </w:tc>
        <w:tc>
          <w:tcPr>
            <w:tcW w:w="0" w:type="dxa"/>
            <w:vAlign w:val="bottom"/>
          </w:tcPr>
          <w:p>
            <w:pPr>
              <w:spacing w:after="0"/>
              <w:rPr>
                <w:sz w:val="1"/>
                <w:szCs w:val="1"/>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5"/>
                <w:shd w:val="clear" w:color="auto" w:fill="CCEEFF"/>
              </w:rPr>
              <w:t>Massachusetts</w:t>
            </w:r>
          </w:p>
        </w:tc>
        <w:tc>
          <w:tcPr>
            <w:tcW w:w="206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100" w:type="dxa"/>
            <w:vAlign w:val="bottom"/>
            <w:tcBorders>
              <w:top w:val="single" w:sz="8" w:color="CCEEFF"/>
            </w:tcBorders>
            <w:gridSpan w:val="5"/>
          </w:tcPr>
          <w:p>
            <w:pPr>
              <w:ind w:left="40"/>
              <w:spacing w:after="0" w:line="157" w:lineRule="exact"/>
              <w:rPr>
                <w:sz w:val="20"/>
                <w:szCs w:val="20"/>
                <w:color w:val="auto"/>
              </w:rPr>
            </w:pPr>
            <w:r>
              <w:rPr>
                <w:rFonts w:ascii="Arial" w:cs="Arial" w:eastAsia="Arial" w:hAnsi="Arial"/>
                <w:sz w:val="14"/>
                <w:szCs w:val="14"/>
                <w:color w:val="auto"/>
              </w:rPr>
              <w:t>Assembly Row/</w:t>
            </w:r>
          </w:p>
        </w:tc>
        <w:tc>
          <w:tcPr>
            <w:tcW w:w="104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1"/>
              </w:rPr>
              <w:t>2005, 2014,</w:t>
            </w:r>
          </w:p>
        </w:tc>
        <w:tc>
          <w:tcPr>
            <w:tcW w:w="12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3"/>
              </w:rPr>
              <w:t>2005-2011/</w:t>
            </w:r>
          </w:p>
        </w:tc>
        <w:tc>
          <w:tcPr>
            <w:tcW w:w="1360" w:type="dxa"/>
            <w:vAlign w:val="bottom"/>
            <w:tcBorders>
              <w:top w:val="single" w:sz="8" w:color="CCEEFF"/>
            </w:tcBorders>
            <w:gridSpan w:val="3"/>
          </w:tcPr>
          <w:p>
            <w:pPr>
              <w:jc w:val="center"/>
              <w:ind w:left="48"/>
              <w:spacing w:after="0" w:line="157" w:lineRule="exact"/>
              <w:rPr>
                <w:sz w:val="20"/>
                <w:szCs w:val="20"/>
                <w:color w:val="auto"/>
              </w:rPr>
            </w:pPr>
            <w:r>
              <w:rPr>
                <w:rFonts w:ascii="Arial" w:cs="Arial" w:eastAsia="Arial" w:hAnsi="Arial"/>
                <w:sz w:val="14"/>
                <w:szCs w:val="14"/>
                <w:color w:val="auto"/>
                <w:w w:val="94"/>
              </w:rPr>
              <w:t>805,000</w:t>
            </w:r>
          </w:p>
        </w:tc>
        <w:tc>
          <w:tcPr>
            <w:tcW w:w="1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gridSpan w:val="2"/>
          </w:tcPr>
          <w:p>
            <w:pPr>
              <w:jc w:val="center"/>
              <w:spacing w:after="0" w:line="157" w:lineRule="exact"/>
              <w:rPr>
                <w:sz w:val="20"/>
                <w:szCs w:val="20"/>
                <w:color w:val="auto"/>
              </w:rPr>
            </w:pPr>
            <w:r>
              <w:rPr>
                <w:rFonts w:ascii="Arial" w:cs="Arial" w:eastAsia="Arial" w:hAnsi="Arial"/>
                <w:sz w:val="14"/>
                <w:szCs w:val="14"/>
                <w:color w:val="auto"/>
                <w:w w:val="93"/>
              </w:rPr>
              <w:t>$32.31</w:t>
            </w:r>
          </w:p>
        </w:tc>
        <w:tc>
          <w:tcPr>
            <w:tcW w:w="1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jc w:val="center"/>
              <w:spacing w:after="0" w:line="157" w:lineRule="exact"/>
              <w:rPr>
                <w:sz w:val="20"/>
                <w:szCs w:val="20"/>
                <w:color w:val="auto"/>
              </w:rPr>
            </w:pPr>
            <w:r>
              <w:rPr>
                <w:rFonts w:ascii="Arial" w:cs="Arial" w:eastAsia="Arial" w:hAnsi="Arial"/>
                <w:sz w:val="14"/>
                <w:szCs w:val="14"/>
                <w:color w:val="auto"/>
                <w:w w:val="93"/>
              </w:rPr>
              <w:t>98 %</w:t>
            </w:r>
          </w:p>
        </w:tc>
        <w:tc>
          <w:tcPr>
            <w:tcW w:w="100" w:type="dxa"/>
            <w:vAlign w:val="bottom"/>
            <w:tcBorders>
              <w:top w:val="single" w:sz="8" w:color="CCEEFF"/>
            </w:tcBorders>
          </w:tcPr>
          <w:p>
            <w:pPr>
              <w:spacing w:after="0"/>
              <w:rPr>
                <w:sz w:val="13"/>
                <w:szCs w:val="13"/>
                <w:color w:val="auto"/>
              </w:rPr>
            </w:pPr>
          </w:p>
        </w:tc>
        <w:tc>
          <w:tcPr>
            <w:tcW w:w="2400" w:type="dxa"/>
            <w:vAlign w:val="bottom"/>
            <w:tcBorders>
              <w:top w:val="single" w:sz="8" w:color="CCEEFF"/>
            </w:tcBorders>
            <w:gridSpan w:val="7"/>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Assembly Square Marketplace</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Somerville, MA 02145(11)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7"/>
          </w:tcPr>
          <w:p>
            <w:pPr>
              <w:ind w:left="40"/>
              <w:spacing w:after="0" w:line="149" w:lineRule="exact"/>
              <w:rPr>
                <w:sz w:val="20"/>
                <w:szCs w:val="20"/>
                <w:color w:val="auto"/>
              </w:rPr>
            </w:pPr>
            <w:r>
              <w:rPr>
                <w:rFonts w:ascii="Arial" w:cs="Arial" w:eastAsia="Arial" w:hAnsi="Arial"/>
                <w:sz w:val="14"/>
                <w:szCs w:val="14"/>
                <w:color w:val="auto"/>
              </w:rPr>
              <w:t>LEGOLAND Discovery Center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7"/>
          </w:tcPr>
          <w:p>
            <w:pPr>
              <w:ind w:left="40"/>
              <w:spacing w:after="0"/>
              <w:rPr>
                <w:sz w:val="20"/>
                <w:szCs w:val="20"/>
                <w:color w:val="auto"/>
              </w:rPr>
            </w:pPr>
            <w:r>
              <w:rPr>
                <w:rFonts w:ascii="Arial" w:cs="Arial" w:eastAsia="Arial" w:hAnsi="Arial"/>
                <w:sz w:val="14"/>
                <w:szCs w:val="14"/>
                <w:color w:val="auto"/>
              </w:rPr>
              <w:t>Multiple Restaurants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Assembly Row Residential</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2005-2011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1"/>
              </w:rPr>
              <w:t>447 units</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500"/>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2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Somerville, MA 02145(11)</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gridSpan w:val="9"/>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Campus Plaza</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0"/>
              </w:rPr>
              <w:t>116,000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$16.89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97 %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Roche Bros.</w:t>
            </w:r>
          </w:p>
        </w:tc>
        <w:tc>
          <w:tcPr>
            <w:tcW w:w="0" w:type="dxa"/>
            <w:vAlign w:val="bottom"/>
          </w:tcPr>
          <w:p>
            <w:pPr>
              <w:spacing w:after="0"/>
              <w:rPr>
                <w:sz w:val="1"/>
                <w:szCs w:val="1"/>
                <w:color w:val="auto"/>
              </w:rPr>
            </w:pPr>
          </w:p>
        </w:tc>
      </w:tr>
      <w:tr>
        <w:trPr>
          <w:trHeight w:val="188"/>
        </w:trPr>
        <w:tc>
          <w:tcPr>
            <w:tcW w:w="2980" w:type="dxa"/>
            <w:vAlign w:val="bottom"/>
            <w:gridSpan w:val="9"/>
          </w:tcPr>
          <w:p>
            <w:pPr>
              <w:ind w:left="40"/>
              <w:spacing w:after="0"/>
              <w:rPr>
                <w:sz w:val="20"/>
                <w:szCs w:val="20"/>
                <w:color w:val="auto"/>
              </w:rPr>
            </w:pPr>
            <w:r>
              <w:rPr>
                <w:rFonts w:ascii="Arial" w:cs="Arial" w:eastAsia="Arial" w:hAnsi="Arial"/>
                <w:sz w:val="14"/>
                <w:szCs w:val="14"/>
                <w:color w:val="auto"/>
              </w:rPr>
              <w:t>Bridgewater, MA 02324</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940" w:type="dxa"/>
            <w:vAlign w:val="bottom"/>
            <w:gridSpan w:val="8"/>
            <w:shd w:val="clear" w:color="auto" w:fill="CCEEFF"/>
          </w:tcPr>
          <w:p>
            <w:pPr>
              <w:spacing w:after="0"/>
              <w:rPr>
                <w:sz w:val="20"/>
                <w:szCs w:val="20"/>
                <w:color w:val="auto"/>
              </w:rPr>
            </w:pPr>
            <w:r>
              <w:rPr>
                <w:rFonts w:ascii="Arial" w:cs="Arial" w:eastAsia="Arial" w:hAnsi="Arial"/>
                <w:sz w:val="14"/>
                <w:szCs w:val="14"/>
                <w:color w:val="auto"/>
                <w:shd w:val="clear" w:color="auto" w:fill="CCEEFF"/>
              </w:rPr>
              <w:t>Chelsea Commons</w:t>
            </w:r>
          </w:p>
        </w:tc>
        <w:tc>
          <w:tcPr>
            <w:tcW w:w="11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3"/>
              </w:rPr>
              <w:t>1962-1969,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2006-2008</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222,000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$12.74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91 %</w:t>
            </w:r>
          </w:p>
        </w:tc>
        <w:tc>
          <w:tcPr>
            <w:tcW w:w="10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Home Depot</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29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4"/>
                <w:szCs w:val="14"/>
                <w:color w:val="auto"/>
                <w:shd w:val="clear" w:color="auto" w:fill="CCEEFF"/>
              </w:rPr>
              <w:t>Chelsea, MA 02150(9)</w:t>
            </w:r>
          </w:p>
        </w:tc>
        <w:tc>
          <w:tcPr>
            <w:tcW w:w="116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9"/>
              </w:rPr>
              <w:t>2008</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Planet Fitness</w:t>
            </w: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Dedham Plaza</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1993/2016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246,000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$17.18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91 %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88"/>
        </w:trPr>
        <w:tc>
          <w:tcPr>
            <w:tcW w:w="2980" w:type="dxa"/>
            <w:vAlign w:val="bottom"/>
            <w:gridSpan w:val="9"/>
          </w:tcPr>
          <w:p>
            <w:pPr>
              <w:ind w:left="40"/>
              <w:spacing w:after="0"/>
              <w:rPr>
                <w:sz w:val="20"/>
                <w:szCs w:val="20"/>
                <w:color w:val="auto"/>
              </w:rPr>
            </w:pPr>
            <w:r>
              <w:rPr>
                <w:rFonts w:ascii="Arial" w:cs="Arial" w:eastAsia="Arial" w:hAnsi="Arial"/>
                <w:sz w:val="14"/>
                <w:szCs w:val="14"/>
                <w:color w:val="auto"/>
              </w:rPr>
              <w:t>Dedham, MA 02026</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4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0"/>
                <w:shd w:val="clear" w:color="auto" w:fill="CCEEFF"/>
              </w:rPr>
              <w:t>Linden Square</w:t>
            </w:r>
          </w:p>
        </w:tc>
        <w:tc>
          <w:tcPr>
            <w:tcW w:w="1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1960, 2008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223,000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$49.43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96 %</w:t>
            </w:r>
          </w:p>
        </w:tc>
        <w:tc>
          <w:tcPr>
            <w:tcW w:w="10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Roche Bros.</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84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Wellesley, MA</w:t>
            </w:r>
          </w:p>
        </w:tc>
        <w:tc>
          <w:tcPr>
            <w:tcW w:w="2100" w:type="dxa"/>
            <w:vAlign w:val="bottom"/>
            <w:gridSpan w:val="2"/>
            <w:shd w:val="clear" w:color="auto" w:fill="CCEEFF"/>
          </w:tcPr>
          <w:p>
            <w:pPr>
              <w:jc w:val="right"/>
              <w:ind w:right="1628"/>
              <w:spacing w:after="0"/>
              <w:rPr>
                <w:sz w:val="20"/>
                <w:szCs w:val="20"/>
                <w:color w:val="auto"/>
              </w:rPr>
            </w:pPr>
            <w:r>
              <w:rPr>
                <w:rFonts w:ascii="Arial" w:cs="Arial" w:eastAsia="Arial" w:hAnsi="Arial"/>
                <w:sz w:val="14"/>
                <w:szCs w:val="14"/>
                <w:color w:val="auto"/>
                <w:w w:val="97"/>
                <w:shd w:val="clear" w:color="auto" w:fill="CCEEFF"/>
              </w:rPr>
              <w:t>02481</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6"/>
              </w:rPr>
              <w:t>7 Units</w:t>
            </w:r>
          </w:p>
        </w:tc>
        <w:tc>
          <w:tcPr>
            <w:tcW w:w="12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N/A</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100 %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CVS</w:t>
            </w: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gridSpan w:val="2"/>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North Dartmouth</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48,000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$15.31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8"/>
        </w:trPr>
        <w:tc>
          <w:tcPr>
            <w:tcW w:w="2980" w:type="dxa"/>
            <w:vAlign w:val="bottom"/>
            <w:gridSpan w:val="9"/>
          </w:tcPr>
          <w:p>
            <w:pPr>
              <w:ind w:left="40"/>
              <w:spacing w:after="0"/>
              <w:rPr>
                <w:sz w:val="20"/>
                <w:szCs w:val="20"/>
                <w:color w:val="auto"/>
              </w:rPr>
            </w:pPr>
            <w:r>
              <w:rPr>
                <w:rFonts w:ascii="Arial" w:cs="Arial" w:eastAsia="Arial" w:hAnsi="Arial"/>
                <w:sz w:val="14"/>
                <w:szCs w:val="14"/>
                <w:color w:val="auto"/>
              </w:rPr>
              <w:t>North Dartmouth, MA 02747</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940" w:type="dxa"/>
            <w:vAlign w:val="bottom"/>
            <w:gridSpan w:val="8"/>
            <w:shd w:val="clear" w:color="auto" w:fill="CCEEFF"/>
          </w:tcPr>
          <w:p>
            <w:pPr>
              <w:spacing w:after="0"/>
              <w:rPr>
                <w:sz w:val="20"/>
                <w:szCs w:val="20"/>
                <w:color w:val="auto"/>
              </w:rPr>
            </w:pPr>
            <w:r>
              <w:rPr>
                <w:rFonts w:ascii="Arial" w:cs="Arial" w:eastAsia="Arial" w:hAnsi="Arial"/>
                <w:sz w:val="14"/>
                <w:szCs w:val="14"/>
                <w:color w:val="auto"/>
                <w:shd w:val="clear" w:color="auto" w:fill="CCEEFF"/>
              </w:rPr>
              <w:t>Queen Anne Plaza</w:t>
            </w: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9"/>
              </w:rPr>
              <w:t>1967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149,000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$18.63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100 %</w:t>
            </w:r>
          </w:p>
        </w:tc>
        <w:tc>
          <w:tcPr>
            <w:tcW w:w="10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Big Y Foods</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2940" w:type="dxa"/>
            <w:vAlign w:val="bottom"/>
            <w:gridSpan w:val="8"/>
            <w:shd w:val="clear" w:color="auto" w:fill="CCEEFF"/>
          </w:tcPr>
          <w:p>
            <w:pPr>
              <w:spacing w:after="0"/>
              <w:rPr>
                <w:sz w:val="20"/>
                <w:szCs w:val="20"/>
                <w:color w:val="auto"/>
              </w:rPr>
            </w:pPr>
            <w:r>
              <w:rPr>
                <w:rFonts w:ascii="Arial" w:cs="Arial" w:eastAsia="Arial" w:hAnsi="Arial"/>
                <w:sz w:val="14"/>
                <w:szCs w:val="14"/>
                <w:color w:val="auto"/>
                <w:shd w:val="clear" w:color="auto" w:fill="CCEEFF"/>
              </w:rPr>
              <w:t>Norwell, MA 02061</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shd w:val="clear" w:color="auto" w:fill="CCEEFF"/>
              </w:rPr>
              <w:t>TJ Maxx</w:t>
            </w: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0" w:type="dxa"/>
            <w:vAlign w:val="bottom"/>
            <w:tcBorders>
              <w:bottom w:val="single" w:sz="8" w:color="CCEEFF"/>
            </w:tcBorders>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HomeGoods</w:t>
            </w: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Saugus Plaza</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89"/>
              </w:rPr>
              <w:t>1976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169,000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$17.18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Super Stop &amp; Shop</w:t>
            </w:r>
          </w:p>
        </w:tc>
        <w:tc>
          <w:tcPr>
            <w:tcW w:w="0" w:type="dxa"/>
            <w:vAlign w:val="bottom"/>
          </w:tcPr>
          <w:p>
            <w:pPr>
              <w:spacing w:after="0"/>
              <w:rPr>
                <w:sz w:val="1"/>
                <w:szCs w:val="1"/>
                <w:color w:val="auto"/>
              </w:rPr>
            </w:pPr>
          </w:p>
        </w:tc>
      </w:tr>
      <w:tr>
        <w:trPr>
          <w:trHeight w:val="188"/>
        </w:trPr>
        <w:tc>
          <w:tcPr>
            <w:tcW w:w="2980" w:type="dxa"/>
            <w:vAlign w:val="bottom"/>
            <w:gridSpan w:val="9"/>
          </w:tcPr>
          <w:p>
            <w:pPr>
              <w:ind w:left="40"/>
              <w:spacing w:after="0"/>
              <w:rPr>
                <w:sz w:val="20"/>
                <w:szCs w:val="20"/>
                <w:color w:val="auto"/>
              </w:rPr>
            </w:pPr>
            <w:r>
              <w:rPr>
                <w:rFonts w:ascii="Arial" w:cs="Arial" w:eastAsia="Arial" w:hAnsi="Arial"/>
                <w:sz w:val="14"/>
                <w:szCs w:val="14"/>
                <w:color w:val="auto"/>
              </w:rPr>
              <w:t>Saugus, MA 01906</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color w:val="auto"/>
              </w:rPr>
              <w:t>Floor &amp; Decor</w:t>
            </w: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2"/>
                <w:shd w:val="clear" w:color="auto" w:fill="CCEEFF"/>
              </w:rPr>
              <w:t>Michigan</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Gratiot Plaza</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89"/>
              </w:rPr>
              <w:t>1964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1973</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217,000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$12.55</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298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Roseville, MI 48066</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8"/>
        </w:trPr>
        <w:tc>
          <w:tcPr>
            <w:tcW w:w="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gridSpan w:val="5"/>
            <w:shd w:val="clear" w:color="auto" w:fill="CCEEFF"/>
          </w:tcPr>
          <w:p>
            <w:pPr>
              <w:spacing w:after="0"/>
              <w:rPr>
                <w:sz w:val="20"/>
                <w:szCs w:val="20"/>
                <w:color w:val="auto"/>
              </w:rPr>
            </w:pPr>
            <w:r>
              <w:rPr>
                <w:rFonts w:ascii="Arial" w:cs="Arial" w:eastAsia="Arial" w:hAnsi="Arial"/>
                <w:sz w:val="14"/>
                <w:szCs w:val="14"/>
                <w:b w:val="1"/>
                <w:bCs w:val="1"/>
                <w:color w:val="auto"/>
                <w:w w:val="88"/>
                <w:shd w:val="clear" w:color="auto" w:fill="CCEEFF"/>
              </w:rPr>
              <w:t>New Jersey</w:t>
            </w:r>
          </w:p>
        </w:tc>
        <w:tc>
          <w:tcPr>
            <w:tcW w:w="260" w:type="dxa"/>
            <w:vAlign w:val="bottom"/>
            <w:tcBorders>
              <w:bottom w:val="single" w:sz="8" w:color="CCEEFF"/>
            </w:tcBorders>
            <w:gridSpan w:val="2"/>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Brick Plaza</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409,000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$22.50</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82 %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9"/>
        </w:trPr>
        <w:tc>
          <w:tcPr>
            <w:tcW w:w="298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Brick Township, NJ 08723(4)</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AMC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color w:val="auto"/>
              </w:rPr>
              <w:t>Ulta L.A. Fitness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Brook 35</w:t>
            </w:r>
          </w:p>
        </w:tc>
        <w:tc>
          <w:tcPr>
            <w:tcW w:w="6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1"/>
              </w:rPr>
              <w:t>1986, 2004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$38.58</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96 %</w:t>
            </w:r>
          </w:p>
        </w:tc>
        <w:tc>
          <w:tcPr>
            <w:tcW w:w="10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Banana Republic</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shd w:val="clear" w:color="auto" w:fill="CCEEFF"/>
              </w:rPr>
              <w:t>Sea Grit,</w:t>
            </w:r>
          </w:p>
        </w:tc>
        <w:tc>
          <w:tcPr>
            <w:tcW w:w="2400" w:type="dxa"/>
            <w:vAlign w:val="bottom"/>
            <w:gridSpan w:val="7"/>
            <w:shd w:val="clear" w:color="auto" w:fill="CCEEFF"/>
          </w:tcPr>
          <w:p>
            <w:pPr>
              <w:jc w:val="center"/>
              <w:ind w:right="1268"/>
              <w:spacing w:after="0" w:line="149" w:lineRule="exact"/>
              <w:rPr>
                <w:sz w:val="20"/>
                <w:szCs w:val="20"/>
                <w:color w:val="auto"/>
              </w:rPr>
            </w:pPr>
            <w:r>
              <w:rPr>
                <w:rFonts w:ascii="Arial" w:cs="Arial" w:eastAsia="Arial" w:hAnsi="Arial"/>
                <w:sz w:val="14"/>
                <w:szCs w:val="14"/>
                <w:color w:val="auto"/>
                <w:w w:val="95"/>
                <w:shd w:val="clear" w:color="auto" w:fill="CCEEFF"/>
              </w:rPr>
              <w:t>NJ 08750(5)(7)(9)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shd w:val="clear" w:color="auto" w:fill="CCEEFF"/>
              </w:rPr>
              <w:t>Gap</w:t>
            </w:r>
          </w:p>
        </w:tc>
        <w:tc>
          <w:tcPr>
            <w:tcW w:w="2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Williams-Sonoma</w:t>
            </w: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Ellisburg</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1992</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268,000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$16.70</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90 %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9"/>
        </w:trPr>
        <w:tc>
          <w:tcPr>
            <w:tcW w:w="298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Cherry Hill, NJ 08034</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63"/>
        </w:trPr>
        <w:tc>
          <w:tcPr>
            <w:tcW w:w="2980" w:type="dxa"/>
            <w:vAlign w:val="bottom"/>
            <w:gridSpan w:val="9"/>
            <w:shd w:val="clear" w:color="auto" w:fill="CCEEFF"/>
          </w:tcPr>
          <w:p>
            <w:pPr>
              <w:ind w:left="40"/>
              <w:spacing w:after="0"/>
              <w:rPr>
                <w:sz w:val="20"/>
                <w:szCs w:val="20"/>
                <w:color w:val="auto"/>
              </w:rPr>
            </w:pPr>
            <w:r>
              <w:rPr>
                <w:rFonts w:ascii="Arial" w:cs="Arial" w:eastAsia="Arial" w:hAnsi="Arial"/>
                <w:sz w:val="14"/>
                <w:szCs w:val="14"/>
                <w:color w:val="auto"/>
              </w:rPr>
              <w:t>Hoboken</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1887-2006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158,000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$54.99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CVS</w:t>
            </w: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9"/>
            <w:shd w:val="clear" w:color="auto" w:fill="CCEEFF"/>
          </w:tcPr>
          <w:p>
            <w:pPr>
              <w:ind w:left="40"/>
              <w:spacing w:after="0" w:line="149" w:lineRule="exact"/>
              <w:rPr>
                <w:sz w:val="20"/>
                <w:szCs w:val="20"/>
                <w:color w:val="auto"/>
              </w:rPr>
            </w:pPr>
            <w:r>
              <w:rPr>
                <w:rFonts w:ascii="Arial" w:cs="Arial" w:eastAsia="Arial" w:hAnsi="Arial"/>
                <w:sz w:val="14"/>
                <w:szCs w:val="14"/>
                <w:color w:val="auto"/>
              </w:rPr>
              <w:t>Hoboken, NJ 07030(5)(9)(13)</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4"/>
              </w:rPr>
              <w:t>123 Units</w:t>
            </w:r>
          </w:p>
        </w:tc>
        <w:tc>
          <w:tcPr>
            <w:tcW w:w="12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97 %</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shd w:val="clear" w:color="auto" w:fill="CCEEFF"/>
              </w:rPr>
              <w:t>New</w:t>
            </w:r>
          </w:p>
        </w:tc>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York Sports Club</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Sephora Multiple Restaurants</w:t>
            </w:r>
          </w:p>
        </w:tc>
        <w:tc>
          <w:tcPr>
            <w:tcW w:w="0" w:type="dxa"/>
            <w:vAlign w:val="bottom"/>
          </w:tcPr>
          <w:p>
            <w:pPr>
              <w:spacing w:after="0"/>
              <w:rPr>
                <w:sz w:val="1"/>
                <w:szCs w:val="1"/>
                <w:color w:val="auto"/>
              </w:rPr>
            </w:pPr>
          </w:p>
        </w:tc>
      </w:tr>
      <w:tr>
        <w:trPr>
          <w:trHeight w:val="68"/>
        </w:trPr>
        <w:tc>
          <w:tcPr>
            <w:tcW w:w="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Mercer Mall</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2003/2017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550,000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$24.86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96 %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49"/>
        </w:trPr>
        <w:tc>
          <w:tcPr>
            <w:tcW w:w="298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Lawrenceville, NJ 08648(4)</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color w:val="auto"/>
              </w:rPr>
              <w:t>REI</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940" w:type="dxa"/>
            <w:vAlign w:val="bottom"/>
            <w:gridSpan w:val="8"/>
            <w:shd w:val="clear" w:color="auto" w:fill="CCEEFF"/>
          </w:tcPr>
          <w:p>
            <w:pPr>
              <w:spacing w:after="0"/>
              <w:rPr>
                <w:sz w:val="20"/>
                <w:szCs w:val="20"/>
                <w:color w:val="auto"/>
              </w:rPr>
            </w:pPr>
            <w:r>
              <w:rPr>
                <w:rFonts w:ascii="Arial" w:cs="Arial" w:eastAsia="Arial" w:hAnsi="Arial"/>
                <w:sz w:val="14"/>
                <w:szCs w:val="14"/>
                <w:color w:val="auto"/>
                <w:shd w:val="clear" w:color="auto" w:fill="CCEEFF"/>
              </w:rPr>
              <w:t>The Grove at Shrewsbury</w:t>
            </w:r>
          </w:p>
        </w:tc>
        <w:tc>
          <w:tcPr>
            <w:tcW w:w="11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1"/>
              </w:rPr>
              <w:t>1988, 1993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192,000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$48.29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97 %</w:t>
            </w:r>
          </w:p>
        </w:tc>
        <w:tc>
          <w:tcPr>
            <w:tcW w:w="10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Lululemon</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2940" w:type="dxa"/>
            <w:vAlign w:val="bottom"/>
            <w:gridSpan w:val="8"/>
            <w:shd w:val="clear" w:color="auto" w:fill="CCEEFF"/>
          </w:tcPr>
          <w:p>
            <w:pPr>
              <w:spacing w:after="0"/>
              <w:rPr>
                <w:sz w:val="20"/>
                <w:szCs w:val="20"/>
                <w:color w:val="auto"/>
              </w:rPr>
            </w:pPr>
            <w:r>
              <w:rPr>
                <w:rFonts w:ascii="Arial" w:cs="Arial" w:eastAsia="Arial" w:hAnsi="Arial"/>
                <w:sz w:val="14"/>
                <w:szCs w:val="14"/>
                <w:color w:val="auto"/>
                <w:shd w:val="clear" w:color="auto" w:fill="CCEEFF"/>
              </w:rPr>
              <w:t>Shrewsbury, NJ 07702(5)(7)(9)</w:t>
            </w: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&amp; 2007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Anthropologie</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Pottery Barn</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0" w:type="dxa"/>
            <w:vAlign w:val="bottom"/>
            <w:tcBorders>
              <w:bottom w:val="single" w:sz="8" w:color="CCEEFF"/>
            </w:tcBorders>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Williams-Sonoma</w:t>
            </w: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Troy Hills</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0"/>
              </w:rPr>
              <w:t>211,000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$23.30</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82"/>
        </w:trPr>
        <w:tc>
          <w:tcPr>
            <w:tcW w:w="2980" w:type="dxa"/>
            <w:vAlign w:val="bottom"/>
            <w:gridSpan w:val="9"/>
          </w:tcPr>
          <w:p>
            <w:pPr>
              <w:ind w:left="40"/>
              <w:spacing w:after="0"/>
              <w:rPr>
                <w:sz w:val="20"/>
                <w:szCs w:val="20"/>
                <w:color w:val="auto"/>
              </w:rPr>
            </w:pPr>
            <w:r>
              <w:rPr>
                <w:rFonts w:ascii="Arial" w:cs="Arial" w:eastAsia="Arial" w:hAnsi="Arial"/>
                <w:sz w:val="14"/>
                <w:szCs w:val="14"/>
                <w:color w:val="auto"/>
              </w:rPr>
              <w:t>Parsippany-Troy, NJ 07054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color w:val="auto"/>
              </w:rPr>
              <w:t>L.A. Fitness Michaels</w:t>
            </w:r>
          </w:p>
        </w:tc>
        <w:tc>
          <w:tcPr>
            <w:tcW w:w="0" w:type="dxa"/>
            <w:vAlign w:val="bottom"/>
          </w:tcPr>
          <w:p>
            <w:pPr>
              <w:spacing w:after="0"/>
              <w:rPr>
                <w:sz w:val="1"/>
                <w:szCs w:val="1"/>
                <w:color w:val="auto"/>
              </w:rPr>
            </w:pPr>
          </w:p>
        </w:tc>
      </w:tr>
      <w:tr>
        <w:trPr>
          <w:trHeight w:val="174"/>
        </w:trPr>
        <w:tc>
          <w:tcPr>
            <w:tcW w:w="2980" w:type="dxa"/>
            <w:vAlign w:val="bottom"/>
            <w:gridSpan w:val="9"/>
          </w:tcPr>
          <w:p>
            <w:pPr>
              <w:ind w:left="40"/>
              <w:spacing w:after="0"/>
              <w:rPr>
                <w:sz w:val="20"/>
                <w:szCs w:val="20"/>
                <w:color w:val="auto"/>
              </w:rPr>
            </w:pPr>
            <w:r>
              <w:rPr>
                <w:rFonts w:ascii="Arial" w:cs="Arial" w:eastAsia="Arial" w:hAnsi="Arial"/>
                <w:sz w:val="14"/>
                <w:szCs w:val="14"/>
                <w:b w:val="1"/>
                <w:bCs w:val="1"/>
                <w:color w:val="auto"/>
              </w:rPr>
              <w:t>New York</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960" w:type="dxa"/>
            <w:vAlign w:val="bottom"/>
            <w:gridSpan w:val="7"/>
            <w:shd w:val="clear" w:color="auto" w:fill="CCEEFF"/>
          </w:tcPr>
          <w:p>
            <w:pPr>
              <w:spacing w:after="0" w:line="157" w:lineRule="exact"/>
              <w:rPr>
                <w:sz w:val="20"/>
                <w:szCs w:val="20"/>
                <w:color w:val="auto"/>
              </w:rPr>
            </w:pPr>
            <w:r>
              <w:rPr>
                <w:rFonts w:ascii="Arial" w:cs="Arial" w:eastAsia="Arial" w:hAnsi="Arial"/>
                <w:sz w:val="14"/>
                <w:szCs w:val="14"/>
                <w:color w:val="auto"/>
                <w:w w:val="94"/>
                <w:shd w:val="clear" w:color="auto" w:fill="CCEEFF"/>
              </w:rPr>
              <w:t>Fresh Meadows</w:t>
            </w:r>
          </w:p>
        </w:tc>
        <w:tc>
          <w:tcPr>
            <w:tcW w:w="19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center"/>
              <w:ind w:left="48"/>
              <w:spacing w:after="0" w:line="157" w:lineRule="exact"/>
              <w:rPr>
                <w:sz w:val="20"/>
                <w:szCs w:val="20"/>
                <w:color w:val="auto"/>
              </w:rPr>
            </w:pPr>
            <w:r>
              <w:rPr>
                <w:rFonts w:ascii="Arial" w:cs="Arial" w:eastAsia="Arial" w:hAnsi="Arial"/>
                <w:sz w:val="14"/>
                <w:szCs w:val="14"/>
                <w:color w:val="auto"/>
                <w:w w:val="89"/>
              </w:rPr>
              <w:t>1949</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404,000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$35.40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99 %</w:t>
            </w:r>
          </w:p>
        </w:tc>
        <w:tc>
          <w:tcPr>
            <w:tcW w:w="100" w:type="dxa"/>
            <w:vAlign w:val="bottom"/>
            <w:shd w:val="clear" w:color="auto" w:fill="CCEEFF"/>
          </w:tcPr>
          <w:p>
            <w:pPr>
              <w:spacing w:after="0"/>
              <w:rPr>
                <w:sz w:val="13"/>
                <w:szCs w:val="13"/>
                <w:color w:val="auto"/>
              </w:rPr>
            </w:pPr>
          </w:p>
        </w:tc>
        <w:tc>
          <w:tcPr>
            <w:tcW w:w="2400" w:type="dxa"/>
            <w:vAlign w:val="bottom"/>
            <w:gridSpan w:val="3"/>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Island of Gold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Queens, NY 11365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AMC</w:t>
            </w: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Kohl's</w:t>
            </w: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Michaels</w:t>
            </w:r>
          </w:p>
        </w:tc>
        <w:tc>
          <w:tcPr>
            <w:tcW w:w="1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Georgetowne Shopping Center</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1"/>
              </w:rPr>
              <w:t>1969, 2006,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147,000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$39.98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90 %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Fairway Market</w:t>
            </w:r>
          </w:p>
        </w:tc>
        <w:tc>
          <w:tcPr>
            <w:tcW w:w="0" w:type="dxa"/>
            <w:vAlign w:val="bottom"/>
          </w:tcPr>
          <w:p>
            <w:pPr>
              <w:spacing w:after="0"/>
              <w:rPr>
                <w:sz w:val="1"/>
                <w:szCs w:val="1"/>
                <w:color w:val="auto"/>
              </w:rPr>
            </w:pPr>
          </w:p>
        </w:tc>
      </w:tr>
      <w:tr>
        <w:trPr>
          <w:trHeight w:val="188"/>
        </w:trPr>
        <w:tc>
          <w:tcPr>
            <w:tcW w:w="2980" w:type="dxa"/>
            <w:vAlign w:val="bottom"/>
            <w:gridSpan w:val="9"/>
          </w:tcPr>
          <w:p>
            <w:pPr>
              <w:ind w:left="40"/>
              <w:spacing w:after="0"/>
              <w:rPr>
                <w:sz w:val="20"/>
                <w:szCs w:val="20"/>
                <w:color w:val="auto"/>
              </w:rPr>
            </w:pPr>
            <w:r>
              <w:rPr>
                <w:rFonts w:ascii="Arial" w:cs="Arial" w:eastAsia="Arial" w:hAnsi="Arial"/>
                <w:sz w:val="14"/>
                <w:szCs w:val="14"/>
                <w:color w:val="auto"/>
              </w:rPr>
              <w:t>Brooklyn, NY 11234</w:t>
            </w:r>
          </w:p>
        </w:tc>
        <w:tc>
          <w:tcPr>
            <w:tcW w:w="1160" w:type="dxa"/>
            <w:vAlign w:val="bottom"/>
            <w:gridSpan w:val="2"/>
          </w:tcPr>
          <w:p>
            <w:pPr>
              <w:jc w:val="center"/>
              <w:ind w:left="48"/>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40"/>
              <w:spacing w:after="0"/>
              <w:rPr>
                <w:sz w:val="20"/>
                <w:szCs w:val="20"/>
                <w:color w:val="auto"/>
              </w:rPr>
            </w:pPr>
            <w:r>
              <w:rPr>
                <w:rFonts w:ascii="Arial" w:cs="Arial" w:eastAsia="Arial" w:hAnsi="Arial"/>
                <w:sz w:val="14"/>
                <w:szCs w:val="14"/>
                <w:color w:val="auto"/>
              </w:rPr>
              <w:t>Five Below IHOP</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96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Greenlawn Plaza</w:t>
            </w:r>
          </w:p>
        </w:tc>
        <w:tc>
          <w:tcPr>
            <w:tcW w:w="19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1"/>
              </w:rPr>
              <w:t>1975, 2004</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$19.02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96 %</w:t>
            </w:r>
          </w:p>
        </w:tc>
        <w:tc>
          <w:tcPr>
            <w:tcW w:w="10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Greenlawn Farms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4"/>
                <w:szCs w:val="14"/>
                <w:color w:val="auto"/>
                <w:w w:val="98"/>
                <w:shd w:val="clear" w:color="auto" w:fill="CCEEFF"/>
              </w:rPr>
              <w:t>Greenlawn, NY</w:t>
            </w:r>
          </w:p>
        </w:tc>
        <w:tc>
          <w:tcPr>
            <w:tcW w:w="1980" w:type="dxa"/>
            <w:vAlign w:val="bottom"/>
            <w:tcBorders>
              <w:bottom w:val="single" w:sz="8" w:color="CCEEFF"/>
            </w:tcBorders>
            <w:shd w:val="clear" w:color="auto" w:fill="CCEEFF"/>
          </w:tcPr>
          <w:p>
            <w:pPr>
              <w:jc w:val="right"/>
              <w:ind w:right="1568"/>
              <w:spacing w:after="0"/>
              <w:rPr>
                <w:sz w:val="20"/>
                <w:szCs w:val="20"/>
                <w:color w:val="auto"/>
              </w:rPr>
            </w:pPr>
            <w:r>
              <w:rPr>
                <w:rFonts w:ascii="Arial" w:cs="Arial" w:eastAsia="Arial" w:hAnsi="Arial"/>
                <w:sz w:val="14"/>
                <w:szCs w:val="14"/>
                <w:color w:val="auto"/>
                <w:w w:val="82"/>
                <w:shd w:val="clear" w:color="auto" w:fill="CCEEFF"/>
              </w:rPr>
              <w:t>11743</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Hauppauge</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133,000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$33.60</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80 %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88"/>
        </w:trPr>
        <w:tc>
          <w:tcPr>
            <w:tcW w:w="2980" w:type="dxa"/>
            <w:vAlign w:val="bottom"/>
            <w:gridSpan w:val="9"/>
          </w:tcPr>
          <w:p>
            <w:pPr>
              <w:ind w:left="40"/>
              <w:spacing w:after="0"/>
              <w:rPr>
                <w:sz w:val="20"/>
                <w:szCs w:val="20"/>
                <w:color w:val="auto"/>
              </w:rPr>
            </w:pPr>
            <w:r>
              <w:rPr>
                <w:rFonts w:ascii="Arial" w:cs="Arial" w:eastAsia="Arial" w:hAnsi="Arial"/>
                <w:sz w:val="14"/>
                <w:szCs w:val="14"/>
                <w:color w:val="auto"/>
              </w:rPr>
              <w:t>Hauppauge, NY 11788</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66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4"/>
                <w:shd w:val="clear" w:color="auto" w:fill="CCEEFF"/>
              </w:rPr>
              <w:t>Huntington</w:t>
            </w:r>
          </w:p>
        </w:tc>
        <w:tc>
          <w:tcPr>
            <w:tcW w:w="2280" w:type="dxa"/>
            <w:vAlign w:val="bottom"/>
            <w:gridSpan w:val="4"/>
            <w:shd w:val="clear" w:color="auto" w:fill="CCEEFF"/>
          </w:tcPr>
          <w:p>
            <w:pPr>
              <w:spacing w:after="0"/>
              <w:rPr>
                <w:sz w:val="14"/>
                <w:szCs w:val="14"/>
                <w:color w:val="auto"/>
              </w:rPr>
            </w:pP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9"/>
              </w:rPr>
              <w:t>1962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1988/2007/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263,000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$23.84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81 %</w:t>
            </w:r>
          </w:p>
        </w:tc>
        <w:tc>
          <w:tcPr>
            <w:tcW w:w="10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Nordstrom Rack</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66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Huntington,</w:t>
            </w:r>
          </w:p>
        </w:tc>
        <w:tc>
          <w:tcPr>
            <w:tcW w:w="2280" w:type="dxa"/>
            <w:vAlign w:val="bottom"/>
            <w:gridSpan w:val="4"/>
            <w:shd w:val="clear" w:color="auto" w:fill="CCEEFF"/>
          </w:tcPr>
          <w:p>
            <w:pPr>
              <w:jc w:val="right"/>
              <w:ind w:right="1548"/>
              <w:spacing w:after="0"/>
              <w:rPr>
                <w:sz w:val="20"/>
                <w:szCs w:val="20"/>
                <w:color w:val="auto"/>
              </w:rPr>
            </w:pPr>
            <w:r>
              <w:rPr>
                <w:rFonts w:ascii="Arial" w:cs="Arial" w:eastAsia="Arial" w:hAnsi="Arial"/>
                <w:sz w:val="14"/>
                <w:szCs w:val="14"/>
                <w:color w:val="auto"/>
                <w:shd w:val="clear" w:color="auto" w:fill="CCEEFF"/>
              </w:rPr>
              <w:t>NY 11746</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Buy Buy Baby</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Michaels</w:t>
            </w:r>
          </w:p>
        </w:tc>
        <w:tc>
          <w:tcPr>
            <w:tcW w:w="1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Ulta</w:t>
            </w:r>
          </w:p>
        </w:tc>
        <w:tc>
          <w:tcPr>
            <w:tcW w:w="24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8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Huntington Square</w:t>
            </w:r>
          </w:p>
        </w:tc>
        <w:tc>
          <w:tcPr>
            <w:tcW w:w="11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1"/>
              </w:rPr>
              <w:t>1980, 2007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2010</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74,000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$29.46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93 %</w:t>
            </w:r>
          </w:p>
        </w:tc>
        <w:tc>
          <w:tcPr>
            <w:tcW w:w="100" w:type="dxa"/>
            <w:vAlign w:val="bottom"/>
          </w:tcPr>
          <w:p>
            <w:pPr>
              <w:spacing w:after="0"/>
              <w:rPr>
                <w:sz w:val="13"/>
                <w:szCs w:val="13"/>
                <w:color w:val="auto"/>
              </w:rPr>
            </w:pPr>
          </w:p>
        </w:tc>
        <w:tc>
          <w:tcPr>
            <w:tcW w:w="240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2"/>
        </w:trPr>
        <w:tc>
          <w:tcPr>
            <w:tcW w:w="2980" w:type="dxa"/>
            <w:vAlign w:val="bottom"/>
            <w:gridSpan w:val="9"/>
          </w:tcPr>
          <w:p>
            <w:pPr>
              <w:ind w:left="40"/>
              <w:spacing w:after="0"/>
              <w:rPr>
                <w:sz w:val="20"/>
                <w:szCs w:val="20"/>
                <w:color w:val="auto"/>
              </w:rPr>
            </w:pPr>
            <w:r>
              <w:rPr>
                <w:rFonts w:ascii="Arial" w:cs="Arial" w:eastAsia="Arial" w:hAnsi="Arial"/>
                <w:sz w:val="14"/>
                <w:szCs w:val="14"/>
                <w:color w:val="auto"/>
              </w:rPr>
              <w:t>East Northport, NY 11731(4)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3100" w:type="dxa"/>
            <w:vAlign w:val="bottom"/>
            <w:gridSpan w:val="9"/>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Completed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Acquired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/Apartment Units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Foot(2)</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Leased(3)</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gridSpan w:val="4"/>
            <w:shd w:val="clear" w:color="auto" w:fill="CCEEFF"/>
          </w:tcPr>
          <w:p>
            <w:pPr>
              <w:spacing w:after="0" w:line="157" w:lineRule="exact"/>
              <w:rPr>
                <w:sz w:val="20"/>
                <w:szCs w:val="20"/>
                <w:color w:val="auto"/>
              </w:rPr>
            </w:pPr>
            <w:r>
              <w:rPr>
                <w:rFonts w:ascii="Arial" w:cs="Arial" w:eastAsia="Arial" w:hAnsi="Arial"/>
                <w:sz w:val="14"/>
                <w:szCs w:val="14"/>
                <w:color w:val="auto"/>
                <w:shd w:val="clear" w:color="auto" w:fill="CCEEFF"/>
              </w:rPr>
              <w:t>Melville Mall</w:t>
            </w: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1974</w:t>
            </w: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239,000</w:t>
            </w: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$26.10</w:t>
            </w:r>
          </w:p>
        </w:tc>
        <w:tc>
          <w:tcPr>
            <w:tcW w:w="1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0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auto"/>
            </w:tcBorders>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Uncle Giuseppe's Marketplace</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Huntington, NY 11747(4)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Marshalls</w:t>
            </w: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Dick's Sporting Goods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5"/>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Field &amp; Stream</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Macy's Backstage</w:t>
            </w:r>
          </w:p>
        </w:tc>
        <w:tc>
          <w:tcPr>
            <w:tcW w:w="0" w:type="dxa"/>
            <w:vAlign w:val="bottom"/>
          </w:tcPr>
          <w:p>
            <w:pPr>
              <w:spacing w:after="0"/>
              <w:rPr>
                <w:sz w:val="1"/>
                <w:szCs w:val="1"/>
                <w:color w:val="auto"/>
              </w:rPr>
            </w:pPr>
          </w:p>
        </w:tc>
      </w:tr>
      <w:tr>
        <w:trPr>
          <w:trHeight w:val="162"/>
        </w:trPr>
        <w:tc>
          <w:tcPr>
            <w:tcW w:w="3100" w:type="dxa"/>
            <w:vAlign w:val="bottom"/>
            <w:gridSpan w:val="9"/>
          </w:tcPr>
          <w:p>
            <w:pPr>
              <w:ind w:left="40"/>
              <w:spacing w:after="0"/>
              <w:rPr>
                <w:sz w:val="20"/>
                <w:szCs w:val="20"/>
                <w:color w:val="auto"/>
              </w:rPr>
            </w:pPr>
            <w:r>
              <w:rPr>
                <w:rFonts w:ascii="Arial" w:cs="Arial" w:eastAsia="Arial" w:hAnsi="Arial"/>
                <w:sz w:val="14"/>
                <w:szCs w:val="14"/>
                <w:b w:val="1"/>
                <w:bCs w:val="1"/>
                <w:color w:val="auto"/>
              </w:rPr>
              <w:t>North Carolina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1040" w:type="dxa"/>
            <w:vAlign w:val="bottom"/>
            <w:gridSpan w:val="6"/>
            <w:shd w:val="clear" w:color="auto" w:fill="CCEEFF"/>
          </w:tcPr>
          <w:p>
            <w:pPr>
              <w:spacing w:after="0" w:line="157" w:lineRule="exact"/>
              <w:rPr>
                <w:sz w:val="20"/>
                <w:szCs w:val="20"/>
                <w:color w:val="auto"/>
              </w:rPr>
            </w:pPr>
            <w:r>
              <w:rPr>
                <w:rFonts w:ascii="Arial" w:cs="Arial" w:eastAsia="Arial" w:hAnsi="Arial"/>
                <w:sz w:val="14"/>
                <w:szCs w:val="14"/>
                <w:color w:val="auto"/>
                <w:w w:val="89"/>
                <w:shd w:val="clear" w:color="auto" w:fill="CCEEFF"/>
              </w:rPr>
              <w:t>Eastgate Crossing</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158,000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$28.23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89 %</w:t>
            </w:r>
          </w:p>
        </w:tc>
        <w:tc>
          <w:tcPr>
            <w:tcW w:w="100" w:type="dxa"/>
            <w:vAlign w:val="bottom"/>
            <w:shd w:val="clear" w:color="auto" w:fill="CCEEFF"/>
          </w:tcPr>
          <w:p>
            <w:pPr>
              <w:spacing w:after="0"/>
              <w:rPr>
                <w:sz w:val="13"/>
                <w:szCs w:val="13"/>
                <w:color w:val="auto"/>
              </w:rPr>
            </w:pPr>
          </w:p>
        </w:tc>
        <w:tc>
          <w:tcPr>
            <w:tcW w:w="24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Trader Joe's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0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Chapel Hill, NC</w:t>
            </w:r>
          </w:p>
        </w:tc>
        <w:tc>
          <w:tcPr>
            <w:tcW w:w="1900" w:type="dxa"/>
            <w:vAlign w:val="bottom"/>
            <w:shd w:val="clear" w:color="auto" w:fill="CCEEFF"/>
          </w:tcPr>
          <w:p>
            <w:pPr>
              <w:jc w:val="right"/>
              <w:ind w:right="1528"/>
              <w:spacing w:after="0" w:line="149" w:lineRule="exact"/>
              <w:rPr>
                <w:sz w:val="20"/>
                <w:szCs w:val="20"/>
                <w:color w:val="auto"/>
              </w:rPr>
            </w:pPr>
            <w:r>
              <w:rPr>
                <w:rFonts w:ascii="Arial" w:cs="Arial" w:eastAsia="Arial" w:hAnsi="Arial"/>
                <w:sz w:val="14"/>
                <w:szCs w:val="14"/>
                <w:color w:val="auto"/>
                <w:w w:val="71"/>
                <w:shd w:val="clear" w:color="auto" w:fill="CCEEFF"/>
              </w:rPr>
              <w:t>27514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Ulta</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1"/>
                <w:shd w:val="clear" w:color="auto" w:fill="CCEEFF"/>
              </w:rPr>
              <w:t>Stein</w:t>
            </w:r>
          </w:p>
        </w:tc>
        <w:tc>
          <w:tcPr>
            <w:tcW w:w="40" w:type="dxa"/>
            <w:vAlign w:val="bottom"/>
            <w:shd w:val="clear" w:color="auto" w:fill="CCEEFF"/>
          </w:tcPr>
          <w:p>
            <w:pPr>
              <w:spacing w:after="0"/>
              <w:rPr>
                <w:sz w:val="12"/>
                <w:szCs w:val="12"/>
                <w:color w:val="auto"/>
              </w:rPr>
            </w:pPr>
          </w:p>
        </w:tc>
        <w:tc>
          <w:tcPr>
            <w:tcW w:w="20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Mart</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83"/>
                <w:shd w:val="clear" w:color="auto" w:fill="CCEEFF"/>
              </w:rPr>
              <w:t>Petco</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00" w:type="dxa"/>
            <w:vAlign w:val="bottom"/>
            <w:gridSpan w:val="9"/>
          </w:tcPr>
          <w:p>
            <w:pPr>
              <w:ind w:left="40"/>
              <w:spacing w:after="0"/>
              <w:rPr>
                <w:sz w:val="20"/>
                <w:szCs w:val="20"/>
                <w:color w:val="auto"/>
              </w:rPr>
            </w:pPr>
            <w:r>
              <w:rPr>
                <w:rFonts w:ascii="Arial" w:cs="Arial" w:eastAsia="Arial" w:hAnsi="Arial"/>
                <w:sz w:val="14"/>
                <w:szCs w:val="14"/>
                <w:b w:val="1"/>
                <w:bCs w:val="1"/>
                <w:color w:val="auto"/>
              </w:rPr>
              <w:t>Pennsylvania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6"/>
                <w:shd w:val="clear" w:color="auto" w:fill="CCEEFF"/>
              </w:rPr>
              <w:t>Andorra</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1953</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1988</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266,000</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$14.52</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87 %</w:t>
            </w:r>
          </w:p>
        </w:tc>
        <w:tc>
          <w:tcPr>
            <w:tcW w:w="100" w:type="dxa"/>
            <w:vAlign w:val="bottom"/>
            <w:shd w:val="clear" w:color="auto" w:fill="CCEEFF"/>
          </w:tcPr>
          <w:p>
            <w:pPr>
              <w:spacing w:after="0"/>
              <w:rPr>
                <w:sz w:val="13"/>
                <w:szCs w:val="13"/>
                <w:color w:val="auto"/>
              </w:rPr>
            </w:pPr>
          </w:p>
        </w:tc>
        <w:tc>
          <w:tcPr>
            <w:tcW w:w="24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Acme Markets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Philadelphia, PA 19128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Kohl's</w:t>
            </w:r>
          </w:p>
        </w:tc>
        <w:tc>
          <w:tcPr>
            <w:tcW w:w="2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L.A.</w:t>
            </w:r>
          </w:p>
        </w:tc>
        <w:tc>
          <w:tcPr>
            <w:tcW w:w="2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Fitness</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Staples</w:t>
            </w:r>
          </w:p>
        </w:tc>
        <w:tc>
          <w:tcPr>
            <w:tcW w:w="1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Bala Cynwyd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1955</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294,000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$25.03</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98 %</w:t>
            </w:r>
          </w:p>
        </w:tc>
        <w:tc>
          <w:tcPr>
            <w:tcW w:w="100" w:type="dxa"/>
            <w:vAlign w:val="bottom"/>
          </w:tcPr>
          <w:p>
            <w:pPr>
              <w:spacing w:after="0"/>
              <w:rPr>
                <w:sz w:val="13"/>
                <w:szCs w:val="13"/>
                <w:color w:val="auto"/>
              </w:rPr>
            </w:pPr>
          </w:p>
        </w:tc>
        <w:tc>
          <w:tcPr>
            <w:tcW w:w="24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310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Bala Cynwyd, PA 19004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Lord &amp; Taylor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Flourtown</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156,000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$23.11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99 %</w:t>
            </w:r>
          </w:p>
        </w:tc>
        <w:tc>
          <w:tcPr>
            <w:tcW w:w="100" w:type="dxa"/>
            <w:vAlign w:val="bottom"/>
            <w:shd w:val="clear" w:color="auto" w:fill="CCEEFF"/>
          </w:tcPr>
          <w:p>
            <w:pPr>
              <w:spacing w:after="0"/>
              <w:rPr>
                <w:sz w:val="14"/>
                <w:szCs w:val="14"/>
                <w:color w:val="auto"/>
              </w:rPr>
            </w:pPr>
          </w:p>
        </w:tc>
        <w:tc>
          <w:tcPr>
            <w:tcW w:w="24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Giant Food</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85"/>
                <w:shd w:val="clear" w:color="auto" w:fill="CCEEFF"/>
              </w:rPr>
              <w:t>Flourtown,</w:t>
            </w:r>
          </w:p>
        </w:tc>
        <w:tc>
          <w:tcPr>
            <w:tcW w:w="2360" w:type="dxa"/>
            <w:vAlign w:val="bottom"/>
            <w:tcBorders>
              <w:bottom w:val="single" w:sz="8" w:color="CCEEFF"/>
            </w:tcBorders>
            <w:gridSpan w:val="5"/>
            <w:shd w:val="clear" w:color="auto" w:fill="CCEEFF"/>
          </w:tcPr>
          <w:p>
            <w:pPr>
              <w:ind w:left="80"/>
              <w:spacing w:after="0"/>
              <w:rPr>
                <w:sz w:val="20"/>
                <w:szCs w:val="20"/>
                <w:color w:val="auto"/>
              </w:rPr>
            </w:pPr>
            <w:r>
              <w:rPr>
                <w:rFonts w:ascii="Arial" w:cs="Arial" w:eastAsia="Arial" w:hAnsi="Arial"/>
                <w:sz w:val="14"/>
                <w:szCs w:val="14"/>
                <w:color w:val="auto"/>
                <w:shd w:val="clear" w:color="auto" w:fill="CCEEFF"/>
              </w:rPr>
              <w:t>PA 19031</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Movie Tavern</w:t>
            </w: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Lancaster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127,000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$19.17</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82 %</w:t>
            </w:r>
          </w:p>
        </w:tc>
        <w:tc>
          <w:tcPr>
            <w:tcW w:w="100" w:type="dxa"/>
            <w:vAlign w:val="bottom"/>
          </w:tcPr>
          <w:p>
            <w:pPr>
              <w:spacing w:after="0"/>
              <w:rPr>
                <w:sz w:val="13"/>
                <w:szCs w:val="13"/>
                <w:color w:val="auto"/>
              </w:rPr>
            </w:pPr>
          </w:p>
        </w:tc>
        <w:tc>
          <w:tcPr>
            <w:tcW w:w="24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Lancaster, PA 17601(4)</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104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87"/>
                <w:shd w:val="clear" w:color="auto" w:fill="CCEEFF"/>
              </w:rPr>
              <w:t>Langhorne Square</w:t>
            </w: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227,000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$17.22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99 %</w:t>
            </w:r>
          </w:p>
        </w:tc>
        <w:tc>
          <w:tcPr>
            <w:tcW w:w="100" w:type="dxa"/>
            <w:vAlign w:val="bottom"/>
            <w:shd w:val="clear" w:color="auto" w:fill="CCEEFF"/>
          </w:tcPr>
          <w:p>
            <w:pPr>
              <w:spacing w:after="0"/>
              <w:rPr>
                <w:sz w:val="14"/>
                <w:szCs w:val="14"/>
                <w:color w:val="auto"/>
              </w:rPr>
            </w:pPr>
          </w:p>
        </w:tc>
        <w:tc>
          <w:tcPr>
            <w:tcW w:w="24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Redner's Warehouse Markets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Levittown, PA 19056</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Marshalls</w:t>
            </w: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Planet Fitness</w:t>
            </w: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Lawrence Park</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1980/2017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363,000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$22.38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98 %</w:t>
            </w:r>
          </w:p>
        </w:tc>
        <w:tc>
          <w:tcPr>
            <w:tcW w:w="100" w:type="dxa"/>
            <w:vAlign w:val="bottom"/>
          </w:tcPr>
          <w:p>
            <w:pPr>
              <w:spacing w:after="0"/>
              <w:rPr>
                <w:sz w:val="13"/>
                <w:szCs w:val="13"/>
                <w:color w:val="auto"/>
              </w:rPr>
            </w:pPr>
          </w:p>
        </w:tc>
        <w:tc>
          <w:tcPr>
            <w:tcW w:w="24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310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Broomall, PA 19008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Northeast</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1983</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228,000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$20.26</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91 %</w:t>
            </w:r>
          </w:p>
        </w:tc>
        <w:tc>
          <w:tcPr>
            <w:tcW w:w="100" w:type="dxa"/>
            <w:vAlign w:val="bottom"/>
            <w:shd w:val="clear" w:color="auto" w:fill="CCEEFF"/>
          </w:tcPr>
          <w:p>
            <w:pPr>
              <w:spacing w:after="0"/>
              <w:rPr>
                <w:sz w:val="14"/>
                <w:szCs w:val="14"/>
                <w:color w:val="auto"/>
              </w:rPr>
            </w:pPr>
          </w:p>
        </w:tc>
        <w:tc>
          <w:tcPr>
            <w:tcW w:w="6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Marshalls</w:t>
            </w: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Philadelphia, PA 19114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Ulta</w:t>
            </w:r>
          </w:p>
        </w:tc>
        <w:tc>
          <w:tcPr>
            <w:tcW w:w="280" w:type="dxa"/>
            <w:vAlign w:val="bottom"/>
            <w:gridSpan w:val="3"/>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5"/>
                <w:shd w:val="clear" w:color="auto" w:fill="CCEEFF"/>
              </w:rPr>
              <w:t>A.C.</w:t>
            </w:r>
          </w:p>
        </w:tc>
        <w:tc>
          <w:tcPr>
            <w:tcW w:w="20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Moore</w:t>
            </w: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Town Center of New Britain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124,000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1"/>
              </w:rPr>
              <w:t>$9.31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87 %</w:t>
            </w:r>
          </w:p>
        </w:tc>
        <w:tc>
          <w:tcPr>
            <w:tcW w:w="100" w:type="dxa"/>
            <w:vAlign w:val="bottom"/>
          </w:tcPr>
          <w:p>
            <w:pPr>
              <w:spacing w:after="0"/>
              <w:rPr>
                <w:sz w:val="13"/>
                <w:szCs w:val="13"/>
                <w:color w:val="auto"/>
              </w:rPr>
            </w:pPr>
          </w:p>
        </w:tc>
        <w:tc>
          <w:tcPr>
            <w:tcW w:w="24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New Britain, PA 18901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color w:val="auto"/>
              </w:rPr>
              <w:t>Dollar Tree</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82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6"/>
                <w:shd w:val="clear" w:color="auto" w:fill="CCEEFF"/>
              </w:rPr>
              <w:t>Willow Grove</w:t>
            </w:r>
          </w:p>
        </w:tc>
        <w:tc>
          <w:tcPr>
            <w:tcW w:w="1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1953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1984</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211,000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$18.15</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91 %</w:t>
            </w:r>
          </w:p>
        </w:tc>
        <w:tc>
          <w:tcPr>
            <w:tcW w:w="100" w:type="dxa"/>
            <w:vAlign w:val="bottom"/>
            <w:shd w:val="clear" w:color="auto" w:fill="CCEEFF"/>
          </w:tcPr>
          <w:p>
            <w:pPr>
              <w:spacing w:after="0"/>
              <w:rPr>
                <w:sz w:val="14"/>
                <w:szCs w:val="14"/>
                <w:color w:val="auto"/>
              </w:rPr>
            </w:pPr>
          </w:p>
        </w:tc>
        <w:tc>
          <w:tcPr>
            <w:tcW w:w="6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0"/>
                <w:shd w:val="clear" w:color="auto" w:fill="CCEEFF"/>
              </w:rPr>
              <w:t>Marshalls</w:t>
            </w: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92"/>
                <w:shd w:val="clear" w:color="auto" w:fill="CCEEFF"/>
              </w:rPr>
              <w:t>Willow Grove,</w:t>
            </w:r>
          </w:p>
        </w:tc>
        <w:tc>
          <w:tcPr>
            <w:tcW w:w="2120" w:type="dxa"/>
            <w:vAlign w:val="bottom"/>
            <w:gridSpan w:val="3"/>
            <w:shd w:val="clear" w:color="auto" w:fill="CCEEFF"/>
          </w:tcPr>
          <w:p>
            <w:pPr>
              <w:jc w:val="center"/>
              <w:ind w:right="1348"/>
              <w:spacing w:after="0" w:line="149" w:lineRule="exact"/>
              <w:rPr>
                <w:sz w:val="20"/>
                <w:szCs w:val="20"/>
                <w:color w:val="auto"/>
              </w:rPr>
            </w:pPr>
            <w:r>
              <w:rPr>
                <w:rFonts w:ascii="Arial" w:cs="Arial" w:eastAsia="Arial" w:hAnsi="Arial"/>
                <w:sz w:val="14"/>
                <w:szCs w:val="14"/>
                <w:color w:val="auto"/>
                <w:w w:val="94"/>
                <w:shd w:val="clear" w:color="auto" w:fill="CCEEFF"/>
              </w:rPr>
              <w:t>PA 19090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73"/>
                <w:shd w:val="clear" w:color="auto" w:fill="CCEEFF"/>
              </w:rPr>
              <w:t>HomeGoods</w:t>
            </w: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Barnes &amp; Noble</w:t>
            </w: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Wynnewood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1948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251,000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$28.66</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Wynnewood, PA 19096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9 Units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color w:val="auto"/>
              </w:rPr>
              <w:t>N/A</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67 %</w:t>
            </w:r>
          </w:p>
        </w:tc>
        <w:tc>
          <w:tcPr>
            <w:tcW w:w="100" w:type="dxa"/>
            <w:vAlign w:val="bottom"/>
          </w:tcPr>
          <w:p>
            <w:pPr>
              <w:spacing w:after="0"/>
              <w:rPr>
                <w:sz w:val="14"/>
                <w:szCs w:val="14"/>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2"/>
        </w:trPr>
        <w:tc>
          <w:tcPr>
            <w:tcW w:w="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93"/>
                <w:shd w:val="clear" w:color="auto" w:fill="CCEEFF"/>
              </w:rPr>
              <w:t>Virginia</w:t>
            </w:r>
          </w:p>
        </w:tc>
        <w:tc>
          <w:tcPr>
            <w:tcW w:w="28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200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29th Place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1975-2001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169,000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$18.81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98 %</w:t>
            </w:r>
          </w:p>
        </w:tc>
        <w:tc>
          <w:tcPr>
            <w:tcW w:w="100" w:type="dxa"/>
            <w:vAlign w:val="bottom"/>
          </w:tcPr>
          <w:p>
            <w:pPr>
              <w:spacing w:after="0"/>
              <w:rPr>
                <w:sz w:val="13"/>
                <w:szCs w:val="13"/>
                <w:color w:val="auto"/>
              </w:rPr>
            </w:pPr>
          </w:p>
        </w:tc>
        <w:tc>
          <w:tcPr>
            <w:tcW w:w="24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9"/>
        </w:trPr>
        <w:tc>
          <w:tcPr>
            <w:tcW w:w="310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Charlottesville, VA 22091(9)</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4"/>
                <w:szCs w:val="14"/>
                <w:color w:val="auto"/>
                <w:w w:val="91"/>
                <w:shd w:val="clear" w:color="auto" w:fill="CCEEFF"/>
              </w:rPr>
              <w:t>Barcoft Plaza</w:t>
            </w:r>
          </w:p>
        </w:tc>
        <w:tc>
          <w:tcPr>
            <w:tcW w:w="160" w:type="dxa"/>
            <w:vAlign w:val="bottom"/>
            <w:gridSpan w:val="2"/>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1963, 1972,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2006/2007/</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114,000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$26.51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95 %</w:t>
            </w:r>
          </w:p>
        </w:tc>
        <w:tc>
          <w:tcPr>
            <w:tcW w:w="100" w:type="dxa"/>
            <w:vAlign w:val="bottom"/>
            <w:shd w:val="clear" w:color="auto" w:fill="CCEEFF"/>
          </w:tcPr>
          <w:p>
            <w:pPr>
              <w:spacing w:after="0"/>
              <w:rPr>
                <w:sz w:val="14"/>
                <w:szCs w:val="14"/>
                <w:color w:val="auto"/>
              </w:rPr>
            </w:pPr>
          </w:p>
        </w:tc>
        <w:tc>
          <w:tcPr>
            <w:tcW w:w="24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Harris Teeter</w:t>
            </w: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w w:val="92"/>
                <w:shd w:val="clear" w:color="auto" w:fill="CCEEFF"/>
              </w:rPr>
              <w:t>Falls Church,</w:t>
            </w:r>
          </w:p>
        </w:tc>
        <w:tc>
          <w:tcPr>
            <w:tcW w:w="2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VA 22041</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1990, &amp; 2000</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Barracks Road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500,000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$27.78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97 %</w:t>
            </w:r>
          </w:p>
        </w:tc>
        <w:tc>
          <w:tcPr>
            <w:tcW w:w="100" w:type="dxa"/>
            <w:vAlign w:val="bottom"/>
          </w:tcPr>
          <w:p>
            <w:pPr>
              <w:spacing w:after="0"/>
              <w:rPr>
                <w:sz w:val="13"/>
                <w:szCs w:val="13"/>
                <w:color w:val="auto"/>
              </w:rPr>
            </w:pPr>
          </w:p>
        </w:tc>
        <w:tc>
          <w:tcPr>
            <w:tcW w:w="24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9"/>
        </w:trPr>
        <w:tc>
          <w:tcPr>
            <w:tcW w:w="310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Charlottesville, VA 22905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Nike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94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93"/>
                <w:shd w:val="clear" w:color="auto" w:fill="CCEEFF"/>
              </w:rPr>
              <w:t>Fairfax Junction</w:t>
            </w:r>
          </w:p>
        </w:tc>
        <w:tc>
          <w:tcPr>
            <w:tcW w:w="200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1981, 2000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75,000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$21.23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Aldi</w:t>
            </w:r>
          </w:p>
        </w:tc>
        <w:tc>
          <w:tcPr>
            <w:tcW w:w="2080" w:type="dxa"/>
            <w:vAlign w:val="bottom"/>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9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Fairfax, VA 22030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CVS</w:t>
            </w:r>
          </w:p>
        </w:tc>
        <w:tc>
          <w:tcPr>
            <w:tcW w:w="2080" w:type="dxa"/>
            <w:vAlign w:val="bottom"/>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70"/>
                <w:shd w:val="clear" w:color="auto" w:fill="CCEEFF"/>
              </w:rPr>
              <w:t>Planet</w:t>
            </w:r>
          </w:p>
        </w:tc>
        <w:tc>
          <w:tcPr>
            <w:tcW w:w="2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shd w:val="clear" w:color="auto" w:fill="CCEEFF"/>
              </w:rPr>
              <w:t>Fitness</w:t>
            </w: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Falls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1960-1962</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1967/1972</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144,000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$35.68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94 %</w:t>
            </w:r>
          </w:p>
        </w:tc>
        <w:tc>
          <w:tcPr>
            <w:tcW w:w="100" w:type="dxa"/>
            <w:vAlign w:val="bottom"/>
          </w:tcPr>
          <w:p>
            <w:pPr>
              <w:spacing w:after="0"/>
              <w:rPr>
                <w:sz w:val="13"/>
                <w:szCs w:val="13"/>
                <w:color w:val="auto"/>
              </w:rPr>
            </w:pPr>
          </w:p>
        </w:tc>
        <w:tc>
          <w:tcPr>
            <w:tcW w:w="24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310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Falls Church, VA 22046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2940" w:type="dxa"/>
            <w:vAlign w:val="bottom"/>
            <w:gridSpan w:val="7"/>
            <w:shd w:val="clear" w:color="auto" w:fill="CCEEFF"/>
          </w:tcPr>
          <w:p>
            <w:pPr>
              <w:spacing w:after="0"/>
              <w:rPr>
                <w:sz w:val="20"/>
                <w:szCs w:val="20"/>
                <w:color w:val="auto"/>
              </w:rPr>
            </w:pPr>
            <w:r>
              <w:rPr>
                <w:rFonts w:ascii="Arial" w:cs="Arial" w:eastAsia="Arial" w:hAnsi="Arial"/>
                <w:sz w:val="14"/>
                <w:szCs w:val="14"/>
                <w:color w:val="auto"/>
                <w:shd w:val="clear" w:color="auto" w:fill="CCEEFF"/>
              </w:rPr>
              <w:t>Graham Park Plaza</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1971</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1983</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132,000</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$37.04</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93 %</w:t>
            </w:r>
          </w:p>
        </w:tc>
        <w:tc>
          <w:tcPr>
            <w:tcW w:w="100" w:type="dxa"/>
            <w:vAlign w:val="bottom"/>
            <w:shd w:val="clear" w:color="auto" w:fill="CCEEFF"/>
          </w:tcPr>
          <w:p>
            <w:pPr>
              <w:spacing w:after="0"/>
              <w:rPr>
                <w:sz w:val="15"/>
                <w:szCs w:val="15"/>
                <w:color w:val="auto"/>
              </w:rPr>
            </w:pPr>
          </w:p>
        </w:tc>
        <w:tc>
          <w:tcPr>
            <w:tcW w:w="24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Giant Food</w:t>
            </w:r>
          </w:p>
        </w:tc>
        <w:tc>
          <w:tcPr>
            <w:tcW w:w="0" w:type="dxa"/>
            <w:vAlign w:val="bottom"/>
          </w:tcPr>
          <w:p>
            <w:pPr>
              <w:spacing w:after="0"/>
              <w:rPr>
                <w:sz w:val="1"/>
                <w:szCs w:val="1"/>
                <w:color w:val="auto"/>
              </w:rPr>
            </w:pPr>
          </w:p>
        </w:tc>
      </w:tr>
      <w:tr>
        <w:trPr>
          <w:trHeight w:val="156"/>
        </w:trPr>
        <w:tc>
          <w:tcPr>
            <w:tcW w:w="40" w:type="dxa"/>
            <w:vAlign w:val="bottom"/>
            <w:tcBorders>
              <w:bottom w:val="single" w:sz="8" w:color="CCEEFF"/>
            </w:tcBorders>
            <w:shd w:val="clear" w:color="auto" w:fill="CCEEFF"/>
          </w:tcPr>
          <w:p>
            <w:pPr>
              <w:spacing w:after="0"/>
              <w:rPr>
                <w:sz w:val="13"/>
                <w:szCs w:val="13"/>
                <w:color w:val="auto"/>
              </w:rPr>
            </w:pPr>
          </w:p>
        </w:tc>
        <w:tc>
          <w:tcPr>
            <w:tcW w:w="2940" w:type="dxa"/>
            <w:vAlign w:val="bottom"/>
            <w:tcBorders>
              <w:bottom w:val="single" w:sz="8" w:color="CCEEFF"/>
            </w:tcBorders>
            <w:gridSpan w:val="7"/>
            <w:shd w:val="clear" w:color="auto" w:fill="CCEEFF"/>
          </w:tcPr>
          <w:p>
            <w:pPr>
              <w:spacing w:after="0" w:line="149" w:lineRule="exact"/>
              <w:rPr>
                <w:sz w:val="20"/>
                <w:szCs w:val="20"/>
                <w:color w:val="auto"/>
              </w:rPr>
            </w:pPr>
            <w:r>
              <w:rPr>
                <w:rFonts w:ascii="Arial" w:cs="Arial" w:eastAsia="Arial" w:hAnsi="Arial"/>
                <w:sz w:val="14"/>
                <w:szCs w:val="14"/>
                <w:color w:val="auto"/>
                <w:shd w:val="clear" w:color="auto" w:fill="CCEEFF"/>
              </w:rPr>
              <w:t>Fairfax, VA 22042</w:t>
            </w: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8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00" w:type="dxa"/>
            <w:vAlign w:val="bottom"/>
            <w:gridSpan w:val="9"/>
          </w:tcPr>
          <w:p>
            <w:pPr>
              <w:ind w:left="40"/>
              <w:spacing w:after="0" w:line="157" w:lineRule="exact"/>
              <w:rPr>
                <w:sz w:val="20"/>
                <w:szCs w:val="20"/>
                <w:color w:val="auto"/>
              </w:rPr>
            </w:pPr>
            <w:r>
              <w:rPr>
                <w:rFonts w:ascii="Arial" w:cs="Arial" w:eastAsia="Arial" w:hAnsi="Arial"/>
                <w:sz w:val="14"/>
                <w:szCs w:val="14"/>
                <w:color w:val="auto"/>
              </w:rPr>
              <w:t>Idylwood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1991</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73,000</w:t>
            </w:r>
          </w:p>
        </w:tc>
        <w:tc>
          <w:tcPr>
            <w:tcW w:w="12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w w:val="93"/>
              </w:rPr>
              <w:t>$48.71</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100 %</w:t>
            </w:r>
          </w:p>
        </w:tc>
        <w:tc>
          <w:tcPr>
            <w:tcW w:w="100" w:type="dxa"/>
            <w:vAlign w:val="bottom"/>
          </w:tcPr>
          <w:p>
            <w:pPr>
              <w:spacing w:after="0"/>
              <w:rPr>
                <w:sz w:val="13"/>
                <w:szCs w:val="13"/>
                <w:color w:val="auto"/>
              </w:rPr>
            </w:pPr>
          </w:p>
        </w:tc>
        <w:tc>
          <w:tcPr>
            <w:tcW w:w="24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2"/>
        </w:trPr>
        <w:tc>
          <w:tcPr>
            <w:tcW w:w="3100" w:type="dxa"/>
            <w:vAlign w:val="bottom"/>
            <w:gridSpan w:val="9"/>
          </w:tcPr>
          <w:p>
            <w:pPr>
              <w:ind w:left="40"/>
              <w:spacing w:after="0"/>
              <w:rPr>
                <w:sz w:val="20"/>
                <w:szCs w:val="20"/>
                <w:color w:val="auto"/>
              </w:rPr>
            </w:pPr>
            <w:r>
              <w:rPr>
                <w:rFonts w:ascii="Arial" w:cs="Arial" w:eastAsia="Arial" w:hAnsi="Arial"/>
                <w:sz w:val="14"/>
                <w:szCs w:val="14"/>
                <w:color w:val="auto"/>
              </w:rPr>
              <w:t>Falls Church, VA 22030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Square Feet(1)</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Base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Per Square</w:t>
            </w:r>
          </w:p>
        </w:tc>
        <w:tc>
          <w:tcPr>
            <w:tcW w:w="11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2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w w:val="88"/>
                <w:shd w:val="clear" w:color="auto" w:fill="CCEEFF"/>
              </w:rPr>
              <w:t>Leesburg Plaza</w:t>
            </w:r>
          </w:p>
        </w:tc>
        <w:tc>
          <w:tcPr>
            <w:tcW w:w="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1967</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236,000</w:t>
            </w:r>
          </w:p>
        </w:tc>
        <w:tc>
          <w:tcPr>
            <w:tcW w:w="1240" w:type="dxa"/>
            <w:vAlign w:val="bottom"/>
            <w:gridSpan w:val="2"/>
            <w:shd w:val="clear" w:color="auto" w:fill="CCEEFF"/>
          </w:tcPr>
          <w:p>
            <w:pPr>
              <w:jc w:val="center"/>
              <w:ind w:left="48"/>
              <w:spacing w:after="0" w:line="157" w:lineRule="exact"/>
              <w:rPr>
                <w:sz w:val="20"/>
                <w:szCs w:val="20"/>
                <w:color w:val="auto"/>
              </w:rPr>
            </w:pPr>
            <w:r>
              <w:rPr>
                <w:rFonts w:ascii="Arial" w:cs="Arial" w:eastAsia="Arial" w:hAnsi="Arial"/>
                <w:sz w:val="14"/>
                <w:szCs w:val="14"/>
                <w:color w:val="auto"/>
                <w:w w:val="93"/>
              </w:rPr>
              <w:t>$23.58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87 %</w:t>
            </w:r>
          </w:p>
        </w:tc>
        <w:tc>
          <w:tcPr>
            <w:tcW w:w="100" w:type="dxa"/>
            <w:vAlign w:val="bottom"/>
            <w:shd w:val="clear" w:color="auto" w:fill="CCEEFF"/>
          </w:tcPr>
          <w:p>
            <w:pPr>
              <w:spacing w:after="0"/>
              <w:rPr>
                <w:sz w:val="13"/>
                <w:szCs w:val="13"/>
                <w:color w:val="auto"/>
              </w:rPr>
            </w:pPr>
          </w:p>
        </w:tc>
        <w:tc>
          <w:tcPr>
            <w:tcW w:w="24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Giant Food</w:t>
            </w:r>
          </w:p>
        </w:tc>
        <w:tc>
          <w:tcPr>
            <w:tcW w:w="0" w:type="dxa"/>
            <w:vAlign w:val="bottom"/>
          </w:tcPr>
          <w:p>
            <w:pPr>
              <w:spacing w:after="0"/>
              <w:rPr>
                <w:sz w:val="1"/>
                <w:szCs w:val="1"/>
                <w:color w:val="auto"/>
              </w:rPr>
            </w:pPr>
          </w:p>
        </w:tc>
      </w:tr>
      <w:tr>
        <w:trPr>
          <w:trHeight w:val="149"/>
        </w:trPr>
        <w:tc>
          <w:tcPr>
            <w:tcW w:w="9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Leesburg, VA</w:t>
            </w:r>
          </w:p>
        </w:tc>
        <w:tc>
          <w:tcPr>
            <w:tcW w:w="2060" w:type="dxa"/>
            <w:vAlign w:val="bottom"/>
            <w:gridSpan w:val="2"/>
            <w:shd w:val="clear" w:color="auto" w:fill="CCEEFF"/>
          </w:tcPr>
          <w:p>
            <w:pPr>
              <w:jc w:val="right"/>
              <w:ind w:right="1688"/>
              <w:spacing w:after="0" w:line="149" w:lineRule="exact"/>
              <w:rPr>
                <w:sz w:val="20"/>
                <w:szCs w:val="20"/>
                <w:color w:val="auto"/>
              </w:rPr>
            </w:pPr>
            <w:r>
              <w:rPr>
                <w:rFonts w:ascii="Arial" w:cs="Arial" w:eastAsia="Arial" w:hAnsi="Arial"/>
                <w:sz w:val="14"/>
                <w:szCs w:val="14"/>
                <w:color w:val="auto"/>
                <w:w w:val="71"/>
                <w:shd w:val="clear" w:color="auto" w:fill="CCEEFF"/>
              </w:rPr>
              <w:t>20176</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85"/>
                <w:shd w:val="clear" w:color="auto" w:fill="CCEEFF"/>
              </w:rPr>
              <w:t>Petsmart</w:t>
            </w:r>
          </w:p>
        </w:tc>
        <w:tc>
          <w:tcPr>
            <w:tcW w:w="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Office Depot</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Mount Vernon/South Valley/</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1966,</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2003/2006</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569,000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$18.73</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96 %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7770 Richmond Hwy</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1972,1987</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Alexandria, VA 22306(4)(7)</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9"/>
              </w:rPr>
              <w:t>&amp; 2001</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Results Fitness</w:t>
            </w:r>
          </w:p>
        </w:tc>
        <w:tc>
          <w:tcPr>
            <w:tcW w:w="0" w:type="dxa"/>
            <w:vAlign w:val="bottom"/>
          </w:tcPr>
          <w:p>
            <w:pPr>
              <w:spacing w:after="0"/>
              <w:rPr>
                <w:sz w:val="1"/>
                <w:szCs w:val="1"/>
                <w:color w:val="auto"/>
              </w:rPr>
            </w:pPr>
          </w:p>
        </w:tc>
      </w:tr>
      <w:tr>
        <w:trPr>
          <w:trHeight w:val="163"/>
        </w:trPr>
        <w:tc>
          <w:tcPr>
            <w:tcW w:w="9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6"/>
                <w:shd w:val="clear" w:color="auto" w:fill="CCEEFF"/>
              </w:rPr>
              <w:t>Old Keene Mill</w:t>
            </w: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1976</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$40.27</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Whole Foods</w:t>
            </w:r>
          </w:p>
        </w:tc>
        <w:tc>
          <w:tcPr>
            <w:tcW w:w="0" w:type="dxa"/>
            <w:vAlign w:val="bottom"/>
          </w:tcPr>
          <w:p>
            <w:pPr>
              <w:spacing w:after="0"/>
              <w:rPr>
                <w:sz w:val="1"/>
                <w:szCs w:val="1"/>
                <w:color w:val="auto"/>
              </w:rPr>
            </w:pPr>
          </w:p>
        </w:tc>
      </w:tr>
      <w:tr>
        <w:trPr>
          <w:trHeight w:val="149"/>
        </w:trPr>
        <w:tc>
          <w:tcPr>
            <w:tcW w:w="9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4"/>
                <w:shd w:val="clear" w:color="auto" w:fill="CCEEFF"/>
              </w:rPr>
              <w:t>Springfield, VA</w:t>
            </w:r>
          </w:p>
        </w:tc>
        <w:tc>
          <w:tcPr>
            <w:tcW w:w="2040" w:type="dxa"/>
            <w:vAlign w:val="bottom"/>
            <w:shd w:val="clear" w:color="auto" w:fill="CCEEFF"/>
          </w:tcPr>
          <w:p>
            <w:pPr>
              <w:jc w:val="right"/>
              <w:ind w:right="1568"/>
              <w:spacing w:after="0" w:line="149" w:lineRule="exact"/>
              <w:rPr>
                <w:sz w:val="20"/>
                <w:szCs w:val="20"/>
                <w:color w:val="auto"/>
              </w:rPr>
            </w:pPr>
            <w:r>
              <w:rPr>
                <w:rFonts w:ascii="Arial" w:cs="Arial" w:eastAsia="Arial" w:hAnsi="Arial"/>
                <w:sz w:val="14"/>
                <w:szCs w:val="14"/>
                <w:color w:val="auto"/>
                <w:w w:val="97"/>
                <w:shd w:val="clear" w:color="auto" w:fill="CCEEFF"/>
              </w:rPr>
              <w:t>22152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Walgreens</w:t>
            </w: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Planet Fitness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Pan Am</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1979</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227,000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$26.08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98 %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Fairfax, VA 22031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63"/>
        </w:trPr>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shd w:val="clear" w:color="auto" w:fill="CCEEFF"/>
              </w:rPr>
              <w:t>Pentagon Row</w:t>
            </w:r>
          </w:p>
        </w:tc>
        <w:tc>
          <w:tcPr>
            <w:tcW w:w="2100" w:type="dxa"/>
            <w:vAlign w:val="bottom"/>
            <w:gridSpan w:val="3"/>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2001-2002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1998/2010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298,000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$35.61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95 %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Harris Teeter</w:t>
            </w: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Arlington, VA</w:t>
            </w:r>
          </w:p>
        </w:tc>
        <w:tc>
          <w:tcPr>
            <w:tcW w:w="2100" w:type="dxa"/>
            <w:vAlign w:val="bottom"/>
            <w:gridSpan w:val="3"/>
            <w:shd w:val="clear" w:color="auto" w:fill="CCEEFF"/>
          </w:tcPr>
          <w:p>
            <w:pPr>
              <w:jc w:val="right"/>
              <w:ind w:right="1648"/>
              <w:spacing w:after="0" w:line="149" w:lineRule="exact"/>
              <w:rPr>
                <w:sz w:val="20"/>
                <w:szCs w:val="20"/>
                <w:color w:val="auto"/>
              </w:rPr>
            </w:pPr>
            <w:r>
              <w:rPr>
                <w:rFonts w:ascii="Arial" w:cs="Arial" w:eastAsia="Arial" w:hAnsi="Arial"/>
                <w:sz w:val="14"/>
                <w:szCs w:val="14"/>
                <w:color w:val="auto"/>
                <w:w w:val="92"/>
                <w:shd w:val="clear" w:color="auto" w:fill="CCEEFF"/>
              </w:rPr>
              <w:t>22202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0"/>
                <w:shd w:val="clear" w:color="auto" w:fill="CCEEFF"/>
              </w:rPr>
              <w:t>TJ Maxx</w:t>
            </w:r>
          </w:p>
        </w:tc>
        <w:tc>
          <w:tcPr>
            <w:tcW w:w="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7"/>
                <w:shd w:val="clear" w:color="auto" w:fill="CCEEFF"/>
              </w:rPr>
              <w:t>Bed, Bath</w:t>
            </w:r>
          </w:p>
        </w:tc>
        <w:tc>
          <w:tcPr>
            <w:tcW w:w="80" w:type="dxa"/>
            <w:vAlign w:val="bottom"/>
            <w:shd w:val="clear" w:color="auto" w:fill="CCEEFF"/>
          </w:tcPr>
          <w:p>
            <w:pPr>
              <w:spacing w:after="0"/>
              <w:rPr>
                <w:sz w:val="12"/>
                <w:szCs w:val="12"/>
                <w:color w:val="auto"/>
              </w:rPr>
            </w:pPr>
          </w:p>
        </w:tc>
        <w:tc>
          <w:tcPr>
            <w:tcW w:w="1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&amp; Beyond</w:t>
            </w: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DSW</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Pike 7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0"/>
              </w:rPr>
              <w:t>1997/2015</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172,000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$47.78</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91 %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Vienna, VA 22180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color w:val="auto"/>
              </w:rPr>
              <w:t>Crunch Fitness Staples</w:t>
            </w:r>
          </w:p>
        </w:tc>
        <w:tc>
          <w:tcPr>
            <w:tcW w:w="0" w:type="dxa"/>
            <w:vAlign w:val="bottom"/>
          </w:tcPr>
          <w:p>
            <w:pPr>
              <w:spacing w:after="0"/>
              <w:rPr>
                <w:sz w:val="1"/>
                <w:szCs w:val="1"/>
                <w:color w:val="auto"/>
              </w:rPr>
            </w:pPr>
          </w:p>
        </w:tc>
      </w:tr>
      <w:tr>
        <w:trPr>
          <w:trHeight w:val="163"/>
        </w:trPr>
        <w:tc>
          <w:tcPr>
            <w:tcW w:w="29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Tower Shopping Center</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112,000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$26.01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91 %</w:t>
            </w:r>
          </w:p>
        </w:tc>
        <w:tc>
          <w:tcPr>
            <w:tcW w:w="100" w:type="dxa"/>
            <w:vAlign w:val="bottom"/>
            <w:shd w:val="clear" w:color="auto" w:fill="CCEEFF"/>
          </w:tcPr>
          <w:p>
            <w:pPr>
              <w:spacing w:after="0"/>
              <w:rPr>
                <w:sz w:val="14"/>
                <w:szCs w:val="14"/>
                <w:color w:val="auto"/>
              </w:rPr>
            </w:pP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w w:val="98"/>
                <w:shd w:val="clear" w:color="auto" w:fill="CCEEFF"/>
              </w:rPr>
              <w:t>L.A. Mart</w:t>
            </w: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Springfield, VA 22150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Talbots</w:t>
            </w:r>
          </w:p>
        </w:tc>
        <w:tc>
          <w:tcPr>
            <w:tcW w:w="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Total Wine &amp; More</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Tyson's Station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1954</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1978</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3"/>
              </w:rPr>
              <w:t>50,000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$46.72</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96 %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88"/>
        </w:trPr>
        <w:tc>
          <w:tcPr>
            <w:tcW w:w="3100" w:type="dxa"/>
            <w:vAlign w:val="bottom"/>
            <w:gridSpan w:val="5"/>
          </w:tcPr>
          <w:p>
            <w:pPr>
              <w:ind w:left="40"/>
              <w:spacing w:after="0"/>
              <w:rPr>
                <w:sz w:val="20"/>
                <w:szCs w:val="20"/>
                <w:color w:val="auto"/>
              </w:rPr>
            </w:pPr>
            <w:r>
              <w:rPr>
                <w:rFonts w:ascii="Arial" w:cs="Arial" w:eastAsia="Arial" w:hAnsi="Arial"/>
                <w:sz w:val="14"/>
                <w:szCs w:val="14"/>
                <w:color w:val="auto"/>
              </w:rPr>
              <w:t>Falls Church, VA 22043</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Village at Shirlington</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1940,</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258,000</w:t>
            </w:r>
          </w:p>
        </w:tc>
        <w:tc>
          <w:tcPr>
            <w:tcW w:w="12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$39.36</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91 %</w:t>
            </w:r>
          </w:p>
        </w:tc>
        <w:tc>
          <w:tcPr>
            <w:tcW w:w="100" w:type="dxa"/>
            <w:vAlign w:val="bottom"/>
            <w:shd w:val="clear" w:color="auto" w:fill="CCEEFF"/>
          </w:tcPr>
          <w:p>
            <w:pPr>
              <w:spacing w:after="0"/>
              <w:rPr>
                <w:sz w:val="14"/>
                <w:szCs w:val="14"/>
                <w:color w:val="auto"/>
              </w:rPr>
            </w:pPr>
          </w:p>
        </w:tc>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Harris Teeter</w:t>
            </w:r>
          </w:p>
        </w:tc>
        <w:tc>
          <w:tcPr>
            <w:tcW w:w="0" w:type="dxa"/>
            <w:vAlign w:val="bottom"/>
          </w:tcPr>
          <w:p>
            <w:pPr>
              <w:spacing w:after="0"/>
              <w:rPr>
                <w:sz w:val="1"/>
                <w:szCs w:val="1"/>
                <w:color w:val="auto"/>
              </w:rPr>
            </w:pPr>
          </w:p>
        </w:tc>
      </w:tr>
      <w:tr>
        <w:trPr>
          <w:trHeight w:val="149"/>
        </w:trPr>
        <w:tc>
          <w:tcPr>
            <w:tcW w:w="2980" w:type="dxa"/>
            <w:vAlign w:val="bottom"/>
            <w:gridSpan w:val="4"/>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Arlington, VA 22206(4)</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2006-2009</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AMC</w:t>
            </w:r>
          </w:p>
        </w:tc>
        <w:tc>
          <w:tcPr>
            <w:tcW w:w="2000" w:type="dxa"/>
            <w:vAlign w:val="bottom"/>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77"/>
                <w:shd w:val="clear" w:color="auto" w:fill="CCEEFF"/>
              </w:rPr>
              <w:t>Carlyle</w:t>
            </w:r>
          </w:p>
        </w:tc>
        <w:tc>
          <w:tcPr>
            <w:tcW w:w="20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shd w:val="clear" w:color="auto" w:fill="CCEEFF"/>
              </w:rPr>
              <w:t>Grand Café</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Willow Lawn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1957</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w w:val="94"/>
              </w:rPr>
              <w:t>464,000</w:t>
            </w:r>
          </w:p>
        </w:tc>
        <w:tc>
          <w:tcPr>
            <w:tcW w:w="124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$19.89</w:t>
            </w:r>
          </w:p>
        </w:tc>
        <w:tc>
          <w:tcPr>
            <w:tcW w:w="12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85 %</w:t>
            </w:r>
          </w:p>
        </w:tc>
        <w:tc>
          <w:tcPr>
            <w:tcW w:w="100" w:type="dxa"/>
            <w:vAlign w:val="bottom"/>
          </w:tcPr>
          <w:p>
            <w:pPr>
              <w:spacing w:after="0"/>
              <w:rPr>
                <w:sz w:val="13"/>
                <w:szCs w:val="13"/>
                <w:color w:val="auto"/>
              </w:rPr>
            </w:pPr>
          </w:p>
        </w:tc>
        <w:tc>
          <w:tcPr>
            <w:tcW w:w="24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3100" w:type="dxa"/>
            <w:vAlign w:val="bottom"/>
            <w:gridSpan w:val="5"/>
          </w:tcPr>
          <w:p>
            <w:pPr>
              <w:ind w:left="40"/>
              <w:spacing w:after="0" w:line="149" w:lineRule="exact"/>
              <w:rPr>
                <w:sz w:val="20"/>
                <w:szCs w:val="20"/>
                <w:color w:val="auto"/>
              </w:rPr>
            </w:pPr>
            <w:r>
              <w:rPr>
                <w:rFonts w:ascii="Arial" w:cs="Arial" w:eastAsia="Arial" w:hAnsi="Arial"/>
                <w:sz w:val="14"/>
                <w:szCs w:val="14"/>
                <w:color w:val="auto"/>
              </w:rPr>
              <w:t>Richmond, VA 23230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88"/>
        </w:trPr>
        <w:tc>
          <w:tcPr>
            <w:tcW w:w="8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77"/>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Total All Regions—Retail(10)</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23,676,000</w:t>
            </w:r>
          </w:p>
        </w:tc>
        <w:tc>
          <w:tcPr>
            <w:tcW w:w="1240" w:type="dxa"/>
            <w:vAlign w:val="bottom"/>
            <w:gridSpan w:val="2"/>
            <w:vMerge w:val="restart"/>
            <w:shd w:val="clear" w:color="auto" w:fill="CCEEFF"/>
          </w:tcPr>
          <w:p>
            <w:pPr>
              <w:jc w:val="center"/>
              <w:ind w:left="48"/>
              <w:spacing w:after="0"/>
              <w:rPr>
                <w:sz w:val="20"/>
                <w:szCs w:val="20"/>
                <w:color w:val="auto"/>
              </w:rPr>
            </w:pPr>
            <w:r>
              <w:rPr>
                <w:rFonts w:ascii="Arial" w:cs="Arial" w:eastAsia="Arial" w:hAnsi="Arial"/>
                <w:sz w:val="14"/>
                <w:szCs w:val="14"/>
                <w:b w:val="1"/>
                <w:bCs w:val="1"/>
                <w:color w:val="auto"/>
                <w:w w:val="93"/>
              </w:rPr>
              <w:t>$29.05</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94%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100" w:type="dxa"/>
            <w:vAlign w:val="bottom"/>
            <w:gridSpan w:val="5"/>
          </w:tcPr>
          <w:p>
            <w:pPr>
              <w:ind w:left="40"/>
              <w:spacing w:after="0"/>
              <w:rPr>
                <w:sz w:val="20"/>
                <w:szCs w:val="20"/>
                <w:color w:val="auto"/>
              </w:rPr>
            </w:pPr>
            <w:r>
              <w:rPr>
                <w:rFonts w:ascii="Arial" w:cs="Arial" w:eastAsia="Arial" w:hAnsi="Arial"/>
                <w:sz w:val="14"/>
                <w:szCs w:val="14"/>
                <w:b w:val="1"/>
                <w:bCs w:val="1"/>
                <w:color w:val="auto"/>
              </w:rPr>
              <w:t>Total All Regions—Residential</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2,788 units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8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GLA of the commercial portion of the property. Some of our properties include office space which is included in this square footage.</w:t>
      </w:r>
    </w:p>
    <w:p>
      <w:pPr>
        <w:spacing w:after="0" w:line="13" w:lineRule="exact"/>
        <w:rPr>
          <w:rFonts w:ascii="Arial" w:cs="Arial" w:eastAsia="Arial" w:hAnsi="Arial"/>
          <w:sz w:val="14"/>
          <w:szCs w:val="14"/>
          <w:color w:val="auto"/>
        </w:rPr>
      </w:pPr>
    </w:p>
    <w:p>
      <w:pPr>
        <w:ind w:left="660" w:right="20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base rent is calculated as the aggregate, annualized in-place contractual (defined as cash basis excluding rent abatements) minimum rent for all occupied spaces divided by the aggregate GLA of all occupied spaces. Average base rent is for commercial spaces only.</w:t>
      </w:r>
    </w:p>
    <w:p>
      <w:pPr>
        <w:ind w:left="660" w:right="44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Percentage leased is expressed as a percentage of rentable commercial square feet occupied or subject to a lease. Residential percentage leased is expressed as a percentage of units occupied or subject to a lease.</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the controlling interest in this property.</w:t>
      </w:r>
    </w:p>
    <w:p>
      <w:pPr>
        <w:spacing w:after="0" w:line="1" w:lineRule="exact"/>
        <w:rPr>
          <w:rFonts w:ascii="Arial" w:cs="Arial" w:eastAsia="Arial" w:hAnsi="Arial"/>
          <w:sz w:val="14"/>
          <w:szCs w:val="14"/>
          <w:color w:val="auto"/>
        </w:rPr>
      </w:pPr>
    </w:p>
    <w:p>
      <w:pPr>
        <w:ind w:left="660" w:right="12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 June 15, 2018, we formed a new joint venture to develop Freedom Plaza (formerly known as Jordan Downs Plaza), which when completed, will be an approximately 113,000 square foot grocery anchored shopping center. See Note 3 to the Consolidated Financial Statements for for further discussion.</w:t>
      </w:r>
    </w:p>
    <w:p>
      <w:pPr>
        <w:ind w:left="660" w:right="44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a noncontrolling interest in this property.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 excluding our La Alameda property, which is unconsolidated.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Item 7. Management's Discussion and Analysis of Financial Condition and Results of Operations.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property includes interests in five buildings in addition to our initial acquisition.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property includes 37 buildings primarily along Washington Street and 14th Street in Hoboken, New Jersey.</w:t>
      </w:r>
    </w:p>
    <w:p>
      <w:pPr>
        <w:spacing w:after="0" w:line="3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our current proceedings will not have a material adverse effect on our financial condition, liquidity or results of operations. See Note 7 to the Consolidated Financial Statements for further discussions.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126" w:right="1440"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5. MARKET FOR OUR COMMON EQUITY AND RELATED SHAREHOLDER MATTERS AND ISSUER PURCHASES OF EQUITY SECURITIES</w:t>
      </w:r>
    </w:p>
    <w:p>
      <w:pPr>
        <w:spacing w:after="0" w:line="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sales prices of our common shares as reported on the New York Stock Exchange and the dividends declared for each of the periods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65"/>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5"/>
                <w:szCs w:val="5"/>
                <w:color w:val="auto"/>
              </w:rPr>
            </w:pPr>
          </w:p>
        </w:tc>
        <w:tc>
          <w:tcPr>
            <w:tcW w:w="8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141.35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126.69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126.11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139.03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126.29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131.72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120.00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110.66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134.20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106.41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February 5, 2020, there were 2,378 holders of record of our common shares.</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52 consecutive years.</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total annual dividends paid per common share for 2019 and 2018 were $4.11 per share and $4.02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2020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35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dividend</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Ordinary dividend eligible for 15% rate</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0.161</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4.110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Distributions on our 5.417% Series 1 Cumulative Convertible Preferred Shares were paid at the rate of $1.354 per share per annum commencing on the issuance date of March 8, 2007. Distributions on our 5.0% Series C Cumulative Redeemable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Preferred Shares (which were issued September 29, 2017) were declared at the rate of $1.25 per depositary share per annum, and the first payment date was January 16, 2018. In 2018, dividends paid per depositary share were $1.306 due to the timing of issuance.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 Performance</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2014, and ending December 31, 2019,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27940</wp:posOffset>
            </wp:positionV>
            <wp:extent cx="5848985" cy="3996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2019, we issued 17,035 common shares in connection with the redemption of operating partnership units. Such shares of common stock were issued in reliance on Section 4(a)(2) of the Securities Act. Any other equity securities sold by us during 2019 that were not registered have been previously reported in a Quarterly Report on 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2019, 10,501 restricted common shares were forfeited by former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6" w:right="2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126" w:right="37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9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64"/>
        </w:trPr>
        <w:tc>
          <w:tcPr>
            <w:tcW w:w="4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40" w:type="dxa"/>
            <w:vAlign w:val="bottom"/>
            <w:gridSpan w:val="6"/>
          </w:tcPr>
          <w:p>
            <w:pPr>
              <w:jc w:val="center"/>
              <w:ind w:right="231"/>
              <w:spacing w:after="0"/>
              <w:rPr>
                <w:sz w:val="20"/>
                <w:szCs w:val="20"/>
                <w:color w:val="auto"/>
              </w:rPr>
            </w:pPr>
            <w:r>
              <w:rPr>
                <w:rFonts w:ascii="Arial" w:cs="Arial" w:eastAsia="Arial" w:hAnsi="Arial"/>
                <w:sz w:val="14"/>
                <w:szCs w:val="14"/>
                <w:b w:val="1"/>
                <w:bCs w:val="1"/>
                <w:color w:val="auto"/>
                <w:w w:val="91"/>
              </w:rPr>
              <w:t>(In thousands, except per share data and ratios)</w:t>
            </w: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Rental income</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932,738</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912,287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854,286</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797,598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739,622</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income(1)</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637,030</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627,566</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584,619</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547,979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510,595</w:t>
            </w:r>
          </w:p>
        </w:tc>
      </w:tr>
      <w:tr>
        <w:trPr>
          <w:trHeight w:val="243"/>
        </w:trPr>
        <w:tc>
          <w:tcPr>
            <w:tcW w:w="4860" w:type="dxa"/>
            <w:vAlign w:val="bottom"/>
            <w:gridSpan w:val="4"/>
          </w:tcPr>
          <w:p>
            <w:pPr>
              <w:ind w:left="40"/>
              <w:spacing w:after="0"/>
              <w:rPr>
                <w:sz w:val="20"/>
                <w:szCs w:val="20"/>
                <w:color w:val="auto"/>
              </w:rPr>
            </w:pPr>
            <w:r>
              <w:rPr>
                <w:rFonts w:ascii="Arial" w:cs="Arial" w:eastAsia="Arial" w:hAnsi="Arial"/>
                <w:sz w:val="18"/>
                <w:szCs w:val="18"/>
                <w:color w:val="auto"/>
                <w:w w:val="90"/>
              </w:rPr>
              <w:t>Gain on sale of real estate and change in control of interests, net $</w:t>
            </w:r>
          </w:p>
        </w:tc>
        <w:tc>
          <w:tcPr>
            <w:tcW w:w="780" w:type="dxa"/>
            <w:vAlign w:val="bottom"/>
          </w:tcPr>
          <w:p>
            <w:pPr>
              <w:jc w:val="right"/>
              <w:spacing w:after="0"/>
              <w:rPr>
                <w:sz w:val="20"/>
                <w:szCs w:val="20"/>
                <w:color w:val="auto"/>
              </w:rPr>
            </w:pPr>
            <w:r>
              <w:rPr>
                <w:rFonts w:ascii="Arial" w:cs="Arial" w:eastAsia="Arial" w:hAnsi="Arial"/>
                <w:sz w:val="18"/>
                <w:szCs w:val="18"/>
                <w:color w:val="auto"/>
              </w:rPr>
              <w:t>116,393</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11,915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77,922</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32,458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28,330</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470,911</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361,636</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410,210</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353,453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328,484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360,542</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249,026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297,870</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258,883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218,424</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345,824</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233,865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287,456</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249,369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209,678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461,919</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516,688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458,828</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427,672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371,808</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(316,532)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(192,247)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(837,922)</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(590,221)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8"/>
              </w:rPr>
              <w:t>(355,353)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(100,105)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(241,309)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369,445</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168,838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1"/>
              <w:spacing w:after="0"/>
              <w:rPr>
                <w:sz w:val="20"/>
                <w:szCs w:val="20"/>
                <w:color w:val="auto"/>
              </w:rPr>
            </w:pPr>
            <w:r>
              <w:rPr>
                <w:rFonts w:ascii="Arial" w:cs="Arial" w:eastAsia="Arial" w:hAnsi="Arial"/>
                <w:sz w:val="18"/>
                <w:szCs w:val="18"/>
                <w:color w:val="auto"/>
              </w:rPr>
              <w:t>(42,188)</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4.61</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3.51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3.04</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Weighted average number of common shares, basic</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73,274</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72,117</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70,877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68,797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3.97</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3.03</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w w:val="89"/>
              </w:rPr>
              <w:t>Weighted average number of common shares, diluted</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74,766</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73,302</w:t>
            </w:r>
          </w:p>
        </w:tc>
        <w:tc>
          <w:tcPr>
            <w:tcW w:w="5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72,233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71,049</w:t>
            </w:r>
          </w:p>
        </w:tc>
        <w:tc>
          <w:tcPr>
            <w:tcW w:w="420" w:type="dxa"/>
            <w:vAlign w:val="bottom"/>
          </w:tcPr>
          <w:p>
            <w:pPr>
              <w:spacing w:after="0"/>
              <w:rPr>
                <w:sz w:val="21"/>
                <w:szCs w:val="21"/>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68,981</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3.96</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3.62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Funds from operations available to common shareholders(2)</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465,819</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461,777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419,977</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406,359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352,857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EBITDAre(3)</w:t>
            </w:r>
          </w:p>
        </w:tc>
        <w:tc>
          <w:tcPr>
            <w:tcW w:w="4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599,567</w:t>
            </w:r>
          </w:p>
        </w:tc>
        <w:tc>
          <w:tcPr>
            <w:tcW w:w="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595,558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549,107</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515,151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478,734</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Ratio of EBITDAre to combined fixed charges and preferred</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dividends(3)(4)</w:t>
            </w:r>
          </w:p>
        </w:tc>
        <w:tc>
          <w:tcPr>
            <w:tcW w:w="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4.2x</w:t>
            </w: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4.2x</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3.9x</w:t>
            </w: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4.5x</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3.6x</w:t>
            </w:r>
          </w:p>
        </w:tc>
      </w:tr>
      <w:tr>
        <w:trPr>
          <w:trHeight w:val="332"/>
        </w:trPr>
        <w:tc>
          <w:tcPr>
            <w:tcW w:w="4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4"/>
        </w:trPr>
        <w:tc>
          <w:tcPr>
            <w:tcW w:w="4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471"/>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196"/>
        </w:trPr>
        <w:tc>
          <w:tcPr>
            <w:tcW w:w="4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at cost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151"/>
              <w:spacing w:after="0"/>
              <w:rPr>
                <w:sz w:val="20"/>
                <w:szCs w:val="20"/>
                <w:color w:val="auto"/>
              </w:rPr>
            </w:pPr>
            <w:r>
              <w:rPr>
                <w:rFonts w:ascii="Arial" w:cs="Arial" w:eastAsia="Arial" w:hAnsi="Arial"/>
                <w:sz w:val="18"/>
                <w:szCs w:val="18"/>
                <w:color w:val="auto"/>
              </w:rPr>
              <w:t>8,298,132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7,819,472</w:t>
            </w:r>
          </w:p>
        </w:tc>
        <w:tc>
          <w:tcPr>
            <w:tcW w:w="500" w:type="dxa"/>
            <w:vAlign w:val="bottom"/>
          </w:tcPr>
          <w:p>
            <w:pPr>
              <w:jc w:val="right"/>
              <w:ind w:right="29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w w:val="92"/>
              </w:rPr>
              <w:t>7,635,061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6,759,073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6,064,406</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ind w:right="151"/>
              <w:spacing w:after="0"/>
              <w:rPr>
                <w:sz w:val="20"/>
                <w:szCs w:val="20"/>
                <w:color w:val="auto"/>
              </w:rPr>
            </w:pPr>
            <w:r>
              <w:rPr>
                <w:rFonts w:ascii="Arial" w:cs="Arial" w:eastAsia="Arial" w:hAnsi="Arial"/>
                <w:sz w:val="18"/>
                <w:szCs w:val="18"/>
                <w:color w:val="auto"/>
              </w:rPr>
              <w:t>6,794,992</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6,289,644</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2"/>
              </w:rPr>
              <w:t>6,275,755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5,423,279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4,896,559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151"/>
              <w:spacing w:after="0"/>
              <w:rPr>
                <w:sz w:val="20"/>
                <w:szCs w:val="20"/>
                <w:color w:val="auto"/>
              </w:rPr>
            </w:pPr>
            <w:r>
              <w:rPr>
                <w:rFonts w:ascii="Arial" w:cs="Arial" w:eastAsia="Arial" w:hAnsi="Arial"/>
                <w:sz w:val="18"/>
                <w:szCs w:val="18"/>
                <w:color w:val="auto"/>
              </w:rPr>
              <w:t>3,356,594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3,229,204</w:t>
            </w:r>
          </w:p>
        </w:tc>
        <w:tc>
          <w:tcPr>
            <w:tcW w:w="500" w:type="dxa"/>
            <w:vAlign w:val="bottom"/>
          </w:tcPr>
          <w:p>
            <w:pPr>
              <w:jc w:val="right"/>
              <w:ind w:right="29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w w:val="92"/>
              </w:rPr>
              <w:t>3,284,766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w w:val="99"/>
              </w:rPr>
              <w:t>2,798,452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2,627,216</w:t>
            </w:r>
          </w:p>
        </w:tc>
      </w:tr>
      <w:tr>
        <w:trPr>
          <w:trHeight w:val="27"/>
        </w:trPr>
        <w:tc>
          <w:tcPr>
            <w:tcW w:w="4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ind w:right="151"/>
              <w:spacing w:after="0"/>
              <w:rPr>
                <w:sz w:val="20"/>
                <w:szCs w:val="20"/>
                <w:color w:val="auto"/>
              </w:rPr>
            </w:pPr>
            <w:r>
              <w:rPr>
                <w:rFonts w:ascii="Arial" w:cs="Arial" w:eastAsia="Arial" w:hAnsi="Arial"/>
                <w:sz w:val="18"/>
                <w:szCs w:val="18"/>
                <w:color w:val="auto"/>
              </w:rPr>
              <w:t>2,636,132</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2,467,330</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2"/>
              </w:rPr>
              <w:t>2,391,514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2,075,835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1,781,931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Number of common shares outstanding</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color w:val="auto"/>
                <w:w w:val="94"/>
              </w:rPr>
              <w:t>75,541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74,250</w:t>
            </w:r>
          </w:p>
        </w:tc>
        <w:tc>
          <w:tcPr>
            <w:tcW w:w="50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73,091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71,996</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69,493</w:t>
            </w:r>
          </w:p>
        </w:tc>
      </w:tr>
    </w:tbl>
    <w:p>
      <w:pPr>
        <w:spacing w:after="0" w:line="229" w:lineRule="exact"/>
        <w:rPr>
          <w:sz w:val="20"/>
          <w:szCs w:val="20"/>
          <w:color w:val="auto"/>
        </w:rPr>
      </w:pPr>
    </w:p>
    <w:p>
      <w:pPr>
        <w:ind w:left="340" w:right="30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reconciliation of operating income to property operating income is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6" w:right="2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50"/>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470,911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361,636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410,210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353,453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328,484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42,754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36,281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33,399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35,645</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174,796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(28,330)</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637,030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627,566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584,619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547,979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510,595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hanging="332"/>
        <w:spacing w:after="0" w:line="30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Funds from operations ("FFO") is a supplemental non-GAAP financial measure of real estate companies’ operating performances. The National Association of Real Estate Investment Trusts (“NAREIT”) defines FFO as follows: net income, computed in accordance with GAAP, plus real estate related depreciation and amortization, gains and losses on the sale of real estate, and impairment write-downs of depreciable real estate. We compute FFO in accordance with the NAREIT definition, and we have historically reported our FFO available for common shareholders in addition to our net income.</w:t>
      </w:r>
    </w:p>
    <w:p>
      <w:pPr>
        <w:spacing w:after="0" w:line="19" w:lineRule="exact"/>
        <w:rPr>
          <w:rFonts w:ascii="Arial" w:cs="Arial" w:eastAsia="Arial" w:hAnsi="Arial"/>
          <w:sz w:val="16"/>
          <w:szCs w:val="16"/>
          <w:color w:val="auto"/>
        </w:rPr>
      </w:pPr>
    </w:p>
    <w:p>
      <w:pPr>
        <w:ind w:left="340" w:right="100"/>
        <w:spacing w:after="0" w:line="273" w:lineRule="auto"/>
        <w:rPr>
          <w:rFonts w:ascii="Arial" w:cs="Arial" w:eastAsia="Arial" w:hAnsi="Arial"/>
          <w:sz w:val="16"/>
          <w:szCs w:val="16"/>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12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360,542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258,883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218,424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(8,205)</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215,139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213,098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188,719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169,198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154,232</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15,026</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Funds from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471,971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467,693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420,125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404,850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351,147</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3,398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465,819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461,777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419,977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406,359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352,857</w:t>
            </w:r>
          </w:p>
        </w:tc>
      </w:tr>
      <w:tr>
        <w:trPr>
          <w:trHeight w:val="27"/>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200" w:hanging="332"/>
        <w:spacing w:after="0" w:line="272" w:lineRule="auto"/>
        <w:tabs>
          <w:tab w:leader="none" w:pos="271" w:val="left"/>
        </w:tabs>
        <w:numPr>
          <w:ilvl w:val="0"/>
          <w:numId w:val="30"/>
        </w:numPr>
        <w:rPr>
          <w:rFonts w:ascii="Arial" w:cs="Arial" w:eastAsia="Arial" w:hAnsi="Arial"/>
          <w:sz w:val="17"/>
          <w:szCs w:val="17"/>
          <w:color w:val="auto"/>
        </w:rPr>
      </w:pPr>
      <w:r>
        <w:rPr>
          <w:rFonts w:ascii="Arial" w:cs="Arial" w:eastAsia="Arial" w:hAnsi="Arial"/>
          <w:sz w:val="17"/>
          <w:szCs w:val="17"/>
          <w:color w:val="auto"/>
        </w:rPr>
        <w:t>EBITDA for Real Estate ("EBITDAre") is a non-GAAP measure that NAREIT 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EBITDAre for the periods presented is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360,542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258,883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218,424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109,623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110,154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100,125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94,994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92,553</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19,072</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239,758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244,245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216,050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193,585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174,796</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Adjustments of EBITDAre of unconsolidated affiliates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6,917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2,368</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599,567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549,107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515,151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478,734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100" w:hanging="332"/>
        <w:spacing w:after="0" w:line="288" w:lineRule="auto"/>
        <w:tabs>
          <w:tab w:leader="none" w:pos="271"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 premiums and debt costs, costs related to the early extinguishment of debt, and the portion of rent expense representing an interest factor. Excluding the $11.9 million charge related to the buyout of the Kmart lease at Assembly Square Marketplace, our ratio of EBITDAre to combined fixed charges and preferred share dividends remains</w:t>
      </w:r>
    </w:p>
    <w:p>
      <w:pPr>
        <w:ind w:left="340" w:right="140"/>
        <w:spacing w:after="0" w:line="290" w:lineRule="auto"/>
        <w:rPr>
          <w:rFonts w:ascii="Arial" w:cs="Arial" w:eastAsia="Arial" w:hAnsi="Arial"/>
          <w:sz w:val="16"/>
          <w:szCs w:val="16"/>
          <w:color w:val="auto"/>
        </w:rPr>
      </w:pPr>
      <w:r>
        <w:rPr>
          <w:rFonts w:ascii="Arial" w:cs="Arial" w:eastAsia="Arial" w:hAnsi="Arial"/>
          <w:sz w:val="17"/>
          <w:szCs w:val="17"/>
          <w:color w:val="auto"/>
        </w:rPr>
        <w:t>4.2x in 2019. Excluding the $12.3 million and $19.1 million early extinguishment of debt charge from fixed charges in 2017 and 2015, respectively, the ratio of EBITDAre to combined fixed charges and preferred share dividends is 4.2x and 4.3x, for 2017 and 2015, respectively.</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section generally discusses 2019 and 2018 items and year-to-year comparisons between 2019 and 2018. Discussions of 2017 items and year-to-year comparisons between 2018 and 2017 that are not included in this Form 10-K can be found in “Management’s Discussion and Analysis of Financial Condition and Results of Operations” in Part II, Item 7 of our Annual Report on Form 10-K for the fiscal year ended December 31, 2018 filed with the Securities and Exchange Commission on February 13,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December 31, 2019, we owned or had a majority interest in community and neighborhood shopping centers and mixed-use properties which are operated as 104 predominantly retail real estate projects comprising approximately 23.7 million square feet. In total, the real estate projects were 94.2% leased and 92.5% occupied at December 31, 2019. We have paid quarterly dividends to our shareholders continuously since our founding in 1962 and have increased our dividends per common share for 52 consecutive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6" w:right="2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significant accounting policies are more fully described in Note 2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beginning January 1, 2019, with our adoption of Accounting Standards Codification (ASC) 842, "Leases"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leases with our tenants are classified as operating leases. When collection of substantially all lease payments during the lease term is considered probable, the lease qualifies for accrual accounting. Lease payments are recognized on a straight-line basis from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lease term requires judgment. This determination is impacted by numerous factors including our assessment of the tenant’s credit worthiness, economic conditions, our historical experience with the tenant and tenants operating in the same industry, and the length of the lease term. If leases currently classified as probable are subsequently reclassified as not probable, any outstanding lease receivables (including straight-line rent receivables) would be written-off with a corresponding decrease in rental income. For example, in the event that our collectability determinations were not accurate and we were required to write off additional receivables equaling 1% of rental income, our rental income and net income would decrease by $9.3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prior to January 1, 2019</w:t>
      </w:r>
    </w:p>
    <w:p>
      <w:pPr>
        <w:spacing w:after="0" w:line="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Prior to January 1, 2019, management estimates of collectability were considered when reserving for billed and accrued lease receivables and straight-line rent receivables. Full and partial reserves were recorded when determined to be appropriate with a corresponding charge to bad debt expense. The primary impact of the adoption of ASC 842, “Leases,” on our recognition of lease revenue relates to the upfront and ongoing assessment of the collectability of substantially all lease payments required by the new standard.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9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may take into account such factors as the historical retirement and replacement of our assets, expected redevelopments, and general economic and real estate factors. Certain events, such as unforeseen competition or changes in customer shopping habits, could substantially alter our assumptions regarding our ability to realize the expected return on investment in the property and therefore reduce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6" w:right="2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Land, buildings and real estate under development are recorded at cost. We calculate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2 to 20 years.</w:t>
      </w:r>
    </w:p>
    <w:p>
      <w:pPr>
        <w:spacing w:after="0" w:line="13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0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external and internal costs directly related to the development, redevelopment and leasing of real estate, including pre-construction costs, real estate taxes, insurance, and construction costs and salaries and related costs of personnel directly involved, are capitalized. We capitalized external and internal costs related to both development and redevelopment activities of $352 million and $9 million, respectively, for 2019 and $274 million and $8 million, respectively, for 2018. We capitalized external and internal costs related to other property improvements of $80 million and $3 million, respectively, for 2019 and $62 million and $3 million, respectively, for 2018. We capitalized external and internal costs related to leasing activities of $24 million and $2 million, respectively, for 2019 and $20 million and $6 million, respectively, for 2018. The amount of capitalized internal costs for salaries and related benefits for development and redevelopment activities, other property improvements, and leasing activities were $8 million, $3 million, and $2 million, respectively, for 2019 and $7 million, $3 million, and $6 million, respectively, for 2018. Total capitalized costs were $471 million for 2019 and $373 million for 2018,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Upon acquisition of operating real estate properties, we estimate the fair value of assets and liabilities acquired including land, building, improvements, leasing costs, intangibles such as in-place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(VIEs) and Consolidation</w:t>
      </w:r>
    </w:p>
    <w:p>
      <w:pPr>
        <w:spacing w:after="0" w:line="9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18 entities that meet the criteria of a VIE and are consolidated. Net real estate assets related to VIEs included in our consolidated balance were approximately $1.5 billion for both December 31, 2019 and 2018, and mortgage payables related to VIEs included in our consolidated balance sheets were approximately $469.2 million and $444.4 million, as of December 31, 2019 and 2018, respectively. In addition, we hold equity method investments in two hotel joint ventures and one shopping center which are considered variable interests in a VIE.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be significant to the VIE.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determination of the power to direct the activities that most significantly impact economic performance requires judgment and is impacted by numerous factors including the purpose of the VIE, contractual rights and obligations of variable interest holders, and mechanisms for the resolution of disputes among the variable interest holders.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Impairment</w:t>
      </w:r>
    </w:p>
    <w:p>
      <w:pPr>
        <w:spacing w:after="0" w:line="9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projected to be incurred but not yet reported. Management considers a number of factors, including third-party actuarial analysis, previous experience in our portfolio, and future increases in costs of claims, when making these determinations. If our liability costs differ from these accruals, it will increase or decrease our net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Property Acquisitions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Gross Leasable</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0"/>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Date Acquired</w:t>
            </w:r>
          </w:p>
        </w:tc>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w:t>
            </w:r>
          </w:p>
        </w:tc>
        <w:tc>
          <w:tcPr>
            <w:tcW w:w="2640" w:type="dxa"/>
            <w:vAlign w:val="bottom"/>
            <w:gridSpan w:val="2"/>
          </w:tcPr>
          <w:p>
            <w:pPr>
              <w:ind w:left="20"/>
              <w:spacing w:after="0"/>
              <w:rPr>
                <w:sz w:val="20"/>
                <w:szCs w:val="20"/>
                <w:color w:val="auto"/>
              </w:rPr>
            </w:pPr>
            <w:r>
              <w:rPr>
                <w:rFonts w:ascii="Arial" w:cs="Arial" w:eastAsia="Arial" w:hAnsi="Arial"/>
                <w:sz w:val="16"/>
                <w:szCs w:val="16"/>
                <w:b w:val="1"/>
                <w:bCs w:val="1"/>
                <w:color w:val="auto"/>
              </w:rPr>
              <w:t>City/State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Area (GLA)</w:t>
            </w:r>
          </w:p>
        </w:tc>
        <w:tc>
          <w:tcPr>
            <w:tcW w:w="160" w:type="dxa"/>
            <w:vAlign w:val="bottom"/>
          </w:tcPr>
          <w:p>
            <w:pPr>
              <w:spacing w:after="0"/>
              <w:rPr>
                <w:sz w:val="18"/>
                <w:szCs w:val="18"/>
                <w:color w:val="auto"/>
              </w:rPr>
            </w:pPr>
          </w:p>
        </w:tc>
        <w:tc>
          <w:tcPr>
            <w:tcW w:w="1280" w:type="dxa"/>
            <w:vAlign w:val="bottom"/>
          </w:tcPr>
          <w:p>
            <w:pPr>
              <w:jc w:val="right"/>
              <w:ind w:right="94"/>
              <w:spacing w:after="0"/>
              <w:rPr>
                <w:sz w:val="20"/>
                <w:szCs w:val="20"/>
                <w:color w:val="auto"/>
              </w:rPr>
            </w:pPr>
            <w:r>
              <w:rPr>
                <w:rFonts w:ascii="Arial" w:cs="Arial" w:eastAsia="Arial" w:hAnsi="Arial"/>
                <w:sz w:val="16"/>
                <w:szCs w:val="16"/>
                <w:b w:val="1"/>
                <w:bCs w:val="1"/>
                <w:color w:val="auto"/>
                <w:w w:val="93"/>
              </w:rPr>
              <w:t>Purchase Price</w:t>
            </w:r>
          </w:p>
        </w:tc>
        <w:tc>
          <w:tcPr>
            <w:tcW w:w="480" w:type="dxa"/>
            <w:vAlign w:val="bottom"/>
          </w:tcPr>
          <w:p>
            <w:pPr>
              <w:spacing w:after="0"/>
              <w:rPr>
                <w:sz w:val="18"/>
                <w:szCs w:val="18"/>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8"/>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square feet)</w:t>
            </w:r>
          </w:p>
        </w:tc>
        <w:tc>
          <w:tcPr>
            <w:tcW w:w="160" w:type="dxa"/>
            <w:vAlign w:val="bottom"/>
          </w:tcPr>
          <w:p>
            <w:pPr>
              <w:spacing w:after="0"/>
              <w:rPr>
                <w:sz w:val="22"/>
                <w:szCs w:val="22"/>
                <w:color w:val="auto"/>
              </w:rPr>
            </w:pPr>
          </w:p>
        </w:tc>
        <w:tc>
          <w:tcPr>
            <w:tcW w:w="1280" w:type="dxa"/>
            <w:vAlign w:val="bottom"/>
          </w:tcPr>
          <w:p>
            <w:pPr>
              <w:jc w:val="right"/>
              <w:ind w:right="254"/>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2"/>
                <w:szCs w:val="22"/>
                <w:color w:val="auto"/>
              </w:rPr>
            </w:pPr>
          </w:p>
        </w:tc>
      </w:tr>
      <w:tr>
        <w:trPr>
          <w:trHeight w:val="256"/>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8, 2019</w:t>
            </w:r>
          </w:p>
        </w:tc>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Fairfax Junction</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80" w:type="dxa"/>
            <w:vAlign w:val="bottom"/>
            <w:tcBorders>
              <w:bottom w:val="single" w:sz="8" w:color="CCEEFF"/>
            </w:tcBorders>
            <w:shd w:val="clear" w:color="auto" w:fill="CCEEFF"/>
          </w:tcPr>
          <w:p>
            <w:pPr>
              <w:spacing w:after="0"/>
              <w:rPr>
                <w:sz w:val="22"/>
                <w:szCs w:val="22"/>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September 13, 2019</w:t>
            </w: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San Antonio Center</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Mountain View, California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6,000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21"/>
                <w:szCs w:val="2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15, 2019</w:t>
            </w:r>
          </w:p>
        </w:tc>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Georgetowne Shopping Center</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Brooklyn, New York</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Various 2019</w:t>
            </w: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Hoboken (37 mixed-use buildings)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Hoboken, New Jersey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158,000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189.2</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w:t>
            </w:r>
          </w:p>
        </w:tc>
      </w:tr>
    </w:tbl>
    <w:p>
      <w:pPr>
        <w:spacing w:after="0" w:line="26" w:lineRule="exact"/>
        <w:rPr>
          <w:sz w:val="20"/>
          <w:szCs w:val="20"/>
          <w:color w:val="auto"/>
        </w:rPr>
      </w:pPr>
    </w:p>
    <w:p>
      <w:pPr>
        <w:ind w:right="2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acquisitions were completed through a newly formed joint venture, for which we own a 90% interest. This property includes 123 residential units in addition to the GLA in the table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Property Dispositions</w:t>
      </w:r>
    </w:p>
    <w:p>
      <w:pPr>
        <w:spacing w:after="0" w:line="9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December 11, 2019, we received $154.7 million in net proceeds related to the sale under the threat of condemnation of 11.7 acres of San Antonio Center to a local school district ("the condemning authority"). As part of the transaction, the condemning authority will commence condemnation proceedings in order to terminate all existing leases they assumed at closing. We have indemnified the condemning authority for all costs incurred related to the condemnation proceedings including any payments required to tenants at the property and expect the process will take several years to complete. The consideration in the transaction is considered variable because we have agreed to indemnify the condemning authority for these costs. Consequently, we have recorded a liability of $45.5 million to reflect our estimate of the final consideration, net of estimated condemnation proceeding costs and other transaction related costs. The resulting net gain on sale is approximately $85.1 million.</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 ended December 31, 2019, we sold three properties and one land parcel for a net sales price of $149.0 million, which resulted in a net gain of $28.3 million.</w:t>
      </w:r>
    </w:p>
    <w:p>
      <w:pPr>
        <w:spacing w:after="0" w:line="11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During the year ended December 31, 2019, we closed on the sale of 43 condominium units at our Assembly Row and Pike &amp; Rose properties (combined), received proceeds net of closing costs of $20.1 million, and recognized a gain of $2.6 million, net of income taxes. The cost basis for the remaining condominium units as of December 31, 2019 is $1.7 million, and is included in "assets held for sale" on our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Significant Debt and Equity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On January 31, 2019, we repaid the $20.3 million mortgage loan on Rollingwood Apartments, at par, prior to its original maturity date.</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June 7, 2019, we issued $300.0 million of fixed rate senior unsecured notes that mature on June 15, 2029 and bear interest at 3.20%. The notes were offered at 99.838% of the principal amount with a yield to maturity of 3.219%. On August 21, 2019, we issued an additional $100.0 million senior notes of the same series and with the same terms. The August notes were offered at 103.813% of the principal amount, with a yield to maturity of 2.744%. The combined net proceeds from the note offerings after net issuance premium, underwriting fees, and other costs were $399.9 million, which were primarily used to repay our $275.0 million unsecured term loan, at par, on June 7, 2019 and for general corporate purposes.</w:t>
      </w:r>
    </w:p>
    <w:p>
      <w:pPr>
        <w:spacing w:after="0" w:line="11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July 25, 2019, we amended our revolving credit facility to increase our borrowing capacity to $1.0 billion and extend the maturity date to January 19, 2024, plus two six-month extensions at our option. Under the amended facility, the spread over LIBOR is 77.5 basis points based on our current credit rating. In addition, we have an option (subject to bank approval) to increase the credit facility through an accordion feature to $1.5 billion.</w:t>
      </w:r>
    </w:p>
    <w:p>
      <w:pPr>
        <w:spacing w:after="0" w:line="1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our Hoboken, New Jersey acquisitions in 2019, we assumed mortgage loans with a face amount of $41.6 million and a fair value of $42.9 million, and entered into a new mortgage loan with a face amount of $56.5 million. The mortgage loans associated with our Hoboken acquisitions have the following contractual terms: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Principal</w:t>
            </w:r>
          </w:p>
        </w:tc>
        <w:tc>
          <w:tcPr>
            <w:tcW w:w="2480" w:type="dxa"/>
            <w:vAlign w:val="bottom"/>
          </w:tcPr>
          <w:p>
            <w:pPr>
              <w:jc w:val="right"/>
              <w:ind w:right="452"/>
              <w:spacing w:after="0"/>
              <w:rPr>
                <w:sz w:val="20"/>
                <w:szCs w:val="20"/>
                <w:color w:val="auto"/>
              </w:rPr>
            </w:pPr>
            <w:r>
              <w:rPr>
                <w:rFonts w:ascii="Arial" w:cs="Arial" w:eastAsia="Arial" w:hAnsi="Arial"/>
                <w:sz w:val="16"/>
                <w:szCs w:val="16"/>
                <w:b w:val="1"/>
                <w:bCs w:val="1"/>
                <w:color w:val="auto"/>
              </w:rPr>
              <w:t>Stated Interest Rate</w:t>
            </w:r>
          </w:p>
        </w:tc>
        <w:tc>
          <w:tcPr>
            <w:tcW w:w="560" w:type="dxa"/>
            <w:vAlign w:val="bottom"/>
          </w:tcPr>
          <w:p>
            <w:pPr>
              <w:spacing w:after="0"/>
              <w:rPr>
                <w:sz w:val="18"/>
                <w:szCs w:val="18"/>
                <w:color w:val="auto"/>
              </w:rPr>
            </w:pPr>
          </w:p>
        </w:tc>
        <w:tc>
          <w:tcPr>
            <w:tcW w:w="2600" w:type="dxa"/>
            <w:vAlign w:val="bottom"/>
          </w:tcPr>
          <w:p>
            <w:pPr>
              <w:jc w:val="right"/>
              <w:ind w:right="932"/>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1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31"/>
        </w:trPr>
        <w:tc>
          <w:tcPr>
            <w:tcW w:w="1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(in millions)</w:t>
            </w:r>
          </w:p>
        </w:tc>
        <w:tc>
          <w:tcPr>
            <w:tcW w:w="2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3"/>
        </w:trPr>
        <w:tc>
          <w:tcPr>
            <w:tcW w:w="34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18, 2019 (date assumed)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6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July 1, 2042</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w w:val="91"/>
              </w:rPr>
              <w:t>November 26, 2019</w:t>
            </w:r>
          </w:p>
        </w:tc>
        <w:tc>
          <w:tcPr>
            <w:tcW w:w="1900" w:type="dxa"/>
            <w:vAlign w:val="bottom"/>
          </w:tcPr>
          <w:p>
            <w:pPr>
              <w:ind w:left="20"/>
              <w:spacing w:after="0"/>
              <w:rPr>
                <w:sz w:val="20"/>
                <w:szCs w:val="20"/>
                <w:color w:val="auto"/>
              </w:rPr>
            </w:pPr>
            <w:r>
              <w:rPr>
                <w:rFonts w:ascii="Arial" w:cs="Arial" w:eastAsia="Arial" w:hAnsi="Arial"/>
                <w:sz w:val="18"/>
                <w:szCs w:val="18"/>
                <w:color w:val="auto"/>
              </w:rPr>
              <w:t>(date originated)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LIBOR + 1.95%</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(1)</w:t>
            </w:r>
          </w:p>
        </w:tc>
        <w:tc>
          <w:tcPr>
            <w:tcW w:w="2600" w:type="dxa"/>
            <w:vAlign w:val="bottom"/>
          </w:tcPr>
          <w:p>
            <w:pPr>
              <w:jc w:val="right"/>
              <w:ind w:right="392"/>
              <w:spacing w:after="0"/>
              <w:rPr>
                <w:sz w:val="20"/>
                <w:szCs w:val="20"/>
                <w:color w:val="auto"/>
              </w:rPr>
            </w:pPr>
            <w:r>
              <w:rPr>
                <w:rFonts w:ascii="Arial" w:cs="Arial" w:eastAsia="Arial" w:hAnsi="Arial"/>
                <w:sz w:val="18"/>
                <w:szCs w:val="18"/>
                <w:color w:val="auto"/>
              </w:rPr>
              <w:t>December 15, 2029</w:t>
            </w:r>
          </w:p>
        </w:tc>
      </w:tr>
      <w:tr>
        <w:trPr>
          <w:trHeight w:val="27"/>
        </w:trPr>
        <w:tc>
          <w:tcPr>
            <w:tcW w:w="1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November 26, 2019</w:t>
            </w:r>
          </w:p>
        </w:tc>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(date assumed)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Various</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(2)</w:t>
            </w:r>
          </w:p>
        </w:tc>
        <w:tc>
          <w:tcPr>
            <w:tcW w:w="2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Various (2)</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December 19, 2019 (date assumed)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480" w:type="dxa"/>
            <w:vAlign w:val="bottom"/>
          </w:tcPr>
          <w:p>
            <w:pPr>
              <w:jc w:val="right"/>
              <w:ind w:right="92"/>
              <w:spacing w:after="0"/>
              <w:rPr>
                <w:sz w:val="20"/>
                <w:szCs w:val="20"/>
                <w:color w:val="auto"/>
              </w:rPr>
            </w:pPr>
            <w:r>
              <w:rPr>
                <w:rFonts w:ascii="Arial" w:cs="Arial" w:eastAsia="Arial" w:hAnsi="Arial"/>
                <w:sz w:val="18"/>
                <w:szCs w:val="18"/>
                <w:color w:val="auto"/>
              </w:rPr>
              <w:t>Various</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(3)</w:t>
            </w:r>
          </w:p>
        </w:tc>
        <w:tc>
          <w:tcPr>
            <w:tcW w:w="2600" w:type="dxa"/>
            <w:vAlign w:val="bottom"/>
          </w:tcPr>
          <w:p>
            <w:pPr>
              <w:jc w:val="right"/>
              <w:ind w:right="112"/>
              <w:spacing w:after="0"/>
              <w:rPr>
                <w:sz w:val="20"/>
                <w:szCs w:val="20"/>
                <w:color w:val="auto"/>
              </w:rPr>
            </w:pPr>
            <w:r>
              <w:rPr>
                <w:rFonts w:ascii="Arial" w:cs="Arial" w:eastAsia="Arial" w:hAnsi="Arial"/>
                <w:sz w:val="18"/>
                <w:szCs w:val="18"/>
                <w:color w:val="auto"/>
              </w:rPr>
              <w:t>Various (3)</w:t>
            </w:r>
          </w:p>
        </w:tc>
      </w:tr>
      <w:tr>
        <w:trPr>
          <w:trHeight w:val="243"/>
        </w:trPr>
        <w:tc>
          <w:tcPr>
            <w:tcW w:w="3400" w:type="dxa"/>
            <w:vAlign w:val="bottom"/>
            <w:gridSpan w:val="2"/>
          </w:tcPr>
          <w:p>
            <w:pPr>
              <w:ind w:left="60"/>
              <w:spacing w:after="0"/>
              <w:rPr>
                <w:sz w:val="20"/>
                <w:szCs w:val="20"/>
                <w:color w:val="auto"/>
              </w:rPr>
            </w:pPr>
            <w:r>
              <w:rPr>
                <w:rFonts w:ascii="Arial" w:cs="Arial" w:eastAsia="Arial" w:hAnsi="Arial"/>
                <w:sz w:val="18"/>
                <w:szCs w:val="18"/>
                <w:color w:val="auto"/>
              </w:rPr>
              <w:t>_____________________</w:t>
            </w:r>
          </w:p>
        </w:tc>
        <w:tc>
          <w:tcPr>
            <w:tcW w:w="4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0" w:type="dxa"/>
            <w:vAlign w:val="bottom"/>
          </w:tcPr>
          <w:p>
            <w:pPr>
              <w:spacing w:after="0"/>
              <w:rPr>
                <w:sz w:val="21"/>
                <w:szCs w:val="21"/>
                <w:color w:val="auto"/>
              </w:rPr>
            </w:pPr>
          </w:p>
        </w:tc>
      </w:tr>
    </w:tbl>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rate is effectively fixed at 3.67% as a result of two interest rate swap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interest rates on these mortgages range from 3.91% to 5.00% and have maturity dates ranging from January 9, 2025 to May 31, 2029.</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interest rates on these mortgages range from 4.00% to 4.38% and have maturity dates ranging from October 1, 2025 to July 1, 2026.</w:t>
      </w:r>
    </w:p>
    <w:p>
      <w:pPr>
        <w:spacing w:after="0" w:line="1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2, 2019, we acquired the 10.1% redeemable noncontrolling interest in the partnership that owns our Montrose Crossing Shopping Center for $10.0 million, bringing our ownership interest to 100%.</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year ended December 31, 2019, we sold 1,069,699 common shares at a weighted average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price per share of $134.71 for net cash proceeds of $142.7 million and paid $1.2 million in commissions and $0.2 million in additional offering expenses related to the sales of these common shares. As of December 31, 2019, we had the capacity to issue up to $128.3 million in common shares under our ATM equity program.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see relatively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an uptick in the number of retail tenants vacating prior to the end of their lease term and/or filing for bankruptcy.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2019, no single tenant accounted for more than 2.6% of annualized base rent.</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cost of approximately $315 million that we expect to stabilize in the next several years.</w:t>
      </w:r>
    </w:p>
    <w:p>
      <w:pPr>
        <w:spacing w:after="0" w:line="13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continue our ongoing redevelopment efforts at Santana Row and are under construction on an eight story 301,000 square foot office building which will include an additional 20,000 square feet of retail space and 1,300 parking spaces. The building is expected to cost between $210 million and $220 million, to be delivered in 2020, and the office portion is 100% leased. After current phases, we have approximately 4 acres remaining for further redevelopment and entitlements in place for an additional 395 residential units and 321,000 square feet of commercial space.</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Additionally, we control 12 acres of land across from Santana Row, and we are proceeding with the first phase of construction on this land, which includes an eight story 376,000 square foot office building, with over 1,700 parking spaces. The building is expected to cost between $250 million and $270 million, with openings beginning in 2022. In addition, the land also has approximately 604,000 square feet of remaining commercial space entitlements.</w:t>
      </w:r>
    </w:p>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Phase II of Assembly Row includes approximately 161,000 square feet of retail space, 447 residential units, and a 158 room boutique hotel (owned and operated by a joint venture in which we are a partner). As of December 31, 2019, Phase II is substantially complete with expected final costs of $298 million to $302 million. Phase II also included 122 for-sale condominium units, which had a total cost of $81 million and have all have been sold as of December 31, 2019.</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Additionally, we are under construction on Phase III of Assembly Row, which will include 277,000 square feet of office space (of which, 150,000 square feet is pre-leased), 56,000 square feet of retail space, 500 residential units, and over 800 additional parking spaces. The expected costs for Phase III are between $465 million and $485 million and is projected to open beginning in 2021.</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Phase II of Pike &amp; Rose includes approximately 219,000 square feet of retail space, 272 residential units, and a 177 room boutique hotel (owned and operated by a joint venture in which we are a partner), and is substantially complete as of December 31, 2019. The total cost for this portion of Phase II was $208 million. As of December 31, 2019, we closed on the sale of 97 of the 99 for-sale condominium units in Phase II. The condominiums had a final cost of $62 million.</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Additionally, at Pike &amp; Rose, we commenced construction on a 212,000 square foot office building (which includes 4,000 square feet of ground floor retail space), and will include over 600 additional parking spaces. The building is expected to cost between $128 million and $135 million and is projected to open beginning in 2020.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6" w:right="2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invested $258 million in Assembly Row, Pike &amp; Rose, and Santana Row in 2019, net of public funding, and expect to invest between $320 million and $350 million in Assembly Row, Pike &amp; Rose, and Santana Row in 2020.</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assumed mortgages and property sales.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December 31, 2019, the leasable square feet in our properties was 94.2% leased and 92.5%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2019 and the comparison of 2019 and 2018, all or a portion of 95 properties were considered comparable properties and eight properties were considered non-comparable properties. For the year ended December 31, 2019, seven properties were moved from acquisitions to comparable properties, two properties were removed from comparable properties as they were sold during 2019, one property was moved from acquisitions to non-comparable properties, and one portion of a property was moved from non-comparable properties to comparable properties, compared to the designations as of December 31, 2018.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Comparable property information replaces our previous same center designations.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6" w:right="27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932,738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912,287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20,451</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935,788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915,436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20,352</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187,831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173,094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14,737</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114,776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298,758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287,870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10,888</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Property operating income </w:t>
            </w:r>
            <w:r>
              <w:rPr>
                <w:rFonts w:ascii="Arial" w:cs="Arial" w:eastAsia="Arial" w:hAnsi="Arial"/>
                <w:sz w:val="16"/>
                <w:szCs w:val="16"/>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(9,154)</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4,487</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104,478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876.9 %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361,636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109,275</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from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1,386</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360,542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249,026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111,516</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353,866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241,907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111,959</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Property operating income is a non-GAAP financial measure. See Item 6. Selected Financial Data for further discussion.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Total property revenue increased $20.4 million, or 2.2%, to $935.8 million in 2019 compared to $915.4 million in 2018. The percentage occupied at our shopping centers was 92.5% at December 31, 2019 compared to 93.6% at December 31, 2018. Changes in the components of property revenue are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$20.5 million, or 2.2%, to $932.7 million in 2019 compared to $912.3 million in 2018 due primarily to the following:</w:t>
      </w:r>
    </w:p>
    <w:p>
      <w:pPr>
        <w:spacing w:after="0" w:line="8" w:lineRule="exact"/>
        <w:rPr>
          <w:sz w:val="20"/>
          <w:szCs w:val="20"/>
          <w:color w:val="auto"/>
        </w:rPr>
      </w:pPr>
    </w:p>
    <w:p>
      <w:pPr>
        <w:ind w:left="1140" w:right="120" w:hanging="241"/>
        <w:spacing w:after="0" w:line="25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$14.9 million at comparable properties due primarily to higher rental rates of approximately $11.8 million, higher lease termination fees and legal fee income of $7.6 million, and higher average occupancy of approximately $2.8 million, partially offset by a $4.4 million decrease in real estate tax recoveries primarily due to the requirements of the new lease accounting standard, and $2.5 million related to collectibility adjustments, which are now being presented as a reduction of rental income rather than rental expense (see Note 2 for additional disclosure)</w:t>
      </w:r>
    </w:p>
    <w:p>
      <w:pPr>
        <w:spacing w:after="0" w:line="26" w:lineRule="exact"/>
        <w:rPr>
          <w:rFonts w:ascii="Arial" w:cs="Arial" w:eastAsia="Arial" w:hAnsi="Arial"/>
          <w:sz w:val="18"/>
          <w:szCs w:val="18"/>
          <w:color w:val="auto"/>
        </w:rPr>
      </w:pPr>
    </w:p>
    <w:p>
      <w:pPr>
        <w:ind w:left="1140" w:right="40" w:hanging="241"/>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$9.2 million at non-comparable properties due primarily to the opening of Phase II at Assembly Row and Pike &amp; Rose partially offset by redevelopment related occupancy decreases at three properties, and</w:t>
      </w:r>
    </w:p>
    <w:p>
      <w:pPr>
        <w:spacing w:after="0" w:line="8" w:lineRule="exact"/>
        <w:rPr>
          <w:rFonts w:ascii="Arial" w:cs="Arial" w:eastAsia="Arial" w:hAnsi="Arial"/>
          <w:sz w:val="18"/>
          <w:szCs w:val="18"/>
          <w:color w:val="auto"/>
        </w:rPr>
      </w:pPr>
    </w:p>
    <w:p>
      <w:pPr>
        <w:ind w:left="1140" w:right="440" w:hanging="241"/>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$3.9 million from acquisitions, primarily Fairfax Junction in February 2019, Hoboken during the second half of 2019, and Georgetowne Shopping Center in November 2019,</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$8.4 million from property sales.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left="60" w:right="420"/>
        <w:spacing w:after="0" w:line="277" w:lineRule="auto"/>
        <w:rPr>
          <w:sz w:val="20"/>
          <w:szCs w:val="20"/>
          <w:color w:val="auto"/>
        </w:rPr>
      </w:pPr>
      <w:r>
        <w:rPr>
          <w:rFonts w:ascii="Arial" w:cs="Arial" w:eastAsia="Arial" w:hAnsi="Arial"/>
          <w:sz w:val="18"/>
          <w:szCs w:val="18"/>
          <w:color w:val="auto"/>
        </w:rPr>
        <w:t>Total property expenses increased $10.9 million, or 3.8%, to $298.8 million in 2019 compared to $287.9 million in 2018. Changes in the components of property expenses are discussed below.</w:t>
      </w:r>
    </w:p>
    <w:p>
      <w:pPr>
        <w:sectPr>
          <w:pgSz w:w="11900" w:h="16838" w:orient="portrait"/>
          <w:cols w:equalWidth="0" w:num="1">
            <w:col w:w="11420"/>
          </w:cols>
          <w:pgMar w:left="240" w:top="126"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6" w:right="2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Rental expenses increased $14.7 million, or 8.5%, to $187.8 million in 2019 compared to $173.1 million in 2018. This increase is primarily due to the following:</w:t>
      </w:r>
    </w:p>
    <w:p>
      <w:pPr>
        <w:spacing w:after="0" w:line="8" w:lineRule="exact"/>
        <w:rPr>
          <w:sz w:val="20"/>
          <w:szCs w:val="20"/>
          <w:color w:val="auto"/>
        </w:rPr>
      </w:pPr>
    </w:p>
    <w:p>
      <w:pPr>
        <w:ind w:left="1140" w:hanging="241"/>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$11.9 million charge in 2019 related to the buyout of a lease at Assembly Square Marketplace,</w:t>
      </w:r>
    </w:p>
    <w:p>
      <w:pPr>
        <w:spacing w:after="0" w:line="63" w:lineRule="exact"/>
        <w:rPr>
          <w:rFonts w:ascii="Arial" w:cs="Arial" w:eastAsia="Arial" w:hAnsi="Arial"/>
          <w:sz w:val="18"/>
          <w:szCs w:val="18"/>
          <w:color w:val="auto"/>
        </w:rPr>
      </w:pPr>
    </w:p>
    <w:p>
      <w:pPr>
        <w:ind w:left="1140" w:hanging="241"/>
        <w:spacing w:after="0" w:line="264"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$1.9 million from comparable properties due primarily to a $5.2 million increase in repairs and maintenance costs partially offset by a $4.2 million decrease in bad debt expense due to the new lease accounting standard requirement to record collectibility adjustments as a reduction to revenue rather than rental expense effective at adoption on January 1, 2019,</w:t>
      </w:r>
    </w:p>
    <w:p>
      <w:pPr>
        <w:spacing w:after="0" w:line="19" w:lineRule="exact"/>
        <w:rPr>
          <w:rFonts w:ascii="Arial" w:cs="Arial" w:eastAsia="Arial" w:hAnsi="Arial"/>
          <w:sz w:val="18"/>
          <w:szCs w:val="18"/>
          <w:color w:val="auto"/>
        </w:rPr>
      </w:pPr>
    </w:p>
    <w:p>
      <w:pPr>
        <w:ind w:left="1140" w:right="420" w:hanging="241"/>
        <w:spacing w:after="0" w:line="277"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$1.2 million from non-comparable properties due primarily to the opening of Phase II at Assembly Row and Pike &amp; Rose, partially offset by lower expenses at two of our properties,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$0.8 million from acquisitions,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$1.4 million from property sales.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20.1% for the year ended December 31, 2019 from 19.0% for the year ended December 31,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Real estate tax expense decreased $3.8 million, or 3.4% to $110.9 million in 2019 compared to $114.8 million in 2018 due primarily to the following:</w:t>
      </w:r>
    </w:p>
    <w:p>
      <w:pPr>
        <w:spacing w:after="0" w:line="75" w:lineRule="exact"/>
        <w:rPr>
          <w:sz w:val="20"/>
          <w:szCs w:val="20"/>
          <w:color w:val="auto"/>
        </w:rPr>
      </w:pPr>
    </w:p>
    <w:p>
      <w:pPr>
        <w:ind w:left="1140" w:right="60" w:hanging="241"/>
        <w:spacing w:after="0" w:line="259"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of $3.2 million from comparable properties due primarily to the new lease accounting standard requirement, which no longer permits the gross up of real estate tax revenue and expense for real estate taxes that our tenants pay directly to the taxing authority (see Note 2 for additional disclosure) of $5.0 million and a tax refund from a multi-year appeal and reassessment for three of our properties, partially offset by higher assessments, and</w:t>
      </w:r>
    </w:p>
    <w:p>
      <w:pPr>
        <w:spacing w:after="0" w:line="24" w:lineRule="exact"/>
        <w:rPr>
          <w:rFonts w:ascii="Arial" w:cs="Arial" w:eastAsia="Arial" w:hAnsi="Arial"/>
          <w:sz w:val="18"/>
          <w:szCs w:val="18"/>
          <w:color w:val="auto"/>
        </w:rPr>
      </w:pPr>
    </w:p>
    <w:p>
      <w:pPr>
        <w:ind w:left="1140" w:hanging="241"/>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of $1.8 million from property sales,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$0.7 million from acquisitions,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increase of $0.5 million at non-comparable properties due primarily to increases in assessments as a result of our redevelopment activities.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Property operating income increased $9.5 million, or 1.5%, to $637.0 million in 2019 compared to $627.6 million in 2018. This increase is primarily due to growth in earnings at comparable properties, the opening of Phase II at Assembly Row and Pike &amp; Rose, and our 2019 acquisitions, partially offset by the charge related to the buyout of a lease at Assembly Square Marketplace, and property sales.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and administrative expense increased $9.2 million, or 27.2%, to $42.8 million in 2019 from $33.6 million in 2018. This increase is due primarily to higher leasing related costs as certain costs can no longer be capitalized as a result of the new lease accounting standard (see Note 2 for additional disclosure) and higher personnel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Depreciation and amortization expense decreased $4.5 million, or 1.8%, to $239.8 million in 2019 from $244.2 million in 2018. This decrease is primarily due to lower accelerated depreciation related to tenants who vacated in advance of their lease expiration and property sales, partially offset by Phase II of Assembly Row and Pike &amp; Rose being placed in service and our 2019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$116.4 million gain on sale of real estate, net for the year ended December 31 2019 is primarily due to the following:</w:t>
      </w:r>
    </w:p>
    <w:p>
      <w:pPr>
        <w:spacing w:after="0" w:line="63" w:lineRule="exact"/>
        <w:rPr>
          <w:sz w:val="20"/>
          <w:szCs w:val="20"/>
          <w:color w:val="auto"/>
        </w:rPr>
      </w:pPr>
    </w:p>
    <w:p>
      <w:pPr>
        <w:ind w:left="5620" w:right="2900" w:hanging="4721"/>
        <w:spacing w:after="0" w:line="528" w:lineRule="auto"/>
        <w:tabs>
          <w:tab w:leader="none" w:pos="11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$85.1 million related to the sale under the threat of condemnation of 11.7 acres of San Antonio Center, 41</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75" w:lineRule="exact"/>
        <w:rPr>
          <w:sz w:val="20"/>
          <w:szCs w:val="20"/>
          <w:color w:val="auto"/>
        </w:rPr>
      </w:pPr>
    </w:p>
    <w:p>
      <w:pPr>
        <w:ind w:left="1140" w:hanging="241"/>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$28.3 million related to the sale of three properties and one land parcel,</w:t>
      </w:r>
    </w:p>
    <w:p>
      <w:pPr>
        <w:spacing w:after="0" w:line="63" w:lineRule="exact"/>
        <w:rPr>
          <w:rFonts w:ascii="Arial" w:cs="Arial" w:eastAsia="Arial" w:hAnsi="Arial"/>
          <w:sz w:val="18"/>
          <w:szCs w:val="18"/>
          <w:color w:val="auto"/>
        </w:rPr>
      </w:pPr>
    </w:p>
    <w:p>
      <w:pPr>
        <w:ind w:right="1400" w:firstLine="899"/>
        <w:spacing w:after="0" w:line="348" w:lineRule="auto"/>
        <w:tabs>
          <w:tab w:leader="none" w:pos="1134" w:val="left"/>
        </w:tabs>
        <w:numPr>
          <w:ilvl w:val="0"/>
          <w:numId w:val="40"/>
        </w:numPr>
        <w:rPr>
          <w:rFonts w:ascii="Arial" w:cs="Arial" w:eastAsia="Arial" w:hAnsi="Arial"/>
          <w:sz w:val="17"/>
          <w:szCs w:val="17"/>
          <w:color w:val="auto"/>
        </w:rPr>
      </w:pPr>
      <w:r>
        <w:rPr>
          <w:rFonts w:ascii="Arial" w:cs="Arial" w:eastAsia="Arial" w:hAnsi="Arial"/>
          <w:sz w:val="17"/>
          <w:szCs w:val="17"/>
          <w:color w:val="auto"/>
        </w:rPr>
        <w:t>$2.6 million net gain related to condominium unit sales that have closed at our Assembly Row and Pike &amp; Rose properties. The $11.9 million gain on sale of real estate, net for the year ended December 31, 2018 is primarily due to the following:</w:t>
      </w:r>
    </w:p>
    <w:p>
      <w:pPr>
        <w:ind w:left="1140" w:hanging="241"/>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$7.2 million net gain related to condominium unit sales that have closed at our Assembly Row and Pike &amp; Rose properties,</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$4.7 million gain related to the sale of one property and the residential building at another one of our properties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Operating income increased $109.3 million, or 30.2%, to $470.9 million in 2019 compared to $361.6 million in 2018. This increase is due primarily to higher gains on the sale of real estate in 2019, growth in earnings at our comparable properties, and the opening of Phase II of Assembly Row and Pike &amp; Rose, partially offset by the charge related to the buyout of a lease at Assembly Square Marketplace, higher leasing and personnel related costs, and property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Interest expense decreased $0.5 million, or 0.5%, to $109.6 million in 2019 compared to $110.2 million in 2018. This decrease is due primarily to a $1.6 million increase in capitalized interest partially offset by a $1.1 million increase due to a higher weighted average borrowing rate in 2019.</w:t>
      </w:r>
    </w:p>
    <w:p>
      <w:pPr>
        <w:spacing w:after="0" w:line="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interest costs were $130.1 million and $129.0 million in 2019 and 2018, respectively. Capitalized interest was $20.5 million and $18.8 million in 2019 and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Partnerships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Loss from partnerships decreased to $2.0 million in 2019 compared to $3.4 million in 2018. This decrease is due primarily to improved operating results at our Assembly Row and Pike &amp; Rose hotel joint ventures, which opened in August 2018 and March 2018, respectively.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Discussions of year-to-year comparisons between 2018 and 2017 can be found in “Management’s Discussion and Analysis of Financial Condition and Results of Operations” in Part II, Item 7 of our Annual Report on Form 10-K for the fiscal year ended December 31, 2018 filed with the Securities and Exchange Commission on February 13,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At December 31, 2019, we had cash and cash equivalents of $127.4 million and no outstanding balance on our unsecured revolving credit facility. For the year ended 2019, the maximum amount of borrowings outstanding under our revolving credit facility was $116.5 million, the weighted average amount of borrowings outstanding was $26.8 million, and the weighted average interest rate, before amortization of debt fees, was 3.2%.</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June 7, 2019, we issued $300.0 million of fixed rate senior unsecured notes that mature on June 15, 2029 and bear interest at 3.20%. On August 21, 2019, we issued an additional $100.0 million senior notes of the same series and with the same terms.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combined net proceeds of $399.9 million were primarily used to repay our $275.0 million unsecured term loan, which was scheduled to mature in November 2019. During 2020, we have only $60.6 million of debt maturing.</w:t>
      </w:r>
    </w:p>
    <w:p>
      <w:pPr>
        <w:spacing w:after="0" w:line="11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On July 25, 2019, we amended our revolving credit facility to increase our borrowing capacity from $800.0 million to $1.0 billion, lower our spread over LIBOR from 82.5 basis points to 77.5 basis points, and extend the maturity date to January 19, 2024, plus two six-month extensions at our option. In addition,we have an option (subject to bank approval) to increase the credit facility through an accordion feature to $1.5 billion.</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2019, we raised $142.7 million under our ATM equity program after fees and other costs, and as of December 31, 2019, we had the capacity to issue up to $128.3 million in common shares under the ATM program. We currently believe that cash flows from operations, cash on hand, our ATM program, our revolving credit facility and our general ability to access the capital markets will be sufficient to finance our operations and fund our debt service requirements and capital expenditures.</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overall capital requirements during 2020 will depend upon acquisition opportunities, the level of improvements and redevelopments on existing properties and the timing and cost of development of Assembly Row, Pike &amp; Rose and Santana Row. While the amount of future expenditures will depend on numerous factors, we expect to continue to see higher levels of capital investments in our properties under development and redevelopment, as we continue to invest in the next phase of these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461,919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516,688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(316,532)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(192,247)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(241,309)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45,282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83,132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108,332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153,614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108,332</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decreased $54.8 million to $461.9 million during 2019 from $516.7 million during 2018. The decrease was primarily attributable to the $14.5 million lease buyout payment at Assembly Square Marketplace in August 2019, $12.4 million in net proceeds in 2018 from the Freedom Plaza new market tax credit transaction (see Note 3 to the Consolidated Financial Statements for further discussion), and the timing of cash receipts.</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investing activities increased $124.3 million to $316.5 million during 2019 from $192.2 million during 2018. The increase was primarily attributable to:</w:t>
      </w:r>
    </w:p>
    <w:p>
      <w:pPr>
        <w:spacing w:after="0" w:line="8" w:lineRule="exact"/>
        <w:rPr>
          <w:sz w:val="20"/>
          <w:szCs w:val="20"/>
          <w:color w:val="auto"/>
        </w:rPr>
      </w:pPr>
    </w:p>
    <w:p>
      <w:pPr>
        <w:ind w:left="1140" w:right="460" w:hanging="241"/>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$191.0 million increase in acquisitions of real estate, primarily due to the acquisitions of Georgetowne Shopping Center, 37 mixed-use buildings in Hoboken, New Jersey, and Fairfax Junction in 2019,</w:t>
      </w:r>
    </w:p>
    <w:p>
      <w:pPr>
        <w:spacing w:after="0" w:line="8" w:lineRule="exact"/>
        <w:rPr>
          <w:rFonts w:ascii="Arial" w:cs="Arial" w:eastAsia="Arial" w:hAnsi="Arial"/>
          <w:sz w:val="18"/>
          <w:szCs w:val="18"/>
          <w:color w:val="auto"/>
        </w:rPr>
      </w:pPr>
    </w:p>
    <w:p>
      <w:pPr>
        <w:ind w:left="1140" w:right="1020" w:hanging="241"/>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$41.7 million increase in capital expenditures as we continue to invest in Pike &amp; Rose, Assembly Row, Santana Row and other redevelopments,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$38.0 million in proceeds from our Assembly Row hotel joint venture formation in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80" w:hanging="241"/>
        <w:spacing w:after="0" w:line="264"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$144.2 million increase in proceeds from sales of real estate, resulting from the sale under the threat of condemnation of a portion of San Antonio Center in December 2019 and the sale of three additional properties in 2019 compared to two properties in 2018, partially offset by a decrease in the sale of condominiums at our Assembly Row and Pike &amp; Rose properties.</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used in financing activities decreased $141.2 million to $100.1 million during 2019 from $241.3 million during 2018. The decrease was primarily attributable to:</w:t>
      </w:r>
    </w:p>
    <w:p>
      <w:pPr>
        <w:spacing w:after="0" w:line="8" w:lineRule="exact"/>
        <w:rPr>
          <w:sz w:val="20"/>
          <w:szCs w:val="20"/>
          <w:color w:val="auto"/>
        </w:rPr>
      </w:pPr>
    </w:p>
    <w:p>
      <w:pPr>
        <w:ind w:left="1140" w:right="280" w:hanging="241"/>
        <w:spacing w:after="0" w:line="277"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$399.9 million in net proceeds from the issuance of $300.0 million of 3.20% senior unsecured notes in June 2019 and an additional $100.0 million of the same series in August 2019,</w:t>
      </w:r>
    </w:p>
    <w:p>
      <w:pPr>
        <w:spacing w:after="0" w:line="8" w:lineRule="exact"/>
        <w:rPr>
          <w:rFonts w:ascii="Arial" w:cs="Arial" w:eastAsia="Arial" w:hAnsi="Arial"/>
          <w:sz w:val="18"/>
          <w:szCs w:val="18"/>
          <w:color w:val="auto"/>
        </w:rPr>
      </w:pPr>
    </w:p>
    <w:p>
      <w:pPr>
        <w:ind w:left="1140" w:right="820" w:hanging="241"/>
        <w:spacing w:after="0" w:line="277"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$41.0 million of repayments on our revolving credit facility in 2018 partially offset by $4.0 million of costs related to the July 2019 amendment, and</w:t>
      </w:r>
    </w:p>
    <w:p>
      <w:pPr>
        <w:spacing w:after="0" w:line="8" w:lineRule="exact"/>
        <w:rPr>
          <w:rFonts w:ascii="Arial" w:cs="Arial" w:eastAsia="Arial" w:hAnsi="Arial"/>
          <w:sz w:val="18"/>
          <w:szCs w:val="18"/>
          <w:color w:val="auto"/>
        </w:rPr>
      </w:pPr>
    </w:p>
    <w:p>
      <w:pPr>
        <w:ind w:left="1140" w:right="60" w:hanging="241"/>
        <w:spacing w:after="0" w:line="298" w:lineRule="auto"/>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$12.1 million increase in net proceeds from the issuance of 1.1 million common shares under our ATM program at a weighted average price of $134.71 during 2019, as compared to 1.0 million common shares at a weighted average price of $129.19 in 2018,</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440" w:hanging="241"/>
        <w:spacing w:after="0" w:line="286" w:lineRule="auto"/>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$284.4 million increase in repayment of mortgages, finance leases, and notes payable primarily due to the payoff of our $275.0 million unsecured term loan in June 2019 and the $20.3 million payoff of the mortgage loan on Rollingwood Apartments in January 2019, as compared to the $10.5 million payoff of the mortgage loan on the Grove at Shrewsbury (West) in March 2018, and</w:t>
      </w:r>
    </w:p>
    <w:p>
      <w:pPr>
        <w:spacing w:after="0" w:line="3" w:lineRule="exact"/>
        <w:rPr>
          <w:rFonts w:ascii="Arial" w:cs="Arial" w:eastAsia="Arial" w:hAnsi="Arial"/>
          <w:sz w:val="17"/>
          <w:szCs w:val="17"/>
          <w:color w:val="auto"/>
        </w:rPr>
      </w:pPr>
    </w:p>
    <w:p>
      <w:pPr>
        <w:ind w:left="1140" w:right="40" w:hanging="241"/>
        <w:spacing w:after="0" w:line="277"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$12.5 million increase in dividends paid to shareholders due to an increase in the common share dividend rate and an increase in the number of common shares outstanding.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December 31,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74"/>
              <w:spacing w:after="0"/>
              <w:rPr>
                <w:sz w:val="20"/>
                <w:szCs w:val="20"/>
                <w:color w:val="auto"/>
              </w:rPr>
            </w:pPr>
            <w:r>
              <w:rPr>
                <w:rFonts w:ascii="Arial" w:cs="Arial" w:eastAsia="Arial" w:hAnsi="Arial"/>
                <w:sz w:val="14"/>
                <w:szCs w:val="14"/>
                <w:b w:val="1"/>
                <w:bCs w:val="1"/>
                <w:color w:val="auto"/>
                <w:w w:val="92"/>
              </w:rPr>
              <w:t>Commitments Due by Period</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Less Than</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1-3 Years</w:t>
            </w: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0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debt (principal and interest)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4,747,178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189,669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875,132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764,264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2,918,113</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Fixed and variable rate debt - our share of</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Arial" w:cs="Arial" w:eastAsia="Arial" w:hAnsi="Arial"/>
                <w:sz w:val="18"/>
                <w:szCs w:val="18"/>
                <w:color w:val="auto"/>
                <w:w w:val="95"/>
              </w:rPr>
              <w:t>unconsolidated real estate partnerships (principal and</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60,492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28,453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12,356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19,683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obligations (principal and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81,849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Variable rate debt (principal only)(2)</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179,896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commitments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67,500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Development, redevelopment, and capital improvement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572,422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300,520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271,880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Contractual operating obligations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59,081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29,026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24,809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5,871,397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558,292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1,205,567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865,060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3,242,478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Fixed rate debt includes a $56.5 million mortgage loan that has a rate that is effectively fixed by two interest rate swap agreements.</w:t>
      </w:r>
    </w:p>
    <w:p>
      <w:pPr>
        <w:spacing w:after="0" w:line="63"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Variable rate debt includes our revolving credit facility, which bears interest at LIBOR + 0.775% and had no balance outstanding at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and other liquidity requirements previously discussed, the following potential commitments exist:</w:t>
      </w:r>
    </w:p>
    <w:p>
      <w:pPr>
        <w:spacing w:after="0" w:line="102" w:lineRule="exact"/>
        <w:rPr>
          <w:sz w:val="20"/>
          <w:szCs w:val="20"/>
          <w:color w:val="auto"/>
        </w:rPr>
      </w:pPr>
    </w:p>
    <w:p>
      <w:pPr>
        <w:ind w:right="260" w:firstLine="413"/>
        <w:spacing w:after="0" w:line="264"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estimate of fair market value as of December 31, 2019, our estimated liability upon exercise of the put option would range from approximately $79 million to $84 million.</w:t>
      </w:r>
    </w:p>
    <w:p>
      <w:pPr>
        <w:spacing w:after="0" w:line="35" w:lineRule="exact"/>
        <w:rPr>
          <w:sz w:val="20"/>
          <w:szCs w:val="20"/>
          <w:color w:val="auto"/>
        </w:rPr>
      </w:pPr>
    </w:p>
    <w:p>
      <w:pPr>
        <w:ind w:right="320" w:firstLine="413"/>
        <w:spacing w:after="0" w:line="334"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2019, a total of 609,584 operating partnership units are outstanding.</w:t>
      </w:r>
    </w:p>
    <w:p>
      <w:pPr>
        <w:spacing w:after="0" w:line="1" w:lineRule="exact"/>
        <w:rPr>
          <w:rFonts w:ascii="Arial" w:cs="Arial" w:eastAsia="Arial" w:hAnsi="Arial"/>
          <w:sz w:val="16"/>
          <w:szCs w:val="16"/>
          <w:color w:val="auto"/>
        </w:rPr>
      </w:pPr>
    </w:p>
    <w:p>
      <w:pPr>
        <w:ind w:right="20" w:firstLine="413"/>
        <w:spacing w:after="0" w:line="259"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2019, our estimated maximum liability upon exercise of the put option would range from approximately $30 million to $33 million.</w:t>
      </w:r>
    </w:p>
    <w:p>
      <w:pPr>
        <w:spacing w:after="0" w:line="51" w:lineRule="exact"/>
        <w:rPr>
          <w:rFonts w:ascii="Arial" w:cs="Arial" w:eastAsia="Arial" w:hAnsi="Arial"/>
          <w:sz w:val="18"/>
          <w:szCs w:val="18"/>
          <w:color w:val="auto"/>
        </w:rPr>
      </w:pPr>
    </w:p>
    <w:p>
      <w:pPr>
        <w:ind w:firstLine="440"/>
        <w:spacing w:after="0" w:line="312" w:lineRule="auto"/>
        <w:tabs>
          <w:tab w:leader="none" w:pos="687"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2019, our estimated maximum liability upon exercise of the put option would range from $7 million to $8 million.</w:t>
      </w:r>
    </w:p>
    <w:p>
      <w:pPr>
        <w:spacing w:after="0" w:line="12" w:lineRule="exact"/>
        <w:rPr>
          <w:sz w:val="20"/>
          <w:szCs w:val="20"/>
          <w:color w:val="auto"/>
        </w:rPr>
      </w:pPr>
    </w:p>
    <w:p>
      <w:pPr>
        <w:jc w:val="both"/>
        <w:ind w:firstLine="413"/>
        <w:spacing w:after="0" w:line="264" w:lineRule="auto"/>
        <w:tabs>
          <w:tab w:leader="none" w:pos="6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Effective September 18, 2023, the other member in Hoboken has the right to require us to purchase all of its 10% ownership interest at the interest's then-current fair market value. Based on management's current estimate of fair market value as of December 31, 2019, our estimated maximum liability upon exercise of the put option would range from $9 million to $10 million.</w:t>
      </w:r>
    </w:p>
    <w:p>
      <w:pPr>
        <w:spacing w:after="0" w:line="46" w:lineRule="exact"/>
        <w:rPr>
          <w:rFonts w:ascii="Arial" w:cs="Arial" w:eastAsia="Arial" w:hAnsi="Arial"/>
          <w:sz w:val="18"/>
          <w:szCs w:val="18"/>
          <w:color w:val="auto"/>
        </w:rPr>
      </w:pPr>
    </w:p>
    <w:p>
      <w:pPr>
        <w:ind w:left="640" w:hanging="227"/>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December 31, 2019, we had letters of credit outstanding of approximately $4.3 million.</w:t>
      </w:r>
    </w:p>
    <w:p>
      <w:pPr>
        <w:spacing w:after="0" w:line="90" w:lineRule="exact"/>
        <w:rPr>
          <w:rFonts w:ascii="Arial" w:cs="Arial" w:eastAsia="Arial" w:hAnsi="Arial"/>
          <w:sz w:val="18"/>
          <w:szCs w:val="18"/>
          <w:color w:val="auto"/>
        </w:rPr>
      </w:pPr>
    </w:p>
    <w:p>
      <w:pPr>
        <w:ind w:right="60" w:firstLine="413"/>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connection with our sale under the threat of condemnation of a portion of San Antonio Center, we agreed to indemnify the condemning authority for costs including any payments required to be paid to tenants at the property, in connection with the actual condemnation. We expect the condemnation process to take several years and estimate these costs to be approximately $45.5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December 31, 2019, we have three real estate related equity method investments with total debt outstanding of $111.1 million, of which our share is $54.0 million. Our investment in these ventures at December 31, 2019 was $23.4 million.</w:t>
      </w:r>
    </w:p>
    <w:p>
      <w:pPr>
        <w:spacing w:after="0" w:line="35"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Other than the items disclosed in the Contractual Commitments Table, we have no off-balance sheet arrangements as of December 31, 2019 that are reasonably likely to have a current or future material effect on our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26" w:right="29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2019:</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320"/>
              <w:spacing w:after="0"/>
              <w:rPr>
                <w:sz w:val="20"/>
                <w:szCs w:val="20"/>
                <w:color w:val="auto"/>
              </w:rPr>
            </w:pPr>
            <w:r>
              <w:rPr>
                <w:rFonts w:ascii="Arial" w:cs="Arial" w:eastAsia="Arial" w:hAnsi="Arial"/>
                <w:sz w:val="14"/>
                <w:szCs w:val="14"/>
                <w:b w:val="1"/>
                <w:bCs w:val="1"/>
                <w:color w:val="auto"/>
              </w:rPr>
              <w:t>Original</w:t>
            </w:r>
          </w:p>
        </w:tc>
        <w:tc>
          <w:tcPr>
            <w:tcW w:w="14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Stated Interest Rate as of</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24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9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580" w:type="dxa"/>
            <w:vAlign w:val="bottom"/>
            <w:gridSpan w:val="2"/>
            <w:vMerge w:val="continue"/>
          </w:tcPr>
          <w:p>
            <w:pPr>
              <w:spacing w:after="0"/>
              <w:rPr>
                <w:sz w:val="16"/>
                <w:szCs w:val="16"/>
                <w:color w:val="auto"/>
              </w:rPr>
            </w:pPr>
          </w:p>
        </w:tc>
        <w:tc>
          <w:tcPr>
            <w:tcW w:w="1240" w:type="dxa"/>
            <w:vAlign w:val="bottom"/>
          </w:tcPr>
          <w:p>
            <w:pPr>
              <w:jc w:val="right"/>
              <w:ind w:right="40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6"/>
                <w:szCs w:val="16"/>
                <w:color w:val="auto"/>
              </w:rPr>
            </w:pPr>
          </w:p>
        </w:tc>
        <w:tc>
          <w:tcPr>
            <w:tcW w:w="156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tcBorders>
              <w:top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61,987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29th Place</w:t>
            </w:r>
          </w:p>
        </w:tc>
        <w:tc>
          <w:tcPr>
            <w:tcW w:w="1240" w:type="dxa"/>
            <w:vAlign w:val="bottom"/>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3,878</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Sylmar Towne Center</w:t>
            </w:r>
          </w:p>
        </w:tc>
        <w:tc>
          <w:tcPr>
            <w:tcW w:w="1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16,630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Plaza Del Sol</w:t>
            </w:r>
          </w:p>
        </w:tc>
        <w:tc>
          <w:tcPr>
            <w:tcW w:w="1240" w:type="dxa"/>
            <w:vAlign w:val="bottom"/>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8,230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52,705</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52,705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Montrose Crossing</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80,000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67,492</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Bell Gardens</w:t>
            </w:r>
          </w:p>
        </w:tc>
        <w:tc>
          <w:tcPr>
            <w:tcW w:w="1240" w:type="dxa"/>
            <w:vAlign w:val="bottom"/>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12,677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125,000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The Grove at Shrewsbury (East)</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43,600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43,600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11,500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Hoboken (24 Buildings) (1)</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56,450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56,450</w:t>
            </w:r>
          </w:p>
        </w:tc>
        <w:tc>
          <w:tcPr>
            <w:tcW w:w="10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+ 1.95%</w:t>
            </w:r>
          </w:p>
        </w:tc>
        <w:tc>
          <w:tcPr>
            <w:tcW w:w="1940" w:type="dxa"/>
            <w:vAlign w:val="bottom"/>
          </w:tcPr>
          <w:p>
            <w:pPr>
              <w:jc w:val="right"/>
              <w:spacing w:after="0"/>
              <w:rPr>
                <w:sz w:val="20"/>
                <w:szCs w:val="20"/>
                <w:color w:val="auto"/>
              </w:rPr>
            </w:pPr>
            <w:r>
              <w:rPr>
                <w:rFonts w:ascii="Arial" w:cs="Arial" w:eastAsia="Arial" w:hAnsi="Arial"/>
                <w:sz w:val="16"/>
                <w:szCs w:val="16"/>
                <w:color w:val="auto"/>
              </w:rPr>
              <w:t>December 15, 2029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Various Hoboken (12 Buildings)</w:t>
            </w:r>
          </w:p>
        </w:tc>
        <w:tc>
          <w:tcPr>
            <w:tcW w:w="1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24,627</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 (3)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2029</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Chelsea</w:t>
            </w:r>
          </w:p>
        </w:tc>
        <w:tc>
          <w:tcPr>
            <w:tcW w:w="1240" w:type="dxa"/>
            <w:vAlign w:val="bottom"/>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5,597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Hoboken (1 Building) (2)</w:t>
            </w:r>
          </w:p>
        </w:tc>
        <w:tc>
          <w:tcPr>
            <w:tcW w:w="1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2042</w:t>
            </w:r>
          </w:p>
        </w:tc>
        <w:tc>
          <w:tcPr>
            <w:tcW w:w="0" w:type="dxa"/>
            <w:vAlign w:val="bottom"/>
          </w:tcPr>
          <w:p>
            <w:pPr>
              <w:spacing w:after="0"/>
              <w:rPr>
                <w:sz w:val="1"/>
                <w:szCs w:val="1"/>
                <w:color w:val="auto"/>
              </w:rPr>
            </w:pPr>
          </w:p>
        </w:tc>
      </w:tr>
      <w:tr>
        <w:trPr>
          <w:trHeight w:val="217"/>
        </w:trPr>
        <w:tc>
          <w:tcPr>
            <w:tcW w:w="4580" w:type="dxa"/>
            <w:vAlign w:val="bottom"/>
            <w:gridSpan w:val="2"/>
          </w:tcPr>
          <w:p>
            <w:pPr>
              <w:ind w:left="720"/>
              <w:spacing w:after="0"/>
              <w:rPr>
                <w:sz w:val="20"/>
                <w:szCs w:val="20"/>
                <w:color w:val="auto"/>
              </w:rPr>
            </w:pPr>
            <w:r>
              <w:rPr>
                <w:rFonts w:ascii="Arial" w:cs="Arial" w:eastAsia="Arial" w:hAnsi="Arial"/>
                <w:sz w:val="16"/>
                <w:szCs w:val="16"/>
                <w:color w:val="auto"/>
              </w:rPr>
              <w:t>Subtotal</w:t>
            </w: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547,247</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720"/>
              <w:spacing w:after="0"/>
              <w:rPr>
                <w:sz w:val="20"/>
                <w:szCs w:val="20"/>
                <w:color w:val="auto"/>
              </w:rPr>
            </w:pPr>
            <w:r>
              <w:rPr>
                <w:rFonts w:ascii="Arial" w:cs="Arial" w:eastAsia="Arial" w:hAnsi="Arial"/>
                <w:sz w:val="16"/>
                <w:szCs w:val="16"/>
                <w:color w:val="auto"/>
              </w:rPr>
              <w:t>Total mortgages payable</w:t>
            </w: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545,679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Revolving credit facility (4)</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1,000,000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+ 0.775%</w:t>
            </w:r>
          </w:p>
        </w:tc>
        <w:tc>
          <w:tcPr>
            <w:tcW w:w="1940" w:type="dxa"/>
            <w:vAlign w:val="bottom"/>
          </w:tcPr>
          <w:p>
            <w:pPr>
              <w:jc w:val="right"/>
              <w:spacing w:after="0"/>
              <w:rPr>
                <w:sz w:val="20"/>
                <w:szCs w:val="20"/>
                <w:color w:val="auto"/>
              </w:rPr>
            </w:pPr>
            <w:r>
              <w:rPr>
                <w:rFonts w:ascii="Arial" w:cs="Arial" w:eastAsia="Arial" w:hAnsi="Arial"/>
                <w:sz w:val="16"/>
                <w:szCs w:val="16"/>
                <w:color w:val="auto"/>
              </w:rPr>
              <w:t>January 19, 2024</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7,239</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3,843</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17"/>
        </w:trPr>
        <w:tc>
          <w:tcPr>
            <w:tcW w:w="4580" w:type="dxa"/>
            <w:vAlign w:val="bottom"/>
            <w:gridSpan w:val="2"/>
          </w:tcPr>
          <w:p>
            <w:pPr>
              <w:ind w:left="720"/>
              <w:spacing w:after="0"/>
              <w:rPr>
                <w:sz w:val="20"/>
                <w:szCs w:val="20"/>
                <w:color w:val="auto"/>
              </w:rPr>
            </w:pPr>
            <w:r>
              <w:rPr>
                <w:rFonts w:ascii="Arial" w:cs="Arial" w:eastAsia="Arial" w:hAnsi="Arial"/>
                <w:sz w:val="16"/>
                <w:szCs w:val="16"/>
                <w:color w:val="auto"/>
              </w:rPr>
              <w:t>Subtotal</w:t>
            </w: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3,843</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720"/>
              <w:spacing w:after="0"/>
              <w:rPr>
                <w:sz w:val="20"/>
                <w:szCs w:val="20"/>
                <w:color w:val="auto"/>
              </w:rPr>
            </w:pPr>
            <w:r>
              <w:rPr>
                <w:rFonts w:ascii="Arial" w:cs="Arial" w:eastAsia="Arial" w:hAnsi="Arial"/>
                <w:sz w:val="16"/>
                <w:szCs w:val="16"/>
                <w:color w:val="auto"/>
              </w:rPr>
              <w:t>Total notes payable</w:t>
            </w: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3,781</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2.55% notes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3.00% notes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275,000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3.95% notes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3.25% notes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475,000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3.20% notes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400,000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400,000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4.50% notes</w:t>
            </w: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550,000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3.625% notes</w:t>
            </w: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2,819,200</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(12,066)</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senior notes and debentures</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2,807,134</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580" w:type="dxa"/>
            <w:vAlign w:val="bottom"/>
            <w:tcBorders>
              <w:bottom w:val="single" w:sz="8" w:color="CCEEFF"/>
            </w:tcBorders>
            <w:gridSpan w:val="2"/>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Total debt, net</w:t>
            </w:r>
          </w:p>
        </w:tc>
        <w:tc>
          <w:tcPr>
            <w:tcW w:w="1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3,356,594</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November 26, 2019, we entered into two interest rate swap agreements that fix the interest rate on the mortgage loan at 3.67%.</w:t>
      </w:r>
    </w:p>
    <w:p>
      <w:pPr>
        <w:spacing w:after="0" w:line="63"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mortgage loan has a fixed interest rate, however, the rate resets every five years until maturity. The current interest rate is fixed until July 1, 2022, and the loan is prepayable at par anytime after this date.</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63"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2019 was $116.5 million and the weighted average effective interest rate on borrowings under our revolving credit facility, before amortization of debt fees, was 3.2%.</w:t>
      </w:r>
    </w:p>
    <w:p>
      <w:pPr>
        <w:sectPr>
          <w:pgSz w:w="11900" w:h="16838" w:orient="portrait"/>
          <w:cols w:equalWidth="0" w:num="1">
            <w:col w:w="11420"/>
          </w:cols>
          <w:pgMar w:left="240" w:top="126" w:right="239" w:bottom="312"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6" w:right="239" w:bottom="312"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revolving credit facility and other debt agreements include financial and other covenants that may limit our operating activities in the future. As of December 31, 2019, we were in compliance with all of the financial and other covenants related to our revolving credit facility and senior notes. Additionally, as of December 31, 2019,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December 31, 2019:</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Secured</w:t>
            </w:r>
          </w:p>
        </w:tc>
        <w:tc>
          <w:tcPr>
            <w:tcW w:w="320" w:type="dxa"/>
            <w:vAlign w:val="bottom"/>
          </w:tcPr>
          <w:p>
            <w:pPr>
              <w:spacing w:after="0"/>
              <w:rPr>
                <w:sz w:val="16"/>
                <w:szCs w:val="16"/>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66,252</w:t>
            </w:r>
          </w:p>
        </w:tc>
        <w:tc>
          <w:tcPr>
            <w:tcW w:w="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66,865</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250,680</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31,519</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282,199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250,756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119,460</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370,216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275,775</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3,293</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279,068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300,665</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3,421</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304,086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1,744,554</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323,302</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2,067,856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2,823,043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547,247</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3,370,290   (2)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0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December 31, 2019, there was no outstanding balance under this credit facility.</w:t>
      </w:r>
    </w:p>
    <w:p>
      <w:pPr>
        <w:spacing w:after="0" w:line="8"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2019, we entered into two interest rate swap agreements that effectively fix the interest rate on a mortgage payable associated with our Hoboken acquisition at 3.67%. Our Assembly Row hotel joint venture is also a party to two interest rate swap agreements that effectively fix the interest rate on the joint venture's mortgage debt at 5.206%. All swaps were designated and qualify as cash flow hedges. Hedge ineffectiveness has not impacted our earnings in 2019, 2018 and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290"/>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7"/>
          </w:tcPr>
          <w:p>
            <w:pPr>
              <w:jc w:val="center"/>
              <w:ind w:left="433"/>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360,542</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249,026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297,870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(116,393)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(77,632)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215,139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213,098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188,719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19,124</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471,971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467,693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420,125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 (1)</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465,819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461,777</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419,977</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(2)</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75,514</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73,122</w:t>
            </w:r>
          </w:p>
        </w:tc>
        <w:tc>
          <w:tcPr>
            <w:tcW w:w="0" w:type="dxa"/>
            <w:vAlign w:val="bottom"/>
          </w:tcPr>
          <w:p>
            <w:pPr>
              <w:spacing w:after="0"/>
              <w:rPr>
                <w:sz w:val="1"/>
                <w:szCs w:val="1"/>
                <w:color w:val="auto"/>
              </w:rPr>
            </w:pPr>
          </w:p>
        </w:tc>
      </w:tr>
      <w:tr>
        <w:trPr>
          <w:trHeight w:val="32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80" w:hanging="652"/>
        <w:spacing w:after="0" w:line="255"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the year ended December 31, 2019, FFO available for common shareholders includes an $11.9 million charge relating to the buyout of a lease at Assembly Square Marketplace. If this charge was excluded, our FFO available for common shareholders for 2019 would have been $477.7 million, and FFO available for common shareholders, per diluted share would have been $6.33. For the year ended December 31, 2017, FFO available for common shareholders includes a $12.3 million charge related to early extinguishment of debt. If this charge was excluded, our FFO available for common shareholders for 2017 would have been $432.2 million, and FFO available for common shareholders, per diluted share would have been $5.91.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75" w:lineRule="exact"/>
        <w:rPr>
          <w:sz w:val="20"/>
          <w:szCs w:val="20"/>
          <w:color w:val="auto"/>
        </w:rPr>
      </w:pPr>
    </w:p>
    <w:p>
      <w:pPr>
        <w:ind w:left="660" w:right="120" w:hanging="652"/>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also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majority of our outstanding debt obligations (maturing at various times through 2046 or, with respect to finance lease obligations through 2106) have fixed interest rates which limit the risk of fluctuating interest rates. However, interest rate fluctuations may affect the fair value of our fixed rate debt instruments. At December 31, 2019, we had $3.4 billion of fixed-rate debt outstanding, including $56.5 million in mortgage payables that are effectively fixed by two interest rate swap agreements. If market interest rates used to calculate the fair value on our fixed-rate debt instruments at December 31, 2019 had been 1.0% higher, the fair value of those debt instruments on that date would have decreased by approximately $250.5 million. If market interest rates used to calculate the fair value on our fixed-rate debt instruments at December 31, 2019 had been 1.0% lower, the fair value of those debt instruments on that date would have increased by approximately $288.1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December 31, 2019, we had no variable rate debt outstanding.</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193" w:lineRule="exact"/>
        <w:rPr>
          <w:sz w:val="20"/>
          <w:szCs w:val="20"/>
          <w:color w:val="auto"/>
        </w:rPr>
      </w:pPr>
    </w:p>
    <w:p>
      <w:pPr>
        <w:ind w:right="108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Trust maintains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 with the participation of the Trust’s Chief Executive Officer and Chief Financial Officer, evaluated the effectiveness of the design and operation of the Trust’s disclosure controls and procedures as of December 31, 2019. Based on that evaluation, the Trust’s Chief Executive Officer and Chief Financial Officer concluded that, as of December 31, 2019, the Trust’s disclosure controls and procedures were effective at a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Trust’s management is responsible for establishing and maintaining adequate internal control over financial reporting. Internal control over financial reporting is defined in Rule 13a-15(f) and 15d-15(f) under the Exchange Act as a process designed by, or under the supervision of, the Trust’s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spacing w:after="0" w:line="10"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 of our assets;</w:t>
      </w:r>
    </w:p>
    <w:p>
      <w:pPr>
        <w:spacing w:after="0" w:line="34" w:lineRule="exact"/>
        <w:rPr>
          <w:rFonts w:ascii="Arial" w:cs="Arial" w:eastAsia="Arial" w:hAnsi="Arial"/>
          <w:sz w:val="17"/>
          <w:szCs w:val="17"/>
          <w:color w:val="auto"/>
        </w:rPr>
      </w:pPr>
    </w:p>
    <w:p>
      <w:pPr>
        <w:ind w:left="660" w:right="6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w:t>
      </w:r>
    </w:p>
    <w:p>
      <w:pPr>
        <w:spacing w:after="0" w:line="1" w:lineRule="exact"/>
        <w:rPr>
          <w:rFonts w:ascii="Arial" w:cs="Arial" w:eastAsia="Arial" w:hAnsi="Arial"/>
          <w:sz w:val="18"/>
          <w:szCs w:val="18"/>
          <w:color w:val="auto"/>
        </w:rPr>
      </w:pPr>
    </w:p>
    <w:p>
      <w:pPr>
        <w:ind w:left="660" w:right="700" w:hanging="328"/>
        <w:spacing w:after="0" w:line="261"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assessed the effectiveness of the Trust’s internal control over financial reporting as of December 31, 2019.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Based on that assessment and criteria, management concluded that the Trust's internal control over financial reporting was effective as of December 31, 2019.</w:t>
      </w:r>
    </w:p>
    <w:p>
      <w:pPr>
        <w:spacing w:after="0" w:line="39" w:lineRule="exact"/>
        <w:rPr>
          <w:sz w:val="20"/>
          <w:szCs w:val="20"/>
          <w:color w:val="auto"/>
        </w:rPr>
      </w:pPr>
    </w:p>
    <w:p>
      <w:pPr>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w:t>
      </w:r>
      <w:hyperlink w:anchor="page58">
        <w:r>
          <w:rPr>
            <w:rFonts w:ascii="Arial" w:cs="Arial" w:eastAsia="Arial" w:hAnsi="Arial"/>
            <w:sz w:val="18"/>
            <w:szCs w:val="18"/>
            <w:u w:val="single" w:color="auto"/>
            <w:color w:val="0000EE"/>
          </w:rPr>
          <w:t>F-2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2019 that materially affected, or is reasonably likely to materially affect, our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2020 Annual Meeting of Shareholders (as amended or supplemented, the “Proxy Statement”).</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0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3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9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0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ind w:left="40" w:right="1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Our consolidated financial statements and notes thereto, together with Reports of Independent Registered Public Accounting Firm are included as a separate section of this Annual Report on Form 10-K commencing on page </w:t>
      </w:r>
      <w:hyperlink w:anchor="page57">
        <w:r>
          <w:rPr>
            <w:rFonts w:ascii="Arial" w:cs="Arial" w:eastAsia="Arial" w:hAnsi="Arial"/>
            <w:sz w:val="18"/>
            <w:szCs w:val="18"/>
            <w:u w:val="single" w:color="auto"/>
            <w:color w:val="0000EE"/>
          </w:rPr>
          <w:t>F-1</w:t>
        </w:r>
      </w:hyperlink>
      <w:r>
        <w:rPr>
          <w:rFonts w:ascii="Arial" w:cs="Arial" w:eastAsia="Arial" w:hAnsi="Arial"/>
          <w:sz w:val="18"/>
          <w:szCs w:val="18"/>
          <w:color w:val="auto"/>
        </w:rPr>
        <w:t>.</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Financial Statement Schedules</w:t>
      </w:r>
    </w:p>
    <w:p>
      <w:pPr>
        <w:spacing w:after="0" w:line="148"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Our financial statement schedules are included in a separate section of this Annual Report on Form 10-K commencing on page </w:t>
      </w:r>
      <w:hyperlink w:anchor="page87">
        <w:r>
          <w:rPr>
            <w:rFonts w:ascii="Arial" w:cs="Arial" w:eastAsia="Arial" w:hAnsi="Arial"/>
            <w:sz w:val="18"/>
            <w:szCs w:val="18"/>
            <w:u w:val="single" w:color="auto"/>
            <w:color w:val="0000EE"/>
          </w:rPr>
          <w:t>F-31</w:t>
        </w:r>
      </w:hyperlink>
      <w:r>
        <w:rPr>
          <w:rFonts w:ascii="Arial" w:cs="Arial" w:eastAsia="Arial" w:hAnsi="Arial"/>
          <w:sz w:val="18"/>
          <w:szCs w:val="18"/>
          <w:color w:val="auto"/>
        </w:rPr>
        <w:t>.</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Exhibits</w:t>
      </w:r>
    </w:p>
    <w:p>
      <w:pPr>
        <w:spacing w:after="0" w:line="391" w:lineRule="exact"/>
        <w:rPr>
          <w:sz w:val="20"/>
          <w:szCs w:val="20"/>
          <w:color w:val="auto"/>
        </w:rPr>
      </w:pPr>
    </w:p>
    <w:p>
      <w:pPr>
        <w:ind w:left="300" w:hanging="265"/>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following documents are filed as exhibits are filed as part of, or incorporated by reference info,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51</w:t>
      </w:r>
    </w:p>
    <w:p>
      <w:pPr>
        <w:sectPr>
          <w:pgSz w:w="11900" w:h="16838" w:orient="portrait"/>
          <w:cols w:equalWidth="0" w:num="1">
            <w:col w:w="11380"/>
          </w:cols>
          <w:pgMar w:left="240" w:top="126" w:right="27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60" w:type="dxa"/>
            <w:vAlign w:val="bottom"/>
            <w:gridSpan w:val="13"/>
          </w:tcPr>
          <w:p>
            <w:pPr>
              <w:ind w:left="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1034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34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340" w:type="dxa"/>
            <w:vAlign w:val="bottom"/>
            <w:tcBorders>
              <w:top w:val="single" w:sz="8" w:color="auto"/>
            </w:tcBorders>
            <w:gridSpan w:val="23"/>
          </w:tcPr>
          <w:p>
            <w:pPr>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3"/>
          </w:tcPr>
          <w:p>
            <w:pPr>
              <w:spacing w:after="0" w:line="190" w:lineRule="exact"/>
              <w:rPr>
                <w:rFonts w:ascii="Arial" w:cs="Arial" w:eastAsia="Arial" w:hAnsi="Arial"/>
                <w:sz w:val="18"/>
                <w:szCs w:val="18"/>
                <w:color w:val="auto"/>
                <w:w w:val="93"/>
              </w:rPr>
            </w:pPr>
            <w:r>
              <w:rPr>
                <w:rFonts w:ascii="Arial" w:cs="Arial" w:eastAsia="Arial" w:hAnsi="Arial"/>
                <w:sz w:val="18"/>
                <w:szCs w:val="18"/>
                <w:color w:val="auto"/>
                <w:w w:val="93"/>
              </w:rPr>
              <w:t xml:space="preserve">Realty Investment Trust dated May 6, 2009 (previously filed as </w:t>
            </w:r>
            <w:hyperlink r:id="rId12">
              <w:r>
                <w:rPr>
                  <w:rFonts w:ascii="Arial" w:cs="Arial" w:eastAsia="Arial" w:hAnsi="Arial"/>
                  <w:sz w:val="18"/>
                  <w:szCs w:val="18"/>
                  <w:color w:val="0000FF"/>
                  <w:w w:val="93"/>
                </w:rPr>
                <w:t>Exhibit 3.1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Registration Statement on Form S-3 (File No. 333-</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0" w:type="dxa"/>
            <w:vAlign w:val="bottom"/>
            <w:gridSpan w:val="11"/>
          </w:tcPr>
          <w:p>
            <w:pPr>
              <w:spacing w:after="0"/>
              <w:rPr>
                <w:sz w:val="20"/>
                <w:szCs w:val="20"/>
                <w:color w:val="auto"/>
              </w:rPr>
            </w:pPr>
            <w:r>
              <w:rPr>
                <w:rFonts w:ascii="Arial" w:cs="Arial" w:eastAsia="Arial" w:hAnsi="Arial"/>
                <w:sz w:val="18"/>
                <w:szCs w:val="18"/>
                <w:color w:val="auto"/>
              </w:rPr>
              <w:t>160009) and incorporated herein by reference)</w:t>
            </w:r>
          </w:p>
        </w:tc>
        <w:tc>
          <w:tcPr>
            <w:tcW w:w="800" w:type="dxa"/>
            <w:vAlign w:val="bottom"/>
            <w:tcBorders>
              <w:top w:val="single" w:sz="8" w:color="0000FF"/>
            </w:tcBorders>
            <w:gridSpan w:val="2"/>
          </w:tcPr>
          <w:p>
            <w:pPr>
              <w:spacing w:after="0"/>
              <w:rPr>
                <w:sz w:val="20"/>
                <w:szCs w:val="20"/>
                <w:color w:val="auto"/>
              </w:rPr>
            </w:pPr>
          </w:p>
        </w:tc>
        <w:tc>
          <w:tcPr>
            <w:tcW w:w="49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3"/>
          </w:tcPr>
          <w:p>
            <w:pPr>
              <w:spacing w:after="0" w:line="190" w:lineRule="exact"/>
              <w:rPr>
                <w:rFonts w:ascii="Arial" w:cs="Arial" w:eastAsia="Arial" w:hAnsi="Arial"/>
                <w:sz w:val="18"/>
                <w:szCs w:val="18"/>
                <w:color w:val="auto"/>
                <w:w w:val="92"/>
              </w:rPr>
            </w:pPr>
            <w:r>
              <w:rPr>
                <w:rFonts w:ascii="Arial" w:cs="Arial" w:eastAsia="Arial" w:hAnsi="Arial"/>
                <w:sz w:val="18"/>
                <w:szCs w:val="18"/>
                <w:color w:val="auto"/>
                <w:w w:val="92"/>
              </w:rPr>
              <w:t xml:space="preserve">February 17, 2006, May 6, 2009, November 2, 2016, and February 5, 2019 (previously filed as </w:t>
            </w:r>
            <w:hyperlink r:id="rId13">
              <w:r>
                <w:rPr>
                  <w:rFonts w:ascii="Arial" w:cs="Arial" w:eastAsia="Arial" w:hAnsi="Arial"/>
                  <w:sz w:val="18"/>
                  <w:szCs w:val="18"/>
                  <w:color w:val="0000FF"/>
                  <w:w w:val="92"/>
                </w:rPr>
                <w:t>Exhibit 3.2</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Trust’s Quarterly Report on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40" w:type="dxa"/>
            <w:vAlign w:val="bottom"/>
            <w:tcBorders>
              <w:right w:val="single" w:sz="8" w:color="0000FF"/>
            </w:tcBorders>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Form 10-Q for the quarter ended March 31, 2019 (File No. 1-07533) and incorporated herein by reference)</w:t>
            </w: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rFonts w:ascii="Arial" w:cs="Arial" w:eastAsia="Arial" w:hAnsi="Arial"/>
                <w:sz w:val="18"/>
                <w:szCs w:val="18"/>
                <w:color w:val="auto"/>
                <w:w w:val="99"/>
              </w:rPr>
            </w:pPr>
            <w:r>
              <w:rPr>
                <w:rFonts w:ascii="Arial" w:cs="Arial" w:eastAsia="Arial" w:hAnsi="Arial"/>
                <w:sz w:val="18"/>
                <w:szCs w:val="18"/>
                <w:color w:val="auto"/>
                <w:w w:val="99"/>
              </w:rPr>
              <w:t xml:space="preserve">Specimen Common Share certificate (previously filed as Exhibit 4(i) to the Trust’s Annual Report on </w:t>
            </w:r>
            <w:hyperlink r:id="rId14">
              <w:r>
                <w:rPr>
                  <w:rFonts w:ascii="Arial" w:cs="Arial" w:eastAsia="Arial" w:hAnsi="Arial"/>
                  <w:sz w:val="18"/>
                  <w:szCs w:val="18"/>
                  <w:color w:val="0000FF"/>
                  <w:w w:val="99"/>
                </w:rPr>
                <w:t>Form 10-K</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for the year ended</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20" w:type="dxa"/>
            <w:vAlign w:val="bottom"/>
            <w:gridSpan w:val="15"/>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800" w:type="dxa"/>
            <w:vAlign w:val="bottom"/>
            <w:tcBorders>
              <w:top w:val="single" w:sz="8" w:color="0000FF"/>
            </w:tcBorders>
            <w:gridSpan w:val="2"/>
          </w:tcPr>
          <w:p>
            <w:pPr>
              <w:spacing w:after="0"/>
              <w:rPr>
                <w:sz w:val="20"/>
                <w:szCs w:val="20"/>
                <w:color w:val="auto"/>
              </w:rPr>
            </w:pPr>
          </w:p>
        </w:tc>
        <w:tc>
          <w:tcPr>
            <w:tcW w:w="22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3"/>
          </w:tcPr>
          <w:p>
            <w:pPr>
              <w:spacing w:after="0" w:line="190" w:lineRule="exact"/>
              <w:rPr>
                <w:rFonts w:ascii="Arial" w:cs="Arial" w:eastAsia="Arial" w:hAnsi="Arial"/>
                <w:sz w:val="18"/>
                <w:szCs w:val="18"/>
                <w:color w:val="0000FF"/>
                <w:w w:val="95"/>
              </w:rPr>
            </w:pPr>
            <w:hyperlink r:id="rId15">
              <w:r>
                <w:rPr>
                  <w:rFonts w:ascii="Arial" w:cs="Arial" w:eastAsia="Arial" w:hAnsi="Arial"/>
                  <w:sz w:val="18"/>
                  <w:szCs w:val="18"/>
                  <w:color w:val="0000FF"/>
                  <w:w w:val="95"/>
                </w:rPr>
                <w:t xml:space="preserve">Exhibit 4.1 </w:t>
              </w:r>
            </w:hyperlink>
            <w:r>
              <w:rPr>
                <w:rFonts w:ascii="Arial" w:cs="Arial" w:eastAsia="Arial" w:hAnsi="Arial"/>
                <w:sz w:val="18"/>
                <w:szCs w:val="18"/>
                <w:color w:val="000000"/>
                <w:w w:val="95"/>
              </w:rPr>
              <w:t>to</w:t>
            </w:r>
            <w:r>
              <w:rPr>
                <w:rFonts w:ascii="Arial" w:cs="Arial" w:eastAsia="Arial" w:hAnsi="Arial"/>
                <w:sz w:val="18"/>
                <w:szCs w:val="18"/>
                <w:color w:val="0000FF"/>
                <w:w w:val="95"/>
              </w:rPr>
              <w:t xml:space="preserve"> </w:t>
            </w:r>
            <w:r>
              <w:rPr>
                <w:rFonts w:ascii="Arial" w:cs="Arial" w:eastAsia="Arial" w:hAnsi="Arial"/>
                <w:sz w:val="18"/>
                <w:szCs w:val="18"/>
                <w:color w:val="000000"/>
                <w:w w:val="95"/>
              </w:rPr>
              <w:t>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4"/>
              </w:rPr>
              <w:t>** 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3"/>
              </w:rPr>
              <w:t>** Indenture dated September 1, 1998 related to the Trust’s 3.00% Notes due 2022; 2.75% Notes due 2023; 3.95% Notes due 2024; 4.50%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7"/>
              </w:rPr>
              <w:t>Notes due 2044; 2.55% Notes due 2021; 3.625% Notes due 2046; 3.25% Notes due 2027; 3.20% Notes due 2029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3"/>
          </w:tcPr>
          <w:p>
            <w:pPr>
              <w:spacing w:after="0" w:line="190"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 xml:space="preserve">Exhibit 4(a) </w:t>
              </w:r>
            </w:hyperlink>
            <w:r>
              <w:rPr>
                <w:rFonts w:ascii="Arial" w:cs="Arial" w:eastAsia="Arial" w:hAnsi="Arial"/>
                <w:sz w:val="18"/>
                <w:szCs w:val="18"/>
                <w:color w:val="000000"/>
                <w:w w:val="92"/>
              </w:rPr>
              <w:t>to</w:t>
            </w:r>
            <w:r>
              <w:rPr>
                <w:rFonts w:ascii="Arial" w:cs="Arial" w:eastAsia="Arial" w:hAnsi="Arial"/>
                <w:sz w:val="18"/>
                <w:szCs w:val="18"/>
                <w:color w:val="0000FF"/>
                <w:w w:val="92"/>
              </w:rPr>
              <w:t xml:space="preserve"> </w:t>
            </w:r>
            <w:r>
              <w:rPr>
                <w:rFonts w:ascii="Arial" w:cs="Arial" w:eastAsia="Arial" w:hAnsi="Arial"/>
                <w:sz w:val="18"/>
                <w:szCs w:val="18"/>
                <w:color w:val="000000"/>
                <w:w w:val="92"/>
              </w:rPr>
              <w:t>the Trust’s Registration Statement on Form S-3 (File No. 333-63619) filed on September 17, 1998 and incorporated herein by</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reference)</w:t>
            </w:r>
          </w:p>
        </w:tc>
        <w:tc>
          <w:tcPr>
            <w:tcW w:w="948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3"/>
              </w:rPr>
              <w:t>Articles Supplementary relating to the 5.000% Series C Cumulative Redeemable Preferred Shares of Beneficial Interest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3"/>
          </w:tcPr>
          <w:p>
            <w:pPr>
              <w:spacing w:after="0" w:line="190" w:lineRule="exact"/>
              <w:rPr>
                <w:rFonts w:ascii="Arial" w:cs="Arial" w:eastAsia="Arial" w:hAnsi="Arial"/>
                <w:sz w:val="18"/>
                <w:szCs w:val="18"/>
                <w:color w:val="0000FF"/>
                <w:w w:val="94"/>
              </w:rPr>
            </w:pPr>
            <w:hyperlink r:id="rId17">
              <w:r>
                <w:rPr>
                  <w:rFonts w:ascii="Arial" w:cs="Arial" w:eastAsia="Arial" w:hAnsi="Arial"/>
                  <w:sz w:val="18"/>
                  <w:szCs w:val="18"/>
                  <w:color w:val="0000FF"/>
                  <w:w w:val="94"/>
                </w:rPr>
                <w:t xml:space="preserve">Exhibit 3.2 </w:t>
              </w:r>
            </w:hyperlink>
            <w:r>
              <w:rPr>
                <w:rFonts w:ascii="Arial" w:cs="Arial" w:eastAsia="Arial" w:hAnsi="Arial"/>
                <w:sz w:val="18"/>
                <w:szCs w:val="18"/>
                <w:color w:val="000000"/>
                <w:w w:val="94"/>
              </w:rPr>
              <w:t>to</w:t>
            </w:r>
            <w:r>
              <w:rPr>
                <w:rFonts w:ascii="Arial" w:cs="Arial" w:eastAsia="Arial" w:hAnsi="Arial"/>
                <w:sz w:val="18"/>
                <w:szCs w:val="18"/>
                <w:color w:val="0000FF"/>
                <w:w w:val="94"/>
              </w:rPr>
              <w:t xml:space="preserve"> </w:t>
            </w:r>
            <w:r>
              <w:rPr>
                <w:rFonts w:ascii="Arial" w:cs="Arial" w:eastAsia="Arial" w:hAnsi="Arial"/>
                <w:sz w:val="18"/>
                <w:szCs w:val="18"/>
                <w:color w:val="000000"/>
                <w:w w:val="94"/>
              </w:rPr>
              <w:t>the Trust's Registration Statement on Form 8-A (File No. 1-07533), filed on September 29, 2017 and incorporated herein by</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5"/>
              </w:rPr>
              <w:t>reference)</w:t>
            </w:r>
          </w:p>
        </w:tc>
        <w:tc>
          <w:tcPr>
            <w:tcW w:w="952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4"/>
              </w:rPr>
              <w:t>Deposit Agreement, dated as of September 29, 2017, by and among Federal Realty Investment Trust, American Stock Transfer and Trust</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3"/>
          </w:tcPr>
          <w:p>
            <w:pPr>
              <w:spacing w:after="0" w:line="190" w:lineRule="exact"/>
              <w:rPr>
                <w:rFonts w:ascii="Arial" w:cs="Arial" w:eastAsia="Arial" w:hAnsi="Arial"/>
                <w:sz w:val="18"/>
                <w:szCs w:val="18"/>
                <w:color w:val="auto"/>
                <w:w w:val="98"/>
              </w:rPr>
            </w:pPr>
            <w:r>
              <w:rPr>
                <w:rFonts w:ascii="Arial" w:cs="Arial" w:eastAsia="Arial" w:hAnsi="Arial"/>
                <w:sz w:val="18"/>
                <w:szCs w:val="18"/>
                <w:color w:val="auto"/>
                <w:w w:val="98"/>
              </w:rPr>
              <w:t xml:space="preserve">Company, LLC, as Depositary, and all holders from time to time of Receipt (previously filed as </w:t>
            </w:r>
            <w:hyperlink r:id="rId18">
              <w:r>
                <w:rPr>
                  <w:rFonts w:ascii="Arial" w:cs="Arial" w:eastAsia="Arial" w:hAnsi="Arial"/>
                  <w:sz w:val="18"/>
                  <w:szCs w:val="18"/>
                  <w:color w:val="0000FF"/>
                  <w:w w:val="98"/>
                </w:rPr>
                <w:t>Exhibit 4.1</w:t>
              </w:r>
              <w:r>
                <w:rPr>
                  <w:rFonts w:ascii="Arial" w:cs="Arial" w:eastAsia="Arial" w:hAnsi="Arial"/>
                  <w:sz w:val="18"/>
                  <w:szCs w:val="18"/>
                  <w:color w:val="auto"/>
                  <w:w w:val="98"/>
                </w:rPr>
                <w:t xml:space="preserve"> </w:t>
              </w:r>
            </w:hyperlink>
            <w:r>
              <w:rPr>
                <w:rFonts w:ascii="Arial" w:cs="Arial" w:eastAsia="Arial" w:hAnsi="Arial"/>
                <w:sz w:val="18"/>
                <w:szCs w:val="18"/>
                <w:color w:val="auto"/>
                <w:w w:val="98"/>
              </w:rPr>
              <w:t>to the Trust's Registration</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Statement on Form 8-A (File No. 1-07533), filed on September 29, 2017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5"/>
              </w:rPr>
              <w:t>Specimen certificate relating to the 5.000% Series C Cumulative Redeemable Preferred Shares of Beneficial Interest (previously filed as</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3"/>
          </w:tcPr>
          <w:p>
            <w:pPr>
              <w:spacing w:after="0" w:line="190" w:lineRule="exact"/>
              <w:rPr>
                <w:rFonts w:ascii="Arial" w:cs="Arial" w:eastAsia="Arial" w:hAnsi="Arial"/>
                <w:sz w:val="18"/>
                <w:szCs w:val="18"/>
                <w:color w:val="0000FF"/>
                <w:w w:val="94"/>
              </w:rPr>
            </w:pPr>
            <w:hyperlink r:id="rId19">
              <w:r>
                <w:rPr>
                  <w:rFonts w:ascii="Arial" w:cs="Arial" w:eastAsia="Arial" w:hAnsi="Arial"/>
                  <w:sz w:val="18"/>
                  <w:szCs w:val="18"/>
                  <w:color w:val="0000FF"/>
                  <w:w w:val="94"/>
                </w:rPr>
                <w:t xml:space="preserve">Exhibit 4.3 </w:t>
              </w:r>
            </w:hyperlink>
            <w:r>
              <w:rPr>
                <w:rFonts w:ascii="Arial" w:cs="Arial" w:eastAsia="Arial" w:hAnsi="Arial"/>
                <w:sz w:val="18"/>
                <w:szCs w:val="18"/>
                <w:color w:val="000000"/>
                <w:w w:val="94"/>
              </w:rPr>
              <w:t>to</w:t>
            </w:r>
            <w:r>
              <w:rPr>
                <w:rFonts w:ascii="Arial" w:cs="Arial" w:eastAsia="Arial" w:hAnsi="Arial"/>
                <w:sz w:val="18"/>
                <w:szCs w:val="18"/>
                <w:color w:val="0000FF"/>
                <w:w w:val="94"/>
              </w:rPr>
              <w:t xml:space="preserve"> </w:t>
            </w:r>
            <w:r>
              <w:rPr>
                <w:rFonts w:ascii="Arial" w:cs="Arial" w:eastAsia="Arial" w:hAnsi="Arial"/>
                <w:sz w:val="18"/>
                <w:szCs w:val="18"/>
                <w:color w:val="000000"/>
                <w:w w:val="94"/>
              </w:rPr>
              <w:t>the Trust's Registration Statement on Form 8-A (File No. 1-07533), filed on September 29, 2017 and incorporated herein by</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5"/>
              </w:rPr>
              <w:t>reference)</w:t>
            </w:r>
          </w:p>
        </w:tc>
        <w:tc>
          <w:tcPr>
            <w:tcW w:w="952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900" w:type="dxa"/>
            <w:vAlign w:val="bottom"/>
          </w:tcPr>
          <w:p>
            <w:pPr>
              <w:ind w:left="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97">
              <w:r>
                <w:rPr>
                  <w:rFonts w:ascii="Arial" w:cs="Arial" w:eastAsia="Arial" w:hAnsi="Arial"/>
                  <w:sz w:val="18"/>
                  <w:szCs w:val="18"/>
                  <w:color w:val="0000FF"/>
                  <w:w w:val="92"/>
                </w:rPr>
                <w:t>Description of Securities (filed herewith)</w:t>
              </w:r>
            </w:hyperlink>
          </w:p>
        </w:tc>
        <w:tc>
          <w:tcPr>
            <w:tcW w:w="73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 Severance Agreement between the Trust and Donald C. Wood dated February 22, 1999 (previously filed as a portion of </w:t>
            </w:r>
            <w:hyperlink r:id="rId20">
              <w:r>
                <w:rPr>
                  <w:rFonts w:ascii="Arial" w:cs="Arial" w:eastAsia="Arial" w:hAnsi="Arial"/>
                  <w:sz w:val="18"/>
                  <w:szCs w:val="18"/>
                  <w:color w:val="0000FF"/>
                  <w:w w:val="94"/>
                </w:rPr>
                <w:t>Exhibit 10</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2"/>
              </w:rPr>
              <w:t>* Executive Agreement between Federal Realty Investment Trust and Donald C. Wood dated February 22, 1999 (previously filed as a portion</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3"/>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of </w:t>
            </w:r>
            <w:hyperlink r:id="rId20">
              <w:r>
                <w:rPr>
                  <w:rFonts w:ascii="Arial" w:cs="Arial" w:eastAsia="Arial" w:hAnsi="Arial"/>
                  <w:sz w:val="18"/>
                  <w:szCs w:val="18"/>
                  <w:color w:val="0000FF"/>
                </w:rPr>
                <w:t>Exhibit 10</w:t>
              </w:r>
              <w:r>
                <w:rPr>
                  <w:rFonts w:ascii="Arial" w:cs="Arial" w:eastAsia="Arial" w:hAnsi="Arial"/>
                  <w:sz w:val="18"/>
                  <w:szCs w:val="18"/>
                  <w:color w:val="auto"/>
                </w:rPr>
                <w:t xml:space="preserve"> </w:t>
              </w:r>
            </w:hyperlink>
            <w:r>
              <w:rPr>
                <w:rFonts w:ascii="Arial" w:cs="Arial" w:eastAsia="Arial" w:hAnsi="Arial"/>
                <w:sz w:val="18"/>
                <w:szCs w:val="18"/>
                <w:color w:val="auto"/>
              </w:rPr>
              <w:t>to the 1999 1Q Form 10-Q and incorporated herein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3"/>
              </w:rPr>
              <w:t>* Amendment to Executive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3"/>
          </w:tcPr>
          <w:p>
            <w:pPr>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 xml:space="preserve">filed as </w:t>
            </w:r>
            <w:hyperlink r:id="rId21">
              <w:r>
                <w:rPr>
                  <w:rFonts w:ascii="Arial" w:cs="Arial" w:eastAsia="Arial" w:hAnsi="Arial"/>
                  <w:sz w:val="18"/>
                  <w:szCs w:val="18"/>
                  <w:color w:val="0000FF"/>
                  <w:w w:val="97"/>
                </w:rPr>
                <w:t>Exhibit 10.12</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the Trust’s Annual Report on Form 10-K for the year ended December 31, 2004 (File No. 1-07533) (the “2004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2001 Long-Term Incentive Plan (previously filed as </w:t>
            </w:r>
            <w:hyperlink r:id="rId22">
              <w:r>
                <w:rPr>
                  <w:rFonts w:ascii="Arial" w:cs="Arial" w:eastAsia="Arial" w:hAnsi="Arial"/>
                  <w:sz w:val="18"/>
                  <w:szCs w:val="18"/>
                  <w:color w:val="0000FF"/>
                  <w:w w:val="93"/>
                </w:rPr>
                <w:t>Exhibit 99.1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S-8 Registration Number 333-60364 filed on May 7, 2001 and</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80" w:type="dxa"/>
            <w:vAlign w:val="bottom"/>
            <w:gridSpan w:val="10"/>
          </w:tcPr>
          <w:p>
            <w:pPr>
              <w:spacing w:after="0"/>
              <w:rPr>
                <w:sz w:val="20"/>
                <w:szCs w:val="20"/>
                <w:color w:val="auto"/>
              </w:rPr>
            </w:pPr>
            <w:r>
              <w:rPr>
                <w:rFonts w:ascii="Arial" w:cs="Arial" w:eastAsia="Arial" w:hAnsi="Arial"/>
                <w:sz w:val="18"/>
                <w:szCs w:val="18"/>
                <w:color w:val="auto"/>
              </w:rPr>
              <w:t>incorporated herein by reference)</w:t>
            </w:r>
          </w:p>
        </w:tc>
        <w:tc>
          <w:tcPr>
            <w:tcW w:w="880" w:type="dxa"/>
            <w:vAlign w:val="bottom"/>
            <w:tcBorders>
              <w:top w:val="single" w:sz="8" w:color="0000FF"/>
            </w:tcBorders>
            <w:gridSpan w:val="2"/>
          </w:tcPr>
          <w:p>
            <w:pPr>
              <w:spacing w:after="0"/>
              <w:rPr>
                <w:sz w:val="20"/>
                <w:szCs w:val="20"/>
                <w:color w:val="auto"/>
              </w:rPr>
            </w:pPr>
          </w:p>
        </w:tc>
        <w:tc>
          <w:tcPr>
            <w:tcW w:w="568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sz w:val="20"/>
                <w:szCs w:val="20"/>
                <w:color w:val="auto"/>
              </w:rPr>
            </w:pPr>
            <w:r>
              <w:rPr>
                <w:rFonts w:ascii="Arial" w:cs="Arial" w:eastAsia="Arial" w:hAnsi="Arial"/>
                <w:sz w:val="18"/>
                <w:szCs w:val="18"/>
                <w:color w:val="auto"/>
                <w:w w:val="97"/>
              </w:rPr>
              <w:t>* Health Coverage Continuation Agreement between Federal Realty Investment Trust and Donald C. Wood dated February 16, 2005</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3"/>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23">
              <w:r>
                <w:rPr>
                  <w:rFonts w:ascii="Arial" w:cs="Arial" w:eastAsia="Arial" w:hAnsi="Arial"/>
                  <w:sz w:val="18"/>
                  <w:szCs w:val="18"/>
                  <w:color w:val="0000FF"/>
                </w:rPr>
                <w:t>Exhibit 10.26</w:t>
              </w:r>
              <w:r>
                <w:rPr>
                  <w:rFonts w:ascii="Arial" w:cs="Arial" w:eastAsia="Arial" w:hAnsi="Arial"/>
                  <w:sz w:val="18"/>
                  <w:szCs w:val="18"/>
                  <w:color w:val="auto"/>
                </w:rPr>
                <w:t xml:space="preserve"> </w:t>
              </w:r>
            </w:hyperlink>
            <w:r>
              <w:rPr>
                <w:rFonts w:ascii="Arial" w:cs="Arial" w:eastAsia="Arial" w:hAnsi="Arial"/>
                <w:sz w:val="18"/>
                <w:szCs w:val="18"/>
                <w:color w:val="auto"/>
              </w:rPr>
              <w:t>to the 2004 Form 10-K and incorporated herein by reference)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Severance Agreement between the Trust and Dawn M. Becker dated April 19, 2000 (previously filed as </w:t>
            </w:r>
            <w:hyperlink r:id="rId24">
              <w:r>
                <w:rPr>
                  <w:rFonts w:ascii="Arial" w:cs="Arial" w:eastAsia="Arial" w:hAnsi="Arial"/>
                  <w:sz w:val="18"/>
                  <w:szCs w:val="18"/>
                  <w:color w:val="0000FF"/>
                  <w:w w:val="91"/>
                </w:rPr>
                <w:t>Exhibit 10.26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2005 2Q</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gridSpan w:val="16"/>
          </w:tcPr>
          <w:p>
            <w:pPr>
              <w:spacing w:after="0"/>
              <w:rPr>
                <w:sz w:val="20"/>
                <w:szCs w:val="20"/>
                <w:color w:val="auto"/>
              </w:rPr>
            </w:pPr>
            <w:r>
              <w:rPr>
                <w:rFonts w:ascii="Arial" w:cs="Arial" w:eastAsia="Arial" w:hAnsi="Arial"/>
                <w:sz w:val="18"/>
                <w:szCs w:val="18"/>
                <w:color w:val="auto"/>
              </w:rPr>
              <w:t>Form 10-Q and incorporated herein by reference)</w:t>
            </w:r>
          </w:p>
        </w:tc>
        <w:tc>
          <w:tcPr>
            <w:tcW w:w="960" w:type="dxa"/>
            <w:vAlign w:val="bottom"/>
            <w:tcBorders>
              <w:top w:val="single" w:sz="8" w:color="0000FF"/>
            </w:tcBorders>
            <w:gridSpan w:val="2"/>
          </w:tcPr>
          <w:p>
            <w:pPr>
              <w:spacing w:after="0"/>
              <w:rPr>
                <w:sz w:val="20"/>
                <w:szCs w:val="20"/>
                <w:color w:val="auto"/>
              </w:rPr>
            </w:pPr>
          </w:p>
        </w:tc>
        <w:tc>
          <w:tcPr>
            <w:tcW w:w="17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3"/>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 Amendment to Severance Agreement between the Trust and Dawn M. Becker dated February 16, 2005 (previously filed as </w:t>
            </w:r>
            <w:hyperlink r:id="rId25">
              <w:r>
                <w:rPr>
                  <w:rFonts w:ascii="Arial" w:cs="Arial" w:eastAsia="Arial" w:hAnsi="Arial"/>
                  <w:sz w:val="18"/>
                  <w:szCs w:val="18"/>
                  <w:color w:val="0000FF"/>
                  <w:w w:val="92"/>
                </w:rPr>
                <w:t>Exhibit 10.27</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40" w:type="dxa"/>
            <w:vAlign w:val="bottom"/>
            <w:gridSpan w:val="20"/>
          </w:tcPr>
          <w:p>
            <w:pPr>
              <w:spacing w:after="0"/>
              <w:rPr>
                <w:sz w:val="20"/>
                <w:szCs w:val="20"/>
                <w:color w:val="auto"/>
              </w:rPr>
            </w:pPr>
            <w:r>
              <w:rPr>
                <w:rFonts w:ascii="Arial" w:cs="Arial" w:eastAsia="Arial" w:hAnsi="Arial"/>
                <w:sz w:val="18"/>
                <w:szCs w:val="18"/>
                <w:color w:val="auto"/>
              </w:rPr>
              <w:t>the 2004 Form 10-K and incorporated herein by reference)</w:t>
            </w:r>
          </w:p>
        </w:tc>
        <w:tc>
          <w:tcPr>
            <w:tcW w:w="980" w:type="dxa"/>
            <w:vAlign w:val="bottom"/>
            <w:tcBorders>
              <w:top w:val="single" w:sz="8" w:color="0000FF"/>
            </w:tcBorders>
            <w:gridSpan w:val="2"/>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6" w:right="239" w:bottom="1440" w:gutter="0" w:footer="0" w:header="0"/>
          <w:type w:val="continuous"/>
        </w:sectPr>
      </w:pPr>
    </w:p>
    <w:bookmarkStart w:id="52" w:name="page53"/>
    <w:bookmarkEnd w:id="52"/>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034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34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340" w:type="dxa"/>
            <w:vAlign w:val="bottom"/>
            <w:tcBorders>
              <w:top w:val="single" w:sz="8" w:color="auto"/>
            </w:tcBorders>
            <w:gridSpan w:val="28"/>
          </w:tcPr>
          <w:p>
            <w:pPr>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7"/>
              </w:rPr>
            </w:pPr>
            <w:r>
              <w:rPr>
                <w:rFonts w:ascii="Arial" w:cs="Arial" w:eastAsia="Arial" w:hAnsi="Arial"/>
                <w:sz w:val="18"/>
                <w:szCs w:val="18"/>
                <w:color w:val="auto"/>
                <w:w w:val="97"/>
              </w:rPr>
              <w:t xml:space="preserve">out of 2001 Long-Term Incentive Plan (previously filed as </w:t>
            </w:r>
            <w:hyperlink r:id="rId26">
              <w:r>
                <w:rPr>
                  <w:rFonts w:ascii="Arial" w:cs="Arial" w:eastAsia="Arial" w:hAnsi="Arial"/>
                  <w:sz w:val="18"/>
                  <w:szCs w:val="18"/>
                  <w:color w:val="0000FF"/>
                  <w:w w:val="97"/>
                </w:rPr>
                <w:t>Exhibit 10.28</w:t>
              </w:r>
              <w:r>
                <w:rPr>
                  <w:rFonts w:ascii="Arial" w:cs="Arial" w:eastAsia="Arial" w:hAnsi="Arial"/>
                  <w:sz w:val="18"/>
                  <w:szCs w:val="18"/>
                  <w:color w:val="auto"/>
                  <w:w w:val="97"/>
                </w:rPr>
                <w:t xml:space="preserve"> </w:t>
              </w:r>
            </w:hyperlink>
            <w:r>
              <w:rPr>
                <w:rFonts w:ascii="Arial" w:cs="Arial" w:eastAsia="Arial" w:hAnsi="Arial"/>
                <w:sz w:val="18"/>
                <w:szCs w:val="18"/>
                <w:color w:val="auto"/>
                <w:w w:val="97"/>
              </w:rPr>
              <w:t>to the 2004 Form 10-K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3"/>
              </w:rPr>
            </w:pPr>
            <w:r>
              <w:rPr>
                <w:rFonts w:ascii="Arial" w:cs="Arial" w:eastAsia="Arial" w:hAnsi="Arial"/>
                <w:sz w:val="18"/>
                <w:szCs w:val="18"/>
                <w:color w:val="auto"/>
                <w:w w:val="93"/>
              </w:rPr>
              <w:t xml:space="preserve">as </w:t>
            </w:r>
            <w:hyperlink r:id="rId27">
              <w:r>
                <w:rPr>
                  <w:rFonts w:ascii="Arial" w:cs="Arial" w:eastAsia="Arial" w:hAnsi="Arial"/>
                  <w:sz w:val="18"/>
                  <w:szCs w:val="18"/>
                  <w:color w:val="0000FF"/>
                  <w:w w:val="93"/>
                </w:rPr>
                <w:t>Exhibit 10.35</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Annual Report on Form 10-K for the year ended December 31, 2010 (File No. 1-07533) (the "2010 Form 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2001 Long-Term Incentive Plan (previously filed as </w:t>
            </w:r>
            <w:hyperlink r:id="rId28">
              <w:r>
                <w:rPr>
                  <w:rFonts w:ascii="Arial" w:cs="Arial" w:eastAsia="Arial" w:hAnsi="Arial"/>
                  <w:sz w:val="18"/>
                  <w:szCs w:val="18"/>
                  <w:color w:val="0000FF"/>
                </w:rPr>
                <w:t>Exhibit 10.32</w:t>
              </w:r>
              <w:r>
                <w:rPr>
                  <w:rFonts w:ascii="Arial" w:cs="Arial" w:eastAsia="Arial" w:hAnsi="Arial"/>
                  <w:sz w:val="18"/>
                  <w:szCs w:val="18"/>
                  <w:color w:val="auto"/>
                </w:rPr>
                <w:t xml:space="preserve"> </w:t>
              </w:r>
            </w:hyperlink>
            <w:r>
              <w:rPr>
                <w:rFonts w:ascii="Arial" w:cs="Arial" w:eastAsia="Arial" w:hAnsi="Arial"/>
                <w:sz w:val="18"/>
                <w:szCs w:val="18"/>
                <w:color w:val="auto"/>
              </w:rPr>
              <w:t>to the 2005 Form 10-K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340" w:type="dxa"/>
            <w:vAlign w:val="bottom"/>
            <w:gridSpan w:val="28"/>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Amended and Restated 2001 Long-Term Incentive Plan (previously filed as </w:t>
            </w:r>
            <w:hyperlink r:id="rId29">
              <w:r>
                <w:rPr>
                  <w:rFonts w:ascii="Arial" w:cs="Arial" w:eastAsia="Arial" w:hAnsi="Arial"/>
                  <w:sz w:val="18"/>
                  <w:szCs w:val="18"/>
                  <w:color w:val="0000FF"/>
                  <w:w w:val="93"/>
                </w:rPr>
                <w:t>Exhibit 10.34</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Quarterly Report on Form 10-Q for</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the quarter ended June 30, 2007 (File No. 1-07533) and incorporated 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Amendment to Severance Agreement between the Trust and Donald C. Wood dated January 1, 2009 (previously filed as </w:t>
            </w:r>
            <w:hyperlink r:id="rId30">
              <w:r>
                <w:rPr>
                  <w:rFonts w:ascii="Arial" w:cs="Arial" w:eastAsia="Arial" w:hAnsi="Arial"/>
                  <w:sz w:val="18"/>
                  <w:szCs w:val="18"/>
                  <w:color w:val="0000FF"/>
                  <w:w w:val="91"/>
                </w:rPr>
                <w:t>Exhibit 10.26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auto"/>
                <w:w w:val="94"/>
              </w:rPr>
            </w:pPr>
            <w:hyperlink r:id="rId31">
              <w:r>
                <w:rPr>
                  <w:rFonts w:ascii="Arial" w:cs="Arial" w:eastAsia="Arial" w:hAnsi="Arial"/>
                  <w:sz w:val="18"/>
                  <w:szCs w:val="18"/>
                  <w:color w:val="auto"/>
                  <w:w w:val="94"/>
                </w:rPr>
                <w:t xml:space="preserve">* Second Amendment to Executive Agreement between the Trust and Donald C. Wood dated January 1, 2009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22"/>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10.</w:t>
              </w:r>
              <w:r>
                <w:rPr>
                  <w:rFonts w:ascii="Arial" w:cs="Arial" w:eastAsia="Arial" w:hAnsi="Arial"/>
                  <w:sz w:val="18"/>
                  <w:szCs w:val="18"/>
                  <w:u w:val="single" w:color="auto"/>
                  <w:color w:val="0000FF"/>
                </w:rPr>
                <w:t>27</w:t>
              </w:r>
              <w:r>
                <w:rPr>
                  <w:rFonts w:ascii="Arial" w:cs="Arial" w:eastAsia="Arial" w:hAnsi="Arial"/>
                  <w:sz w:val="18"/>
                  <w:szCs w:val="18"/>
                  <w:color w:val="0000FF"/>
                </w:rPr>
                <w:t xml:space="preserve"> </w:t>
              </w:r>
              <w:r>
                <w:rPr>
                  <w:rFonts w:ascii="Arial" w:cs="Arial" w:eastAsia="Arial" w:hAnsi="Arial"/>
                  <w:sz w:val="18"/>
                  <w:szCs w:val="18"/>
                  <w:color w:val="000000"/>
                </w:rPr>
                <w:t>to the Trust’s 2008 Form 10-K and incorporated herein by reference)</w:t>
              </w:r>
            </w:hyperlink>
          </w:p>
        </w:tc>
        <w:tc>
          <w:tcPr>
            <w:tcW w:w="540" w:type="dxa"/>
            <w:vAlign w:val="bottom"/>
            <w:tcBorders>
              <w:top w:val="single" w:sz="8" w:color="0000FF"/>
            </w:tcBorders>
            <w:gridSpan w:val="4"/>
          </w:tcPr>
          <w:p>
            <w:pPr>
              <w:spacing w:after="0"/>
              <w:rPr>
                <w:sz w:val="17"/>
                <w:szCs w:val="17"/>
                <w:color w:val="auto"/>
              </w:rPr>
            </w:pPr>
          </w:p>
        </w:tc>
        <w:tc>
          <w:tcPr>
            <w:tcW w:w="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1"/>
              </w:rPr>
              <w:t>* 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0000FF"/>
              </w:rPr>
            </w:pPr>
            <w:hyperlink r:id="rId32">
              <w:r>
                <w:rPr>
                  <w:rFonts w:ascii="Arial" w:cs="Arial" w:eastAsia="Arial" w:hAnsi="Arial"/>
                  <w:sz w:val="18"/>
                  <w:szCs w:val="18"/>
                  <w:color w:val="0000FF"/>
                </w:rPr>
                <w:t xml:space="preserve">Exhibit 10.28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Trust’s 2008 Form 10-K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auto"/>
                <w:w w:val="94"/>
              </w:rPr>
            </w:pPr>
            <w:hyperlink r:id="rId33">
              <w:r>
                <w:rPr>
                  <w:rFonts w:ascii="Arial" w:cs="Arial" w:eastAsia="Arial" w:hAnsi="Arial"/>
                  <w:sz w:val="18"/>
                  <w:szCs w:val="18"/>
                  <w:color w:val="auto"/>
                  <w:w w:val="94"/>
                </w:rPr>
                <w:t xml:space="preserve">* Second Amendment to Severance Agreement between the Trust and Dawn M. Becker dated January 1, 2009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20" w:type="dxa"/>
            <w:vAlign w:val="bottom"/>
            <w:gridSpan w:val="23"/>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30</w:t>
              </w:r>
              <w:r>
                <w:rPr>
                  <w:rFonts w:ascii="Arial" w:cs="Arial" w:eastAsia="Arial" w:hAnsi="Arial"/>
                  <w:sz w:val="18"/>
                  <w:szCs w:val="18"/>
                  <w:color w:val="0000FF"/>
                </w:rPr>
                <w:t xml:space="preserve"> </w:t>
              </w:r>
              <w:r>
                <w:rPr>
                  <w:rFonts w:ascii="Arial" w:cs="Arial" w:eastAsia="Arial" w:hAnsi="Arial"/>
                  <w:sz w:val="18"/>
                  <w:szCs w:val="18"/>
                  <w:color w:val="000000"/>
                </w:rPr>
                <w:t>to the Trust’s 2008 Form 10-K and incorporated herein by reference)</w:t>
              </w:r>
            </w:hyperlink>
          </w:p>
        </w:tc>
        <w:tc>
          <w:tcPr>
            <w:tcW w:w="540" w:type="dxa"/>
            <w:vAlign w:val="bottom"/>
            <w:tcBorders>
              <w:top w:val="single" w:sz="8" w:color="0000FF"/>
            </w:tcBorders>
            <w:gridSpan w:val="4"/>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auto"/>
                <w:w w:val="94"/>
              </w:rPr>
            </w:pPr>
            <w:r>
              <w:rPr>
                <w:rFonts w:ascii="Arial" w:cs="Arial" w:eastAsia="Arial" w:hAnsi="Arial"/>
                <w:sz w:val="18"/>
                <w:szCs w:val="18"/>
                <w:color w:val="auto"/>
                <w:w w:val="94"/>
              </w:rPr>
              <w:t xml:space="preserve">2010 Performance Incentive Plan (previously filed as </w:t>
            </w:r>
            <w:hyperlink r:id="rId34">
              <w:r>
                <w:rPr>
                  <w:rFonts w:ascii="Arial" w:cs="Arial" w:eastAsia="Arial" w:hAnsi="Arial"/>
                  <w:sz w:val="18"/>
                  <w:szCs w:val="18"/>
                  <w:color w:val="0000FF"/>
                  <w:w w:val="94"/>
                </w:rPr>
                <w:t>Appendix A</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Trust’s Definitive Proxy Statement for the 2010 Annual Meeting of</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Amendment to 2010 Performance Incentive Plan (“the 2010 Plan”) (previously filed as </w:t>
            </w:r>
            <w:hyperlink r:id="rId34">
              <w:r>
                <w:rPr>
                  <w:rFonts w:ascii="Arial" w:cs="Arial" w:eastAsia="Arial" w:hAnsi="Arial"/>
                  <w:sz w:val="18"/>
                  <w:szCs w:val="18"/>
                  <w:color w:val="0000FF"/>
                  <w:w w:val="95"/>
                </w:rPr>
                <w:t>Appendix A</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 Proxy Statement for the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 Restricted Share Award Agreement between the Trust and Donald C. Wood dated October 12, 2010 (previously filed as </w:t>
            </w:r>
            <w:hyperlink r:id="rId35">
              <w:r>
                <w:rPr>
                  <w:rFonts w:ascii="Arial" w:cs="Arial" w:eastAsia="Arial" w:hAnsi="Arial"/>
                  <w:sz w:val="18"/>
                  <w:szCs w:val="18"/>
                  <w:color w:val="0000FF"/>
                  <w:w w:val="91"/>
                </w:rPr>
                <w:t>Exhibit 10.36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Incentive Bonus Program and basic awards with annual vesting for shares issued out of the 2010 Plan (previously filed as </w:t>
            </w:r>
            <w:hyperlink r:id="rId36">
              <w:r>
                <w:rPr>
                  <w:rFonts w:ascii="Arial" w:cs="Arial" w:eastAsia="Arial" w:hAnsi="Arial"/>
                  <w:sz w:val="18"/>
                  <w:szCs w:val="18"/>
                  <w:color w:val="0000FF"/>
                  <w:w w:val="91"/>
                </w:rPr>
                <w:t>Exhibit 10.34</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0" w:type="dxa"/>
            <w:vAlign w:val="bottom"/>
            <w:gridSpan w:val="20"/>
          </w:tcPr>
          <w:p>
            <w:pPr>
              <w:spacing w:after="0"/>
              <w:rPr>
                <w:sz w:val="20"/>
                <w:szCs w:val="20"/>
                <w:color w:val="auto"/>
              </w:rPr>
            </w:pPr>
            <w:r>
              <w:rPr>
                <w:rFonts w:ascii="Arial" w:cs="Arial" w:eastAsia="Arial" w:hAnsi="Arial"/>
                <w:sz w:val="18"/>
                <w:szCs w:val="18"/>
                <w:color w:val="auto"/>
              </w:rPr>
              <w:t>Trust’s 2010 Form 10-K (File No. 1-07533) and incorporated herein by reference)</w:t>
            </w:r>
          </w:p>
        </w:tc>
        <w:tc>
          <w:tcPr>
            <w:tcW w:w="1000" w:type="dxa"/>
            <w:vAlign w:val="bottom"/>
            <w:tcBorders>
              <w:top w:val="single" w:sz="8" w:color="0000FF"/>
            </w:tcBorders>
            <w:gridSpan w:val="5"/>
          </w:tcPr>
          <w:p>
            <w:pPr>
              <w:spacing w:after="0"/>
              <w:rPr>
                <w:sz w:val="20"/>
                <w:szCs w:val="20"/>
                <w:color w:val="auto"/>
              </w:rPr>
            </w:pPr>
          </w:p>
        </w:tc>
        <w:tc>
          <w:tcPr>
            <w:tcW w:w="5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Plan (previously filed as </w:t>
            </w:r>
            <w:hyperlink r:id="rId37">
              <w:r>
                <w:rPr>
                  <w:rFonts w:ascii="Arial" w:cs="Arial" w:eastAsia="Arial" w:hAnsi="Arial"/>
                  <w:sz w:val="18"/>
                  <w:szCs w:val="18"/>
                  <w:color w:val="0000FF"/>
                </w:rPr>
                <w:t>Exhibit 10.38</w:t>
              </w:r>
              <w:r>
                <w:rPr>
                  <w:rFonts w:ascii="Arial" w:cs="Arial" w:eastAsia="Arial" w:hAnsi="Arial"/>
                  <w:sz w:val="18"/>
                  <w:szCs w:val="18"/>
                  <w:color w:val="auto"/>
                </w:rPr>
                <w:t xml:space="preserve"> </w:t>
              </w:r>
            </w:hyperlink>
            <w:r>
              <w:rPr>
                <w:rFonts w:ascii="Arial" w:cs="Arial" w:eastAsia="Arial" w:hAnsi="Arial"/>
                <w:sz w:val="18"/>
                <w:szCs w:val="18"/>
                <w:color w:val="auto"/>
              </w:rPr>
              <w:t>to the Trust’s 2010 Form 10-K (File No. 1-07533)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920" w:type="dxa"/>
            <w:vAlign w:val="bottom"/>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4"/>
              </w:rPr>
            </w:pPr>
            <w:r>
              <w:rPr>
                <w:rFonts w:ascii="Arial" w:cs="Arial" w:eastAsia="Arial" w:hAnsi="Arial"/>
                <w:sz w:val="18"/>
                <w:szCs w:val="18"/>
                <w:color w:val="auto"/>
                <w:w w:val="94"/>
              </w:rPr>
              <w:t xml:space="preserve">of the 2010 Plan (previously filed as </w:t>
            </w:r>
            <w:hyperlink r:id="rId38">
              <w:r>
                <w:rPr>
                  <w:rFonts w:ascii="Arial" w:cs="Arial" w:eastAsia="Arial" w:hAnsi="Arial"/>
                  <w:sz w:val="18"/>
                  <w:szCs w:val="18"/>
                  <w:color w:val="0000FF"/>
                  <w:w w:val="94"/>
                </w:rPr>
                <w:t>Exhibit 10.39</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Trust’s 2010 Form 10-K (File No. 1-07533)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20" w:type="dxa"/>
            <w:vAlign w:val="bottom"/>
          </w:tcPr>
          <w:p>
            <w:pPr>
              <w:ind w:left="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Form of Option Award Agreement for basic options awarded out of the 2010 Plan (previously filed as </w:t>
            </w:r>
            <w:hyperlink r:id="rId39">
              <w:r>
                <w:rPr>
                  <w:rFonts w:ascii="Arial" w:cs="Arial" w:eastAsia="Arial" w:hAnsi="Arial"/>
                  <w:sz w:val="18"/>
                  <w:szCs w:val="18"/>
                  <w:color w:val="0000FF"/>
                  <w:w w:val="93"/>
                </w:rPr>
                <w:t>Exhibit 10.40</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2010 Form</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380" w:type="dxa"/>
            <w:vAlign w:val="bottom"/>
            <w:gridSpan w:val="18"/>
          </w:tcPr>
          <w:p>
            <w:pPr>
              <w:spacing w:after="0"/>
              <w:rPr>
                <w:sz w:val="20"/>
                <w:szCs w:val="20"/>
                <w:color w:val="auto"/>
              </w:rPr>
            </w:pPr>
            <w:r>
              <w:rPr>
                <w:rFonts w:ascii="Arial" w:cs="Arial" w:eastAsia="Arial" w:hAnsi="Arial"/>
                <w:sz w:val="18"/>
                <w:szCs w:val="18"/>
                <w:color w:val="auto"/>
              </w:rPr>
              <w:t>10-K (File No. 1-07533) and incorporated herein by reference)</w:t>
            </w:r>
          </w:p>
        </w:tc>
        <w:tc>
          <w:tcPr>
            <w:tcW w:w="980" w:type="dxa"/>
            <w:vAlign w:val="bottom"/>
            <w:tcBorders>
              <w:top w:val="single" w:sz="8" w:color="0000FF"/>
            </w:tcBorders>
          </w:tcPr>
          <w:p>
            <w:pPr>
              <w:spacing w:after="0"/>
              <w:rPr>
                <w:sz w:val="20"/>
                <w:szCs w:val="20"/>
                <w:color w:val="auto"/>
              </w:rPr>
            </w:pPr>
          </w:p>
        </w:tc>
        <w:tc>
          <w:tcPr>
            <w:tcW w:w="198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0000FF"/>
              </w:rPr>
            </w:pPr>
            <w:hyperlink r:id="rId40">
              <w:r>
                <w:rPr>
                  <w:rFonts w:ascii="Arial" w:cs="Arial" w:eastAsia="Arial" w:hAnsi="Arial"/>
                  <w:sz w:val="18"/>
                  <w:szCs w:val="18"/>
                  <w:color w:val="0000FF"/>
                </w:rPr>
                <w:t xml:space="preserve">Exhibit 10.41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Trust’s 2010 Form 10-K (File No. 1-07533) and incorporated herein by reference)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936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ind w:left="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bl>
    <w:p>
      <w:pPr>
        <w:ind w:left="1080" w:right="3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Lead Arranger and Book Manager (previously filed as </w:t>
      </w:r>
      <w:hyperlink r:id="rId41">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Trust’s Current Report on Form 8-K (File No. 1-07533), filed on July 11, 2011 and incorporated herein by reference)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034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1034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340" w:type="dxa"/>
            <w:vAlign w:val="bottom"/>
            <w:tcBorders>
              <w:top w:val="single" w:sz="8" w:color="auto"/>
            </w:tcBorders>
            <w:gridSpan w:val="28"/>
          </w:tcPr>
          <w:p>
            <w:pPr>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8"/>
              </w:rPr>
              <w:t>permitted assignees under Section 12.6., as Lenders, PNC Bank, National Association, as Administrative Agent, Capital One, N.A.,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5"/>
              </w:rPr>
            </w:pPr>
            <w:r>
              <w:rPr>
                <w:rFonts w:ascii="Arial" w:cs="Arial" w:eastAsia="Arial" w:hAnsi="Arial"/>
                <w:sz w:val="18"/>
                <w:szCs w:val="18"/>
                <w:color w:val="auto"/>
                <w:w w:val="95"/>
              </w:rPr>
              <w:t xml:space="preserve">Manager (previously filed as </w:t>
            </w:r>
            <w:hyperlink r:id="rId42">
              <w:r>
                <w:rPr>
                  <w:rFonts w:ascii="Arial" w:cs="Arial" w:eastAsia="Arial" w:hAnsi="Arial"/>
                  <w:sz w:val="18"/>
                  <w:szCs w:val="18"/>
                  <w:color w:val="0000FF"/>
                  <w:w w:val="95"/>
                </w:rPr>
                <w:t>Exhibit 10.1</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 Current Report on Form 8-K (File No. 1-07533), filed on November 28, 2011 and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shares issued out of the 2010 Plan (previously filed as </w:t>
            </w:r>
            <w:hyperlink r:id="rId43">
              <w:r>
                <w:rPr>
                  <w:rFonts w:ascii="Arial" w:cs="Arial" w:eastAsia="Arial" w:hAnsi="Arial"/>
                  <w:sz w:val="18"/>
                  <w:szCs w:val="18"/>
                  <w:color w:val="0000FF"/>
                  <w:w w:val="91"/>
                </w:rPr>
                <w:t>Exhibit 10.35</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Annual Report on Form 10-K for the year ended December</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1"/>
              </w:rPr>
            </w:pPr>
            <w:r>
              <w:rPr>
                <w:rFonts w:ascii="Arial" w:cs="Arial" w:eastAsia="Arial" w:hAnsi="Arial"/>
                <w:sz w:val="18"/>
                <w:szCs w:val="18"/>
                <w:color w:val="auto"/>
                <w:w w:val="91"/>
              </w:rPr>
              <w:t xml:space="preserve">Award Program for shares issued out of the 2010 Plan (previously filed as </w:t>
            </w:r>
            <w:hyperlink r:id="rId44">
              <w:r>
                <w:rPr>
                  <w:rFonts w:ascii="Arial" w:cs="Arial" w:eastAsia="Arial" w:hAnsi="Arial"/>
                  <w:sz w:val="18"/>
                  <w:szCs w:val="18"/>
                  <w:color w:val="0000FF"/>
                  <w:w w:val="91"/>
                </w:rPr>
                <w:t>Exhibit 10.36</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to the Trust's 2012 Form 10-K (File No. 1-07533) and</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60" w:type="dxa"/>
            <w:vAlign w:val="bottom"/>
            <w:gridSpan w:val="14"/>
          </w:tcPr>
          <w:p>
            <w:pPr>
              <w:spacing w:after="0"/>
              <w:rPr>
                <w:sz w:val="20"/>
                <w:szCs w:val="20"/>
                <w:color w:val="auto"/>
              </w:rPr>
            </w:pPr>
            <w:r>
              <w:rPr>
                <w:rFonts w:ascii="Arial" w:cs="Arial" w:eastAsia="Arial" w:hAnsi="Arial"/>
                <w:sz w:val="18"/>
                <w:szCs w:val="18"/>
                <w:color w:val="auto"/>
              </w:rPr>
              <w:t>incorporated herein by reference)</w:t>
            </w:r>
          </w:p>
        </w:tc>
        <w:tc>
          <w:tcPr>
            <w:tcW w:w="980" w:type="dxa"/>
            <w:vAlign w:val="bottom"/>
            <w:tcBorders>
              <w:top w:val="single" w:sz="8" w:color="0000FF"/>
            </w:tcBorders>
          </w:tcPr>
          <w:p>
            <w:pPr>
              <w:spacing w:after="0"/>
              <w:rPr>
                <w:sz w:val="20"/>
                <w:szCs w:val="20"/>
                <w:color w:val="auto"/>
              </w:rPr>
            </w:pPr>
          </w:p>
        </w:tc>
        <w:tc>
          <w:tcPr>
            <w:tcW w:w="400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Revised Form of Performance Share Award Agreement for shares awarded out of the 2010 Plan (previously filed as </w:t>
            </w:r>
            <w:hyperlink r:id="rId45">
              <w:r>
                <w:rPr>
                  <w:rFonts w:ascii="Arial" w:cs="Arial" w:eastAsia="Arial" w:hAnsi="Arial"/>
                  <w:sz w:val="18"/>
                  <w:szCs w:val="18"/>
                  <w:color w:val="0000FF"/>
                  <w:w w:val="95"/>
                </w:rPr>
                <w:t>Exhibit 10.37</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380" w:type="dxa"/>
            <w:vAlign w:val="bottom"/>
            <w:gridSpan w:val="21"/>
          </w:tcPr>
          <w:p>
            <w:pPr>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980" w:type="dxa"/>
            <w:vAlign w:val="bottom"/>
            <w:tcBorders>
              <w:top w:val="single" w:sz="8" w:color="0000FF"/>
            </w:tcBorders>
            <w:gridSpan w:val="5"/>
          </w:tcPr>
          <w:p>
            <w:pPr>
              <w:spacing w:after="0"/>
              <w:rPr>
                <w:sz w:val="20"/>
                <w:szCs w:val="20"/>
                <w:color w:val="auto"/>
              </w:rPr>
            </w:pPr>
          </w:p>
        </w:tc>
        <w:tc>
          <w:tcPr>
            <w:tcW w:w="9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4"/>
              </w:rPr>
            </w:pPr>
            <w:hyperlink r:id="rId46">
              <w:r>
                <w:rPr>
                  <w:rFonts w:ascii="Arial" w:cs="Arial" w:eastAsia="Arial" w:hAnsi="Arial"/>
                  <w:sz w:val="18"/>
                  <w:szCs w:val="18"/>
                  <w:color w:val="auto"/>
                  <w:w w:val="94"/>
                </w:rPr>
                <w:t xml:space="preserve">Annual Incentive Bonus Program and basic awards with annual vesting for shares issued out of the 2010 Plan (previously filed as </w:t>
              </w:r>
              <w:r>
                <w:rPr>
                  <w:rFonts w:ascii="Arial" w:cs="Arial" w:eastAsia="Arial" w:hAnsi="Arial"/>
                  <w:sz w:val="18"/>
                  <w:szCs w:val="18"/>
                  <w:color w:val="0000FF"/>
                  <w:w w:val="94"/>
                </w:rPr>
                <w:t>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60" w:type="dxa"/>
            <w:vAlign w:val="bottom"/>
            <w:gridSpan w:val="26"/>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38</w:t>
              </w:r>
              <w:r>
                <w:rPr>
                  <w:rFonts w:ascii="Arial" w:cs="Arial" w:eastAsia="Arial" w:hAnsi="Arial"/>
                  <w:sz w:val="18"/>
                  <w:szCs w:val="18"/>
                  <w:color w:val="0000FF"/>
                </w:rPr>
                <w:t xml:space="preserve"> </w:t>
              </w:r>
              <w:r>
                <w:rPr>
                  <w:rFonts w:ascii="Arial" w:cs="Arial" w:eastAsia="Arial" w:hAnsi="Arial"/>
                  <w:sz w:val="18"/>
                  <w:szCs w:val="18"/>
                  <w:color w:val="000000"/>
                </w:rPr>
                <w:t>to the Trust's 2012 Form 10-K (File No. 1-07533) and incorporated herein by reference)</w:t>
              </w:r>
            </w:hyperlink>
          </w:p>
        </w:tc>
        <w:tc>
          <w:tcPr>
            <w:tcW w:w="54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3"/>
              </w:rPr>
              <w:t>First Amendment to the Credit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4"/>
              </w:rPr>
            </w:pPr>
            <w:r>
              <w:rPr>
                <w:rFonts w:ascii="Arial" w:cs="Arial" w:eastAsia="Arial" w:hAnsi="Arial"/>
                <w:sz w:val="18"/>
                <w:szCs w:val="18"/>
                <w:color w:val="auto"/>
                <w:w w:val="94"/>
              </w:rPr>
              <w:t xml:space="preserve">party thereto, and Wells Fargo Bank, National Association, as Administrative Agent (previously filed as </w:t>
            </w:r>
            <w:hyperlink r:id="rId47">
              <w:r>
                <w:rPr>
                  <w:rFonts w:ascii="Arial" w:cs="Arial" w:eastAsia="Arial" w:hAnsi="Arial"/>
                  <w:sz w:val="18"/>
                  <w:szCs w:val="18"/>
                  <w:color w:val="0000FF"/>
                  <w:w w:val="94"/>
                </w:rPr>
                <w:t>Exhibit 10.1</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to the Trust's Current</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17"/>
          </w:tcPr>
          <w:p>
            <w:pPr>
              <w:spacing w:after="0"/>
              <w:rPr>
                <w:sz w:val="20"/>
                <w:szCs w:val="20"/>
                <w:color w:val="auto"/>
              </w:rPr>
            </w:pPr>
            <w:r>
              <w:rPr>
                <w:rFonts w:ascii="Arial" w:cs="Arial" w:eastAsia="Arial" w:hAnsi="Arial"/>
                <w:sz w:val="18"/>
                <w:szCs w:val="18"/>
                <w:color w:val="auto"/>
                <w:w w:val="94"/>
              </w:rPr>
              <w:t>Report on Form 8-K (File No. 1-07533), filed on April 26, 2013 and incorporated herein by reference)</w:t>
            </w:r>
          </w:p>
        </w:tc>
        <w:tc>
          <w:tcPr>
            <w:tcW w:w="880" w:type="dxa"/>
            <w:vAlign w:val="bottom"/>
            <w:tcBorders>
              <w:top w:val="single" w:sz="8" w:color="0000FF"/>
            </w:tcBorders>
            <w:gridSpan w:val="5"/>
          </w:tcPr>
          <w:p>
            <w:pPr>
              <w:spacing w:after="0"/>
              <w:rPr>
                <w:sz w:val="20"/>
                <w:szCs w:val="20"/>
                <w:color w:val="auto"/>
              </w:rPr>
            </w:pPr>
          </w:p>
        </w:tc>
        <w:tc>
          <w:tcPr>
            <w:tcW w:w="19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6"/>
              </w:rPr>
              <w:t>First Amendment to the Term Loan Agreement, dated as of April 22, 2013, by and among Federal Realty Investment Trust, each of the</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8"/>
              </w:rPr>
            </w:pPr>
            <w:r>
              <w:rPr>
                <w:rFonts w:ascii="Arial" w:cs="Arial" w:eastAsia="Arial" w:hAnsi="Arial"/>
                <w:sz w:val="18"/>
                <w:szCs w:val="18"/>
                <w:color w:val="auto"/>
                <w:w w:val="98"/>
              </w:rPr>
              <w:t xml:space="preserve">Lenders party thereto, and PNC Bank, National Association, as Administrative Agent (previously filed as </w:t>
            </w:r>
            <w:hyperlink r:id="rId48">
              <w:r>
                <w:rPr>
                  <w:rFonts w:ascii="Arial" w:cs="Arial" w:eastAsia="Arial" w:hAnsi="Arial"/>
                  <w:sz w:val="18"/>
                  <w:szCs w:val="18"/>
                  <w:color w:val="0000FF"/>
                  <w:w w:val="98"/>
                </w:rPr>
                <w:t>Exhibit 10.40</w:t>
              </w:r>
              <w:r>
                <w:rPr>
                  <w:rFonts w:ascii="Arial" w:cs="Arial" w:eastAsia="Arial" w:hAnsi="Arial"/>
                  <w:sz w:val="18"/>
                  <w:szCs w:val="18"/>
                  <w:color w:val="auto"/>
                  <w:w w:val="98"/>
                </w:rPr>
                <w:t xml:space="preserve"> </w:t>
              </w:r>
            </w:hyperlink>
            <w:r>
              <w:rPr>
                <w:rFonts w:ascii="Arial" w:cs="Arial" w:eastAsia="Arial" w:hAnsi="Arial"/>
                <w:sz w:val="18"/>
                <w:szCs w:val="18"/>
                <w:color w:val="auto"/>
                <w:w w:val="98"/>
              </w:rPr>
              <w:t>to the Trust's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Quarterly Report 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vMerge w:val="restart"/>
          </w:tcPr>
          <w:p>
            <w:pPr>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34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3"/>
              </w:rPr>
            </w:pPr>
            <w:r>
              <w:rPr>
                <w:rFonts w:ascii="Arial" w:cs="Arial" w:eastAsia="Arial" w:hAnsi="Arial"/>
                <w:sz w:val="18"/>
                <w:szCs w:val="18"/>
                <w:color w:val="auto"/>
                <w:w w:val="93"/>
              </w:rPr>
              <w:t xml:space="preserve">Lenders party thereto, and PNC Bank, National Association, as Administrative Agent (previously filed as </w:t>
            </w:r>
            <w:hyperlink r:id="rId49">
              <w:r>
                <w:rPr>
                  <w:rFonts w:ascii="Arial" w:cs="Arial" w:eastAsia="Arial" w:hAnsi="Arial"/>
                  <w:sz w:val="18"/>
                  <w:szCs w:val="18"/>
                  <w:color w:val="0000FF"/>
                  <w:w w:val="93"/>
                </w:rPr>
                <w:t>Exhibit 10.1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to the Trust's Current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458"/>
        </w:trPr>
        <w:tc>
          <w:tcPr>
            <w:tcW w:w="92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3"/>
              </w:rPr>
              <w:t>Second Amendment to Credit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2"/>
              </w:rPr>
            </w:pPr>
            <w:r>
              <w:rPr>
                <w:rFonts w:ascii="Arial" w:cs="Arial" w:eastAsia="Arial" w:hAnsi="Arial"/>
                <w:sz w:val="18"/>
                <w:szCs w:val="18"/>
                <w:color w:val="auto"/>
                <w:w w:val="92"/>
              </w:rPr>
              <w:t xml:space="preserve">party thereto, and PNC Bank, National Association, as Administrative Agent (previously filed as </w:t>
            </w:r>
            <w:hyperlink r:id="rId50">
              <w:r>
                <w:rPr>
                  <w:rFonts w:ascii="Arial" w:cs="Arial" w:eastAsia="Arial" w:hAnsi="Arial"/>
                  <w:sz w:val="18"/>
                  <w:szCs w:val="18"/>
                  <w:color w:val="0000FF"/>
                  <w:w w:val="92"/>
                </w:rPr>
                <w:t>Exhibit 10.1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Trust's Current Report on</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20" w:type="dxa"/>
            <w:vAlign w:val="bottom"/>
            <w:gridSpan w:val="16"/>
          </w:tcPr>
          <w:p>
            <w:pPr>
              <w:spacing w:after="0"/>
              <w:rPr>
                <w:sz w:val="20"/>
                <w:szCs w:val="20"/>
                <w:color w:val="auto"/>
              </w:rPr>
            </w:pPr>
            <w:r>
              <w:rPr>
                <w:rFonts w:ascii="Arial" w:cs="Arial" w:eastAsia="Arial" w:hAnsi="Arial"/>
                <w:sz w:val="18"/>
                <w:szCs w:val="18"/>
                <w:color w:val="auto"/>
                <w:w w:val="98"/>
              </w:rPr>
              <w:t>Form 8K (File No. 1-07533), filed on April 26, 2016 and incorporated herein by reference)</w:t>
            </w:r>
          </w:p>
        </w:tc>
        <w:tc>
          <w:tcPr>
            <w:tcW w:w="880" w:type="dxa"/>
            <w:vAlign w:val="bottom"/>
            <w:tcBorders>
              <w:top w:val="single" w:sz="8" w:color="0000FF"/>
            </w:tcBorders>
            <w:gridSpan w:val="4"/>
          </w:tcPr>
          <w:p>
            <w:pPr>
              <w:spacing w:after="0"/>
              <w:rPr>
                <w:sz w:val="20"/>
                <w:szCs w:val="20"/>
                <w:color w:val="auto"/>
              </w:rPr>
            </w:pPr>
          </w:p>
        </w:tc>
        <w:tc>
          <w:tcPr>
            <w:tcW w:w="24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2"/>
              </w:rPr>
              <w:t>Third Amendment to Term Loan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w w:val="92"/>
              </w:rPr>
            </w:pPr>
            <w:r>
              <w:rPr>
                <w:rFonts w:ascii="Arial" w:cs="Arial" w:eastAsia="Arial" w:hAnsi="Arial"/>
                <w:sz w:val="18"/>
                <w:szCs w:val="18"/>
                <w:color w:val="auto"/>
                <w:w w:val="92"/>
              </w:rPr>
              <w:t xml:space="preserve">party thereto, and PNC Bank, National Association, as Administrative Agent (previously filed as </w:t>
            </w:r>
            <w:hyperlink r:id="rId51">
              <w:r>
                <w:rPr>
                  <w:rFonts w:ascii="Arial" w:cs="Arial" w:eastAsia="Arial" w:hAnsi="Arial"/>
                  <w:sz w:val="18"/>
                  <w:szCs w:val="18"/>
                  <w:color w:val="0000FF"/>
                  <w:w w:val="92"/>
                </w:rPr>
                <w:t>Exhibit 10.1</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to the Trust's Current Report on</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20" w:type="dxa"/>
            <w:vAlign w:val="bottom"/>
            <w:gridSpan w:val="16"/>
          </w:tcPr>
          <w:p>
            <w:pPr>
              <w:spacing w:after="0"/>
              <w:rPr>
                <w:sz w:val="20"/>
                <w:szCs w:val="20"/>
                <w:color w:val="auto"/>
              </w:rPr>
            </w:pPr>
            <w:r>
              <w:rPr>
                <w:rFonts w:ascii="Arial" w:cs="Arial" w:eastAsia="Arial" w:hAnsi="Arial"/>
                <w:sz w:val="18"/>
                <w:szCs w:val="18"/>
                <w:color w:val="auto"/>
                <w:w w:val="97"/>
              </w:rPr>
              <w:t>Form 8-K (File No. 1-07533), filed on April 26, 2016 and incorporated herein by reference)</w:t>
            </w:r>
          </w:p>
        </w:tc>
        <w:tc>
          <w:tcPr>
            <w:tcW w:w="880" w:type="dxa"/>
            <w:vAlign w:val="bottom"/>
            <w:tcBorders>
              <w:top w:val="single" w:sz="8" w:color="0000FF"/>
            </w:tcBorders>
            <w:gridSpan w:val="4"/>
          </w:tcPr>
          <w:p>
            <w:pPr>
              <w:spacing w:after="0"/>
              <w:rPr>
                <w:sz w:val="20"/>
                <w:szCs w:val="20"/>
                <w:color w:val="auto"/>
              </w:rPr>
            </w:pPr>
          </w:p>
        </w:tc>
        <w:tc>
          <w:tcPr>
            <w:tcW w:w="24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Severance Agreement between the Trust and Daniel Guglielmone dated August 15, 2016 (previously filed as </w:t>
            </w:r>
            <w:hyperlink r:id="rId52">
              <w:r>
                <w:rPr>
                  <w:rFonts w:ascii="Arial" w:cs="Arial" w:eastAsia="Arial" w:hAnsi="Arial"/>
                  <w:sz w:val="18"/>
                  <w:szCs w:val="18"/>
                  <w:color w:val="0000FF"/>
                  <w:w w:val="95"/>
                </w:rPr>
                <w:t>Exhibit 10.36</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Trust's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w w:val="99"/>
              </w:rPr>
              <w:t>Quarterly Report on Form 10-Q for the quarter ended September 30, 2016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Amended and Restated Credit Agreement, dated as of July 25, 2019, by and among Federal Realty Investment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Trust, each of the Lenders party thereto, and PNC Bank, National Association, as Administrative Agent</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340" w:type="dxa"/>
            <w:vAlign w:val="bottom"/>
            <w:gridSpan w:val="28"/>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(previously filed as </w:t>
            </w:r>
            <w:hyperlink r:id="rId49">
              <w:r>
                <w:rPr>
                  <w:rFonts w:ascii="Arial" w:cs="Arial" w:eastAsia="Arial" w:hAnsi="Arial"/>
                  <w:sz w:val="18"/>
                  <w:szCs w:val="18"/>
                  <w:color w:val="0000FF"/>
                </w:rPr>
                <w:t>Exhibit 10.1</w:t>
              </w:r>
              <w:r>
                <w:rPr>
                  <w:rFonts w:ascii="Arial" w:cs="Arial" w:eastAsia="Arial" w:hAnsi="Arial"/>
                  <w:sz w:val="18"/>
                  <w:szCs w:val="18"/>
                  <w:color w:val="auto"/>
                </w:rPr>
                <w:t xml:space="preserve"> </w:t>
              </w:r>
            </w:hyperlink>
            <w:r>
              <w:rPr>
                <w:rFonts w:ascii="Arial" w:cs="Arial" w:eastAsia="Arial" w:hAnsi="Arial"/>
                <w:sz w:val="18"/>
                <w:szCs w:val="18"/>
                <w:color w:val="auto"/>
              </w:rPr>
              <w:t>to the Trust's Current Report on Form 8-K (File No. 1-07533), filed on July 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340" w:type="dxa"/>
            <w:vAlign w:val="bottom"/>
            <w:gridSpan w:val="28"/>
          </w:tcPr>
          <w:p>
            <w:pPr>
              <w:spacing w:after="0"/>
              <w:rPr>
                <w:sz w:val="20"/>
                <w:szCs w:val="20"/>
                <w:color w:val="auto"/>
              </w:rPr>
            </w:pPr>
            <w:r>
              <w:rPr>
                <w:rFonts w:ascii="Arial" w:cs="Arial" w:eastAsia="Arial" w:hAnsi="Arial"/>
                <w:sz w:val="18"/>
                <w:szCs w:val="18"/>
                <w:color w:val="auto"/>
              </w:rPr>
              <w:t>2019 and incorporated herin by reference)</w:t>
            </w:r>
          </w:p>
        </w:tc>
        <w:tc>
          <w:tcPr>
            <w:tcW w:w="0" w:type="dxa"/>
            <w:vAlign w:val="bottom"/>
          </w:tcPr>
          <w:p>
            <w:pPr>
              <w:spacing w:after="0"/>
              <w:rPr>
                <w:sz w:val="1"/>
                <w:szCs w:val="1"/>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340" w:type="dxa"/>
            <w:vAlign w:val="bottom"/>
            <w:gridSpan w:val="28"/>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Subsidiaries of Federal Realty Investment Trust (filed herewith)</w:t>
              </w:r>
            </w:hyperlink>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0" w:type="dxa"/>
            <w:vAlign w:val="bottom"/>
            <w:tcBorders>
              <w:top w:val="single" w:sz="8" w:color="0000FF"/>
            </w:tcBorders>
            <w:gridSpan w:val="8"/>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Consent of Grant Thornton LLP (filed herewith)</w:t>
              </w:r>
            </w:hyperlink>
          </w:p>
        </w:tc>
        <w:tc>
          <w:tcPr>
            <w:tcW w:w="57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6"/>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Rule 13a-14(a) Certification of Chief Executive Officer (filed herewith)</w:t>
              </w:r>
            </w:hyperlink>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3"/>
              </w:rPr>
            </w:pPr>
            <w:hyperlink w:anchor="page113">
              <w:r>
                <w:rPr>
                  <w:rFonts w:ascii="Arial" w:cs="Arial" w:eastAsia="Arial" w:hAnsi="Arial"/>
                  <w:sz w:val="18"/>
                  <w:szCs w:val="18"/>
                  <w:color w:val="0000FF"/>
                  <w:w w:val="93"/>
                </w:rPr>
                <w:t>Rule 13a-14(a) Certification of Chief Financial Officer (filed herewith)</w:t>
              </w:r>
            </w:hyperlink>
          </w:p>
        </w:tc>
        <w:tc>
          <w:tcPr>
            <w:tcW w:w="40" w:type="dxa"/>
            <w:vAlign w:val="bottom"/>
            <w:tcBorders>
              <w:top w:val="single" w:sz="8" w:color="0000FF"/>
            </w:tcBorders>
          </w:tcPr>
          <w:p>
            <w:pPr>
              <w:spacing w:after="0"/>
              <w:rPr>
                <w:sz w:val="24"/>
                <w:szCs w:val="24"/>
                <w:color w:val="auto"/>
              </w:rPr>
            </w:pPr>
          </w:p>
        </w:tc>
        <w:tc>
          <w:tcPr>
            <w:tcW w:w="51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40" w:type="dxa"/>
            <w:vAlign w:val="bottom"/>
            <w:gridSpan w:val="28"/>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Section 1350 Certification of Chief Executive Officer (filed herewith)</w:t>
              </w:r>
            </w:hyperlink>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115">
              <w:r>
                <w:rPr>
                  <w:rFonts w:ascii="Arial" w:cs="Arial" w:eastAsia="Arial" w:hAnsi="Arial"/>
                  <w:sz w:val="18"/>
                  <w:szCs w:val="18"/>
                  <w:color w:val="0000FF"/>
                  <w:w w:val="93"/>
                </w:rPr>
                <w:t>Section 1350 Certification of Chief Financial Officer (filed herewith)</w:t>
              </w:r>
            </w:hyperlink>
          </w:p>
        </w:tc>
        <w:tc>
          <w:tcPr>
            <w:tcW w:w="40" w:type="dxa"/>
            <w:vAlign w:val="bottom"/>
            <w:tcBorders>
              <w:top w:val="single" w:sz="8" w:color="0000FF"/>
            </w:tcBorders>
          </w:tcPr>
          <w:p>
            <w:pPr>
              <w:spacing w:after="0"/>
              <w:rPr>
                <w:sz w:val="24"/>
                <w:szCs w:val="24"/>
                <w:color w:val="auto"/>
              </w:rPr>
            </w:pPr>
          </w:p>
        </w:tc>
        <w:tc>
          <w:tcPr>
            <w:tcW w:w="53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6" w:right="23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left="1080" w:right="380" w:hanging="1045"/>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Annual Report on Form 10-K for the year ended December 31, 2019,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146" w:lineRule="exact"/>
        <w:rPr>
          <w:sz w:val="20"/>
          <w:szCs w:val="20"/>
          <w:color w:val="auto"/>
        </w:rPr>
      </w:pPr>
    </w:p>
    <w:p>
      <w:pPr>
        <w:ind w:left="1080" w:hanging="1045"/>
        <w:spacing w:after="0"/>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required to be filed as an exhibit pursuant to Item 15(b) of Form 10-K.</w:t>
      </w:r>
    </w:p>
    <w:p>
      <w:pPr>
        <w:spacing w:after="0" w:line="9" w:lineRule="exact"/>
        <w:rPr>
          <w:rFonts w:ascii="Arial" w:cs="Arial" w:eastAsia="Arial" w:hAnsi="Arial"/>
          <w:sz w:val="18"/>
          <w:szCs w:val="18"/>
          <w:color w:val="auto"/>
        </w:rPr>
      </w:pPr>
    </w:p>
    <w:p>
      <w:pPr>
        <w:ind w:firstLine="8"/>
        <w:spacing w:after="0" w:line="261" w:lineRule="auto"/>
        <w:tabs>
          <w:tab w:leader="none" w:pos="22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12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126" w:right="31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February 10,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Federal Realty Investment Trust</w:t>
      </w:r>
    </w:p>
    <w:p>
      <w:pPr>
        <w:spacing w:after="0" w:line="387" w:lineRule="exact"/>
        <w:rPr>
          <w:sz w:val="20"/>
          <w:szCs w:val="20"/>
          <w:color w:val="auto"/>
        </w:rPr>
      </w:pPr>
    </w:p>
    <w:p>
      <w:pPr>
        <w:ind w:left="5080"/>
        <w:spacing w:after="0"/>
        <w:tabs>
          <w:tab w:leader="none" w:pos="6280" w:val="left"/>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40640</wp:posOffset>
            </wp:positionV>
            <wp:extent cx="2452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2"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Donald C. Wood</w:t>
      </w:r>
    </w:p>
    <w:p>
      <w:pPr>
        <w:spacing w:after="0" w:line="4"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President, Chief Executive Officer and Trustee</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22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gridSpan w:val="3"/>
          </w:tcPr>
          <w:p>
            <w:pPr>
              <w:jc w:val="center"/>
              <w:ind w:right="136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ONALD</w:t>
            </w:r>
            <w:r>
              <w:rPr>
                <w:rFonts w:ascii="Arial" w:cs="Arial" w:eastAsia="Arial" w:hAnsi="Arial"/>
                <w:sz w:val="18"/>
                <w:szCs w:val="18"/>
                <w:color w:val="auto"/>
                <w:w w:val="98"/>
              </w:rPr>
              <w:t xml:space="preserve"> C. W</w:t>
            </w:r>
            <w:r>
              <w:rPr>
                <w:rFonts w:ascii="Arial" w:cs="Arial" w:eastAsia="Arial" w:hAnsi="Arial"/>
                <w:sz w:val="14"/>
                <w:szCs w:val="14"/>
                <w:color w:val="auto"/>
                <w:w w:val="98"/>
              </w:rPr>
              <w:t>OOD</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President, Chief Executive Officer and</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10,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380" w:type="dxa"/>
            <w:vAlign w:val="bottom"/>
            <w:gridSpan w:val="3"/>
            <w:vMerge w:val="restart"/>
          </w:tcPr>
          <w:p>
            <w:pPr>
              <w:ind w:left="740"/>
              <w:spacing w:after="0"/>
              <w:rPr>
                <w:sz w:val="20"/>
                <w:szCs w:val="20"/>
                <w:color w:val="auto"/>
              </w:rPr>
            </w:pPr>
            <w:r>
              <w:rPr>
                <w:rFonts w:ascii="Arial" w:cs="Arial" w:eastAsia="Arial" w:hAnsi="Arial"/>
                <w:sz w:val="18"/>
                <w:szCs w:val="18"/>
                <w:color w:val="auto"/>
              </w:rPr>
              <w:t>Trustee (Principal Executive Officer)</w:t>
            </w: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02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4"/>
              </w:rPr>
              <w:t>Donald C. Wood</w:t>
            </w:r>
          </w:p>
        </w:tc>
        <w:tc>
          <w:tcPr>
            <w:tcW w:w="438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1440" w:type="dxa"/>
            <w:vAlign w:val="bottom"/>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gridSpan w:val="4"/>
          </w:tcPr>
          <w:p>
            <w:pPr>
              <w:jc w:val="center"/>
              <w:ind w:right="10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G</w:t>
            </w:r>
            <w:r>
              <w:rPr>
                <w:rFonts w:ascii="Arial" w:cs="Arial" w:eastAsia="Arial" w:hAnsi="Arial"/>
                <w:sz w:val="14"/>
                <w:szCs w:val="14"/>
                <w:color w:val="auto"/>
              </w:rPr>
              <w:t>UGLIELMONE</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Executive Vice President-Chief Financial</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10,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380" w:type="dxa"/>
            <w:vAlign w:val="bottom"/>
            <w:gridSpan w:val="3"/>
            <w:vMerge w:val="restart"/>
          </w:tcPr>
          <w:p>
            <w:pPr>
              <w:ind w:left="740"/>
              <w:spacing w:after="0"/>
              <w:rPr>
                <w:sz w:val="20"/>
                <w:szCs w:val="20"/>
                <w:color w:val="auto"/>
              </w:rPr>
            </w:pPr>
            <w:r>
              <w:rPr>
                <w:rFonts w:ascii="Arial" w:cs="Arial" w:eastAsia="Arial" w:hAnsi="Arial"/>
                <w:sz w:val="18"/>
                <w:szCs w:val="18"/>
                <w:color w:val="auto"/>
              </w:rPr>
              <w:t>Officer and Treasurer (Principal</w:t>
            </w: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02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3"/>
              </w:rPr>
              <w:t>Daniel Guglielmone</w:t>
            </w:r>
          </w:p>
        </w:tc>
        <w:tc>
          <w:tcPr>
            <w:tcW w:w="4380" w:type="dxa"/>
            <w:vAlign w:val="bottom"/>
            <w:gridSpan w:val="3"/>
            <w:vMerge w:val="continue"/>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380" w:type="dxa"/>
            <w:vAlign w:val="bottom"/>
            <w:gridSpan w:val="3"/>
          </w:tcPr>
          <w:p>
            <w:pPr>
              <w:ind w:left="740"/>
              <w:spacing w:after="0"/>
              <w:rPr>
                <w:sz w:val="20"/>
                <w:szCs w:val="20"/>
                <w:color w:val="auto"/>
              </w:rPr>
            </w:pPr>
            <w:r>
              <w:rPr>
                <w:rFonts w:ascii="Arial" w:cs="Arial" w:eastAsia="Arial" w:hAnsi="Arial"/>
                <w:sz w:val="18"/>
                <w:szCs w:val="18"/>
                <w:color w:val="auto"/>
              </w:rPr>
              <w:t>Financial and Accounting Officer)</w:t>
            </w: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1440" w:type="dxa"/>
            <w:vAlign w:val="bottom"/>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gridSpan w:val="4"/>
          </w:tcPr>
          <w:p>
            <w:pPr>
              <w:jc w:val="center"/>
              <w:ind w:right="108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OSEPH</w:t>
            </w:r>
            <w:r>
              <w:rPr>
                <w:rFonts w:ascii="Arial" w:cs="Arial" w:eastAsia="Arial" w:hAnsi="Arial"/>
                <w:sz w:val="18"/>
                <w:szCs w:val="18"/>
                <w:color w:val="auto"/>
                <w:w w:val="96"/>
              </w:rPr>
              <w:t xml:space="preserve"> S. V</w:t>
            </w:r>
            <w:r>
              <w:rPr>
                <w:rFonts w:ascii="Arial" w:cs="Arial" w:eastAsia="Arial" w:hAnsi="Arial"/>
                <w:sz w:val="14"/>
                <w:szCs w:val="14"/>
                <w:color w:val="auto"/>
                <w:w w:val="96"/>
              </w:rPr>
              <w:t>ASSALLUZZO</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Non-Executive Chairman</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10,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2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88"/>
              </w:rPr>
              <w:t>Joseph S. Vassalluzzo</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4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2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ON</w:t>
            </w:r>
            <w:r>
              <w:rPr>
                <w:rFonts w:ascii="Arial" w:cs="Arial" w:eastAsia="Arial" w:hAnsi="Arial"/>
                <w:sz w:val="18"/>
                <w:szCs w:val="18"/>
                <w:color w:val="auto"/>
                <w:w w:val="93"/>
              </w:rPr>
              <w:t xml:space="preserve"> E. B</w:t>
            </w:r>
            <w:r>
              <w:rPr>
                <w:rFonts w:ascii="Arial" w:cs="Arial" w:eastAsia="Arial" w:hAnsi="Arial"/>
                <w:sz w:val="14"/>
                <w:szCs w:val="14"/>
                <w:color w:val="auto"/>
                <w:w w:val="93"/>
              </w:rPr>
              <w:t>ORTZ</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10,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2"/>
              </w:rPr>
              <w:t>Jon E. Bortz</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gridSpan w:val="3"/>
          </w:tcPr>
          <w:p>
            <w:pPr>
              <w:jc w:val="center"/>
              <w:ind w:right="138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W. F</w:t>
            </w:r>
            <w:r>
              <w:rPr>
                <w:rFonts w:ascii="Arial" w:cs="Arial" w:eastAsia="Arial" w:hAnsi="Arial"/>
                <w:sz w:val="14"/>
                <w:szCs w:val="14"/>
                <w:color w:val="auto"/>
                <w:w w:val="97"/>
              </w:rPr>
              <w:t>AEDER</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10,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2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95"/>
              </w:rPr>
              <w:t>David W. Faeder</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3"/>
        </w:trPr>
        <w:tc>
          <w:tcPr>
            <w:tcW w:w="4460" w:type="dxa"/>
            <w:vAlign w:val="bottom"/>
            <w:gridSpan w:val="5"/>
          </w:tcPr>
          <w:p>
            <w:pPr>
              <w:jc w:val="cente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8"/>
                <w:szCs w:val="18"/>
                <w:color w:val="auto"/>
              </w:rPr>
              <w:t>E</w:t>
            </w:r>
            <w:r>
              <w:rPr>
                <w:rFonts w:ascii="Arial" w:cs="Arial" w:eastAsia="Arial" w:hAnsi="Arial"/>
                <w:sz w:val="14"/>
                <w:szCs w:val="14"/>
                <w:color w:val="auto"/>
              </w:rPr>
              <w:t xml:space="preserve">LIZABETH </w:t>
            </w:r>
            <w:r>
              <w:rPr>
                <w:rFonts w:ascii="Arial" w:cs="Arial" w:eastAsia="Arial" w:hAnsi="Arial"/>
                <w:sz w:val="18"/>
                <w:szCs w:val="18"/>
                <w:color w:val="auto"/>
              </w:rPr>
              <w:t>I. H</w:t>
            </w:r>
            <w:r>
              <w:rPr>
                <w:rFonts w:ascii="Arial" w:cs="Arial" w:eastAsia="Arial" w:hAnsi="Arial"/>
                <w:sz w:val="14"/>
                <w:szCs w:val="14"/>
                <w:color w:val="auto"/>
              </w:rPr>
              <w:t>OLLAND</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10,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2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w w:val="96"/>
              </w:rPr>
              <w:t>Elizabeth I. Holland</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44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4"/>
                <w:szCs w:val="14"/>
                <w:color w:val="auto"/>
              </w:rPr>
              <w:t>/S/</w:t>
            </w:r>
          </w:p>
        </w:tc>
        <w:tc>
          <w:tcPr>
            <w:tcW w:w="2720" w:type="dxa"/>
            <w:vAlign w:val="bottom"/>
            <w:gridSpan w:val="3"/>
          </w:tcPr>
          <w:p>
            <w:pPr>
              <w:ind w:left="60"/>
              <w:spacing w:after="0"/>
              <w:rPr>
                <w:sz w:val="20"/>
                <w:szCs w:val="20"/>
                <w:color w:val="auto"/>
              </w:rPr>
            </w:pPr>
            <w:r>
              <w:rPr>
                <w:rFonts w:ascii="Arial" w:cs="Arial" w:eastAsia="Arial" w:hAnsi="Arial"/>
                <w:sz w:val="14"/>
                <w:szCs w:val="14"/>
                <w:color w:val="auto"/>
              </w:rPr>
              <w:t xml:space="preserve">MARK </w:t>
            </w:r>
            <w:r>
              <w:rPr>
                <w:rFonts w:ascii="Arial" w:cs="Arial" w:eastAsia="Arial" w:hAnsi="Arial"/>
                <w:sz w:val="18"/>
                <w:szCs w:val="18"/>
                <w:color w:val="auto"/>
              </w:rPr>
              <w:t>S.</w:t>
            </w:r>
            <w:r>
              <w:rPr>
                <w:rFonts w:ascii="Arial" w:cs="Arial" w:eastAsia="Arial" w:hAnsi="Arial"/>
                <w:sz w:val="14"/>
                <w:szCs w:val="14"/>
                <w:color w:val="auto"/>
              </w:rPr>
              <w:t xml:space="preserve"> ORDAN</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10,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rPr>
              <w:t>Mark S. Ordan</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44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20" w:type="dxa"/>
            <w:vAlign w:val="bottom"/>
            <w:gridSpan w:val="3"/>
          </w:tcPr>
          <w:p>
            <w:pPr>
              <w:jc w:val="center"/>
              <w:ind w:right="1360"/>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AIL</w:t>
            </w:r>
            <w:r>
              <w:rPr>
                <w:rFonts w:ascii="Arial" w:cs="Arial" w:eastAsia="Arial" w:hAnsi="Arial"/>
                <w:sz w:val="18"/>
                <w:szCs w:val="18"/>
                <w:color w:val="auto"/>
                <w:w w:val="97"/>
              </w:rPr>
              <w:t xml:space="preserve"> P. S</w:t>
            </w:r>
            <w:r>
              <w:rPr>
                <w:rFonts w:ascii="Arial" w:cs="Arial" w:eastAsia="Arial" w:hAnsi="Arial"/>
                <w:sz w:val="14"/>
                <w:szCs w:val="14"/>
                <w:color w:val="auto"/>
                <w:w w:val="97"/>
              </w:rPr>
              <w:t>TEINEL</w:t>
            </w:r>
          </w:p>
        </w:tc>
        <w:tc>
          <w:tcPr>
            <w:tcW w:w="4380" w:type="dxa"/>
            <w:vAlign w:val="bottom"/>
            <w:gridSpan w:val="3"/>
          </w:tcPr>
          <w:p>
            <w:pPr>
              <w:ind w:left="500"/>
              <w:spacing w:after="0"/>
              <w:rPr>
                <w:sz w:val="20"/>
                <w:szCs w:val="20"/>
                <w:color w:val="auto"/>
              </w:rPr>
            </w:pPr>
            <w:r>
              <w:rPr>
                <w:rFonts w:ascii="Arial" w:cs="Arial" w:eastAsia="Arial" w:hAnsi="Arial"/>
                <w:sz w:val="18"/>
                <w:szCs w:val="18"/>
                <w:color w:val="auto"/>
              </w:rPr>
              <w:t>Trustee</w:t>
            </w:r>
          </w:p>
        </w:tc>
        <w:tc>
          <w:tcPr>
            <w:tcW w:w="2220" w:type="dxa"/>
            <w:vAlign w:val="bottom"/>
            <w:gridSpan w:val="3"/>
          </w:tcPr>
          <w:p>
            <w:pPr>
              <w:jc w:val="center"/>
              <w:ind w:left="812"/>
              <w:spacing w:after="0"/>
              <w:rPr>
                <w:sz w:val="20"/>
                <w:szCs w:val="20"/>
                <w:color w:val="auto"/>
              </w:rPr>
            </w:pPr>
            <w:r>
              <w:rPr>
                <w:rFonts w:ascii="Arial" w:cs="Arial" w:eastAsia="Arial" w:hAnsi="Arial"/>
                <w:sz w:val="18"/>
                <w:szCs w:val="18"/>
                <w:color w:val="auto"/>
                <w:w w:val="89"/>
              </w:rPr>
              <w:t>February 10, 2020</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2"/>
              </w:rPr>
              <w:t>Gail P. Steinel</w:t>
            </w:r>
          </w:p>
        </w:tc>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0"/>
        </w:trPr>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ind w:left="116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6" w:right="27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and Item 15(a)(1) and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Financial Statements</w:t>
            </w:r>
          </w:p>
        </w:tc>
        <w:tc>
          <w:tcPr>
            <w:tcW w:w="14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8"/>
                <w:szCs w:val="18"/>
                <w:color w:val="auto"/>
              </w:rPr>
              <w:t>Page No.</w:t>
            </w:r>
          </w:p>
        </w:tc>
      </w:tr>
      <w:tr>
        <w:trPr>
          <w:trHeight w:val="196"/>
        </w:trPr>
        <w:tc>
          <w:tcPr>
            <w:tcW w:w="9940" w:type="dxa"/>
            <w:vAlign w:val="bottom"/>
          </w:tcPr>
          <w:p>
            <w:pPr>
              <w:ind w:left="40"/>
              <w:spacing w:after="0" w:line="196"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F-2</w:t>
              </w:r>
            </w:hyperlink>
          </w:p>
        </w:tc>
      </w:tr>
      <w:tr>
        <w:trPr>
          <w:trHeight w:val="48"/>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F-3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F-5</w:t>
              </w:r>
            </w:hyperlink>
          </w:p>
        </w:tc>
      </w:tr>
      <w:tr>
        <w:trPr>
          <w:trHeight w:val="48"/>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F-6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 of Shareholders’ Equity</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F-7</w:t>
              </w:r>
            </w:hyperlink>
          </w:p>
        </w:tc>
      </w:tr>
      <w:tr>
        <w:trPr>
          <w:trHeight w:val="48"/>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F-8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F-9</w:t>
              </w:r>
            </w:hyperlink>
          </w:p>
        </w:tc>
      </w:tr>
      <w:tr>
        <w:trPr>
          <w:trHeight w:val="48"/>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9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i w:val="1"/>
                <w:iCs w:val="1"/>
                <w:color w:val="auto"/>
              </w:rPr>
              <w:t>Financial Statement Schedules</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III—Summary of Real Estate and Accumulated Depreciation</w:t>
            </w: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86"/>
              </w:rPr>
            </w:pPr>
            <w:hyperlink w:anchor="page87">
              <w:r>
                <w:rPr>
                  <w:rFonts w:ascii="Arial" w:cs="Arial" w:eastAsia="Arial" w:hAnsi="Arial"/>
                  <w:sz w:val="18"/>
                  <w:szCs w:val="18"/>
                  <w:color w:val="0000EE"/>
                  <w:w w:val="86"/>
                </w:rPr>
                <w:t>F-31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Schedule IV—Mortgage Loans on Real Estate</w:t>
            </w:r>
          </w:p>
        </w:tc>
        <w:tc>
          <w:tcPr>
            <w:tcW w:w="11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86"/>
              </w:rPr>
            </w:pPr>
            <w:hyperlink w:anchor="page95">
              <w:r>
                <w:rPr>
                  <w:rFonts w:ascii="Arial" w:cs="Arial" w:eastAsia="Arial" w:hAnsi="Arial"/>
                  <w:sz w:val="18"/>
                  <w:szCs w:val="18"/>
                  <w:color w:val="0000EE"/>
                  <w:w w:val="86"/>
                </w:rPr>
                <w:t>F-39</w:t>
              </w:r>
            </w:hyperlink>
          </w:p>
        </w:tc>
        <w:tc>
          <w:tcPr>
            <w:tcW w:w="20" w:type="dxa"/>
            <w:vAlign w:val="bottom"/>
          </w:tcPr>
          <w:p>
            <w:pPr>
              <w:spacing w:after="0"/>
              <w:rPr>
                <w:sz w:val="17"/>
                <w:szCs w:val="17"/>
                <w:color w:val="auto"/>
              </w:rPr>
            </w:pPr>
          </w:p>
        </w:tc>
      </w:tr>
    </w:tbl>
    <w:p>
      <w:pPr>
        <w:spacing w:after="0" w:line="202"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We have audited the internal control over financial reporting of Federal Realty Investment Trust (a Maryland real estate investment trust) and Subsidiaries (collectively, the "Trust") as of December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Trust maintained, in all material respects, effective internal control over financial reporting as of December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Trust as of and for the year ended December 31, 2019, and our report dated February 10, 2020 expressed an unqualified opinion on those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Trust’s management is responsible for maintaining effective internal control over financial reporting and for its assessment of the effectiveness of internal control over financial reporting, included in the accompanying Management's Evaluation of Disclosure Controls and Procedures.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accompanying consolidated balance sheets of Federal Realty Investment Trust (a Maryland real estate investment trust) and Subsidiaries (collectively, the "Trust") as of December 31, 2019 and 2018, the related consolidated statements of comprehensive income, changes in shareholders’ equity, and cash flows for each of the three years in the period ended December 31, 2019, and the related notes and financial statement schedules included under Item 15(a) (collectively referred to as the “financial statements”). In our opinion, the financial statements present fairly, in all material respects, the financial position of the Trust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Trust’s internal control over financial reporting as of December 31, 2019,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10, 2020 expressed an unqualified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dicussed in Note 2 to the consolidated financial statements, the Trust has changed its method of accounting for leases in 2019 due to the adoption of Accounting Standards Codification (ASC) Topic 842,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These financial statements are the responsibility of the Trust’s management. Our responsibility is to express an opinion on the Trust’s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22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842 (Lessee) - Refer to Note 2 to the Financial Statements</w:t>
      </w:r>
    </w:p>
    <w:p>
      <w:pPr>
        <w:spacing w:after="0" w:line="225"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Trust adopted ASC Topic 842, Leases (ASC 842) as of January 1, 2019, which, from a lessee perspective, resulted in the recognition of a right-of-use asset (“ROU asset”) and a lease liability for operating leases (other than leases that meet the definition of a short-term lease). The liability is equal to the present value of future lease payments and the asset is based on the liability, subject to certain adjustments, including initial direct costs.</w:t>
      </w:r>
    </w:p>
    <w:p>
      <w:pPr>
        <w:spacing w:after="0" w:line="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identified the adoption of ASC 842, from a lessee perspective, as a critical audit matter because it is a substantial change in accounting for leases and as such requires significant auditor judgment in obtaining sufficient appropriate audit evidence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related to management’s determination of the lease liability and ROU asset and their selection of a discount rate to be applied to future lease payments.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adoption of ASC 842 included the following:</w:t>
      </w:r>
    </w:p>
    <w:p>
      <w:pPr>
        <w:spacing w:after="0" w:line="144"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assessed the design and tested the operating effectiveness of internal controls relating to the initial adoption of ASC 842.</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verified the completeness of the population of leases that management evaluated as part of the initial adoption and ongoing accounting for leases in future periods.</w:t>
      </w:r>
    </w:p>
    <w:p>
      <w:pPr>
        <w:ind w:left="660" w:right="20" w:hanging="328"/>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inspected a sample of lease contracts, compared the relevant inputs in management’s calculation to underlying lease documents, and recalculated the related ROU asset and lease liability.</w:t>
      </w:r>
    </w:p>
    <w:p>
      <w:pPr>
        <w:ind w:left="660" w:right="1140" w:hanging="328"/>
        <w:spacing w:after="0" w:line="265"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utilized a specialist to evaluate the discount rate used in the initial measurement of the lease liability upon adoption, including the appropriateness of the methodology employed to determine the discount rate and the final conclusion reached.</w:t>
      </w: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tested the completeness and accuracy of the cumulative catch up adjustment recognized upon adoption.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evaluated the new accounting policy for leases where the Trust is the lessee.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842 (Lessor) - Refer to Note 2 to the Financial Statements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Trust adopted ASC 842 as of January 1, 2019, which, from a lessor perspective, resulted in a change to the Trust’s revenue recognition policy for revenue earned under operating leases with their tenants.</w:t>
      </w:r>
    </w:p>
    <w:p>
      <w:pPr>
        <w:spacing w:after="0" w:line="8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identified the adoption of ASC 842, from a lessor perspective, as a critical audit matter because significant auditor judgment was required in evaluating whether management had appropriately interpreted and implemented this new accounting standard for leases that were in place on the adoption date and for new leases entered into subsequent to the adoption date.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adoption of ASC 842 included the following:</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assessed the design and tested the operating effectiveness of internal controls relating to the initial adoption of ASC 842.</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evaluated the transition method implemented for leases that were in place at the adoption date and the new accounting policy for revenue earned under operating leases with their tenants. We utilized specialists in these evaluations.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tested the completeness and accuracy of the cumulative catch up adjustment recognized upon adoption.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Trust’s auditor since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6" w:right="25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4"/>
        </w:trPr>
        <w:tc>
          <w:tcPr>
            <w:tcW w:w="8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8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4"/>
          </w:tcPr>
          <w:p>
            <w:pPr>
              <w:jc w:val="center"/>
              <w:ind w:right="30"/>
              <w:spacing w:after="0" w:line="153" w:lineRule="exact"/>
              <w:rPr>
                <w:sz w:val="20"/>
                <w:szCs w:val="20"/>
                <w:color w:val="auto"/>
              </w:rPr>
            </w:pPr>
            <w:r>
              <w:rPr>
                <w:rFonts w:ascii="Arial" w:cs="Arial" w:eastAsia="Arial" w:hAnsi="Arial"/>
                <w:sz w:val="14"/>
                <w:szCs w:val="14"/>
                <w:b w:val="1"/>
                <w:bCs w:val="1"/>
                <w:color w:val="auto"/>
                <w:w w:val="91"/>
              </w:rPr>
              <w:t>(In thousands, except share and per</w:t>
            </w:r>
          </w:p>
        </w:tc>
        <w:tc>
          <w:tcPr>
            <w:tcW w:w="0" w:type="dxa"/>
            <w:vAlign w:val="bottom"/>
          </w:tcPr>
          <w:p>
            <w:pPr>
              <w:spacing w:after="0"/>
              <w:rPr>
                <w:sz w:val="1"/>
                <w:szCs w:val="1"/>
                <w:color w:val="auto"/>
              </w:rPr>
            </w:pPr>
          </w:p>
        </w:tc>
      </w:tr>
      <w:tr>
        <w:trPr>
          <w:trHeight w:val="186"/>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jc w:val="center"/>
              <w:ind w:left="712"/>
              <w:spacing w:after="0"/>
              <w:rPr>
                <w:sz w:val="20"/>
                <w:szCs w:val="20"/>
                <w:color w:val="auto"/>
              </w:rPr>
            </w:pPr>
            <w:r>
              <w:rPr>
                <w:rFonts w:ascii="Arial" w:cs="Arial" w:eastAsia="Arial" w:hAnsi="Arial"/>
                <w:sz w:val="14"/>
                <w:szCs w:val="14"/>
                <w:b w:val="1"/>
                <w:bCs w:val="1"/>
                <w:color w:val="auto"/>
                <w:w w:val="90"/>
              </w:rPr>
              <w:t>share data)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78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w w:val="98"/>
              </w:rPr>
              <w:t>Operating (including $1,676,866 and $1,701,804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7,535,983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7,307,622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Construction-in-progress (including $102,583 and $51,313 of consolidated variable interest entities,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760,420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495,274</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8,298,132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7,819,472</w:t>
            </w:r>
          </w:p>
        </w:tc>
        <w:tc>
          <w:tcPr>
            <w:tcW w:w="0" w:type="dxa"/>
            <w:vAlign w:val="bottom"/>
          </w:tcPr>
          <w:p>
            <w:pPr>
              <w:spacing w:after="0"/>
              <w:rPr>
                <w:sz w:val="1"/>
                <w:szCs w:val="1"/>
                <w:color w:val="auto"/>
              </w:rPr>
            </w:pPr>
          </w:p>
        </w:tc>
      </w:tr>
      <w:tr>
        <w:trPr>
          <w:trHeight w:val="229"/>
        </w:trPr>
        <w:tc>
          <w:tcPr>
            <w:tcW w:w="8780" w:type="dxa"/>
            <w:vAlign w:val="bottom"/>
          </w:tcPr>
          <w:p>
            <w:pPr>
              <w:ind w:left="700"/>
              <w:spacing w:after="0"/>
              <w:rPr>
                <w:sz w:val="20"/>
                <w:szCs w:val="20"/>
                <w:color w:val="auto"/>
              </w:rPr>
            </w:pPr>
            <w:r>
              <w:rPr>
                <w:rFonts w:ascii="Arial" w:cs="Arial" w:eastAsia="Arial" w:hAnsi="Arial"/>
                <w:sz w:val="18"/>
                <w:szCs w:val="18"/>
                <w:color w:val="auto"/>
                <w:w w:val="93"/>
              </w:rPr>
              <w:t>Less accumulated depreciation and amortization (including $296,165 and $292,374 of consolidated variable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70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(2,215,413)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(2,059,143)</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6,082,719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5,760,329</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127,432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142,237</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partnerships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26,859</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93,774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Finance lease right of 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227,060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265,703</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6,794,992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6,289,644</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80" w:type="dxa"/>
            <w:vAlign w:val="bottom"/>
          </w:tcPr>
          <w:p>
            <w:pPr>
              <w:ind w:left="700"/>
              <w:spacing w:after="0"/>
              <w:rPr>
                <w:sz w:val="20"/>
                <w:szCs w:val="20"/>
                <w:color w:val="auto"/>
              </w:rPr>
            </w:pPr>
            <w:r>
              <w:rPr>
                <w:rFonts w:ascii="Arial" w:cs="Arial" w:eastAsia="Arial" w:hAnsi="Arial"/>
                <w:sz w:val="18"/>
                <w:szCs w:val="18"/>
                <w:color w:val="auto"/>
              </w:rPr>
              <w:t>Mortgages payable, net (including $469,184 and $444,388 of consolidated variable interest entities,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700"/>
              <w:spacing w:after="0"/>
              <w:rPr>
                <w:sz w:val="20"/>
                <w:szCs w:val="20"/>
                <w:color w:val="auto"/>
              </w:rPr>
            </w:pPr>
            <w:r>
              <w:rPr>
                <w:rFonts w:ascii="Arial" w:cs="Arial" w:eastAsia="Arial" w:hAnsi="Arial"/>
                <w:sz w:val="18"/>
                <w:szCs w:val="18"/>
                <w:color w:val="auto"/>
              </w:rPr>
              <w:t>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545,679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474,379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71,519</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Notes payable,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279,027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2,807,134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2,404,279</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255,503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177,922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78,207</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21,701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73,628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Finance lease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72,062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182,898</w:t>
            </w:r>
          </w:p>
        </w:tc>
        <w:tc>
          <w:tcPr>
            <w:tcW w:w="0" w:type="dxa"/>
            <w:vAlign w:val="bottom"/>
          </w:tcPr>
          <w:p>
            <w:pPr>
              <w:spacing w:after="0"/>
              <w:rPr>
                <w:sz w:val="1"/>
                <w:szCs w:val="1"/>
                <w:color w:val="auto"/>
              </w:rPr>
            </w:pP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4,019,102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3,686,106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139,758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136,208</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9"/>
              </w:rPr>
              <w:t>5.0% Series C Cumulative Redeemable Preferred Shares, (stated at liquidation preference $25,000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780" w:type="dxa"/>
            <w:vAlign w:val="bottom"/>
          </w:tcPr>
          <w:p>
            <w:pPr>
              <w:ind w:left="820"/>
              <w:spacing w:after="0"/>
              <w:rPr>
                <w:sz w:val="20"/>
                <w:szCs w:val="20"/>
                <w:color w:val="auto"/>
              </w:rPr>
            </w:pPr>
            <w:r>
              <w:rPr>
                <w:rFonts w:ascii="Arial" w:cs="Arial" w:eastAsia="Arial" w:hAnsi="Arial"/>
                <w:sz w:val="18"/>
                <w:szCs w:val="18"/>
                <w:color w:val="auto"/>
                <w:w w:val="92"/>
              </w:rPr>
              <w:t>5.417% Series 1 Cumulative Convertible Preferred Shares, (stated at liquidation preference $25 per share),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Common shares of beneficial interest, $.01 par, 100,000,000 shares authorized, 75,540,804 and 74,249,633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3,166,522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3,004,442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(818,877)</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2,535,341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2,345,891</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100,791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121,439</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2,636,132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2,467,330</w:t>
            </w:r>
          </w:p>
        </w:tc>
        <w:tc>
          <w:tcPr>
            <w:tcW w:w="0" w:type="dxa"/>
            <w:vAlign w:val="bottom"/>
          </w:tcPr>
          <w:p>
            <w:pPr>
              <w:spacing w:after="0"/>
              <w:rPr>
                <w:sz w:val="1"/>
                <w:szCs w:val="1"/>
                <w:color w:val="auto"/>
              </w:rPr>
            </w:pPr>
          </w:p>
        </w:tc>
      </w:tr>
      <w:tr>
        <w:trPr>
          <w:trHeight w:val="237"/>
        </w:trPr>
        <w:tc>
          <w:tcPr>
            <w:tcW w:w="878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6,794,992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6,289,644</w:t>
            </w:r>
          </w:p>
        </w:tc>
        <w:tc>
          <w:tcPr>
            <w:tcW w:w="0" w:type="dxa"/>
            <w:vAlign w:val="bottom"/>
          </w:tcPr>
          <w:p>
            <w:pPr>
              <w:spacing w:after="0"/>
              <w:rPr>
                <w:sz w:val="1"/>
                <w:szCs w:val="1"/>
                <w:color w:val="auto"/>
              </w:rPr>
            </w:pPr>
          </w:p>
        </w:tc>
      </w:tr>
      <w:tr>
        <w:trPr>
          <w:trHeight w:val="27"/>
        </w:trPr>
        <w:tc>
          <w:tcPr>
            <w:tcW w:w="8780" w:type="dxa"/>
            <w:vAlign w:val="bottom"/>
            <w:vMerge w:val="restart"/>
          </w:tcPr>
          <w:p>
            <w:pPr>
              <w:ind w:left="2880"/>
              <w:spacing w:after="0"/>
              <w:rPr>
                <w:sz w:val="20"/>
                <w:szCs w:val="20"/>
                <w:color w:val="auto"/>
              </w:rPr>
            </w:pPr>
            <w:r>
              <w:rPr>
                <w:rFonts w:ascii="Arial" w:cs="Arial" w:eastAsia="Arial" w:hAnsi="Arial"/>
                <w:sz w:val="18"/>
                <w:szCs w:val="18"/>
                <w:color w:val="auto"/>
                <w:w w:val="93"/>
              </w:rPr>
              <w:t>The accompanying notes are an integral part of these consolidated statements.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8780" w:type="dxa"/>
            <w:vAlign w:val="bottom"/>
          </w:tcPr>
          <w:p>
            <w:pPr>
              <w:ind w:left="5560"/>
              <w:spacing w:after="0"/>
              <w:rPr>
                <w:sz w:val="20"/>
                <w:szCs w:val="20"/>
                <w:color w:val="auto"/>
              </w:rPr>
            </w:pPr>
            <w:r>
              <w:rPr>
                <w:rFonts w:ascii="Arial" w:cs="Arial" w:eastAsia="Arial" w:hAnsi="Arial"/>
                <w:sz w:val="18"/>
                <w:szCs w:val="18"/>
                <w:color w:val="auto"/>
              </w:rPr>
              <w:t>F-5</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6" w:right="259" w:bottom="508"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290"/>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7"/>
          </w:tcPr>
          <w:p>
            <w:pPr>
              <w:jc w:val="center"/>
              <w:ind w:left="431"/>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44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932,738</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912,287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854,286</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Mortgage interest income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935,788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915,436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857,348</w:t>
            </w:r>
          </w:p>
        </w:tc>
        <w:tc>
          <w:tcPr>
            <w:tcW w:w="0" w:type="dxa"/>
            <w:vAlign w:val="bottom"/>
          </w:tcPr>
          <w:p>
            <w:pPr>
              <w:spacing w:after="0"/>
              <w:rPr>
                <w:sz w:val="1"/>
                <w:szCs w:val="1"/>
                <w:color w:val="auto"/>
              </w:rPr>
            </w:pP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187,831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173,094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164,890</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Real estate taxes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114,776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107,839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36,281</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239,758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244,245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216,050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581,270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565,715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525,060</w:t>
            </w:r>
          </w:p>
        </w:tc>
        <w:tc>
          <w:tcPr>
            <w:tcW w:w="0" w:type="dxa"/>
            <w:vAlign w:val="bottom"/>
          </w:tcPr>
          <w:p>
            <w:pPr>
              <w:spacing w:after="0"/>
              <w:rPr>
                <w:sz w:val="1"/>
                <w:szCs w:val="1"/>
                <w:color w:val="auto"/>
              </w:rPr>
            </w:pPr>
          </w:p>
        </w:tc>
      </w:tr>
      <w:tr>
        <w:trPr>
          <w:trHeight w:val="277"/>
        </w:trPr>
        <w:tc>
          <w:tcPr>
            <w:tcW w:w="7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 net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116,393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77,922</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470,911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361,636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410,210</w:t>
            </w:r>
          </w:p>
        </w:tc>
        <w:tc>
          <w:tcPr>
            <w:tcW w:w="0" w:type="dxa"/>
            <w:vAlign w:val="bottom"/>
          </w:tcPr>
          <w:p>
            <w:pPr>
              <w:spacing w:after="0"/>
              <w:rPr>
                <w:sz w:val="1"/>
                <w:szCs w:val="1"/>
                <w:color w:val="auto"/>
              </w:rPr>
            </w:pPr>
          </w:p>
        </w:tc>
      </w:tr>
      <w:tr>
        <w:trPr>
          <w:trHeight w:val="28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(109,623)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(100,125)</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(12,273)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partnerships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360,542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249,026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297,870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353,866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241,907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289,914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345,824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233,865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287,456</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4.61</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72,117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73,302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72,233</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360,542</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249,026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297,870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income - change in value of interest rate swaps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360,145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248,588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300,469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353,469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241,469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292,513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w w:val="95"/>
              </w:rPr>
              <w:t>Shareholders’ Equity of the Trust</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340" w:type="dxa"/>
            <w:vAlign w:val="bottom"/>
            <w:gridSpan w:val="3"/>
            <w:vMerge w:val="restart"/>
          </w:tcPr>
          <w:p>
            <w:pPr>
              <w:jc w:val="right"/>
              <w:ind w:right="72"/>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460" w:type="dxa"/>
            <w:vAlign w:val="bottom"/>
            <w:gridSpan w:val="4"/>
            <w:vMerge w:val="restart"/>
          </w:tcPr>
          <w:p>
            <w:pPr>
              <w:jc w:val="right"/>
              <w:ind w:right="132"/>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420" w:type="dxa"/>
            <w:vAlign w:val="bottom"/>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Dividends in</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1"/>
        </w:trPr>
        <w:tc>
          <w:tcPr>
            <w:tcW w:w="3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ind w:left="120"/>
              <w:spacing w:after="0"/>
              <w:rPr>
                <w:sz w:val="20"/>
                <w:szCs w:val="20"/>
                <w:color w:val="auto"/>
              </w:rPr>
            </w:pPr>
            <w:r>
              <w:rPr>
                <w:rFonts w:ascii="Arial" w:cs="Arial" w:eastAsia="Arial" w:hAnsi="Arial"/>
                <w:sz w:val="13"/>
                <w:szCs w:val="13"/>
                <w:b w:val="1"/>
                <w:bCs w:val="1"/>
                <w:color w:val="auto"/>
                <w:w w:val="85"/>
              </w:rPr>
              <w:t>(In thousands, except share data)</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2016</w:t>
            </w:r>
          </w:p>
        </w:tc>
        <w:tc>
          <w:tcPr>
            <w:tcW w:w="5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86"/>
              </w:rPr>
              <w:t>399,896</w:t>
            </w: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9,997</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4"/>
              </w:rPr>
              <w:t>71,995,897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2,718,325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(749,734)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99,102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99"/>
              </w:rPr>
              <w:t>2,075,835</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January 1, 2017 adoption of new accounting standard</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Net income, excluding $3,874 attributable to redeemable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289,914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4,082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293,996</w:t>
            </w:r>
          </w:p>
        </w:tc>
        <w:tc>
          <w:tcPr>
            <w:tcW w:w="0" w:type="dxa"/>
            <w:vAlign w:val="bottom"/>
          </w:tcPr>
          <w:p>
            <w:pPr>
              <w:spacing w:after="0"/>
              <w:rPr>
                <w:sz w:val="1"/>
                <w:szCs w:val="1"/>
                <w:color w:val="auto"/>
              </w:rPr>
            </w:pPr>
          </w:p>
        </w:tc>
      </w:tr>
      <w:tr>
        <w:trPr>
          <w:trHeight w:val="165"/>
        </w:trPr>
        <w:tc>
          <w:tcPr>
            <w:tcW w:w="3420" w:type="dxa"/>
            <w:vAlign w:val="bottom"/>
          </w:tcPr>
          <w:p>
            <w:pPr>
              <w:ind w:left="40"/>
              <w:spacing w:after="0"/>
              <w:rPr>
                <w:sz w:val="20"/>
                <w:szCs w:val="20"/>
                <w:color w:val="auto"/>
              </w:rPr>
            </w:pPr>
            <w:r>
              <w:rPr>
                <w:rFonts w:ascii="Arial" w:cs="Arial" w:eastAsia="Arial" w:hAnsi="Arial"/>
                <w:sz w:val="14"/>
                <w:szCs w:val="14"/>
                <w:color w:val="auto"/>
                <w:w w:val="93"/>
              </w:rPr>
              <w:t>Other comprehensive income - change in value of interest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40"/>
              <w:spacing w:after="0"/>
              <w:rPr>
                <w:sz w:val="20"/>
                <w:szCs w:val="20"/>
                <w:color w:val="auto"/>
              </w:rPr>
            </w:pPr>
            <w:r>
              <w:rPr>
                <w:rFonts w:ascii="Arial" w:cs="Arial" w:eastAsia="Arial" w:hAnsi="Arial"/>
                <w:sz w:val="14"/>
                <w:szCs w:val="14"/>
                <w:color w:val="auto"/>
              </w:rPr>
              <w:t>rate swaps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2,599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(287,006)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(287,006)</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(2,458)</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Common shares issued, net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826,592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108,240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108,248</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shares issued, net</w:t>
            </w:r>
          </w:p>
        </w:tc>
        <w:tc>
          <w:tcPr>
            <w:tcW w:w="5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6,000</w:t>
            </w: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144,965</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152,634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9,977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9,979</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17,911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2,373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w w:val="99"/>
              </w:rPr>
              <w:t>Share-based compensation expense, net of forfeitures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107,522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12,370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12,371</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20,030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2,569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35,331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35,331</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Purchase of noncontrolling interests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(5,578)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(5,536)</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10,606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10,606</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420" w:type="dxa"/>
            <w:vAlign w:val="bottom"/>
          </w:tcPr>
          <w:p>
            <w:pPr>
              <w:ind w:left="40"/>
              <w:spacing w:after="0"/>
              <w:rPr>
                <w:sz w:val="20"/>
                <w:szCs w:val="20"/>
                <w:color w:val="auto"/>
              </w:rPr>
            </w:pPr>
            <w:r>
              <w:rPr>
                <w:rFonts w:ascii="Arial" w:cs="Arial" w:eastAsia="Arial" w:hAnsi="Arial"/>
                <w:sz w:val="14"/>
                <w:szCs w:val="14"/>
                <w:color w:val="auto"/>
              </w:rPr>
              <w:t>BALANCE AT DECEMBER 31, 2017</w:t>
            </w:r>
          </w:p>
        </w:tc>
        <w:tc>
          <w:tcPr>
            <w:tcW w:w="5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w w:val="86"/>
              </w:rPr>
              <w:t>405,896</w:t>
            </w:r>
          </w:p>
        </w:tc>
        <w:tc>
          <w:tcPr>
            <w:tcW w:w="100" w:type="dxa"/>
            <w:vAlign w:val="bottom"/>
          </w:tcPr>
          <w:p>
            <w:pPr>
              <w:spacing w:after="0"/>
              <w:rPr>
                <w:sz w:val="14"/>
                <w:szCs w:val="14"/>
                <w:color w:val="auto"/>
              </w:rPr>
            </w:pPr>
          </w:p>
        </w:tc>
        <w:tc>
          <w:tcPr>
            <w:tcW w:w="6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w w:val="86"/>
              </w:rPr>
              <w:t>$ 159,997</w:t>
            </w:r>
          </w:p>
        </w:tc>
        <w:tc>
          <w:tcPr>
            <w:tcW w:w="100" w:type="dxa"/>
            <w:vAlign w:val="bottom"/>
          </w:tcPr>
          <w:p>
            <w:pPr>
              <w:spacing w:after="0"/>
              <w:rPr>
                <w:sz w:val="14"/>
                <w:szCs w:val="14"/>
                <w:color w:val="auto"/>
              </w:rPr>
            </w:pP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w w:val="94"/>
              </w:rPr>
              <w:t>73,090,877</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4"/>
                <w:szCs w:val="14"/>
                <w:color w:val="auto"/>
              </w:rPr>
            </w:pP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w w:val="89"/>
              </w:rPr>
              <w:t>$ 2,855,321</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(749,367)</w:t>
            </w:r>
          </w:p>
        </w:tc>
        <w:tc>
          <w:tcPr>
            <w:tcW w:w="120" w:type="dxa"/>
            <w:vAlign w:val="bottom"/>
          </w:tcPr>
          <w:p>
            <w:pPr>
              <w:spacing w:after="0"/>
              <w:rPr>
                <w:sz w:val="14"/>
                <w:szCs w:val="14"/>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124,808</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w w:val="99"/>
              </w:rPr>
              <w:t>2,391,514</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0"/>
              </w:rPr>
              <w:t>January 1, 2018 adoption of new accounting standard - See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2</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(6,028)</w:t>
            </w:r>
          </w:p>
        </w:tc>
        <w:tc>
          <w:tcPr>
            <w:tcW w:w="0" w:type="dxa"/>
            <w:vAlign w:val="bottom"/>
          </w:tcPr>
          <w:p>
            <w:pPr>
              <w:spacing w:after="0"/>
              <w:rPr>
                <w:sz w:val="1"/>
                <w:szCs w:val="1"/>
                <w:color w:val="auto"/>
              </w:rPr>
            </w:pPr>
          </w:p>
        </w:tc>
      </w:tr>
      <w:tr>
        <w:trPr>
          <w:trHeight w:val="165"/>
        </w:trPr>
        <w:tc>
          <w:tcPr>
            <w:tcW w:w="3420" w:type="dxa"/>
            <w:vAlign w:val="bottom"/>
          </w:tcPr>
          <w:p>
            <w:pPr>
              <w:ind w:left="40"/>
              <w:spacing w:after="0"/>
              <w:rPr>
                <w:sz w:val="20"/>
                <w:szCs w:val="20"/>
                <w:color w:val="auto"/>
              </w:rPr>
            </w:pPr>
            <w:r>
              <w:rPr>
                <w:rFonts w:ascii="Arial" w:cs="Arial" w:eastAsia="Arial" w:hAnsi="Arial"/>
                <w:sz w:val="14"/>
                <w:szCs w:val="14"/>
                <w:color w:val="auto"/>
                <w:w w:val="95"/>
              </w:rPr>
              <w:t>Net income, excluding $3,865 attributable to redeemable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241,907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3,254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245,161</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Other comprehensive loss - change in value of interest rate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swaps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(297,347)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(297,347)</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(8,042)</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(5,175)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(5,175)</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 net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987,461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126,061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126,071</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105,803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4,571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4,572</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17,952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2,159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w w:val="99"/>
              </w:rPr>
              <w:t>Share-based compensation expense, net of forfeitures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55,223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12,735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12,736</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(6,012)</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4,020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4,020</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5,097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5,097</w:t>
            </w:r>
          </w:p>
        </w:tc>
        <w:tc>
          <w:tcPr>
            <w:tcW w:w="0" w:type="dxa"/>
            <w:vAlign w:val="bottom"/>
          </w:tcPr>
          <w:p>
            <w:pPr>
              <w:spacing w:after="0"/>
              <w:rPr>
                <w:sz w:val="1"/>
                <w:szCs w:val="1"/>
                <w:color w:val="auto"/>
              </w:rPr>
            </w:pPr>
          </w:p>
        </w:tc>
      </w:tr>
      <w:tr>
        <w:trPr>
          <w:trHeight w:val="75"/>
        </w:trPr>
        <w:tc>
          <w:tcPr>
            <w:tcW w:w="34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gridSpan w:val="2"/>
            <w:vMerge w:val="continue"/>
          </w:tcPr>
          <w:p>
            <w:pPr>
              <w:spacing w:after="0"/>
              <w:rPr>
                <w:sz w:val="6"/>
                <w:szCs w:val="6"/>
                <w:color w:val="auto"/>
              </w:rPr>
            </w:pPr>
          </w:p>
        </w:tc>
        <w:tc>
          <w:tcPr>
            <w:tcW w:w="760" w:type="dxa"/>
            <w:vAlign w:val="bottom"/>
            <w:tcBorders>
              <w:bottom w:val="single" w:sz="8" w:color="auto"/>
            </w:tcBorders>
            <w:gridSpan w:val="2"/>
            <w:vMerge w:val="continue"/>
          </w:tcPr>
          <w:p>
            <w:pPr>
              <w:spacing w:after="0"/>
              <w:rPr>
                <w:sz w:val="6"/>
                <w:szCs w:val="6"/>
                <w:color w:val="auto"/>
              </w:rPr>
            </w:pPr>
          </w:p>
        </w:tc>
        <w:tc>
          <w:tcPr>
            <w:tcW w:w="900" w:type="dxa"/>
            <w:vAlign w:val="bottom"/>
            <w:tcBorders>
              <w:bottom w:val="single" w:sz="8" w:color="auto"/>
            </w:tcBorders>
            <w:gridSpan w:val="2"/>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5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86"/>
              </w:rPr>
              <w:t>405,896</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86"/>
              </w:rPr>
              <w:t>$ 159,997</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4"/>
              </w:rPr>
              <w:t>74,249,633</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89"/>
              </w:rPr>
              <w:t>$ 3,004,442</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(818,877)</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121,439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99"/>
              </w:rPr>
              <w:t>2,467,330</w:t>
            </w:r>
          </w:p>
        </w:tc>
        <w:tc>
          <w:tcPr>
            <w:tcW w:w="0" w:type="dxa"/>
            <w:vAlign w:val="bottom"/>
          </w:tcPr>
          <w:p>
            <w:pPr>
              <w:spacing w:after="0"/>
              <w:rPr>
                <w:sz w:val="1"/>
                <w:szCs w:val="1"/>
                <w:color w:val="auto"/>
              </w:rPr>
            </w:pPr>
          </w:p>
        </w:tc>
      </w:tr>
      <w:tr>
        <w:trPr>
          <w:trHeight w:val="95"/>
        </w:trPr>
        <w:tc>
          <w:tcPr>
            <w:tcW w:w="34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420" w:type="dxa"/>
            <w:vAlign w:val="bottom"/>
          </w:tcPr>
          <w:p>
            <w:pPr>
              <w:ind w:left="40"/>
              <w:spacing w:after="0"/>
              <w:rPr>
                <w:sz w:val="20"/>
                <w:szCs w:val="20"/>
                <w:color w:val="auto"/>
              </w:rPr>
            </w:pPr>
            <w:r>
              <w:rPr>
                <w:rFonts w:ascii="Arial" w:cs="Arial" w:eastAsia="Arial" w:hAnsi="Arial"/>
                <w:sz w:val="14"/>
                <w:szCs w:val="14"/>
                <w:color w:val="auto"/>
                <w:w w:val="90"/>
              </w:rPr>
              <w:t>January 1, 2019 adoption of new accounting standard - See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40"/>
              <w:spacing w:after="0"/>
              <w:rPr>
                <w:sz w:val="20"/>
                <w:szCs w:val="20"/>
                <w:color w:val="auto"/>
              </w:rPr>
            </w:pPr>
            <w:r>
              <w:rPr>
                <w:rFonts w:ascii="Arial" w:cs="Arial" w:eastAsia="Arial" w:hAnsi="Arial"/>
                <w:sz w:val="14"/>
                <w:szCs w:val="14"/>
                <w:color w:val="auto"/>
              </w:rPr>
              <w:t>Note 2</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(7,098)</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Net income, excluding $3,430 attributable to redeemable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353,866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357,112</w:t>
            </w:r>
          </w:p>
        </w:tc>
        <w:tc>
          <w:tcPr>
            <w:tcW w:w="0" w:type="dxa"/>
            <w:vAlign w:val="bottom"/>
          </w:tcPr>
          <w:p>
            <w:pPr>
              <w:spacing w:after="0"/>
              <w:rPr>
                <w:sz w:val="1"/>
                <w:szCs w:val="1"/>
                <w:color w:val="auto"/>
              </w:rPr>
            </w:pPr>
          </w:p>
        </w:tc>
      </w:tr>
      <w:tr>
        <w:trPr>
          <w:trHeight w:val="165"/>
        </w:trPr>
        <w:tc>
          <w:tcPr>
            <w:tcW w:w="3420" w:type="dxa"/>
            <w:vAlign w:val="bottom"/>
          </w:tcPr>
          <w:p>
            <w:pPr>
              <w:ind w:left="40"/>
              <w:spacing w:after="0"/>
              <w:rPr>
                <w:sz w:val="20"/>
                <w:szCs w:val="20"/>
                <w:color w:val="auto"/>
              </w:rPr>
            </w:pPr>
            <w:r>
              <w:rPr>
                <w:rFonts w:ascii="Arial" w:cs="Arial" w:eastAsia="Arial" w:hAnsi="Arial"/>
                <w:sz w:val="14"/>
                <w:szCs w:val="14"/>
                <w:color w:val="auto"/>
                <w:w w:val="91"/>
              </w:rPr>
              <w:t>Other comprehensive loss - change in value of interest rate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20" w:type="dxa"/>
            <w:vAlign w:val="bottom"/>
          </w:tcPr>
          <w:p>
            <w:pPr>
              <w:ind w:left="40"/>
              <w:spacing w:after="0"/>
              <w:rPr>
                <w:sz w:val="20"/>
                <w:szCs w:val="20"/>
                <w:color w:val="auto"/>
              </w:rPr>
            </w:pPr>
            <w:r>
              <w:rPr>
                <w:rFonts w:ascii="Arial" w:cs="Arial" w:eastAsia="Arial" w:hAnsi="Arial"/>
                <w:sz w:val="14"/>
                <w:szCs w:val="14"/>
                <w:color w:val="auto"/>
              </w:rPr>
              <w:t>swaps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common shareholders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(310,973)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(310,973)</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(8,042)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(8,042)</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declared to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(9,961)</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Common shares issued, net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1,069,740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142,705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142,716</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under dividend reinvestment plan</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15,909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2,095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2,095</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w w:val="99"/>
              </w:rPr>
              <w:t>Share-based compensation expense, net of forfeitures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111,555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13,329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color w:val="auto"/>
              </w:rPr>
              <w:t>13,330</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(4,626)</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Conversion and redemption of OP units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color w:val="auto"/>
              </w:rPr>
              <w:t>128,287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restart"/>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color w:val="auto"/>
              </w:rPr>
              <w:t>14,102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(14,176)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82"/>
        </w:trPr>
        <w:tc>
          <w:tcPr>
            <w:tcW w:w="34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rPr>
                <w:sz w:val="20"/>
                <w:szCs w:val="20"/>
                <w:color w:val="auto"/>
              </w:rPr>
            </w:pPr>
            <w:r>
              <w:rPr>
                <w:rFonts w:ascii="Arial" w:cs="Arial" w:eastAsia="Arial" w:hAnsi="Arial"/>
                <w:sz w:val="14"/>
                <w:szCs w:val="14"/>
                <w:color w:val="auto"/>
              </w:rPr>
              <w:t>Adjustment to redeemable noncontrolling interests</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(5,525)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(5,525)</w:t>
            </w:r>
          </w:p>
        </w:tc>
        <w:tc>
          <w:tcPr>
            <w:tcW w:w="0" w:type="dxa"/>
            <w:vAlign w:val="bottom"/>
          </w:tcPr>
          <w:p>
            <w:pPr>
              <w:spacing w:after="0"/>
              <w:rPr>
                <w:sz w:val="1"/>
                <w:szCs w:val="1"/>
                <w:color w:val="auto"/>
              </w:rPr>
            </w:pPr>
          </w:p>
        </w:tc>
      </w:tr>
      <w:tr>
        <w:trPr>
          <w:trHeight w:val="75"/>
        </w:trPr>
        <w:tc>
          <w:tcPr>
            <w:tcW w:w="342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gridSpan w:val="2"/>
            <w:vMerge w:val="continue"/>
          </w:tcPr>
          <w:p>
            <w:pPr>
              <w:spacing w:after="0"/>
              <w:rPr>
                <w:sz w:val="6"/>
                <w:szCs w:val="6"/>
                <w:color w:val="auto"/>
              </w:rPr>
            </w:pPr>
          </w:p>
        </w:tc>
        <w:tc>
          <w:tcPr>
            <w:tcW w:w="760" w:type="dxa"/>
            <w:vAlign w:val="bottom"/>
            <w:tcBorders>
              <w:bottom w:val="single" w:sz="8" w:color="auto"/>
            </w:tcBorders>
            <w:gridSpan w:val="2"/>
            <w:vMerge w:val="continue"/>
          </w:tcPr>
          <w:p>
            <w:pPr>
              <w:spacing w:after="0"/>
              <w:rPr>
                <w:sz w:val="6"/>
                <w:szCs w:val="6"/>
                <w:color w:val="auto"/>
              </w:rPr>
            </w:pPr>
          </w:p>
        </w:tc>
        <w:tc>
          <w:tcPr>
            <w:tcW w:w="900" w:type="dxa"/>
            <w:vAlign w:val="bottom"/>
            <w:tcBorders>
              <w:bottom w:val="single" w:sz="8" w:color="auto"/>
            </w:tcBorders>
            <w:gridSpan w:val="2"/>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2019</w:t>
            </w:r>
          </w:p>
        </w:tc>
        <w:tc>
          <w:tcPr>
            <w:tcW w:w="5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86"/>
              </w:rPr>
              <w:t>405,896</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159,997</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4"/>
              </w:rPr>
              <w:t>75,540,804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3,166,522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(791,124)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100,791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99"/>
              </w:rPr>
              <w:t>2,636,132</w:t>
            </w:r>
          </w:p>
        </w:tc>
        <w:tc>
          <w:tcPr>
            <w:tcW w:w="0" w:type="dxa"/>
            <w:vAlign w:val="bottom"/>
          </w:tcPr>
          <w:p>
            <w:pPr>
              <w:spacing w:after="0"/>
              <w:rPr>
                <w:sz w:val="1"/>
                <w:szCs w:val="1"/>
                <w:color w:val="auto"/>
              </w:rPr>
            </w:pPr>
          </w:p>
        </w:tc>
      </w:tr>
      <w:tr>
        <w:trPr>
          <w:trHeight w:val="89"/>
        </w:trPr>
        <w:tc>
          <w:tcPr>
            <w:tcW w:w="342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38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ectPr>
          <w:pgSz w:w="11900" w:h="16838" w:orient="portrait"/>
          <w:cols w:equalWidth="0" w:num="1">
            <w:col w:w="11420"/>
          </w:cols>
          <w:pgMar w:left="240" w:top="126" w:right="239" w:bottom="3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6" w:right="239" w:bottom="30" w:gutter="0" w:footer="0" w:header="0"/>
          <w:type w:val="continuous"/>
        </w:sectPr>
      </w:pPr>
    </w:p>
    <w:bookmarkStart w:id="63" w:name="page64"/>
    <w:bookmarkEnd w:id="63"/>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2017</w:t>
            </w:r>
          </w:p>
        </w:tc>
      </w:t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360,542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297,870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216,050</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Gain on sale of real estate,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(116,393)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(77,922)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12,273</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Loss from partnerships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new market tax credit transaction, net of deferred costs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(Increase) decrease in accounts receivable,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2,059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Increase in accounts payable and accrued expenses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14,242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security deposits and 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461,919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516,688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458,828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Acquisition of real estate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(204,516)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(437,772)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(441,984)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Capital expenditures - other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(76,952)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321,997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177,775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136,055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partnership formation</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37,998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Distribution from partnerships in excess of earnings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mortgage and other notes receivable,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(837,922)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(repayments) borrowings under revolving credit facility, including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399,913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572,134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(161,930)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 of mortgages, finance leases, and notes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(56,328)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143,027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130,918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118,583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Issuance of preferred shares, net of costs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144,991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(282,995)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Shares withheld for employee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(15,230)</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369,445</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Increase (decrease) in cash, cash equivalents, and restricted cash</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45,282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83,132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34,849</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153,614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108,332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25,200</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126" w:right="239" w:bottom="1440"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 2018 and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December 31, 2019, we owned or had a majority interest in community and neighborhood shopping centers and mixed-use properties which are operated as 104 predominantly retail real estate projects.</w:t>
      </w:r>
    </w:p>
    <w:p>
      <w:pPr>
        <w:spacing w:after="0" w:line="13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2018 and 2017 amounts have been reclassified to conform to current period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beginning January 1, 2019, with our adoption of Accounting Standards Codification (ASC) 842, "Leases"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leases with our tenants are classified as operating leases. When collection of substantially all lease payments during the lease term is considered probable, the lease qualifies for accrual accounting. Lease payments are recognized on a straight-line basis from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lease term requires judgment. This determination is impacted by numerous factors including our assessment of the tenant’s credit worthiness, economic conditions, our historical experience with the tenant and tenants operating in the same industry, and the length of the lease term. If leases currently classified as probable are subsequently reclassified as not probable, any outstanding lease receivables (including straight-line rent receivables) would be written-off with a corresponding decrease in rental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prior to January 1, 2019</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Prior to January 1, 2019, management estimates of collectability were considered when reserving for billed and accrued lease receivables and straight-line rent receivables. Full and partial reserves were recorded when determined to be appropriate with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26" w:right="25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corresponding charge to bad debt expense. The primary impact of the adoption of ASC 842, “Leases,” on our recognition of lease revenue relates to the upfront and ongoing assessment of the collectability of substantially all lease payments required by the new standard.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 recognition policies</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2018, we completed construction on 221 condominium units at our Assembly Row and Pike &amp; Rose properties. Beginning on January 1, 2018, with the adoption of ASU 2014-09, "Revenue from Contracts with Customers," gains or losses on the sale of these condominium units are recognized as the condominium units are legally sold. In 2017, we accounted for contracted condominium sales under the percentage-of completion method, based on an evaluation of the criteria specified in ASC Topic 360-20, “Property, Plant and Equipment – Real Estate Sales,” including: the legal commitment of the purchaser in the real estate contract, whether the construction of the project was beyond a preliminary phase, whether sufficient units had been contracted to ensure the project would not revert to a rental project, the ability to reasonably estimate the aggregate project sale proceeds and aggregate project costs, and the determination that the buyer had made an adequate initial and continuing cash investment under the contract. When the percentage-of-completion criteria had not been met, no profit was recognized. The application of these criteria can be complex and required us to make assumptions.</w:t>
      </w:r>
    </w:p>
    <w:p>
      <w:pPr>
        <w:spacing w:after="0" w:line="11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When we enter into a transaction to sell a property or a portion of a property, we evaluate the recognition of the sale under ASC 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2019, 2018 and 2017, real estate depreciation expense was $215.4 million, $216.0 million and $193.3 million, respectively, including amounts from real estate sold.</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January 1, 2018, (upon the adoption of ASU 2014-09, "Revenue from Contracts with Customers," as amended and interpreted) sales of real estate are recognized generally upon the transfer of control, which usually occurs when the real estate is legally sold. Prior to January 1, 2018, sales of real estate were recognized only when sufficient down payments had been obtained, possession and other attributes of ownership had been transferred to the buyer and we had no significant continuing involvement. The application of these criteria can be complex and required us to make assumptions. We believe the relevant criteria were met for all real estate sold during the periods presented.</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in-place leases, assumed debt, if any, and to current assets and liabilities acquired, if any. The value allocated to in-place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6" w:right="25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Prior to the adoption of ASU 2016-02, "Leases," 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Subsequently, capital leases are now considered "finance leases," see "Recent Accounting Pronouncements," for an explanation of the impact to our consolidated balance sheet.</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capitalize certain costs related to the development and redevelopment of real estate including pre-construction costs, real estate taxes, insurance, construction costs and salaries and related costs of personnel directly involved, are capitalized.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12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2019, we had $131.5 million in excess of the FDIC insured limit.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94"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Prepaid expenses and other assets consist primarily of lease costs, prepaid property taxes and acquired above market leases. Capitalized lease costs are incremental direct costs incurred which were essential to originate a successful leasing arrangement and would not have been incurred had the leasing transaction not taken place. Capitalized lease costs are amortized over the life of the related lease. If a tenant vacates its space prior to the contractual termination of its lease, the unamortized balance of any previously capitalized lease costs are written off.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Debt issuance costs related to our revolving credit facility are classified as an asset and are included in "prepaid expenses and other assets" in our consolidated balance sheets. All other debt issuance costs are presented as a direct deduction from the carrying amount of the debt liability.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LIBOR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During 2019, we entered into two interest rate swap agreements that effectively fix the interest rate on a mortgage payable associated with our Hoboken acquisition at 3.67%. Both swaps were designated and qualify for cash flow hedge accounting. As of December 31, 2019, our Assembly Row hotel joint venture is a party to two interest rate swap agreements that effectively fix the interest rate on the joint venture's mortgage debt at 5.206%. Both swaps were designated and qualify as cash flow hedges. Hedge ineffectiveness has not impacted earnings in 2019, 2018 and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Notes Receivable</w:t>
      </w:r>
    </w:p>
    <w:p>
      <w:pPr>
        <w:spacing w:after="0" w:line="9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have made certain mortgage loans that, because of their nature, qualify as loan receivables. At the time the loans were made,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2019 and 2018.</w:t>
      </w:r>
    </w:p>
    <w:p>
      <w:pPr>
        <w:spacing w:after="0" w:line="12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Mortgage notes receivable are recorded at cost, net of any valuation adjustments. Interest income is accrued as earned. Mortgage notes receivable are considered past due based on the contractual terms of the note agreement. On a quarterly basis, we evaluate the collectability of each mortgage note receivable based on various factors which may include payment history, expected fair value of the collateral securing the loan, internal and external credit information and/or economic trends. A loan is considered impaired when, based upon current information and events,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Since our loans are collateralized by a first mortgage, the loans have risk characteristics similar to the risks in owning commercial real estate.</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December 31, 2019 and 2018, we had two mortgage notes receivable, with aggregate carrying amounts of $30.4 million, and weighted average interest rates of 10.0% and 10.3%, respectively, which were secured by first mortgages on retail buildings.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for further discussion regarding our share based compensation plans and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equity method investments in the Pike &amp; Rose hotel joint venture, the Assembly Row hotel joint venture, and the La Alameda shopping center are also considered variable interests in a VIE. As we do not control the activities that most significantly impact the economic performance of the joint ventures, we are not the primary beneficiary and do not consolidate. As of December 31, 2019 and 2018, our investment in these joint ventures and maximum exposure to loss was $23.4 million and $26.9 million, respectively.</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we have 18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related to VIEs included in our consolidated balance sheets were approximately $1.5 billion for both December 31, 2019 and 2018, and mortgages related to VIEs included in our consolidated balance sheets were approximately $469.2 million and $444.4 million, as of December 31, 2019 and 2018,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have also evaluated our mortgage notes receivable investments and determined that the entities obligated under the mortgage notes are not VIEs. Our equity method investments and mortgage notes receivable balances are presented separately in our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redeemable noncontrolling interests: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6"/>
                <w:szCs w:val="16"/>
                <w:color w:val="auto"/>
              </w:rPr>
            </w:pP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24"/>
                <w:szCs w:val="24"/>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57"/>
              <w:spacing w:after="0"/>
              <w:rPr>
                <w:sz w:val="20"/>
                <w:szCs w:val="20"/>
                <w:color w:val="auto"/>
              </w:rPr>
            </w:pPr>
            <w:r>
              <w:rPr>
                <w:rFonts w:ascii="Arial" w:cs="Arial" w:eastAsia="Arial" w:hAnsi="Arial"/>
                <w:sz w:val="14"/>
                <w:szCs w:val="14"/>
                <w:color w:val="auto"/>
                <w:w w:val="93"/>
              </w:rPr>
              <w:t>(In thousands)</w:t>
            </w:r>
          </w:p>
        </w:tc>
        <w:tc>
          <w:tcPr>
            <w:tcW w:w="82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136,208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141,157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Contributions</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354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Distributions &amp; Redemptions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redemption value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139,758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136,208</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On August 2, 2019, we acquired the 10.1% redeemable noncontrolling interest in the partnership that owns our Montrose Crossing Shopping Center for $10.0 million, bringing our ownership interest to 100%.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With few exceptions, we are no longer subject to U.S. federal, state, and local tax examinations by tax authorities for years before 2016. As of December 31, 2019 and 2018, we had no material unrecognized tax benefits. While we currently have no material unrecognized tax benefits, as a policy, we recognize penalties and interest accrued related to unrecognized tax benefits as income tax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w:t>
      </w:r>
    </w:p>
    <w:p>
      <w:pPr>
        <w:ind w:right="20"/>
        <w:spacing w:after="0" w:line="254" w:lineRule="auto"/>
        <w:rPr>
          <w:sz w:val="20"/>
          <w:szCs w:val="20"/>
          <w:color w:val="auto"/>
        </w:rPr>
      </w:pPr>
      <w:r>
        <w:rPr>
          <w:rFonts w:ascii="Arial" w:cs="Arial" w:eastAsia="Arial" w:hAnsi="Arial"/>
          <w:sz w:val="18"/>
          <w:szCs w:val="18"/>
          <w:color w:val="auto"/>
        </w:rPr>
        <w:t>No individual commercial or residential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of</w:t>
            </w: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b w:val="1"/>
                <w:bCs w:val="1"/>
                <w:color w:val="auto"/>
              </w:rPr>
              <w:t>Standard</w:t>
            </w:r>
          </w:p>
        </w:tc>
        <w:tc>
          <w:tcPr>
            <w:tcW w:w="388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Adoption</w:t>
            </w:r>
          </w:p>
        </w:tc>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Effect on the financial statements or significant matters</w:t>
            </w:r>
          </w:p>
        </w:tc>
        <w:tc>
          <w:tcPr>
            <w:tcW w:w="0" w:type="dxa"/>
            <w:vAlign w:val="bottom"/>
          </w:tcPr>
          <w:p>
            <w:pPr>
              <w:spacing w:after="0"/>
              <w:rPr>
                <w:sz w:val="1"/>
                <w:szCs w:val="1"/>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Recently adopted:</w:t>
            </w: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w w:val="96"/>
              </w:rPr>
              <w:t>Leases (Topic 842) and related</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6"/>
              </w:rPr>
              <w:t>ASC 842 significantly changes the accounting for leases</w:t>
            </w:r>
          </w:p>
        </w:tc>
        <w:tc>
          <w:tcPr>
            <w:tcW w:w="1000" w:type="dxa"/>
            <w:vAlign w:val="bottom"/>
            <w:gridSpan w:val="2"/>
          </w:tcPr>
          <w:p>
            <w:pPr>
              <w:ind w:left="20"/>
              <w:spacing w:after="0"/>
              <w:rPr>
                <w:sz w:val="20"/>
                <w:szCs w:val="20"/>
                <w:color w:val="auto"/>
              </w:rPr>
            </w:pPr>
            <w:r>
              <w:rPr>
                <w:rFonts w:ascii="Arial" w:cs="Arial" w:eastAsia="Arial" w:hAnsi="Arial"/>
                <w:sz w:val="16"/>
                <w:szCs w:val="16"/>
                <w:color w:val="auto"/>
              </w:rPr>
              <w:t>January</w:t>
            </w:r>
          </w:p>
        </w:tc>
        <w:tc>
          <w:tcPr>
            <w:tcW w:w="4340" w:type="dxa"/>
            <w:vAlign w:val="bottom"/>
          </w:tcPr>
          <w:p>
            <w:pPr>
              <w:ind w:left="40"/>
              <w:spacing w:after="0"/>
              <w:rPr>
                <w:sz w:val="20"/>
                <w:szCs w:val="20"/>
                <w:color w:val="auto"/>
              </w:rPr>
            </w:pPr>
            <w:r>
              <w:rPr>
                <w:rFonts w:ascii="Arial" w:cs="Arial" w:eastAsia="Arial" w:hAnsi="Arial"/>
                <w:sz w:val="16"/>
                <w:szCs w:val="16"/>
                <w:color w:val="auto"/>
                <w:w w:val="94"/>
              </w:rPr>
              <w:t>We have elected to apply the transition provisions of ASC Topic</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updates:</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5"/>
              </w:rPr>
              <w:t>by requiring lessees to recognize assets and liabilities for</w:t>
            </w:r>
          </w:p>
        </w:tc>
        <w:tc>
          <w:tcPr>
            <w:tcW w:w="90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7"/>
              </w:rPr>
              <w:t>842 at the beginning of the period of adoption (i.e., January 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2"/>
              </w:rPr>
              <w:t>leases greater than 12 months on their balance sheet. The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5"/>
              </w:rPr>
              <w:t>2019), and therefore, did not retrospectively adjust prior periods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ASU 2016-02,</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7"/>
              </w:rPr>
              <w:t>larger changes to the lessor model include: a change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2"/>
              </w:rPr>
              <w:t>presented. We have also elected to apply certain adoption related</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February 2016,</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8"/>
              </w:rPr>
              <w:t>the definition of initial direct costs of leases (resulting in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7"/>
              </w:rPr>
              <w:t>practical expedients for all leases that commenced prior to the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Leases (Topic 842)</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6"/>
              </w:rPr>
              <w:t>the upfront expensing of more leasing related costs), the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1"/>
              </w:rPr>
              <w:t>effective date. These practical expedients include not reassessing</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4"/>
              </w:rPr>
              <w:t>requirement to make an upfront and ongoing assessment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5"/>
              </w:rPr>
              <w:t>whether any expired or existing contracts are or contain leases;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ASU 2018-10, July</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rPr>
              <w:t>of whether collection of substantially all of the lease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2"/>
              </w:rPr>
              <w:t>not reassessing the lease classification for any expired or existing</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2018, Codification</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8"/>
              </w:rPr>
              <w:t>payments required for the term of the lease is probable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8"/>
              </w:rPr>
              <w:t>leases; and not reassessing initial direct costs for any existing</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improvements to</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6"/>
              </w:rPr>
              <w:t>(if not probable, lease revenue is effectively recongnized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8"/>
              </w:rPr>
              <w:t>leases. We have also elected the practical expedient allowing</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ind w:left="80"/>
              <w:spacing w:after="0"/>
              <w:rPr>
                <w:sz w:val="20"/>
                <w:szCs w:val="20"/>
                <w:color w:val="auto"/>
              </w:rPr>
            </w:pPr>
            <w:r>
              <w:rPr>
                <w:rFonts w:ascii="Arial" w:cs="Arial" w:eastAsia="Arial" w:hAnsi="Arial"/>
                <w:sz w:val="16"/>
                <w:szCs w:val="16"/>
                <w:color w:val="auto"/>
              </w:rPr>
              <w:t>Topic 842, Leases</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9"/>
              </w:rPr>
              <w:t>when cash is collected), certain presentation changes,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6"/>
              </w:rPr>
              <w:t>lessors to combine non-lease and lease components (primarily</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60" w:type="dxa"/>
            <w:vAlign w:val="bottom"/>
            <w:gridSpan w:val="3"/>
            <w:vMerge w:val="restart"/>
          </w:tcPr>
          <w:p>
            <w:pPr>
              <w:spacing w:after="0"/>
              <w:rPr>
                <w:sz w:val="20"/>
                <w:szCs w:val="20"/>
                <w:color w:val="auto"/>
              </w:rPr>
            </w:pPr>
            <w:r>
              <w:rPr>
                <w:rFonts w:ascii="Arial" w:cs="Arial" w:eastAsia="Arial" w:hAnsi="Arial"/>
                <w:sz w:val="16"/>
                <w:szCs w:val="16"/>
                <w:color w:val="auto"/>
              </w:rPr>
              <w:t>ASU 2018-11, July</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rPr>
              <w:t>and the elimination of real estate specific guidance.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impacts common area maintenance recoveries).</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160" w:type="dxa"/>
            <w:vAlign w:val="bottom"/>
            <w:gridSpan w:val="3"/>
            <w:vMerge w:val="continue"/>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2018, Leases (Topic</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7"/>
              </w:rPr>
              <w:t>ASU 2018-10, ASU 2018-20, and ASU 2019-01 provide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8"/>
              </w:rPr>
              <w:t>From a lessee perspective, the primary impact of adoption on</w:t>
            </w:r>
          </w:p>
        </w:tc>
        <w:tc>
          <w:tcPr>
            <w:tcW w:w="0" w:type="dxa"/>
            <w:vAlign w:val="bottom"/>
          </w:tcPr>
          <w:p>
            <w:pPr>
              <w:spacing w:after="0"/>
              <w:rPr>
                <w:sz w:val="1"/>
                <w:szCs w:val="1"/>
                <w:color w:val="auto"/>
              </w:rPr>
            </w:pPr>
          </w:p>
        </w:tc>
      </w:tr>
      <w:tr>
        <w:trPr>
          <w:trHeight w:val="203"/>
        </w:trPr>
        <w:tc>
          <w:tcPr>
            <w:tcW w:w="1220" w:type="dxa"/>
            <w:vAlign w:val="bottom"/>
            <w:gridSpan w:val="2"/>
          </w:tcPr>
          <w:p>
            <w:pPr>
              <w:ind w:left="40"/>
              <w:spacing w:after="0"/>
              <w:rPr>
                <w:sz w:val="20"/>
                <w:szCs w:val="20"/>
                <w:color w:val="auto"/>
              </w:rPr>
            </w:pPr>
            <w:r>
              <w:rPr>
                <w:rFonts w:ascii="Arial" w:cs="Arial" w:eastAsia="Arial" w:hAnsi="Arial"/>
                <w:sz w:val="16"/>
                <w:szCs w:val="16"/>
                <w:color w:val="auto"/>
              </w:rPr>
              <w:t>842)</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Arial" w:cs="Arial" w:eastAsia="Arial" w:hAnsi="Arial"/>
                <w:sz w:val="16"/>
                <w:szCs w:val="16"/>
                <w:color w:val="auto"/>
              </w:rPr>
              <w:t>narrow amendments that clarify how to apply certain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January 1, 2019 was to record a lease obligation liability and</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8"/>
              </w:rPr>
              <w:t>aspects of the guidance in ASU 2016-02. ASU 2018-11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5"/>
              </w:rPr>
              <w:t>right of use asset for operating leases where we are the lessee.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ASU 2018-20,</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rPr>
              <w:t>provides the option of an additional transition method,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3"/>
              </w:rPr>
              <w:t>The most significant of these operating leases are ground leases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December 2018,</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rPr>
              <w:t>by allowing entities to initially apply the new leases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at 14 properties. The operating lease right of use assets and</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Leases (Topic 842)</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rPr>
              <w:t>standard at the adoption date and recognize a</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related liabilities are shown separately on the face of our</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Narrow Scope</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9"/>
              </w:rPr>
              <w:t>cumulative-effect adjustment to the opening balance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6"/>
              </w:rPr>
              <w:t>consolidated balance sheet and reflect the present value of the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Improvements for</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rPr>
              <w:t>retained earnings in the period of adoption. It also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8"/>
              </w:rPr>
              <w:t>minimum lease payments. A key input in the calculation is the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auto"/>
              </w:rPr>
              <w:t>Lessors</w:t>
            </w:r>
          </w:p>
        </w:tc>
        <w:tc>
          <w:tcPr>
            <w:tcW w:w="3880" w:type="dxa"/>
            <w:vAlign w:val="bottom"/>
            <w:gridSpan w:val="2"/>
          </w:tcPr>
          <w:p>
            <w:pPr>
              <w:ind w:left="20"/>
              <w:spacing w:after="0"/>
              <w:rPr>
                <w:sz w:val="20"/>
                <w:szCs w:val="20"/>
                <w:color w:val="auto"/>
              </w:rPr>
            </w:pPr>
            <w:r>
              <w:rPr>
                <w:rFonts w:ascii="Arial" w:cs="Arial" w:eastAsia="Arial" w:hAnsi="Arial"/>
                <w:sz w:val="16"/>
                <w:szCs w:val="16"/>
                <w:color w:val="auto"/>
                <w:w w:val="94"/>
              </w:rPr>
              <w:t>provides lessors an option to not separate lease and non-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4"/>
              </w:rPr>
              <w:t>discount rate. As the rate implied in the lease agreements is not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
          </w:tcPr>
          <w:p>
            <w:pPr>
              <w:ind w:left="20"/>
              <w:spacing w:after="0"/>
              <w:rPr>
                <w:sz w:val="20"/>
                <w:szCs w:val="20"/>
                <w:color w:val="auto"/>
              </w:rPr>
            </w:pPr>
            <w:r>
              <w:rPr>
                <w:rFonts w:ascii="Arial" w:cs="Arial" w:eastAsia="Arial" w:hAnsi="Arial"/>
                <w:sz w:val="16"/>
                <w:szCs w:val="16"/>
                <w:color w:val="auto"/>
              </w:rPr>
              <w:t>lease components when certain criteria are met.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4"/>
              </w:rPr>
              <w:t>readily determinable, we utilized our incremental borrowing rate,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ind w:left="60"/>
              <w:spacing w:after="0"/>
              <w:rPr>
                <w:sz w:val="20"/>
                <w:szCs w:val="20"/>
                <w:color w:val="auto"/>
              </w:rPr>
            </w:pPr>
            <w:r>
              <w:rPr>
                <w:rFonts w:ascii="Arial" w:cs="Arial" w:eastAsia="Arial" w:hAnsi="Arial"/>
                <w:sz w:val="16"/>
                <w:szCs w:val="16"/>
                <w:color w:val="auto"/>
              </w:rPr>
              <w:t>ASU 2019-01,</w:t>
            </w: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6"/>
              </w:rPr>
              <w:t>which takes into account estimates including interest rates that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ind w:left="80"/>
              <w:spacing w:after="0"/>
              <w:rPr>
                <w:sz w:val="20"/>
                <w:szCs w:val="20"/>
                <w:color w:val="auto"/>
              </w:rPr>
            </w:pPr>
            <w:r>
              <w:rPr>
                <w:rFonts w:ascii="Arial" w:cs="Arial" w:eastAsia="Arial" w:hAnsi="Arial"/>
                <w:sz w:val="16"/>
                <w:szCs w:val="16"/>
                <w:color w:val="auto"/>
              </w:rPr>
              <w:t>March 2019, Leases</w:t>
            </w: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3"/>
              </w:rPr>
              <w:t>correspond to the remaining term of the lease, our credit spread,</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ind w:left="80"/>
              <w:spacing w:after="0"/>
              <w:rPr>
                <w:sz w:val="20"/>
                <w:szCs w:val="20"/>
                <w:color w:val="auto"/>
              </w:rPr>
            </w:pPr>
            <w:r>
              <w:rPr>
                <w:rFonts w:ascii="Arial" w:cs="Arial" w:eastAsia="Arial" w:hAnsi="Arial"/>
                <w:sz w:val="16"/>
                <w:szCs w:val="16"/>
                <w:color w:val="auto"/>
              </w:rPr>
              <w:t>(Topic 842),</w:t>
            </w: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9"/>
              </w:rPr>
              <w:t>and an adjustment to reflect the collateralized payment terms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ind w:left="80"/>
              <w:spacing w:after="0"/>
              <w:rPr>
                <w:sz w:val="20"/>
                <w:szCs w:val="20"/>
                <w:color w:val="auto"/>
              </w:rPr>
            </w:pPr>
            <w:r>
              <w:rPr>
                <w:rFonts w:ascii="Arial" w:cs="Arial" w:eastAsia="Arial" w:hAnsi="Arial"/>
                <w:sz w:val="16"/>
                <w:szCs w:val="16"/>
                <w:color w:val="auto"/>
              </w:rPr>
              <w:t>Codification</w:t>
            </w: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1"/>
              </w:rPr>
              <w:t>present in the lease. Additionally, amounts previously recorded as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60" w:type="dxa"/>
            <w:vAlign w:val="bottom"/>
            <w:gridSpan w:val="3"/>
          </w:tcPr>
          <w:p>
            <w:pPr>
              <w:ind w:left="80"/>
              <w:spacing w:after="0"/>
              <w:rPr>
                <w:sz w:val="20"/>
                <w:szCs w:val="20"/>
                <w:color w:val="auto"/>
              </w:rPr>
            </w:pPr>
            <w:r>
              <w:rPr>
                <w:rFonts w:ascii="Arial" w:cs="Arial" w:eastAsia="Arial" w:hAnsi="Arial"/>
                <w:sz w:val="16"/>
                <w:szCs w:val="16"/>
                <w:color w:val="auto"/>
              </w:rPr>
              <w:t>Improvements</w:t>
            </w: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capital lease assets and included in real estate have been</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5"/>
              </w:rPr>
              <w:t>reclassified in the December 31, 2019 balance sheet as finance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3"/>
              </w:rPr>
              <w:t>lease right of use assets and the related capital lease obligations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0"/>
              </w:rPr>
              <w:t>have been reclassified in the December 31, 2019 balance sheet as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9"/>
              </w:rPr>
              <w:t>finance lease liabilities. Income statement presentation is not</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impacted for our existing operating and finance leases.</w:t>
            </w: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From a lessor perspective, adoption of ASC 842 results in a</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1"/>
              </w:rPr>
              <w:t>charge to opening accumulated dividends in excess of net income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of $7.1 million. This charge is attributable to the write off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7"/>
              </w:rPr>
              <w:t>certain direct leasing costs recorded as of December 31, 2018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5"/>
              </w:rPr>
              <w:t>under the previous lease accounting rules for leases which had</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not commenced and the write off of December 31, 2018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7"/>
              </w:rPr>
              <w:t>unreserved receivables (including straight-line receivables) for</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leases where we have determined that the collection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2"/>
              </w:rPr>
              <w:t>substantially all of the lease payments required for the term of the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7"/>
              </w:rPr>
              <w:t>lease is not probable. Income statement presentation changes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7"/>
              </w:rPr>
              <w:t>incorporated into our December 31, 2019 financial statements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4"/>
              </w:rPr>
              <w:t>include: no longer recording a gross up of revenue and expense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0"/>
              </w:rPr>
              <w:t>for costs (such as real estate taxes) paid directly by lessees on our</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6"/>
              </w:rPr>
              <w:t>behalf and recording collectability adjustments against revenue</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rather than as bad debt within rental expenses.</w:t>
            </w: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4"/>
              </w:rPr>
              <w:t>As a result of the change in the definition of initial direct costs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3"/>
              </w:rPr>
              <w:t>leases, capitalized leasing costs excluding external commissions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w w:val="93"/>
              </w:rPr>
              <w:t>decreased to $2.2 million for the year ended December 31, 2019</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Arial" w:cs="Arial" w:eastAsia="Arial" w:hAnsi="Arial"/>
                <w:sz w:val="16"/>
                <w:szCs w:val="16"/>
                <w:color w:val="auto"/>
              </w:rPr>
              <w:t>from $7.5 million for the year ended December 31,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126"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84"/>
        </w:trPr>
        <w:tc>
          <w:tcPr>
            <w:tcW w:w="1220" w:type="dxa"/>
            <w:vAlign w:val="bottom"/>
            <w:tcBorders>
              <w:bottom w:val="single" w:sz="8" w:color="0000EE"/>
            </w:tcBorders>
          </w:tcPr>
          <w:p>
            <w:pPr>
              <w:spacing w:after="0"/>
              <w:rPr>
                <w:rFonts w:ascii="Arial" w:cs="Arial" w:eastAsia="Arial" w:hAnsi="Arial"/>
                <w:sz w:val="16"/>
                <w:szCs w:val="16"/>
                <w:b w:val="1"/>
                <w:bCs w:val="1"/>
                <w:color w:val="0000EE"/>
                <w:w w:val="88"/>
              </w:rPr>
            </w:pPr>
            <w:hyperlink w:anchor="page57">
              <w:r>
                <w:rPr>
                  <w:rFonts w:ascii="Arial" w:cs="Arial" w:eastAsia="Arial" w:hAnsi="Arial"/>
                  <w:sz w:val="16"/>
                  <w:szCs w:val="16"/>
                  <w:b w:val="1"/>
                  <w:bCs w:val="1"/>
                  <w:color w:val="0000EE"/>
                  <w:w w:val="88"/>
                </w:rPr>
                <w:t>Table of Contents</w:t>
              </w:r>
            </w:hyperlink>
          </w:p>
        </w:tc>
        <w:tc>
          <w:tcPr>
            <w:tcW w:w="3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817"/>
        </w:trPr>
        <w:tc>
          <w:tcPr>
            <w:tcW w:w="1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60" w:type="dxa"/>
            <w:vAlign w:val="bottom"/>
          </w:tcPr>
          <w:p>
            <w:pPr>
              <w:ind w:left="1540"/>
              <w:spacing w:after="0"/>
              <w:rPr>
                <w:sz w:val="20"/>
                <w:szCs w:val="20"/>
                <w:color w:val="auto"/>
              </w:rPr>
            </w:pPr>
            <w:r>
              <w:rPr>
                <w:rFonts w:ascii="Arial" w:cs="Arial" w:eastAsia="Arial" w:hAnsi="Arial"/>
                <w:sz w:val="16"/>
                <w:szCs w:val="16"/>
                <w:b w:val="1"/>
                <w:bCs w:val="1"/>
                <w:color w:val="auto"/>
              </w:rPr>
              <w:t>Date of</w:t>
            </w:r>
          </w:p>
        </w:tc>
        <w:tc>
          <w:tcPr>
            <w:tcW w:w="4020" w:type="dxa"/>
            <w:vAlign w:val="bottom"/>
          </w:tcPr>
          <w:p>
            <w:pPr>
              <w:spacing w:after="0"/>
              <w:rPr>
                <w:sz w:val="24"/>
                <w:szCs w:val="24"/>
                <w:color w:val="auto"/>
              </w:rPr>
            </w:pPr>
          </w:p>
        </w:tc>
      </w:tr>
      <w:tr>
        <w:trPr>
          <w:trHeight w:val="210"/>
        </w:trPr>
        <w:tc>
          <w:tcPr>
            <w:tcW w:w="1220" w:type="dxa"/>
            <w:vAlign w:val="bottom"/>
          </w:tcPr>
          <w:p>
            <w:pPr>
              <w:ind w:left="40"/>
              <w:spacing w:after="0"/>
              <w:rPr>
                <w:sz w:val="20"/>
                <w:szCs w:val="20"/>
                <w:color w:val="auto"/>
              </w:rPr>
            </w:pPr>
            <w:r>
              <w:rPr>
                <w:rFonts w:ascii="Arial" w:cs="Arial" w:eastAsia="Arial" w:hAnsi="Arial"/>
                <w:sz w:val="16"/>
                <w:szCs w:val="16"/>
                <w:b w:val="1"/>
                <w:bCs w:val="1"/>
                <w:color w:val="auto"/>
              </w:rPr>
              <w:t>Standard</w:t>
            </w:r>
          </w:p>
        </w:tc>
        <w:tc>
          <w:tcPr>
            <w:tcW w:w="3340" w:type="dxa"/>
            <w:vAlign w:val="bottom"/>
          </w:tcPr>
          <w:p>
            <w:pPr>
              <w:ind w:left="1000"/>
              <w:spacing w:after="0"/>
              <w:rPr>
                <w:sz w:val="20"/>
                <w:szCs w:val="20"/>
                <w:color w:val="auto"/>
              </w:rPr>
            </w:pPr>
            <w:r>
              <w:rPr>
                <w:rFonts w:ascii="Arial" w:cs="Arial" w:eastAsia="Arial" w:hAnsi="Arial"/>
                <w:sz w:val="16"/>
                <w:szCs w:val="16"/>
                <w:b w:val="1"/>
                <w:bCs w:val="1"/>
                <w:color w:val="auto"/>
              </w:rPr>
              <w:t>Description</w:t>
            </w:r>
          </w:p>
        </w:tc>
        <w:tc>
          <w:tcPr>
            <w:tcW w:w="2360" w:type="dxa"/>
            <w:vAlign w:val="bottom"/>
          </w:tcPr>
          <w:p>
            <w:pPr>
              <w:ind w:left="1540"/>
              <w:spacing w:after="0"/>
              <w:rPr>
                <w:sz w:val="20"/>
                <w:szCs w:val="20"/>
                <w:color w:val="auto"/>
              </w:rPr>
            </w:pPr>
            <w:r>
              <w:rPr>
                <w:rFonts w:ascii="Arial" w:cs="Arial" w:eastAsia="Arial" w:hAnsi="Arial"/>
                <w:sz w:val="16"/>
                <w:szCs w:val="16"/>
                <w:b w:val="1"/>
                <w:bCs w:val="1"/>
                <w:color w:val="auto"/>
              </w:rPr>
              <w:t>Adoption</w:t>
            </w:r>
          </w:p>
        </w:tc>
        <w:tc>
          <w:tcPr>
            <w:tcW w:w="4020" w:type="dxa"/>
            <w:vAlign w:val="bottom"/>
          </w:tcPr>
          <w:p>
            <w:pPr>
              <w:ind w:left="200"/>
              <w:spacing w:after="0"/>
              <w:rPr>
                <w:sz w:val="20"/>
                <w:szCs w:val="20"/>
                <w:color w:val="auto"/>
              </w:rPr>
            </w:pPr>
            <w:r>
              <w:rPr>
                <w:rFonts w:ascii="Arial" w:cs="Arial" w:eastAsia="Arial" w:hAnsi="Arial"/>
                <w:sz w:val="16"/>
                <w:szCs w:val="16"/>
                <w:b w:val="1"/>
                <w:bCs w:val="1"/>
                <w:color w:val="auto"/>
                <w:w w:val="89"/>
              </w:rPr>
              <w:t>Effect on the financial statements or significant 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u w:val="single" w:color="auto"/>
          <w:color w:val="auto"/>
        </w:rPr>
        <w:t>Adopted subsequent to December 31, 2019:</w:t>
      </w:r>
    </w:p>
    <w:p>
      <w:pPr>
        <w:sectPr>
          <w:pgSz w:w="11900" w:h="16838" w:orient="portrait"/>
          <w:cols w:equalWidth="0" w:num="1">
            <w:col w:w="11380"/>
          </w:cols>
          <w:pgMar w:left="240" w:top="118" w:right="279" w:bottom="1440" w:gutter="0" w:footer="0" w:header="0"/>
        </w:sectPr>
      </w:pPr>
    </w:p>
    <w:p>
      <w:pPr>
        <w:spacing w:after="0" w:line="73" w:lineRule="exact"/>
        <w:rPr>
          <w:sz w:val="20"/>
          <w:szCs w:val="20"/>
          <w:color w:val="auto"/>
        </w:rPr>
      </w:pPr>
    </w:p>
    <w:p>
      <w:pPr>
        <w:jc w:val="both"/>
        <w:ind w:left="40"/>
        <w:spacing w:after="0" w:line="278" w:lineRule="auto"/>
        <w:rPr>
          <w:sz w:val="20"/>
          <w:szCs w:val="20"/>
          <w:color w:val="auto"/>
        </w:rPr>
      </w:pPr>
      <w:r>
        <w:rPr>
          <w:rFonts w:ascii="Arial" w:cs="Arial" w:eastAsia="Arial" w:hAnsi="Arial"/>
          <w:sz w:val="16"/>
          <w:szCs w:val="16"/>
          <w:color w:val="auto"/>
        </w:rPr>
        <w:t>Financial Instruments - Credit Losses (Topic 326) and related updates: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ASU 2016-13, June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2016, </w:t>
      </w:r>
      <w:r>
        <w:rPr>
          <w:rFonts w:ascii="Arial" w:cs="Arial" w:eastAsia="Arial" w:hAnsi="Arial"/>
          <w:sz w:val="16"/>
          <w:szCs w:val="16"/>
          <w:i w:val="1"/>
          <w:iCs w:val="1"/>
          <w:color w:val="auto"/>
        </w:rPr>
        <w:t>Financial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Instruments - Credit</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Losses (Topic 326)</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ASU 2018-19,</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November 2018,</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Codification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improvements to</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Topic 326,</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Financial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Instruments - Credit</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Losses</w:t>
      </w:r>
    </w:p>
    <w:p>
      <w:pPr>
        <w:spacing w:after="0" w:line="190" w:lineRule="exact"/>
        <w:rPr>
          <w:sz w:val="20"/>
          <w:szCs w:val="20"/>
          <w:color w:val="auto"/>
        </w:rPr>
      </w:pPr>
    </w:p>
    <w:p>
      <w:pPr>
        <w:ind w:left="40" w:right="60"/>
        <w:spacing w:after="0" w:line="288" w:lineRule="auto"/>
        <w:rPr>
          <w:sz w:val="20"/>
          <w:szCs w:val="20"/>
          <w:color w:val="auto"/>
        </w:rPr>
      </w:pPr>
      <w:r>
        <w:rPr>
          <w:rFonts w:ascii="Arial" w:cs="Arial" w:eastAsia="Arial" w:hAnsi="Arial"/>
          <w:sz w:val="15"/>
          <w:szCs w:val="15"/>
          <w:color w:val="auto"/>
        </w:rPr>
        <w:t xml:space="preserve">ASU 2018-15, August 2018, </w:t>
      </w:r>
      <w:r>
        <w:rPr>
          <w:rFonts w:ascii="Arial" w:cs="Arial" w:eastAsia="Arial" w:hAnsi="Arial"/>
          <w:sz w:val="15"/>
          <w:szCs w:val="15"/>
          <w:i w:val="1"/>
          <w:iCs w:val="1"/>
          <w:color w:val="auto"/>
        </w:rPr>
        <w:t>Intangibles - Goodwill and Other Internal Use Software: 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This ASU changes the impairment model for most</w:t>
            </w:r>
          </w:p>
        </w:tc>
        <w:tc>
          <w:tcPr>
            <w:tcW w:w="860" w:type="dxa"/>
            <w:vAlign w:val="bottom"/>
          </w:tcPr>
          <w:p>
            <w:pPr>
              <w:ind w:left="100"/>
              <w:spacing w:after="0"/>
              <w:rPr>
                <w:sz w:val="20"/>
                <w:szCs w:val="20"/>
                <w:color w:val="auto"/>
              </w:rPr>
            </w:pPr>
            <w:r>
              <w:rPr>
                <w:rFonts w:ascii="Arial" w:cs="Arial" w:eastAsia="Arial" w:hAnsi="Arial"/>
                <w:sz w:val="16"/>
                <w:szCs w:val="16"/>
                <w:color w:val="auto"/>
              </w:rPr>
              <w:t>January</w:t>
            </w:r>
          </w:p>
        </w:tc>
        <w:tc>
          <w:tcPr>
            <w:tcW w:w="4380" w:type="dxa"/>
            <w:vAlign w:val="bottom"/>
          </w:tcPr>
          <w:p>
            <w:pPr>
              <w:ind w:left="260"/>
              <w:spacing w:after="0"/>
              <w:rPr>
                <w:sz w:val="20"/>
                <w:szCs w:val="20"/>
                <w:color w:val="auto"/>
              </w:rPr>
            </w:pPr>
            <w:r>
              <w:rPr>
                <w:rFonts w:ascii="Arial" w:cs="Arial" w:eastAsia="Arial" w:hAnsi="Arial"/>
                <w:sz w:val="16"/>
                <w:szCs w:val="16"/>
                <w:color w:val="auto"/>
                <w:w w:val="90"/>
              </w:rPr>
              <w:t>While our mortgage notes receivable and certain other accounts</w:t>
            </w: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w w:val="95"/>
              </w:rPr>
              <w:t>financial assets and certain other instruments, requiring</w:t>
            </w:r>
          </w:p>
        </w:tc>
        <w:tc>
          <w:tcPr>
            <w:tcW w:w="860" w:type="dxa"/>
            <w:vAlign w:val="bottom"/>
          </w:tcPr>
          <w:p>
            <w:pPr>
              <w:ind w:left="100"/>
              <w:spacing w:after="0"/>
              <w:rPr>
                <w:sz w:val="20"/>
                <w:szCs w:val="20"/>
                <w:color w:val="auto"/>
              </w:rPr>
            </w:pPr>
            <w:r>
              <w:rPr>
                <w:rFonts w:ascii="Arial" w:cs="Arial" w:eastAsia="Arial" w:hAnsi="Arial"/>
                <w:sz w:val="16"/>
                <w:szCs w:val="16"/>
                <w:color w:val="auto"/>
              </w:rPr>
              <w:t>2020</w:t>
            </w:r>
          </w:p>
        </w:tc>
        <w:tc>
          <w:tcPr>
            <w:tcW w:w="4380" w:type="dxa"/>
            <w:vAlign w:val="bottom"/>
          </w:tcPr>
          <w:p>
            <w:pPr>
              <w:ind w:left="260"/>
              <w:spacing w:after="0"/>
              <w:rPr>
                <w:sz w:val="20"/>
                <w:szCs w:val="20"/>
                <w:color w:val="auto"/>
              </w:rPr>
            </w:pPr>
            <w:r>
              <w:rPr>
                <w:rFonts w:ascii="Arial" w:cs="Arial" w:eastAsia="Arial" w:hAnsi="Arial"/>
                <w:sz w:val="16"/>
                <w:szCs w:val="16"/>
                <w:color w:val="auto"/>
                <w:w w:val="93"/>
              </w:rPr>
              <w:t>receivables are impacted by this standard, the adoption of this</w:t>
            </w: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w w:val="98"/>
              </w:rPr>
              <w:t>the use of an "expected credit loss" model and adding</w:t>
            </w:r>
          </w:p>
        </w:tc>
        <w:tc>
          <w:tcPr>
            <w:tcW w:w="860" w:type="dxa"/>
            <w:vAlign w:val="bottom"/>
          </w:tcPr>
          <w:p>
            <w:pPr>
              <w:spacing w:after="0"/>
              <w:rPr>
                <w:sz w:val="17"/>
                <w:szCs w:val="17"/>
                <w:color w:val="auto"/>
              </w:rPr>
            </w:pPr>
          </w:p>
        </w:tc>
        <w:tc>
          <w:tcPr>
            <w:tcW w:w="4380" w:type="dxa"/>
            <w:vAlign w:val="bottom"/>
          </w:tcPr>
          <w:p>
            <w:pPr>
              <w:ind w:left="260"/>
              <w:spacing w:after="0"/>
              <w:rPr>
                <w:sz w:val="20"/>
                <w:szCs w:val="20"/>
                <w:color w:val="auto"/>
              </w:rPr>
            </w:pPr>
            <w:r>
              <w:rPr>
                <w:rFonts w:ascii="Arial" w:cs="Arial" w:eastAsia="Arial" w:hAnsi="Arial"/>
                <w:sz w:val="16"/>
                <w:szCs w:val="16"/>
                <w:color w:val="auto"/>
                <w:w w:val="94"/>
              </w:rPr>
              <w:t>standard will not have a significant impact to our consolidated</w:t>
            </w: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more disclosure requirements.</w:t>
            </w:r>
          </w:p>
        </w:tc>
        <w:tc>
          <w:tcPr>
            <w:tcW w:w="860" w:type="dxa"/>
            <w:vAlign w:val="bottom"/>
          </w:tcPr>
          <w:p>
            <w:pPr>
              <w:spacing w:after="0"/>
              <w:rPr>
                <w:sz w:val="17"/>
                <w:szCs w:val="17"/>
                <w:color w:val="auto"/>
              </w:rPr>
            </w:pPr>
          </w:p>
        </w:tc>
        <w:tc>
          <w:tcPr>
            <w:tcW w:w="4380" w:type="dxa"/>
            <w:vAlign w:val="bottom"/>
          </w:tcPr>
          <w:p>
            <w:pPr>
              <w:ind w:left="260"/>
              <w:spacing w:after="0"/>
              <w:rPr>
                <w:sz w:val="20"/>
                <w:szCs w:val="20"/>
                <w:color w:val="auto"/>
              </w:rPr>
            </w:pPr>
            <w:r>
              <w:rPr>
                <w:rFonts w:ascii="Arial" w:cs="Arial" w:eastAsia="Arial" w:hAnsi="Arial"/>
                <w:sz w:val="16"/>
                <w:szCs w:val="16"/>
                <w:color w:val="auto"/>
              </w:rPr>
              <w:t>financial statements.</w:t>
            </w:r>
          </w:p>
        </w:tc>
      </w:tr>
      <w:tr>
        <w:trPr>
          <w:trHeight w:val="401"/>
        </w:trPr>
        <w:tc>
          <w:tcPr>
            <w:tcW w:w="3780" w:type="dxa"/>
            <w:vAlign w:val="bottom"/>
          </w:tcPr>
          <w:p>
            <w:pPr>
              <w:spacing w:after="0"/>
              <w:rPr>
                <w:sz w:val="20"/>
                <w:szCs w:val="20"/>
                <w:color w:val="auto"/>
              </w:rPr>
            </w:pPr>
            <w:r>
              <w:rPr>
                <w:rFonts w:ascii="Arial" w:cs="Arial" w:eastAsia="Arial" w:hAnsi="Arial"/>
                <w:sz w:val="16"/>
                <w:szCs w:val="16"/>
                <w:color w:val="auto"/>
                <w:w w:val="96"/>
              </w:rPr>
              <w:t>ASU 2018-19 clarifies that impairment of of receivables</w:t>
            </w:r>
          </w:p>
        </w:tc>
        <w:tc>
          <w:tcPr>
            <w:tcW w:w="8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arising from operating leases should accounted for in</w:t>
            </w:r>
          </w:p>
        </w:tc>
        <w:tc>
          <w:tcPr>
            <w:tcW w:w="86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accordance with Topic 842, Leases.</w:t>
            </w:r>
          </w:p>
        </w:tc>
        <w:tc>
          <w:tcPr>
            <w:tcW w:w="860" w:type="dxa"/>
            <w:vAlign w:val="bottom"/>
          </w:tcPr>
          <w:p>
            <w:pPr>
              <w:spacing w:after="0"/>
              <w:rPr>
                <w:sz w:val="17"/>
                <w:szCs w:val="17"/>
                <w:color w:val="auto"/>
              </w:rPr>
            </w:pPr>
          </w:p>
        </w:tc>
        <w:tc>
          <w:tcPr>
            <w:tcW w:w="43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3860" w:val="left"/>
          <w:tab w:leader="none" w:pos="4880" w:val="left"/>
        </w:tabs>
        <w:rPr>
          <w:sz w:val="20"/>
          <w:szCs w:val="20"/>
          <w:color w:val="auto"/>
        </w:rPr>
      </w:pPr>
      <w:r>
        <w:rPr>
          <w:rFonts w:ascii="Arial" w:cs="Arial" w:eastAsia="Arial" w:hAnsi="Arial"/>
          <w:sz w:val="16"/>
          <w:szCs w:val="16"/>
          <w:color w:val="auto"/>
        </w:rPr>
        <w:t>This ASU requires a customer in a cloud computing</w:t>
      </w:r>
      <w:r>
        <w:rPr>
          <w:sz w:val="20"/>
          <w:szCs w:val="20"/>
          <w:color w:val="auto"/>
        </w:rPr>
        <w:tab/>
      </w:r>
      <w:r>
        <w:rPr>
          <w:rFonts w:ascii="Arial" w:cs="Arial" w:eastAsia="Arial" w:hAnsi="Arial"/>
          <w:sz w:val="16"/>
          <w:szCs w:val="16"/>
          <w:color w:val="auto"/>
        </w:rPr>
        <w:t>January</w:t>
      </w:r>
      <w:r>
        <w:rPr>
          <w:sz w:val="20"/>
          <w:szCs w:val="20"/>
          <w:color w:val="auto"/>
        </w:rPr>
        <w:tab/>
      </w:r>
      <w:r>
        <w:rPr>
          <w:rFonts w:ascii="Arial" w:cs="Arial" w:eastAsia="Arial" w:hAnsi="Arial"/>
          <w:sz w:val="14"/>
          <w:szCs w:val="14"/>
          <w:color w:val="auto"/>
        </w:rPr>
        <w:t>The adoption of this standard will not have a significant impact to</w:t>
      </w:r>
    </w:p>
    <w:p>
      <w:pPr>
        <w:spacing w:after="0" w:line="22" w:lineRule="exact"/>
        <w:rPr>
          <w:sz w:val="20"/>
          <w:szCs w:val="20"/>
          <w:color w:val="auto"/>
        </w:rPr>
      </w:pPr>
    </w:p>
    <w:p>
      <w:pPr>
        <w:spacing w:after="0"/>
        <w:tabs>
          <w:tab w:leader="none" w:pos="3860" w:val="left"/>
          <w:tab w:leader="none" w:pos="4880" w:val="left"/>
        </w:tabs>
        <w:rPr>
          <w:sz w:val="20"/>
          <w:szCs w:val="20"/>
          <w:color w:val="auto"/>
        </w:rPr>
      </w:pPr>
      <w:r>
        <w:rPr>
          <w:rFonts w:ascii="Arial" w:cs="Arial" w:eastAsia="Arial" w:hAnsi="Arial"/>
          <w:sz w:val="16"/>
          <w:szCs w:val="16"/>
          <w:color w:val="auto"/>
        </w:rPr>
        <w:t>arrangement (i.e. hosting arrangement) that is a service</w:t>
      </w:r>
      <w:r>
        <w:rPr>
          <w:sz w:val="20"/>
          <w:szCs w:val="20"/>
          <w:color w:val="auto"/>
        </w:rPr>
        <w:tab/>
      </w:r>
      <w:r>
        <w:rPr>
          <w:rFonts w:ascii="Arial" w:cs="Arial" w:eastAsia="Arial" w:hAnsi="Arial"/>
          <w:sz w:val="16"/>
          <w:szCs w:val="16"/>
          <w:color w:val="auto"/>
        </w:rPr>
        <w:t>2020</w:t>
      </w:r>
      <w:r>
        <w:rPr>
          <w:sz w:val="20"/>
          <w:szCs w:val="20"/>
          <w:color w:val="auto"/>
        </w:rPr>
        <w:tab/>
      </w:r>
      <w:r>
        <w:rPr>
          <w:rFonts w:ascii="Arial" w:cs="Arial" w:eastAsia="Arial" w:hAnsi="Arial"/>
          <w:sz w:val="14"/>
          <w:szCs w:val="14"/>
          <w:color w:val="auto"/>
        </w:rPr>
        <w:t>our consolidated financial statements.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contract to follow the internal-use software guidance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ASC 350-40 to determine which implementation costs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capitalize as assets. Capitalized implementation costs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related to a hosting arrangement that is a service contract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will be amortized over the term of the hosting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arrangement. Entities will expense costs during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preliminary project and post-implementation stages 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they are incurred.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guidance can be applied prospectively to all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implementation costs incurred after the date of adoption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or retrospectively in accordance with ASC 250-10-45-5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through ASC 250-10-45-10.</w:t>
      </w:r>
    </w:p>
    <w:p>
      <w:pPr>
        <w:spacing w:after="0" w:line="200" w:lineRule="exact"/>
        <w:rPr>
          <w:sz w:val="20"/>
          <w:szCs w:val="20"/>
          <w:color w:val="auto"/>
        </w:rPr>
      </w:pPr>
    </w:p>
    <w:p>
      <w:pPr>
        <w:sectPr>
          <w:pgSz w:w="11900" w:h="16838" w:orient="portrait"/>
          <w:cols w:equalWidth="0" w:num="2">
            <w:col w:w="2040" w:space="180"/>
            <w:col w:w="9160"/>
          </w:cols>
          <w:pgMar w:left="240" w:top="118"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380"/>
          </w:cols>
          <w:pgMar w:left="240" w:top="118" w:right="27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on our operating and finance leases where we are the lessee:</w:t>
      </w:r>
    </w:p>
    <w:p>
      <w:pPr>
        <w:spacing w:after="0" w:line="392"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Year Ended</w:t>
      </w:r>
    </w:p>
    <w:p>
      <w:pPr>
        <w:spacing w:after="0" w:line="109" w:lineRule="exact"/>
        <w:rPr>
          <w:sz w:val="20"/>
          <w:szCs w:val="20"/>
          <w:color w:val="auto"/>
        </w:rPr>
      </w:pPr>
    </w:p>
    <w:p>
      <w:pPr>
        <w:jc w:val="center"/>
        <w:ind w:left="9500"/>
        <w:spacing w:after="0"/>
        <w:rPr>
          <w:sz w:val="20"/>
          <w:szCs w:val="20"/>
          <w:color w:val="auto"/>
        </w:rPr>
      </w:pP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38100</wp:posOffset>
            </wp:positionV>
            <wp:extent cx="1209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2"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Amortization of right-of-use assets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cash flows for finance leases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cash flows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Financing cash flows for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remaining term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remaining term - operating leases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discount rate -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discount rate - operating leases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supplemental disclosures related to the Consolidated Statements of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1280" w:hanging="1277"/>
        <w:spacing w:after="0"/>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1,284</w:t>
      </w:r>
    </w:p>
    <w:p>
      <w:pPr>
        <w:spacing w:after="0" w:line="6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5,824</w:t>
      </w:r>
    </w:p>
    <w:p>
      <w:pPr>
        <w:spacing w:after="0" w:line="6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6,063</w:t>
      </w:r>
    </w:p>
    <w:p>
      <w:pPr>
        <w:spacing w:after="0" w:line="6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487</w:t>
      </w:r>
    </w:p>
    <w:p>
      <w:pPr>
        <w:spacing w:after="0" w:line="77" w:lineRule="exact"/>
        <w:rPr>
          <w:sz w:val="20"/>
          <w:szCs w:val="20"/>
          <w:color w:val="auto"/>
        </w:rPr>
      </w:pPr>
    </w:p>
    <w:p>
      <w:pPr>
        <w:ind w:left="1200" w:hanging="1197"/>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13,658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12090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5,759</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5,561</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47</w:t>
      </w:r>
    </w:p>
    <w:p>
      <w:pPr>
        <w:spacing w:after="0" w:line="338"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1209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4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18.2 years</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53.7 years</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8.0%</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4.5%</w:t>
      </w:r>
    </w:p>
    <w:p>
      <w:pPr>
        <w:spacing w:after="0" w:line="1095" w:lineRule="exact"/>
        <w:rPr>
          <w:sz w:val="20"/>
          <w:szCs w:val="20"/>
          <w:color w:val="auto"/>
        </w:rPr>
      </w:pPr>
    </w:p>
    <w:p>
      <w:pPr>
        <w:sectPr>
          <w:pgSz w:w="11900" w:h="16838" w:orient="portrait"/>
          <w:cols w:equalWidth="0" w:num="2">
            <w:col w:w="8820" w:space="720"/>
            <w:col w:w="1880"/>
          </w:cols>
          <w:pgMar w:left="240" w:top="126" w:right="239" w:bottom="1440" w:gutter="0" w:footer="0" w:header="0"/>
          <w:type w:val="continuous"/>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Total interest costs incurred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130,110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129,001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125,684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capitalized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(25,559)</w:t>
            </w:r>
          </w:p>
        </w:tc>
        <w:tc>
          <w:tcPr>
            <w:tcW w:w="0" w:type="dxa"/>
            <w:vAlign w:val="bottom"/>
          </w:tcPr>
          <w:p>
            <w:pPr>
              <w:spacing w:after="0"/>
              <w:rPr>
                <w:sz w:val="1"/>
                <w:szCs w:val="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109,623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110,154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100,125</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106,180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107,494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105,201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 AND FINANCING TRANSACTIONS (1):</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Mortgage loans refinanced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166,823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loans assumed/entered into with acquisition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98,041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79,401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DownREIT operating partnership units issued with acquisition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Settlement of partner loan receivable via dilution of partner interests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5,379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Contribution from noncontrolling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firstLine="8"/>
        <w:spacing w:after="0" w:line="277"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 Note 5 for additional disclosures relating to the mortgages entered into and assumed as a result of the Hoboken acquisition in 2019. In addition, see Note 3 for additional disclosures relating to our investment in the Assembly Row hotel joint venture in 2018.</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Capitalized lease costs are incremental direct costs incurred which were essential to originate a lease and would not have been incurred had the leasing transaction not taken place. These costs include third party commissions related to obtaining a lease. Capitalized lease costs are amortized over the initial term of the related lease which generally ranges from three to ten years. We view these lease costs as part of the up-front initial investment we made in order to generate a long-term cash inflow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6" w:right="2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therefore, we classify cash outflows related to leasing costs as an investing activity in our consolidated statements of cash flows. See the "Recent Accounting Pronouncements" section in this note for further discussion regarding the change in accounting for lease costs as well as the operating lease right of use assets and lease liabilities recorded in connection with our adoption of ASC Topic 842.</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127,432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(1)</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26,182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44,245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153,614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108,332</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w w:val="90"/>
              </w:rPr>
              <w:t>(1) Restricted cash balances are included in "prepaid expenses and other assets" on our consolidated balance sheets.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Property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Gross Leasable</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0"/>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Date Acquired</w:t>
            </w:r>
          </w:p>
        </w:tc>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w:t>
            </w:r>
          </w:p>
        </w:tc>
        <w:tc>
          <w:tcPr>
            <w:tcW w:w="2640" w:type="dxa"/>
            <w:vAlign w:val="bottom"/>
            <w:gridSpan w:val="2"/>
          </w:tcPr>
          <w:p>
            <w:pPr>
              <w:ind w:left="20"/>
              <w:spacing w:after="0"/>
              <w:rPr>
                <w:sz w:val="20"/>
                <w:szCs w:val="20"/>
                <w:color w:val="auto"/>
              </w:rPr>
            </w:pPr>
            <w:r>
              <w:rPr>
                <w:rFonts w:ascii="Arial" w:cs="Arial" w:eastAsia="Arial" w:hAnsi="Arial"/>
                <w:sz w:val="16"/>
                <w:szCs w:val="16"/>
                <w:b w:val="1"/>
                <w:bCs w:val="1"/>
                <w:color w:val="auto"/>
              </w:rPr>
              <w:t>City/State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Area (GLA)</w:t>
            </w:r>
          </w:p>
        </w:tc>
        <w:tc>
          <w:tcPr>
            <w:tcW w:w="160" w:type="dxa"/>
            <w:vAlign w:val="bottom"/>
          </w:tcPr>
          <w:p>
            <w:pPr>
              <w:spacing w:after="0"/>
              <w:rPr>
                <w:sz w:val="18"/>
                <w:szCs w:val="18"/>
                <w:color w:val="auto"/>
              </w:rPr>
            </w:pPr>
          </w:p>
        </w:tc>
        <w:tc>
          <w:tcPr>
            <w:tcW w:w="1280" w:type="dxa"/>
            <w:vAlign w:val="bottom"/>
          </w:tcPr>
          <w:p>
            <w:pPr>
              <w:jc w:val="right"/>
              <w:ind w:right="94"/>
              <w:spacing w:after="0"/>
              <w:rPr>
                <w:sz w:val="20"/>
                <w:szCs w:val="20"/>
                <w:color w:val="auto"/>
              </w:rPr>
            </w:pPr>
            <w:r>
              <w:rPr>
                <w:rFonts w:ascii="Arial" w:cs="Arial" w:eastAsia="Arial" w:hAnsi="Arial"/>
                <w:sz w:val="16"/>
                <w:szCs w:val="16"/>
                <w:b w:val="1"/>
                <w:bCs w:val="1"/>
                <w:color w:val="auto"/>
                <w:w w:val="93"/>
              </w:rPr>
              <w:t>Purchase Price</w:t>
            </w:r>
          </w:p>
        </w:tc>
        <w:tc>
          <w:tcPr>
            <w:tcW w:w="480" w:type="dxa"/>
            <w:vAlign w:val="bottom"/>
          </w:tcPr>
          <w:p>
            <w:pPr>
              <w:spacing w:after="0"/>
              <w:rPr>
                <w:sz w:val="18"/>
                <w:szCs w:val="18"/>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8"/>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square feet)</w:t>
            </w:r>
          </w:p>
        </w:tc>
        <w:tc>
          <w:tcPr>
            <w:tcW w:w="160" w:type="dxa"/>
            <w:vAlign w:val="bottom"/>
          </w:tcPr>
          <w:p>
            <w:pPr>
              <w:spacing w:after="0"/>
              <w:rPr>
                <w:sz w:val="22"/>
                <w:szCs w:val="22"/>
                <w:color w:val="auto"/>
              </w:rPr>
            </w:pPr>
          </w:p>
        </w:tc>
        <w:tc>
          <w:tcPr>
            <w:tcW w:w="1280" w:type="dxa"/>
            <w:vAlign w:val="bottom"/>
          </w:tcPr>
          <w:p>
            <w:pPr>
              <w:jc w:val="right"/>
              <w:ind w:right="254"/>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2"/>
                <w:szCs w:val="22"/>
                <w:color w:val="auto"/>
              </w:rPr>
            </w:pPr>
          </w:p>
        </w:tc>
      </w:tr>
      <w:tr>
        <w:trPr>
          <w:trHeight w:val="256"/>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8, 2019</w:t>
            </w:r>
          </w:p>
        </w:tc>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Fairfax Junction</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Fairfax, Virginia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September 13, 2019</w:t>
            </w: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San Antonio Center</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Mountain View, California</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6,000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21"/>
                <w:szCs w:val="2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15, 2019</w:t>
            </w:r>
          </w:p>
        </w:tc>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Georgetowne Shopping Center</w:t>
            </w:r>
          </w:p>
        </w:tc>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Brooklyn, New York</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Various 2019</w:t>
            </w:r>
          </w:p>
        </w:tc>
        <w:tc>
          <w:tcPr>
            <w:tcW w:w="3560" w:type="dxa"/>
            <w:vAlign w:val="bottom"/>
            <w:gridSpan w:val="2"/>
          </w:tcPr>
          <w:p>
            <w:pPr>
              <w:ind w:left="40"/>
              <w:spacing w:after="0"/>
              <w:rPr>
                <w:sz w:val="20"/>
                <w:szCs w:val="20"/>
                <w:color w:val="auto"/>
              </w:rPr>
            </w:pPr>
            <w:r>
              <w:rPr>
                <w:rFonts w:ascii="Arial" w:cs="Arial" w:eastAsia="Arial" w:hAnsi="Arial"/>
                <w:sz w:val="18"/>
                <w:szCs w:val="18"/>
                <w:color w:val="auto"/>
              </w:rPr>
              <w:t>Hoboken (37 mixed-use buildings)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Hoboken, New Jersey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158,000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189.2</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(3)</w:t>
            </w:r>
          </w:p>
        </w:tc>
      </w:tr>
    </w:tbl>
    <w:p>
      <w:pPr>
        <w:spacing w:after="0" w:line="256" w:lineRule="exact"/>
        <w:rPr>
          <w:sz w:val="20"/>
          <w:szCs w:val="20"/>
          <w:color w:val="auto"/>
        </w:rPr>
      </w:pPr>
    </w:p>
    <w:p>
      <w:pPr>
        <w:ind w:left="260" w:right="540" w:hanging="252"/>
        <w:spacing w:after="0" w:line="258" w:lineRule="auto"/>
        <w:tabs>
          <w:tab w:leader="none" w:pos="27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$0.6 million and $0.4 million of net assets acquired were allocated to other assets for "above market leases," and other liabilities for "below market leases," respectively.</w:t>
      </w:r>
    </w:p>
    <w:p>
      <w:pPr>
        <w:spacing w:after="0" w:line="1" w:lineRule="exact"/>
        <w:rPr>
          <w:rFonts w:ascii="Arial" w:cs="Arial" w:eastAsia="Arial" w:hAnsi="Arial"/>
          <w:sz w:val="18"/>
          <w:szCs w:val="18"/>
          <w:color w:val="auto"/>
        </w:rPr>
      </w:pPr>
    </w:p>
    <w:p>
      <w:pPr>
        <w:ind w:left="260" w:right="540" w:hanging="252"/>
        <w:spacing w:after="0" w:line="258" w:lineRule="auto"/>
        <w:tabs>
          <w:tab w:leader="none" w:pos="27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$2.0 million and $0.4 million of net assets acquired were allocated to other assets for "above market leases," and other liabilities for "below market leases," respectively.</w:t>
      </w:r>
    </w:p>
    <w:p>
      <w:pPr>
        <w:ind w:left="260" w:right="40" w:hanging="252"/>
        <w:spacing w:after="0" w:line="259" w:lineRule="auto"/>
        <w:tabs>
          <w:tab w:leader="none" w:pos="27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These acquisitions were completed through a newly formed joint venture, for which we own a 90% interest. The purchase price includes new and assumptions of mortgage debt totaling approximately $98.0 million. This property includes 123 residential units in addition to the GLA in the table above. Approximately $3.6 million and $8.1 million of net assets acquired were allocated to other assets for "above market leases," and other liabilities for "below market leases,"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Property Dispositions</w:t>
      </w:r>
    </w:p>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December 11, 2019, we received $154.7 million in net proceeds related to the sale under the threat of condemnation of 11.7 acres of San Antonio Center to a local school district ("the condemning authority"). As part of the transaction, the condemning authority will commence condemnation proceedings in order to terminate all existing leases they assumed at closing. We have indemnified the condemning authority for all costs incurred related to the condemnation proceedings including any payments required to tenants at the property and expect the process will take several years to complete. The consideration in the transaction is considered variable because we have agreed to indemnify the condemning authority for these costs. Consequently, we have recorded a liability of $45.5 million to reflect our estimate of the final consideration, net of estimated condemnation proceeding costs and other transaction related costs. The resulting net gain on sale is approximately $85.1 million.</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 ended December 31, 2019, we sold three properties and one land parcel for a net sales price of $149.0 million, which resulted in a net gain of $28.3 million.</w:t>
      </w:r>
    </w:p>
    <w:p>
      <w:pPr>
        <w:spacing w:after="0" w:line="11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During the year ended December 31, 2019, we closed on the sale of 43 condominium units at our Assembly Row and Pike &amp; Rose properties (combined), received proceeds net of closing costs of $20.1 million, and recognized a gain of $2.6 million, net of income taxes. The cost basis for the remaining condominium units as of December 31, 2019 is $1.7 million, and is included in "assets held for sale" on our consolidated balance sheet.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Property Acquisitions and Dispositions</w:t>
      </w:r>
    </w:p>
    <w:p>
      <w:pPr>
        <w:spacing w:after="0" w:line="17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June 15, 2018, we formed a new joint venture to develop Freedom Plaza (formerly known as Jordan Downs Plaza) which, when completed, will be an approximately 113,000 square foot grocery anchored shopping center located in Los Angeles County, California. We initially invested $34.4 million as a result of a pre-funding requirement for equity to be advanced prior to the start of construction. We own approximately 91% of the venture, and control the 9.4 acre land parcel on which the shopping center will be constructed under a long-term ground lease that expires June 15, 2093 (including two 10-year option periods which may be exercised at our option). The Freedom Plaza development is expected to generate income tax credits under the New Market Tax Credit Program ("NMTC") which was provided for in the Community Renewal Tax Relief Act of 2000 ("the Act") and is intended to induce investment in underserved areas of the United States. The Act permits taxpayers to claim credits against their Federal income taxes for qualified investments. A third party bank contributed $13.9 million to the development, and is entitled to the related tax credit benefits, but they do not have an interest in the underlying economics of the property. The transaction also includes a put/call provision whereby we may be obligated or entitled to purchase the third party bank’s interest. We believe the put will be exercised at its $1,000 strike price. Based on our assessment of control, we concluded that the project and certain other transaction related entities should be consolidated. The $13.9 million in proceeds received in exchange for the transfer of the tax credits has been deferred and will be recognized when the tax benefits are delivered to the third party bank without risk of recapture. Direct and incremental costs of $1.6 million incurred in structuring the NMTC transaction have also been deferred. The Trust anticipates recognizing the net cash received as revenue upon completion of the seven-year NMTC compliance period. Cash in escrow at December 31, 2019 of $12.6 million, reflects remaining cash that will ultimately be used for the development of the shopping center, and is included in "prepaid expenses and other assets" on our consolidated balance sheets. The cash is held in escrow pursuant to the new market tax credit transaction documents and will be released as qualified development expenditures are incurred.</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August 2018, we contributed hotel related assets valued at $44.0 million to our Assembly Row hotel joint venture, and received a cash distribution of $38.0 million. At December 31, 2019, our investment in the venture was $3.2 million. The joint venture is considered a variable interest entity controlled by our partner, and as a result, we are using the equity method to account for our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2018, we sold two properties for a net sales price of $42.2 million, which resulted in a net gain of $4.7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On November 29, 2018, we acquired a 40,000 square foot building adjacent to our Bell Gardens property for $9.6 million.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December 31, 2018, we closed on the sale of 176 condominium units at our Assembly Row and Pike &amp; Rose properties (combined) and received proceeds net of closing costs of $133.5 million, For the year ended December 31, 2018, we recognized a gain of $7.2 million, net of $1.6 million of income taxes. The cost basis for remaining condominium units that were ready for their intended use as of December 31, 2018 was $16.6 million, and is included in "assets held for sale" on our consolidated balance sheet.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4—ACQUIRED IN-PLACE LEASES</w:t>
      </w:r>
    </w:p>
    <w:p>
      <w:pPr>
        <w:spacing w:after="0" w:line="9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Acquired lease assets comprise above market leases where we are the lessor and below market leases where we are the lessee. Acquired lease liabilities comprise below market leases where we are the lessor and above market leases where we are the lessee. As a lessor, acquired above market leases are included in prepaid expenses and other assets, and acquired below market leases are included in other liabilities and deferred credits. In accordance with our adoption of ASC Topic 842, acquired below market leases and acquired above market leases where we are the lessee are included in right of use assets. The following is a summary of our acquired lease assets and liabilities: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96"/>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52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market leases, lessor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48,530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Below market leases, lessee</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34,604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34,604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83,134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83,732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market leases, lessor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66,419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Above market leases, lessee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68,009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66,473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F-18</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value allocated to in-place leases where we are the lessor is amortized over the related lease term and reflected as additional rental income for below market leases or a reduction of rental income for above market leases in the consolidated statements of comprehensive income. The related amortization of in-place leases where we are the lessee is reflected as additional rental expense for below market leases or a reduction of rental expenses for above market leases in the consolidated statements of comprehensive income. The following is a summary of acquired lease amortization: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5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above market leases, lessor</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Amortization of below market leases, lessor</w:t>
            </w:r>
          </w:p>
        </w:tc>
        <w:tc>
          <w:tcPr>
            <w:tcW w:w="11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12,445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10,726</w:t>
            </w:r>
          </w:p>
        </w:tc>
      </w:tr>
      <w:tr>
        <w:trPr>
          <w:trHeight w:val="27"/>
        </w:trPr>
        <w:tc>
          <w:tcPr>
            <w:tcW w:w="57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in rental income</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6,837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4,721</w:t>
            </w:r>
          </w:p>
        </w:tc>
      </w:tr>
      <w:tr>
        <w:trPr>
          <w:trHeight w:val="20"/>
        </w:trPr>
        <w:tc>
          <w:tcPr>
            <w:tcW w:w="5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6"/>
        </w:trPr>
        <w:tc>
          <w:tcPr>
            <w:tcW w:w="5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 lessee</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Amortization of above market leases, lessee</w:t>
            </w:r>
          </w:p>
        </w:tc>
        <w:tc>
          <w:tcPr>
            <w:tcW w:w="1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57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in rental expense</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r>
      <w:tr>
        <w:trPr>
          <w:trHeight w:val="20"/>
        </w:trPr>
        <w:tc>
          <w:tcPr>
            <w:tcW w:w="5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remaining weighted average amortization period for our acquired lease assets and acquired lease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Pr>
          <w:p>
            <w:pPr>
              <w:spacing w:after="0"/>
              <w:rPr>
                <w:sz w:val="16"/>
                <w:szCs w:val="16"/>
                <w:color w:val="auto"/>
              </w:rPr>
            </w:pPr>
          </w:p>
        </w:tc>
        <w:tc>
          <w:tcPr>
            <w:tcW w:w="1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December 31, 2019</w:t>
            </w:r>
          </w:p>
        </w:tc>
      </w:tr>
      <w:tr>
        <w:trPr>
          <w:trHeight w:val="121"/>
        </w:trPr>
        <w:tc>
          <w:tcPr>
            <w:tcW w:w="9600" w:type="dxa"/>
            <w:vAlign w:val="bottom"/>
          </w:tcPr>
          <w:p>
            <w:pPr>
              <w:spacing w:after="0"/>
              <w:rPr>
                <w:sz w:val="10"/>
                <w:szCs w:val="10"/>
                <w:color w:val="auto"/>
              </w:rPr>
            </w:pPr>
          </w:p>
        </w:tc>
        <w:tc>
          <w:tcPr>
            <w:tcW w:w="1820" w:type="dxa"/>
            <w:vAlign w:val="bottom"/>
          </w:tcPr>
          <w:p>
            <w:pPr>
              <w:spacing w:after="0"/>
              <w:rPr>
                <w:sz w:val="10"/>
                <w:szCs w:val="10"/>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 market leases, lessor</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years</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Below market leases, lessee</w:t>
            </w:r>
          </w:p>
        </w:tc>
        <w:tc>
          <w:tcPr>
            <w:tcW w:w="1820" w:type="dxa"/>
            <w:vAlign w:val="bottom"/>
          </w:tcPr>
          <w:p>
            <w:pPr>
              <w:jc w:val="right"/>
              <w:spacing w:after="0"/>
              <w:rPr>
                <w:sz w:val="20"/>
                <w:szCs w:val="20"/>
                <w:color w:val="auto"/>
              </w:rPr>
            </w:pPr>
            <w:r>
              <w:rPr>
                <w:rFonts w:ascii="Arial" w:cs="Arial" w:eastAsia="Arial" w:hAnsi="Arial"/>
                <w:sz w:val="18"/>
                <w:szCs w:val="18"/>
                <w:color w:val="auto"/>
              </w:rPr>
              <w:t>39.6 years</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market leases, lessor</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 years</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Above market leases, lessee</w:t>
            </w:r>
          </w:p>
        </w:tc>
        <w:tc>
          <w:tcPr>
            <w:tcW w:w="1820" w:type="dxa"/>
            <w:vAlign w:val="bottom"/>
          </w:tcPr>
          <w:p>
            <w:pPr>
              <w:jc w:val="right"/>
              <w:spacing w:after="0"/>
              <w:rPr>
                <w:sz w:val="20"/>
                <w:szCs w:val="20"/>
                <w:color w:val="auto"/>
              </w:rPr>
            </w:pPr>
            <w:r>
              <w:rPr>
                <w:rFonts w:ascii="Arial" w:cs="Arial" w:eastAsia="Arial" w:hAnsi="Arial"/>
                <w:sz w:val="18"/>
                <w:szCs w:val="18"/>
                <w:color w:val="auto"/>
              </w:rPr>
              <w:t>14.4 years</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acquired in-place leases during the next five years and thereafter, assuming no early lease terminations,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Acquired Lease Assets</w:t>
            </w:r>
          </w:p>
        </w:tc>
        <w:tc>
          <w:tcPr>
            <w:tcW w:w="1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Acquired Lease Liabilities</w:t>
            </w:r>
          </w:p>
        </w:tc>
      </w:tr>
      <w:tr>
        <w:trPr>
          <w:trHeight w:val="250"/>
        </w:trPr>
        <w:tc>
          <w:tcPr>
            <w:tcW w:w="37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1"/>
                <w:szCs w:val="21"/>
                <w:color w:val="auto"/>
              </w:rPr>
            </w:pPr>
          </w:p>
        </w:tc>
      </w:tr>
      <w:tr>
        <w:trPr>
          <w:trHeight w:val="256"/>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2020</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1"/>
                <w:szCs w:val="21"/>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8,235</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7,687</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2022</w:t>
            </w:r>
          </w:p>
        </w:tc>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7,394</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7,134</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2024</w:t>
            </w:r>
          </w:p>
        </w:tc>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6,603</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31,792</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81,534</w:t>
            </w:r>
          </w:p>
        </w:tc>
      </w:tr>
      <w:tr>
        <w:trPr>
          <w:trHeight w:val="237"/>
        </w:trPr>
        <w:tc>
          <w:tcPr>
            <w:tcW w:w="37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46,939</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118,587</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45"/>
        </w:trPr>
        <w:tc>
          <w:tcPr>
            <w:tcW w:w="3760" w:type="dxa"/>
            <w:vAlign w:val="bottom"/>
          </w:tcPr>
          <w:p>
            <w:pPr>
              <w:spacing w:after="0"/>
              <w:rPr>
                <w:sz w:val="24"/>
                <w:szCs w:val="24"/>
                <w:color w:val="auto"/>
              </w:rPr>
            </w:pPr>
          </w:p>
        </w:tc>
        <w:tc>
          <w:tcPr>
            <w:tcW w:w="4080" w:type="dxa"/>
            <w:vAlign w:val="bottom"/>
            <w:gridSpan w:val="2"/>
          </w:tcPr>
          <w:p>
            <w:pPr>
              <w:jc w:val="right"/>
              <w:ind w:right="1870"/>
              <w:spacing w:after="0"/>
              <w:rPr>
                <w:sz w:val="20"/>
                <w:szCs w:val="20"/>
                <w:color w:val="auto"/>
              </w:rPr>
            </w:pPr>
            <w:r>
              <w:rPr>
                <w:rFonts w:ascii="Arial" w:cs="Arial" w:eastAsia="Arial" w:hAnsi="Arial"/>
                <w:sz w:val="18"/>
                <w:szCs w:val="18"/>
                <w:color w:val="auto"/>
              </w:rPr>
              <w:t>F-19</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2019 and 2018:</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Principal Balance as of December 31,</w:t>
            </w: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Stated Interest Rate as of</w:t>
            </w:r>
          </w:p>
        </w:tc>
        <w:tc>
          <w:tcPr>
            <w:tcW w:w="1940" w:type="dxa"/>
            <w:vAlign w:val="bottom"/>
          </w:tcPr>
          <w:p>
            <w:pPr>
              <w:jc w:val="right"/>
              <w:ind w:right="80"/>
              <w:spacing w:after="0"/>
              <w:rPr>
                <w:sz w:val="20"/>
                <w:szCs w:val="20"/>
                <w:color w:val="auto"/>
              </w:rPr>
            </w:pPr>
            <w:r>
              <w:rPr>
                <w:rFonts w:ascii="Arial" w:cs="Arial" w:eastAsia="Arial" w:hAnsi="Arial"/>
                <w:sz w:val="14"/>
                <w:szCs w:val="14"/>
                <w:b w:val="1"/>
                <w:bCs w:val="1"/>
                <w:color w:val="auto"/>
              </w:rPr>
              <w:t>Stated Maturity Date as of</w:t>
            </w:r>
          </w:p>
        </w:tc>
      </w:tr>
      <w:tr>
        <w:trPr>
          <w:trHeight w:val="191"/>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24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940" w:type="dxa"/>
            <w:vAlign w:val="bottom"/>
          </w:tcPr>
          <w:p>
            <w:pPr>
              <w:jc w:val="right"/>
              <w:ind w:right="300"/>
              <w:spacing w:after="0"/>
              <w:rPr>
                <w:sz w:val="20"/>
                <w:szCs w:val="20"/>
                <w:color w:val="auto"/>
              </w:rPr>
            </w:pPr>
            <w:r>
              <w:rPr>
                <w:rFonts w:ascii="Arial" w:cs="Arial" w:eastAsia="Arial" w:hAnsi="Arial"/>
                <w:sz w:val="14"/>
                <w:szCs w:val="14"/>
                <w:b w:val="1"/>
                <w:bCs w:val="1"/>
                <w:color w:val="auto"/>
              </w:rPr>
              <w:t>December 31, 2019</w:t>
            </w:r>
          </w:p>
        </w:tc>
      </w:tr>
      <w:tr>
        <w:trPr>
          <w:trHeight w:val="80"/>
        </w:trPr>
        <w:tc>
          <w:tcPr>
            <w:tcW w:w="4700" w:type="dxa"/>
            <w:vAlign w:val="bottom"/>
            <w:tcBorders>
              <w:bottom w:val="single" w:sz="8" w:color="auto"/>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2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jc w:val="right"/>
              <w:ind w:right="399"/>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Rollingwood Apartments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20,331</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May 1, 2019</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64,453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29th Place</w:t>
            </w: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4,117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31, 2021</w:t>
            </w:r>
          </w:p>
        </w:tc>
      </w:tr>
      <w:tr>
        <w:trPr>
          <w:trHeight w:val="27"/>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Sylmar Towne Center</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6, 2021</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Plaza Del Sol</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8,230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8,409</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December 1, 2021</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Montrose Crossing</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67,492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69,310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10, 2022</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Bell Gardens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12,677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12,936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2026</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2027</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The Grove at Shrewsbury (East)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September 1, 2027</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Hoboken (24 Buildings)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56,450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LIBOR + 1.95%</w:t>
            </w:r>
          </w:p>
        </w:tc>
        <w:tc>
          <w:tcPr>
            <w:tcW w:w="1940" w:type="dxa"/>
            <w:vAlign w:val="bottom"/>
          </w:tcPr>
          <w:p>
            <w:pPr>
              <w:jc w:val="right"/>
              <w:spacing w:after="0"/>
              <w:rPr>
                <w:sz w:val="20"/>
                <w:szCs w:val="20"/>
                <w:color w:val="auto"/>
              </w:rPr>
            </w:pPr>
            <w:r>
              <w:rPr>
                <w:rFonts w:ascii="Arial" w:cs="Arial" w:eastAsia="Arial" w:hAnsi="Arial"/>
                <w:sz w:val="16"/>
                <w:szCs w:val="16"/>
                <w:color w:val="auto"/>
              </w:rPr>
              <w:t>December 15, 2029</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Various Hoboken (12 Buildings)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 (1)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2029</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Chelsea</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5,941</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15, 2031</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Hoboken (1 Building)</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2042</w:t>
            </w:r>
          </w:p>
        </w:tc>
      </w:tr>
      <w:tr>
        <w:trPr>
          <w:trHeight w:val="217"/>
        </w:trPr>
        <w:tc>
          <w:tcPr>
            <w:tcW w:w="5280" w:type="dxa"/>
            <w:vAlign w:val="bottom"/>
            <w:gridSpan w:val="2"/>
          </w:tcPr>
          <w:p>
            <w:pPr>
              <w:ind w:left="720"/>
              <w:spacing w:after="0"/>
              <w:rPr>
                <w:sz w:val="20"/>
                <w:szCs w:val="20"/>
                <w:color w:val="auto"/>
              </w:rPr>
            </w:pPr>
            <w:r>
              <w:rPr>
                <w:rFonts w:ascii="Arial" w:cs="Arial" w:eastAsia="Arial" w:hAnsi="Arial"/>
                <w:sz w:val="16"/>
                <w:szCs w:val="16"/>
                <w:color w:val="auto"/>
              </w:rPr>
              <w:t>Subtotal</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547,247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475,308</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r>
      <w:tr>
        <w:trPr>
          <w:trHeight w:val="217"/>
        </w:trPr>
        <w:tc>
          <w:tcPr>
            <w:tcW w:w="5280" w:type="dxa"/>
            <w:vAlign w:val="bottom"/>
            <w:gridSpan w:val="2"/>
          </w:tcPr>
          <w:p>
            <w:pPr>
              <w:ind w:left="720"/>
              <w:spacing w:after="0"/>
              <w:rPr>
                <w:sz w:val="20"/>
                <w:szCs w:val="20"/>
                <w:color w:val="auto"/>
              </w:rPr>
            </w:pPr>
            <w:r>
              <w:rPr>
                <w:rFonts w:ascii="Arial" w:cs="Arial" w:eastAsia="Arial" w:hAnsi="Arial"/>
                <w:sz w:val="16"/>
                <w:szCs w:val="16"/>
                <w:color w:val="auto"/>
              </w:rPr>
              <w:t>Total mortgages payable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545,679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474,379</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04"/>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60"/>
        </w:trPr>
        <w:tc>
          <w:tcPr>
            <w:tcW w:w="47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Term loan</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+ 0.90%</w:t>
            </w:r>
          </w:p>
        </w:tc>
        <w:tc>
          <w:tcPr>
            <w:tcW w:w="1940" w:type="dxa"/>
            <w:vAlign w:val="bottom"/>
          </w:tcPr>
          <w:p>
            <w:pPr>
              <w:jc w:val="right"/>
              <w:spacing w:after="0"/>
              <w:rPr>
                <w:sz w:val="20"/>
                <w:szCs w:val="20"/>
                <w:color w:val="auto"/>
              </w:rPr>
            </w:pPr>
            <w:r>
              <w:rPr>
                <w:rFonts w:ascii="Arial" w:cs="Arial" w:eastAsia="Arial" w:hAnsi="Arial"/>
                <w:sz w:val="16"/>
                <w:szCs w:val="16"/>
                <w:color w:val="auto"/>
              </w:rPr>
              <w:t>November 21, 2019</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+ 0.775%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19, 2024</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Various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4,392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Various through 2028</w:t>
            </w:r>
          </w:p>
        </w:tc>
      </w:tr>
      <w:tr>
        <w:trPr>
          <w:trHeight w:val="33"/>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30"/>
        </w:trPr>
        <w:tc>
          <w:tcPr>
            <w:tcW w:w="52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279,392</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37"/>
        </w:trPr>
        <w:tc>
          <w:tcPr>
            <w:tcW w:w="5280" w:type="dxa"/>
            <w:vAlign w:val="bottom"/>
            <w:gridSpan w:val="2"/>
          </w:tcPr>
          <w:p>
            <w:pPr>
              <w:ind w:left="920"/>
              <w:spacing w:after="0"/>
              <w:rPr>
                <w:sz w:val="20"/>
                <w:szCs w:val="20"/>
                <w:color w:val="auto"/>
              </w:rPr>
            </w:pPr>
            <w:r>
              <w:rPr>
                <w:rFonts w:ascii="Arial" w:cs="Arial" w:eastAsia="Arial" w:hAnsi="Arial"/>
                <w:sz w:val="16"/>
                <w:szCs w:val="16"/>
                <w:color w:val="auto"/>
              </w:rPr>
              <w:t>Net unamortized debt issuance costs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279,027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4"/>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0"/>
        </w:trPr>
        <w:tc>
          <w:tcPr>
            <w:tcW w:w="4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3.00% notes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2022</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3.95% notes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January 15, 2024</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3.25% notes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July 15, 2027</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3.20% notes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June 15, 2029</w:t>
            </w: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4.50% notes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2044</w:t>
            </w: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3.625% notes</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August 1, 2046</w:t>
            </w:r>
          </w:p>
        </w:tc>
      </w:tr>
      <w:tr>
        <w:trPr>
          <w:trHeight w:val="33"/>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30"/>
        </w:trPr>
        <w:tc>
          <w:tcPr>
            <w:tcW w:w="52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2,819,200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2,419,200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37"/>
        </w:trPr>
        <w:tc>
          <w:tcPr>
            <w:tcW w:w="5280" w:type="dxa"/>
            <w:vAlign w:val="bottom"/>
            <w:gridSpan w:val="2"/>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(14,921)</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senior notes and debentures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2,807,134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2,404,279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64"/>
        </w:trPr>
        <w:tc>
          <w:tcPr>
            <w:tcW w:w="4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7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71,519</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shd w:val="clear" w:color="auto" w:fill="CCEEFF"/>
              </w:rPr>
              <w:t>Various</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Various through 2106</w:t>
            </w:r>
          </w:p>
        </w:tc>
      </w:tr>
      <w:tr>
        <w:trPr>
          <w:trHeight w:val="217"/>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3,356,594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3,229,204</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interest rates on these mortgages range from 3.91% to 5.00%.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On January 31, 2019, we repaid the $20.3 million mortgage loan on Rollingwood Apartments, at par, prior to its original maturity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6" w:right="239" w:bottom="95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June 7, 2019, we issued $300.0 million of fixed rate senior unsecured notes that mature on June 15, 2029 and bear interest at 3.20%. The notes were offered at 99.838% of the principal amount with a yield to maturity of 3.219%. On August 21, 2019, we issued an additional $100.0 million senior notes of the same series and with the same terms. The August notes were offered at 103.813% of the principal amount, with a yield to maturity of 2.744%. The combined net proceeds from the note offerings after net issuance premium, underwriting fees, and other costs were $399.9 million, which were primarily used to repay our $275.0 million unsecured term loan, at par, on June 7, 2019 and for general corporate purposes.</w:t>
      </w:r>
    </w:p>
    <w:p>
      <w:pPr>
        <w:spacing w:after="0" w:line="11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July 25, 2019, we amended our revolving credit facility to increase our borrowing capacity to $1.0 billion and extend the maturity date to January 19, 2024, plus two six-month extensions at our option. Under the amended facility, the spread over LIBOR is 77.5 basis points based on our current credit rating. In addition, we have an option (subject to bank approval) to increase the credit facility through an accordion feature to $1.5 billion.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During 2019, 2018 and 2017, the maximum amount of borrowings outstanding under our revolving credit facility was $116.5 million, $177.0 million and</w:t>
      </w:r>
    </w:p>
    <w:p>
      <w:pPr>
        <w:spacing w:after="0" w:line="3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$344.0 million, respectively. The weighted average amount of borrowings outstanding was $26.8 million, $83.1 million and $147.5 million, respectively, and the weighted average interest rate, before amortization of debt fees, was 3.2%, 2.7% and 1.9%, respectively. The revolving credit facility requires an annual facility fee of $1.0 million. At December 31, 2019 and 2018, our revolving credit facility had no balance outstanding.</w:t>
      </w:r>
    </w:p>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our Hoboken, New Jersey acquisitions in 2019, we assumed mortgage loans with a face amount of $41.6 million and a fair value of $42.9 million, and entered into a new mortgage loan with a face amount of $56.5 million. The mortgage loans associated with our Hoboken acquisitions have the following contractual terms: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Principal</w:t>
            </w:r>
          </w:p>
        </w:tc>
        <w:tc>
          <w:tcPr>
            <w:tcW w:w="2360" w:type="dxa"/>
            <w:vAlign w:val="bottom"/>
          </w:tcPr>
          <w:p>
            <w:pPr>
              <w:jc w:val="right"/>
              <w:ind w:right="392"/>
              <w:spacing w:after="0"/>
              <w:rPr>
                <w:sz w:val="20"/>
                <w:szCs w:val="20"/>
                <w:color w:val="auto"/>
              </w:rPr>
            </w:pPr>
            <w:r>
              <w:rPr>
                <w:rFonts w:ascii="Arial" w:cs="Arial" w:eastAsia="Arial" w:hAnsi="Arial"/>
                <w:sz w:val="16"/>
                <w:szCs w:val="16"/>
                <w:b w:val="1"/>
                <w:bCs w:val="1"/>
                <w:color w:val="auto"/>
              </w:rPr>
              <w:t>Stated Interest Rate</w:t>
            </w:r>
          </w:p>
        </w:tc>
        <w:tc>
          <w:tcPr>
            <w:tcW w:w="560" w:type="dxa"/>
            <w:vAlign w:val="bottom"/>
          </w:tcPr>
          <w:p>
            <w:pPr>
              <w:spacing w:after="0"/>
              <w:rPr>
                <w:sz w:val="18"/>
                <w:szCs w:val="18"/>
                <w:color w:val="auto"/>
              </w:rPr>
            </w:pPr>
          </w:p>
        </w:tc>
        <w:tc>
          <w:tcPr>
            <w:tcW w:w="2720" w:type="dxa"/>
            <w:vAlign w:val="bottom"/>
          </w:tcPr>
          <w:p>
            <w:pPr>
              <w:jc w:val="right"/>
              <w:ind w:right="992"/>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1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1"/>
        </w:trPr>
        <w:tc>
          <w:tcPr>
            <w:tcW w:w="1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(in millions)</w:t>
            </w:r>
          </w:p>
        </w:tc>
        <w:tc>
          <w:tcPr>
            <w:tcW w:w="2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3"/>
        </w:trPr>
        <w:tc>
          <w:tcPr>
            <w:tcW w:w="34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18, 2019 (date assumed)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July 1, 2042</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w w:val="91"/>
              </w:rPr>
              <w:t>November 26, 2019</w:t>
            </w:r>
          </w:p>
        </w:tc>
        <w:tc>
          <w:tcPr>
            <w:tcW w:w="1900" w:type="dxa"/>
            <w:vAlign w:val="bottom"/>
          </w:tcPr>
          <w:p>
            <w:pPr>
              <w:ind w:left="20"/>
              <w:spacing w:after="0"/>
              <w:rPr>
                <w:sz w:val="20"/>
                <w:szCs w:val="20"/>
                <w:color w:val="auto"/>
              </w:rPr>
            </w:pPr>
            <w:r>
              <w:rPr>
                <w:rFonts w:ascii="Arial" w:cs="Arial" w:eastAsia="Arial" w:hAnsi="Arial"/>
                <w:sz w:val="18"/>
                <w:szCs w:val="18"/>
                <w:color w:val="auto"/>
              </w:rPr>
              <w:t>(date originated)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360" w:type="dxa"/>
            <w:vAlign w:val="bottom"/>
          </w:tcPr>
          <w:p>
            <w:pPr>
              <w:jc w:val="right"/>
              <w:ind w:right="112"/>
              <w:spacing w:after="0"/>
              <w:rPr>
                <w:sz w:val="20"/>
                <w:szCs w:val="20"/>
                <w:color w:val="auto"/>
              </w:rPr>
            </w:pPr>
            <w:r>
              <w:rPr>
                <w:rFonts w:ascii="Arial" w:cs="Arial" w:eastAsia="Arial" w:hAnsi="Arial"/>
                <w:sz w:val="18"/>
                <w:szCs w:val="18"/>
                <w:color w:val="auto"/>
              </w:rPr>
              <w:t>LIBOR + 1.95%</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(1)</w:t>
            </w:r>
          </w:p>
        </w:tc>
        <w:tc>
          <w:tcPr>
            <w:tcW w:w="2720" w:type="dxa"/>
            <w:vAlign w:val="bottom"/>
          </w:tcPr>
          <w:p>
            <w:pPr>
              <w:jc w:val="right"/>
              <w:ind w:right="392"/>
              <w:spacing w:after="0"/>
              <w:rPr>
                <w:sz w:val="20"/>
                <w:szCs w:val="20"/>
                <w:color w:val="auto"/>
              </w:rPr>
            </w:pPr>
            <w:r>
              <w:rPr>
                <w:rFonts w:ascii="Arial" w:cs="Arial" w:eastAsia="Arial" w:hAnsi="Arial"/>
                <w:sz w:val="18"/>
                <w:szCs w:val="18"/>
                <w:color w:val="auto"/>
              </w:rPr>
              <w:t>December 15, 2029</w:t>
            </w:r>
          </w:p>
        </w:tc>
      </w:tr>
      <w:tr>
        <w:trPr>
          <w:trHeight w:val="27"/>
        </w:trPr>
        <w:tc>
          <w:tcPr>
            <w:tcW w:w="1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November 26, 2019</w:t>
            </w:r>
          </w:p>
        </w:tc>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(date assumed)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Various</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(2)</w:t>
            </w:r>
          </w:p>
        </w:tc>
        <w:tc>
          <w:tcPr>
            <w:tcW w:w="27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Various (2)</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December 19, 2019 (date assumed)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360" w:type="dxa"/>
            <w:vAlign w:val="bottom"/>
          </w:tcPr>
          <w:p>
            <w:pPr>
              <w:jc w:val="right"/>
              <w:ind w:right="112"/>
              <w:spacing w:after="0"/>
              <w:rPr>
                <w:sz w:val="20"/>
                <w:szCs w:val="20"/>
                <w:color w:val="auto"/>
              </w:rPr>
            </w:pPr>
            <w:r>
              <w:rPr>
                <w:rFonts w:ascii="Arial" w:cs="Arial" w:eastAsia="Arial" w:hAnsi="Arial"/>
                <w:sz w:val="18"/>
                <w:szCs w:val="18"/>
                <w:color w:val="auto"/>
              </w:rPr>
              <w:t>Various</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(3)</w:t>
            </w:r>
          </w:p>
        </w:tc>
        <w:tc>
          <w:tcPr>
            <w:tcW w:w="2720" w:type="dxa"/>
            <w:vAlign w:val="bottom"/>
          </w:tcPr>
          <w:p>
            <w:pPr>
              <w:jc w:val="right"/>
              <w:ind w:right="112"/>
              <w:spacing w:after="0"/>
              <w:rPr>
                <w:sz w:val="20"/>
                <w:szCs w:val="20"/>
                <w:color w:val="auto"/>
              </w:rPr>
            </w:pPr>
            <w:r>
              <w:rPr>
                <w:rFonts w:ascii="Arial" w:cs="Arial" w:eastAsia="Arial" w:hAnsi="Arial"/>
                <w:sz w:val="18"/>
                <w:szCs w:val="18"/>
                <w:color w:val="auto"/>
              </w:rPr>
              <w:t>Various (3)</w:t>
            </w: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interest rate is effectively fixed at 3.67% as a result of two interest rate swap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interest rates on these mortgages range from 3.91% to 5.00% and have maturity dates ranging from January 9, 2025 to May 31, 2029.</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interests rates on these mortgages range from 4.00% to 4.38% and have maturity dates ranging from October 1, 2025 to July 1, 2026.</w:t>
      </w:r>
    </w:p>
    <w:p>
      <w:pPr>
        <w:spacing w:after="0" w:line="16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revolving credit facility and certain notes require us to comply with various financial covenants, including the maintenance of minimum shareholders’ equity and debt coverage ratios and a maximum ratio of debt to net worth. As of December 31, 2019, we were in compliance with all default related debt covenants.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mortgages payable, notes payable, senior notes and debentures as of December 31, 2019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Mortgages</w:t>
            </w:r>
          </w:p>
        </w:tc>
        <w:tc>
          <w:tcPr>
            <w:tcW w:w="320" w:type="dxa"/>
            <w:vAlign w:val="bottom"/>
          </w:tcPr>
          <w:p>
            <w:pPr>
              <w:spacing w:after="0"/>
              <w:rPr>
                <w:sz w:val="14"/>
                <w:szCs w:val="14"/>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Notes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Senior Notes and</w:t>
            </w:r>
          </w:p>
        </w:tc>
        <w:tc>
          <w:tcPr>
            <w:tcW w:w="280" w:type="dxa"/>
            <w:vAlign w:val="bottom"/>
          </w:tcPr>
          <w:p>
            <w:pPr>
              <w:spacing w:after="0"/>
              <w:rPr>
                <w:sz w:val="14"/>
                <w:szCs w:val="14"/>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4"/>
                <w:szCs w:val="14"/>
                <w:b w:val="1"/>
                <w:bCs w:val="1"/>
                <w:color w:val="auto"/>
                <w:w w:val="90"/>
              </w:rPr>
              <w:t>Payable</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Payable</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Debentures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Principal</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66,252</w:t>
            </w:r>
          </w:p>
        </w:tc>
        <w:tc>
          <w:tcPr>
            <w:tcW w:w="5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613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66,865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31,519</w:t>
            </w: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680</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282,199</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119,460</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756</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370,216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3,293</w:t>
            </w: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775</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279,068</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3,421</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665</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304,086</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323,302</w:t>
            </w:r>
          </w:p>
        </w:tc>
        <w:tc>
          <w:tcPr>
            <w:tcW w:w="5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w:t>
            </w:r>
          </w:p>
        </w:tc>
        <w:tc>
          <w:tcPr>
            <w:tcW w:w="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1,744,200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2,067,856</w:t>
            </w: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547,247</w:t>
            </w:r>
          </w:p>
        </w:tc>
        <w:tc>
          <w:tcPr>
            <w:tcW w:w="5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3,843</w:t>
            </w:r>
          </w:p>
        </w:tc>
        <w:tc>
          <w:tcPr>
            <w:tcW w:w="5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2,819,200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3,370,290</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00" w:hanging="328"/>
        <w:spacing w:after="0" w:line="261"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$1.0 billion revolving credit facility matures on January 19, 2024, plus two six-month extensions at our option. As of December 31, 2019, there was no outstanding balance under this credit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right="4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 fair value measurement is based on the assumptions that market participants would use in pricing an asset or liability in an orderly transaction. The hierarchy for inputs used in measuring fair value are as follows:</w:t>
      </w:r>
    </w:p>
    <w:p>
      <w:pPr>
        <w:spacing w:after="0" w:line="116" w:lineRule="exact"/>
        <w:rPr>
          <w:sz w:val="20"/>
          <w:szCs w:val="20"/>
          <w:color w:val="auto"/>
        </w:rPr>
      </w:pPr>
    </w:p>
    <w:p>
      <w:pPr>
        <w:ind w:left="580" w:hanging="545"/>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198" w:lineRule="exact"/>
        <w:rPr>
          <w:rFonts w:ascii="Arial" w:cs="Arial" w:eastAsia="Arial" w:hAnsi="Arial"/>
          <w:sz w:val="18"/>
          <w:szCs w:val="18"/>
          <w:color w:val="auto"/>
        </w:rPr>
      </w:pPr>
    </w:p>
    <w:p>
      <w:pPr>
        <w:ind w:left="580" w:hanging="545"/>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198" w:lineRule="exact"/>
        <w:rPr>
          <w:rFonts w:ascii="Arial" w:cs="Arial" w:eastAsia="Arial" w:hAnsi="Arial"/>
          <w:sz w:val="18"/>
          <w:szCs w:val="18"/>
          <w:color w:val="auto"/>
        </w:rPr>
      </w:pPr>
    </w:p>
    <w:p>
      <w:pPr>
        <w:ind w:left="580" w:right="3180" w:hanging="545"/>
        <w:spacing w:after="0" w:line="277"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3 Inputs—prices or valuation techniques that require inputs that are both significant to the fair value measurement and unobservable</w:t>
      </w:r>
    </w:p>
    <w:p>
      <w:pPr>
        <w:spacing w:after="0" w:line="14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549,460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562,049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753,406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751,361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2,807,134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3,001,216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2,404,279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2,371,392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2019, we entered into two interest rate swap agreements with notional amounts of $56.5 million that are measured at fair value on a recurring basis. The interest rate swap agreements fix the interest rate on $56.5 million of mortgage payables associated with our Hoboken acquisition at 3.67% through December 15, 2029.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2019 was an asset of $0.1 million and is included in "prepaid expenses and other assets" on our consolidated balance sheet. During 2019, we reclassified less than $0.1 million from other comprehensive income as an increase to interest expense. A summary of our financial assets that are measured at fair value on a recurring basis, by level within the fair value hierarchy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 2019</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December 31, 2018</w:t>
            </w:r>
          </w:p>
        </w:tc>
        <w:tc>
          <w:tcPr>
            <w:tcW w:w="780" w:type="dxa"/>
            <w:vAlign w:val="bottom"/>
            <w:tcBorders>
              <w:bottom w:val="single" w:sz="8" w:color="auto"/>
            </w:tcBorders>
          </w:tcPr>
          <w:p>
            <w:pPr>
              <w:spacing w:after="0"/>
              <w:rPr>
                <w:sz w:val="16"/>
                <w:szCs w:val="16"/>
                <w:color w:val="auto"/>
              </w:rPr>
            </w:pPr>
          </w:p>
        </w:tc>
      </w:tr>
      <w:tr>
        <w:trPr>
          <w:trHeight w:val="264"/>
        </w:trPr>
        <w:tc>
          <w:tcPr>
            <w:tcW w:w="28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r>
      <w:tr>
        <w:trPr>
          <w:trHeight w:val="250"/>
        </w:trPr>
        <w:tc>
          <w:tcPr>
            <w:tcW w:w="2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40" w:type="dxa"/>
            <w:vAlign w:val="bottom"/>
            <w:gridSpan w:val="4"/>
          </w:tcPr>
          <w:p>
            <w:pPr>
              <w:ind w:left="30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One of our equity method investees has two interest rate swaps which qualify as cash flow hedges. At December 31, 2019 and December 31, 2018, our share of the decrease in fair value of the related swaps included in "accumulated other comprehensive loss" was $0.9 million and $0.4 million, respectively.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w:t>
      </w:r>
    </w:p>
    <w:p>
      <w:pPr>
        <w:spacing w:after="0" w:line="5" w:lineRule="exact"/>
        <w:rPr>
          <w:sz w:val="20"/>
          <w:szCs w:val="20"/>
          <w:color w:val="auto"/>
        </w:rPr>
      </w:pPr>
    </w:p>
    <w:p>
      <w:pPr>
        <w:ind w:right="120" w:firstLine="8"/>
        <w:spacing w:after="0" w:line="261"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owner of the properties due to certain matters relating to the operation of the properties by the tenant, and (2) where appropriate, due to certain matters relating to the ownership of the properties prior to their acquisition by us.</w:t>
      </w:r>
    </w:p>
    <w:p>
      <w:pPr>
        <w:spacing w:after="0" w:line="13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1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w:t>
      </w:r>
    </w:p>
    <w:p>
      <w:pPr>
        <w:spacing w:after="0" w:line="1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December 31, 2019 and 2018, our reserves for general liability costs were $3.0 million and $3.1 million, respectively, and are included in “accounts payable and accrued expenses” in our consolidated balance sheets. Any potential losses which exceed our estimates would result in a decrease in our net income. During 2019 and 2018, we made payments from these reserves of $1.3 million and $1.4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had letters of credit outstanding of approximately $4.3 million.</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December 31, 2019 in connection with capital improvement, development, and redevelopment projects, the Trust has contractual obligations of approximately $572.4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their present value for properties under finance leases as of December 31, 2019, are as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6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2020</w:t>
            </w:r>
          </w:p>
        </w:tc>
        <w:tc>
          <w:tcPr>
            <w:tcW w:w="6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5,800</w:t>
            </w:r>
          </w:p>
        </w:tc>
      </w:tr>
      <w:tr>
        <w:trPr>
          <w:trHeight w:val="27"/>
        </w:trPr>
        <w:tc>
          <w:tcPr>
            <w:tcW w:w="40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2022</w:t>
            </w:r>
          </w:p>
        </w:tc>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5,810</w:t>
            </w:r>
          </w:p>
        </w:tc>
      </w:tr>
      <w:tr>
        <w:trPr>
          <w:trHeight w:val="27"/>
        </w:trPr>
        <w:tc>
          <w:tcPr>
            <w:tcW w:w="40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60,013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2024</w:t>
            </w:r>
          </w:p>
        </w:tc>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1,013</w:t>
            </w:r>
          </w:p>
        </w:tc>
      </w:tr>
      <w:tr>
        <w:trPr>
          <w:trHeight w:val="27"/>
        </w:trPr>
        <w:tc>
          <w:tcPr>
            <w:tcW w:w="40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0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81,849</w:t>
            </w:r>
          </w:p>
        </w:tc>
      </w:tr>
      <w:tr>
        <w:trPr>
          <w:trHeight w:val="237"/>
        </w:trPr>
        <w:tc>
          <w:tcPr>
            <w:tcW w:w="40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160,285</w:t>
            </w:r>
          </w:p>
        </w:tc>
      </w:tr>
      <w:tr>
        <w:trPr>
          <w:trHeight w:val="27"/>
        </w:trPr>
        <w:tc>
          <w:tcPr>
            <w:tcW w:w="40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6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(88,808)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Add straight line lease obligation</w:t>
            </w:r>
          </w:p>
        </w:tc>
        <w:tc>
          <w:tcPr>
            <w:tcW w:w="6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585</w:t>
            </w:r>
          </w:p>
        </w:tc>
      </w:tr>
      <w:tr>
        <w:trPr>
          <w:trHeight w:val="27"/>
        </w:trPr>
        <w:tc>
          <w:tcPr>
            <w:tcW w:w="400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w:t>
            </w:r>
          </w:p>
        </w:tc>
        <w:tc>
          <w:tcPr>
            <w:tcW w:w="60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72,062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000" w:type="dxa"/>
            <w:vAlign w:val="bottom"/>
          </w:tcPr>
          <w:p>
            <w:pPr>
              <w:spacing w:after="0"/>
              <w:rPr>
                <w:sz w:val="24"/>
                <w:szCs w:val="24"/>
                <w:color w:val="auto"/>
              </w:rPr>
            </w:pPr>
          </w:p>
        </w:tc>
        <w:tc>
          <w:tcPr>
            <w:tcW w:w="6240" w:type="dxa"/>
            <w:vAlign w:val="bottom"/>
            <w:gridSpan w:val="2"/>
          </w:tcPr>
          <w:p>
            <w:pPr>
              <w:jc w:val="right"/>
              <w:ind w:right="4270"/>
              <w:spacing w:after="0"/>
              <w:rPr>
                <w:sz w:val="20"/>
                <w:szCs w:val="20"/>
                <w:color w:val="auto"/>
              </w:rPr>
            </w:pPr>
            <w:r>
              <w:rPr>
                <w:rFonts w:ascii="Arial" w:cs="Arial" w:eastAsia="Arial" w:hAnsi="Arial"/>
                <w:sz w:val="18"/>
                <w:szCs w:val="18"/>
                <w:color w:val="auto"/>
              </w:rPr>
              <w:t>F-23</w:t>
            </w: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operating lease agreements on several shopping centers requiring minimum annual payments as follows, as of December 31, 2019:</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4,824</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4,948</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4,951</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179,896</w:t>
            </w:r>
          </w:p>
        </w:tc>
      </w:tr>
      <w:tr>
        <w:trPr>
          <w:trHeight w:val="237"/>
        </w:trPr>
        <w:tc>
          <w:tcPr>
            <w:tcW w:w="100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204,439</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2019, our estimated maximum liability upon exercise of the put option would range from approximately $79 million to $84 million.</w:t>
      </w:r>
    </w:p>
    <w:p>
      <w:pPr>
        <w:spacing w:after="0" w:line="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master lease for Melville Mall includes a fixed purchase price option in 2021 for $5 million. If we fail to exercise our purchase option, the owner of Melville Mall has a put option which would require us to purchase Melville Mall in 2023 for $5 million.</w:t>
      </w:r>
    </w:p>
    <w:p>
      <w:pPr>
        <w:spacing w:after="0" w:line="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2019, our estimated maximum liability upon exercise of the put option would range from approximately $30 million to $33 million.</w:t>
      </w:r>
    </w:p>
    <w:p>
      <w:pPr>
        <w:spacing w:after="0" w:line="52"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2019, our estimated maximum liability upon exercise of the put option would range from $7 million to $8 million.</w:t>
      </w:r>
    </w:p>
    <w:p>
      <w:pPr>
        <w:spacing w:after="0" w:line="1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Effective September 18, 2023, the other member in Hoboken has the right to require us to purchase all of its 10.0% ownership interest at the interest's then-current fair market value. Based on management's current estimate of fair market value as of December 31, 2019, our estimated maximum liability upon exercise of the put option would range from $9 million to $10 million.</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609,584 downREIT operating partnership units are outstanding which have a total fair value of $78.5 million, based on our closing stock price on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a Dividend Reinvestment Plan (the “Plan”), whereby shareholders may use their dividends and optional cash payments to purchase shares. In 2019, 2018 and 2017, 15,909 shares, 17,952 shares and 17,911 shares, respectively, were issued under the Plan.</w:t>
      </w:r>
    </w:p>
    <w:p>
      <w:pPr>
        <w:spacing w:after="0" w:line="3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September 29, 2017, we issued 6,000,000 Depositary Shares, each representing 1/1000th interest of 5.0% Series C Cumulative Redeemable Preferred Share, par value $0.01 per share ("Series C Preferred Shares"), at the liquidation preference of $25.00 per depositary share (or $25,000 per Series C Preferred share) in an underwritten public offering, which were outstanding as of December 31, 2019, 2018, and 2017. The Series C Preferred Shares accrue dividends at a rate of 5.0% of the $25,000 liquidation preference per year and are redeemable at our option on or after September 29, 2022. Additionally, they are not convertible and holders of these shares generally have no voting rights, unless we fail to pay dividends for six or more quarters. The net proceeds after underwriting fees and other costs were approximately $145.0 million for the year ended December 31, 2017.</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December 31, 2019, 2018, and 2017, we had 399,896 shares of 5.417% Series 1 Cumulative Convertible Preferred Shares (“Series 1 Preferred Shares”) outstanding that have a liquidation preference of $25 per share and par value $0.01 per share. The Series 1 Preferred Shares accrue dividends at a rate of</w:t>
      </w:r>
    </w:p>
    <w:p>
      <w:pPr>
        <w:ind w:right="60"/>
        <w:spacing w:after="0" w:line="290" w:lineRule="auto"/>
        <w:rPr>
          <w:sz w:val="20"/>
          <w:szCs w:val="20"/>
          <w:color w:val="auto"/>
        </w:rPr>
      </w:pPr>
      <w:r>
        <w:rPr>
          <w:rFonts w:ascii="Arial" w:cs="Arial" w:eastAsia="Arial" w:hAnsi="Arial"/>
          <w:sz w:val="17"/>
          <w:szCs w:val="17"/>
          <w:color w:val="auto"/>
        </w:rPr>
        <w:t>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2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May 7, 2018, we replaced our existing at-the-market (“ATM”) equity program with a new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of outstanding under our revolving credit facility and/or for general corporate purposes. For the year ended December 31, 2019, we issued 1,069,699 common shares at a weighted average price per share of $134.71 for net cash proceeds of $142.7 million and paid $1.2 million in commissions and $0.2 million in additional offering expenses related to the sales of these common shares. For the year ended December 31, 2018, we issued 987,383 common shares at a weighted average price per share of $129.19 for net cash proceeds of $126.1 million and paid $1.3 million in commissions and $0.2 million in additional offering expenses related to the sales of these common shares. As of December 31, 2019, we had the capacity to issue up to $128.3 million in common shares under our ATM equity program.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9—DIVIDENDS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2018</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700" w:type="dxa"/>
            <w:vAlign w:val="bottom"/>
            <w:tcBorders>
              <w:bottom w:val="single" w:sz="8" w:color="auto"/>
            </w:tcBorders>
          </w:tcPr>
          <w:p>
            <w:pPr>
              <w:spacing w:after="0"/>
              <w:rPr>
                <w:sz w:val="22"/>
                <w:szCs w:val="22"/>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1.354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Series C Cumulative Redeemable Preferred shares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0.368</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34" w:lineRule="exact"/>
        <w:rPr>
          <w:sz w:val="20"/>
          <w:szCs w:val="20"/>
          <w:color w:val="auto"/>
        </w:rPr>
      </w:pPr>
    </w:p>
    <w:p>
      <w:pPr>
        <w:ind w:right="4700" w:firstLine="35"/>
        <w:spacing w:after="0" w:line="608" w:lineRule="auto"/>
        <w:tabs>
          <w:tab w:leader="none" w:pos="282" w:val="left"/>
        </w:tabs>
        <w:numPr>
          <w:ilvl w:val="0"/>
          <w:numId w:val="72"/>
        </w:numPr>
        <w:rPr>
          <w:rFonts w:ascii="Arial" w:cs="Arial" w:eastAsia="Arial" w:hAnsi="Arial"/>
          <w:sz w:val="17"/>
          <w:szCs w:val="17"/>
          <w:color w:val="auto"/>
        </w:rPr>
      </w:pPr>
      <w:r>
        <w:rPr>
          <w:rFonts w:ascii="Arial" w:cs="Arial" w:eastAsia="Arial" w:hAnsi="Arial"/>
          <w:sz w:val="17"/>
          <w:szCs w:val="17"/>
          <w:color w:val="auto"/>
        </w:rPr>
        <w:t>Amount represents dividends per depositary share, each representing 1/1000th of a share. A summary of the income tax status of dividends per share paid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4.110</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3.940</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Ordinary dividend eligible for 15% rate</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0.161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4.110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3.940</w:t>
            </w:r>
          </w:p>
        </w:tc>
      </w:tr>
      <w:tr>
        <w:trPr>
          <w:trHeight w:val="67"/>
        </w:trPr>
        <w:tc>
          <w:tcPr>
            <w:tcW w:w="70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5.417% Series 1 Cumulative Convertible Preferred shares</w:t>
            </w: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1.354</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1.354</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Ordinary dividend eligible for 15% rate</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0.054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1.354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1.354</w:t>
            </w:r>
          </w:p>
        </w:tc>
      </w:tr>
      <w:tr>
        <w:trPr>
          <w:trHeight w:val="67"/>
        </w:trPr>
        <w:tc>
          <w:tcPr>
            <w:tcW w:w="70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5.0% Series C Cumulative Redeemable Preferred shares</w:t>
            </w: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1.250</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Ordinary dividend eligible for 15% rate</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0.052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spacing w:after="0"/>
              <w:rPr>
                <w:sz w:val="20"/>
                <w:szCs w:val="20"/>
                <w:color w:val="auto"/>
              </w:rPr>
            </w:pPr>
          </w:p>
        </w:tc>
        <w:tc>
          <w:tcPr>
            <w:tcW w:w="8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1.250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October 30, 2019, the Trustees declared a quarterly cash dividend of $1.05 per common share, payable January 15, 2020 to common shareholders of record on January 2,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10—OPERATING LEASES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December 31, 2019, our 104 predominantly retail shopping center and mixed-use properties are located in 12 states and the District of Columbia. There are approximately 3,000 commercial leases and 2,700 residential leases. Our commercial tenants range from sole proprietorships to national retailers and corporations. At December 31, 2019, no one tenant or corporate group of tenants accounted for more than 2.6% of annualized base rent.</w:t>
      </w:r>
    </w:p>
    <w:p>
      <w:pPr>
        <w:spacing w:after="0" w:line="11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2019, future minimum rentals from noncancelable commercial operating leases (excluding both tenant reimbursements of operating expenses and percentage rent based on tenants' sales) are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616,760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565,835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498,438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422,729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352,221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1,528,699</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3,984,682</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NOTE 11—COMPONENTS OF RENTAL EXPENSE</w:t>
            </w: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0"/>
                <w:szCs w:val="20"/>
                <w:color w:val="auto"/>
              </w:rPr>
            </w:pPr>
            <w:r>
              <w:rPr>
                <w:rFonts w:ascii="Arial" w:cs="Arial" w:eastAsia="Arial" w:hAnsi="Arial"/>
                <w:sz w:val="18"/>
                <w:szCs w:val="18"/>
                <w:color w:val="auto"/>
              </w:rPr>
              <w:t>The principal components of rental expenses are as follows: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Repairs and maintenance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73,179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67,745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67,996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Utilities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27,729</w:t>
            </w: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27,635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25,763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fees and costs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22,297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Payroll</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16,485</w:t>
            </w: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14,922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Marketing</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7,427</w:t>
            </w: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7,935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Ground rent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Bad debt (1)</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(2)</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24,242</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rental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187,831</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173,094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164,890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660" w:right="220" w:hanging="328"/>
        <w:spacing w:after="0" w:line="250"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Collectibility adjustments are now presented as a reduction of rental income rather than rental expense in accordance with our adoption of the new lease standard (see Note 2 for additional disclosure).</w:t>
      </w:r>
    </w:p>
    <w:p>
      <w:pPr>
        <w:ind w:left="660" w:right="640" w:hanging="328"/>
        <w:spacing w:after="0" w:line="261"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operating for the year ended December 31, 2019 includes an $11.9 million charge relating to the buyout of a lease at Assembly Square Marketplace.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82"/>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13,330</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12,736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12,276</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11,719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10,986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have grants outstanding under our shareholder approved 2010 Performance Incentive Plan, as amended (the "2010 Plan”), which authorized the grant of share options, common shares and other share-based awards for up to 2,450,000 common shares of beneficial interest.</w:t>
      </w:r>
    </w:p>
    <w:p>
      <w:pPr>
        <w:spacing w:after="0" w:line="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Option awards under the plan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0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2019 and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assumptions used to value options granted in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Risk free interest rate</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621"/>
        </w:trPr>
        <w:tc>
          <w:tcPr>
            <w:tcW w:w="5820" w:type="dxa"/>
            <w:vAlign w:val="bottom"/>
            <w:gridSpan w:val="2"/>
          </w:tcPr>
          <w:p>
            <w:pPr>
              <w:spacing w:after="0"/>
              <w:rPr>
                <w:sz w:val="20"/>
                <w:szCs w:val="20"/>
                <w:color w:val="auto"/>
              </w:rPr>
            </w:pPr>
            <w:r>
              <w:rPr>
                <w:rFonts w:ascii="Arial" w:cs="Arial" w:eastAsia="Arial" w:hAnsi="Arial"/>
                <w:sz w:val="18"/>
                <w:szCs w:val="18"/>
                <w:color w:val="auto"/>
              </w:rPr>
              <w:t>The following table provides a summary of option activity for 2019: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00" w:type="dxa"/>
            <w:vAlign w:val="bottom"/>
          </w:tcPr>
          <w:p>
            <w:pPr>
              <w:spacing w:after="0"/>
              <w:rPr>
                <w:sz w:val="24"/>
                <w:szCs w:val="24"/>
                <w:color w:val="auto"/>
              </w:rPr>
            </w:pPr>
          </w:p>
        </w:tc>
        <w:tc>
          <w:tcPr>
            <w:tcW w:w="11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24"/>
                <w:szCs w:val="24"/>
                <w:color w:val="auto"/>
              </w:rPr>
            </w:pPr>
          </w:p>
        </w:tc>
        <w:tc>
          <w:tcPr>
            <w:tcW w:w="144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2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Under</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4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Option</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160" w:type="dxa"/>
            <w:vAlign w:val="bottom"/>
          </w:tcPr>
          <w:p>
            <w:pPr>
              <w:spacing w:after="0"/>
              <w:rPr>
                <w:sz w:val="21"/>
                <w:szCs w:val="21"/>
                <w:color w:val="auto"/>
              </w:rPr>
            </w:pPr>
          </w:p>
        </w:tc>
        <w:tc>
          <w:tcPr>
            <w:tcW w:w="144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152.34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152.34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2019</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152.34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weighted-average grant-date fair value of options granted in 2018 was $14.42 per share, which were later forfeited during 2018. The total cash received from options exercised during 2018 and 2017 was $4.6 million and $10.0 million, respectively. The total intrinsic value of options exercised during the years ended December 31, 2018 and 2017 was $8.2 million and $10.7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restricted share activity for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206,100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130.46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122,056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133.30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2019</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220,578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129.78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The weighted-average grant-date fair value of stock awarded in 2019, 2018 and 2017 was $133.30, $112.88 and $139.31, respectively. The total vesting-date fair value of shares vested during the year ended December 31, 2019, 2018 and 2017, was $13.0 million, $9.7 million and $12.5 million, respectively.</w:t>
      </w:r>
    </w:p>
    <w:p>
      <w:pPr>
        <w:spacing w:after="0" w:line="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31, 2019, there was $17.1 million of total unrecognized compensation cost related to unvested share-based compensation arrangements (i.e. options and unvested shares) granted under our plans. This cost is expected to be recognized over the next 4.9 years with a weighted-average period of 2.4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2019, common shares were awarded under various compensation plans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Award</w:t>
            </w:r>
          </w:p>
        </w:tc>
        <w:tc>
          <w:tcPr>
            <w:tcW w:w="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Vesting Term</w:t>
            </w:r>
          </w:p>
        </w:tc>
        <w:tc>
          <w:tcPr>
            <w:tcW w:w="14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Beneficiary</w:t>
            </w:r>
          </w:p>
        </w:tc>
      </w:tr>
      <w:tr>
        <w:trPr>
          <w:trHeight w:val="25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 2020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2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Shares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Immediate</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Trustees</w:t>
            </w: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February 4, 2020</w:t>
            </w:r>
          </w:p>
        </w:tc>
        <w:tc>
          <w:tcPr>
            <w:tcW w:w="1100" w:type="dxa"/>
            <w:vAlign w:val="bottom"/>
          </w:tcPr>
          <w:p>
            <w:pPr>
              <w:jc w:val="right"/>
              <w:spacing w:after="0"/>
              <w:rPr>
                <w:sz w:val="20"/>
                <w:szCs w:val="20"/>
                <w:color w:val="auto"/>
              </w:rPr>
            </w:pPr>
            <w:r>
              <w:rPr>
                <w:rFonts w:ascii="Arial" w:cs="Arial" w:eastAsia="Arial" w:hAnsi="Arial"/>
                <w:sz w:val="18"/>
                <w:szCs w:val="18"/>
                <w:color w:val="auto"/>
              </w:rPr>
              <w:t>101,981</w:t>
            </w:r>
          </w:p>
        </w:tc>
        <w:tc>
          <w:tcPr>
            <w:tcW w:w="2440" w:type="dxa"/>
            <w:vAlign w:val="bottom"/>
            <w:gridSpan w:val="2"/>
          </w:tcPr>
          <w:p>
            <w:pPr>
              <w:ind w:left="60"/>
              <w:spacing w:after="0"/>
              <w:rPr>
                <w:sz w:val="20"/>
                <w:szCs w:val="20"/>
                <w:color w:val="auto"/>
              </w:rPr>
            </w:pPr>
            <w:r>
              <w:rPr>
                <w:rFonts w:ascii="Arial" w:cs="Arial" w:eastAsia="Arial" w:hAnsi="Arial"/>
                <w:sz w:val="18"/>
                <w:szCs w:val="18"/>
                <w:color w:val="auto"/>
              </w:rPr>
              <w:t>Restricted Shares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1-7 years</w:t>
            </w:r>
          </w:p>
        </w:tc>
        <w:tc>
          <w:tcPr>
            <w:tcW w:w="3180" w:type="dxa"/>
            <w:vAlign w:val="bottom"/>
          </w:tcPr>
          <w:p>
            <w:pPr>
              <w:ind w:left="20"/>
              <w:spacing w:after="0"/>
              <w:rPr>
                <w:sz w:val="20"/>
                <w:szCs w:val="20"/>
                <w:color w:val="auto"/>
              </w:rPr>
            </w:pPr>
            <w:r>
              <w:rPr>
                <w:rFonts w:ascii="Arial" w:cs="Arial" w:eastAsia="Arial" w:hAnsi="Arial"/>
                <w:sz w:val="18"/>
                <w:szCs w:val="18"/>
                <w:color w:val="auto"/>
              </w:rPr>
              <w:t>Officers and key employees</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13—SAVINGS AND RETIREMENT PLANS</w:t>
      </w:r>
    </w:p>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have a savings and retirement plan in accordance with the provisions of Section 401(k) of the Code. Generally, employees can elect, at their discretion, to contribute a portion of their compensation up to a maximum of $19,000 for 2019, $18,500 for 2018, and 18,000 for 2017.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2019, 2018 and 2017 was approximately $764,000, $688,000 and $632,000, respectively.</w:t>
      </w:r>
    </w:p>
    <w:p>
      <w:pPr>
        <w:spacing w:after="0" w:line="11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that allows the participants to defer a portion of their income. As of December 31, 2019 and 2018, we are liable to participants for approximately $14.7 million and $12.0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14—EARNINGS PER SHARE</w:t>
      </w:r>
    </w:p>
    <w:p>
      <w:pPr>
        <w:spacing w:after="0" w:line="9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2019, 2018, and 2017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682 anti-dilutive stock options in 2019, 2018, and 2017, respectively.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8"/>
          </w:tcPr>
          <w:p>
            <w:pPr>
              <w:jc w:val="right"/>
              <w:ind w:right="593"/>
              <w:spacing w:after="0"/>
              <w:rPr>
                <w:sz w:val="20"/>
                <w:szCs w:val="20"/>
                <w:color w:val="auto"/>
              </w:rPr>
            </w:pPr>
            <w:r>
              <w:rPr>
                <w:rFonts w:ascii="Arial" w:cs="Arial" w:eastAsia="Arial" w:hAnsi="Arial"/>
                <w:sz w:val="14"/>
                <w:szCs w:val="14"/>
                <w:b w:val="1"/>
                <w:bCs w:val="1"/>
                <w:color w:val="auto"/>
                <w:w w:val="92"/>
              </w:rPr>
              <w:t>(In thousands, except per share data)</w:t>
            </w:r>
          </w:p>
        </w:tc>
        <w:tc>
          <w:tcPr>
            <w:tcW w:w="0" w:type="dxa"/>
            <w:vAlign w:val="bottom"/>
          </w:tcPr>
          <w:p>
            <w:pPr>
              <w:spacing w:after="0"/>
              <w:rPr>
                <w:sz w:val="1"/>
                <w:szCs w:val="1"/>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360,542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249,026</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297,870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Preferred share dividends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344,817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232,935</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286,514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74,766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72,117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74,766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72,233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4.61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4.61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15—SELECTED QUARTERLY FINANCIAL DATA (UNAUDITED)</w:t>
            </w: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9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0"/>
                <w:szCs w:val="20"/>
                <w:color w:val="auto"/>
              </w:rPr>
            </w:pPr>
            <w:r>
              <w:rPr>
                <w:rFonts w:ascii="Arial" w:cs="Arial" w:eastAsia="Arial" w:hAnsi="Arial"/>
                <w:sz w:val="18"/>
                <w:szCs w:val="18"/>
                <w:color w:val="auto"/>
              </w:rPr>
              <w:t>Summarized quarterly financial data is as follows: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center"/>
              <w:ind w:right="2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24"/>
                <w:szCs w:val="24"/>
                <w:color w:val="auto"/>
              </w:rPr>
            </w:pPr>
          </w:p>
        </w:tc>
        <w:tc>
          <w:tcPr>
            <w:tcW w:w="72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86"/>
              </w:rPr>
              <w:t>Second</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293"/>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135"/>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4"/>
                <w:szCs w:val="14"/>
                <w:b w:val="1"/>
                <w:bCs w:val="1"/>
                <w:color w:val="auto"/>
              </w:rPr>
              <w:t>Quarter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7"/>
          </w:tcPr>
          <w:p>
            <w:pPr>
              <w:jc w:val="right"/>
              <w:ind w:right="331"/>
              <w:spacing w:after="0"/>
              <w:rPr>
                <w:sz w:val="20"/>
                <w:szCs w:val="20"/>
                <w:color w:val="auto"/>
              </w:rPr>
            </w:pPr>
            <w:r>
              <w:rPr>
                <w:rFonts w:ascii="Arial" w:cs="Arial" w:eastAsia="Arial" w:hAnsi="Arial"/>
                <w:sz w:val="14"/>
                <w:szCs w:val="14"/>
                <w:b w:val="1"/>
                <w:bCs w:val="1"/>
                <w:color w:val="auto"/>
                <w:w w:val="93"/>
              </w:rPr>
              <w:t>(In thousands, except per share data)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232,227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230,465</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w w:val="95"/>
              </w:rPr>
              <w:t>233,947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239,149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91,093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109,579</w:t>
            </w:r>
          </w:p>
        </w:tc>
        <w:tc>
          <w:tcPr>
            <w:tcW w:w="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94,018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176,221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61,803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82,667</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67,106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148,966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60,144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80,902</w:t>
            </w:r>
          </w:p>
        </w:tc>
        <w:tc>
          <w:tcPr>
            <w:tcW w:w="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65,465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147,355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58,134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78,891</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63,455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145,344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1.05</w:t>
            </w:r>
          </w:p>
        </w:tc>
        <w:tc>
          <w:tcPr>
            <w:tcW w:w="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share—diluted (1)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0.78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294"/>
              <w:spacing w:after="0" w:line="153"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ind w:left="155"/>
              <w:spacing w:after="0" w:line="153" w:lineRule="exact"/>
              <w:rPr>
                <w:sz w:val="20"/>
                <w:szCs w:val="20"/>
                <w:color w:val="auto"/>
              </w:rPr>
            </w:pPr>
            <w:r>
              <w:rPr>
                <w:rFonts w:ascii="Arial" w:cs="Arial" w:eastAsia="Arial" w:hAnsi="Arial"/>
                <w:sz w:val="14"/>
                <w:szCs w:val="14"/>
                <w:b w:val="1"/>
                <w:bCs w:val="1"/>
                <w:color w:val="auto"/>
                <w:w w:val="86"/>
              </w:rPr>
              <w:t>Second</w:t>
            </w: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Third</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center"/>
              <w:ind w:right="293"/>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ind w:right="2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gridSpan w:val="2"/>
            <w:shd w:val="clear" w:color="auto" w:fill="CCEEFF"/>
          </w:tcPr>
          <w:p>
            <w:pPr>
              <w:jc w:val="center"/>
              <w:ind w:left="135"/>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3"/>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Quarter</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ind w:right="313"/>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gridSpan w:val="7"/>
          </w:tcPr>
          <w:p>
            <w:pPr>
              <w:jc w:val="right"/>
              <w:ind w:right="331"/>
              <w:spacing w:after="0"/>
              <w:rPr>
                <w:sz w:val="20"/>
                <w:szCs w:val="20"/>
                <w:color w:val="auto"/>
              </w:rPr>
            </w:pPr>
            <w:r>
              <w:rPr>
                <w:rFonts w:ascii="Arial" w:cs="Arial" w:eastAsia="Arial" w:hAnsi="Arial"/>
                <w:sz w:val="14"/>
                <w:szCs w:val="14"/>
                <w:b w:val="1"/>
                <w:bCs w:val="1"/>
                <w:color w:val="auto"/>
                <w:w w:val="93"/>
              </w:rPr>
              <w:t>(In thousands, except per share data)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225,405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224,902</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w w:val="95"/>
              </w:rPr>
              <w:t>229,753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235,376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(2)</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89,461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93,868</w:t>
            </w:r>
          </w:p>
        </w:tc>
        <w:tc>
          <w:tcPr>
            <w:tcW w:w="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93,467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62,931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65,533</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64,180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56,382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 (2)</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61,247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63,595</w:t>
            </w:r>
          </w:p>
        </w:tc>
        <w:tc>
          <w:tcPr>
            <w:tcW w:w="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62,558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59,237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61,584</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60,548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52,496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 (2)</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0.84</w:t>
            </w:r>
          </w:p>
        </w:tc>
        <w:tc>
          <w:tcPr>
            <w:tcW w:w="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share—diluted (2)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0.81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0.84</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20" w:hanging="652"/>
        <w:spacing w:after="0" w:line="279"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Second and third quarter 2019 include net gains of $16.2 million and $14.3 million, respectively, related to the sale of two properties and one parcel of land, as well as condominiums sold at our Assembly Row and Pike &amp; Rose properties. Third quarter 2019 also includes an $11.9 million charge related to the buyout of a lease at Assembly Square Marketplace. Fourth quarter 2019 includes an $85.1 million net gain on sale under the threat of condemnation of a portion of San Antonio Center. All of these transactions are further discussed in Note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hanging="652"/>
        <w:spacing w:after="0" w:line="286"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First and second quarter 2018 include net gains of $3.3 million and $4.0 million, respectively, related to condominiums sold at our Assembly Row and Pike &amp; Rose properties. Third and fourth quarter 2018 include gains of $3.1 million and $1.6 million, respectively, related to the sale of one residential building and one property. All of these transactions are further discussed in Note 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16—SUBSEQUENT EVENT</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January 10, 2020, we acquired a 49,000 square foot shopping center in Fairfax, Virginia for $22.3 million. This acquisition was funded by 163,322 downREIT operating partnership units.</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240" w:top="126" w:right="45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4"/>
        </w:trPr>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3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34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29TH PLACE</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    3,868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10,211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18,863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11,985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10,195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30,864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41,059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14,953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1975 - 2001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ANDORRA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12,346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11,718</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24,064</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26,496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20,382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1/12/1988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ASSEMBLY</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ROW/ASSEMBLY</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MARKETPLACE</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 2012-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93,252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34,196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662,720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69,421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720,747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790,168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72,687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2005-2013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AZALEA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39,702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40,219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67,117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40,219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67,114</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107,333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6,109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8/2/2017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 CYNWYD</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3,565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14,466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39,175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2,683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54,523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57,206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23,062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9/22/1993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BARCROFT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1963, 1972,</w:t>
            </w: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1/13/16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12,617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29,603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6,515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12,617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36,118</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48,735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4,513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1990, &amp; 2000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11/7/16</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BARRACKS ROAD</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4,363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16,459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48,764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4,363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65,223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69,586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47,069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12/31/1985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BELL GARDENS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1990, 2003,</w:t>
            </w: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8/2/17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12,292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24,406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85,947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24,406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86,536</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110,942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10,215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11/29/18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9/25/08,</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BETHESDA ROW</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9/30/08,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46,579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35,406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151,640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43,904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189,721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233,625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85,602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1945-2008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BRICK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24,715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72,050</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4,094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92,671</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96,765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52,749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12/28/1989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BRISTOL PLAZA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3,856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15,959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11,786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3,856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27,745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31,601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19,149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BROOK 35 (New</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Jersey)</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11,304</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7,128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38,355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2,792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7,128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41,147</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48,275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8,360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1986/2004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1/1/2014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CAMPUS PLAZA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16,710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13,412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16,710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13,727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30,437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2,415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CHELSEA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8/25/06,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COMMONS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1/30/07, &amp;</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5,402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8,689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19,466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2,126</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8,669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21,612</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30,281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8,382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2"/>
              </w:rPr>
              <w:t>1962/1969/2008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7/16/08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12/16/15,</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1990/1994,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COCOWALK</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1922-1973,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6/30/17,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35,063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71,476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47,158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34,406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119,291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153,697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10,175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2018-2019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8/10/17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COLORADO BLVD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12/31/96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5,262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4,071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10,375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5,262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14,446</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19,708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11,507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1905-1988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8/14/98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CONGRESSIONAL</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2,793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7,424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95,064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2,793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102,488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105,281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58,521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1965/2003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4/1/1965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4"/>
        </w:trPr>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3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780" w:type="dxa"/>
            <w:vAlign w:val="bottom"/>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3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COURTHOUSE</w:t>
            </w: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CENTER (Maryland)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1,869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3,106</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4,975</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6,725</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2,408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12/17/1997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CROSSROADS</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4,635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11,611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19,462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4,635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31,073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35,708</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18,708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7/19/1993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CROW CANYON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COMMONS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Late 1970's/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12/29/05 &amp;</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27,245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54,575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8,392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27,245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62,967</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90,212</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25,878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1998/2006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DARIEN</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 &amp;</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30,368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19,523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7,214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30,368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26,737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57,105</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4,351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7/20/18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12/31/93,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12/14/16,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DEDHAM PLAZA</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1/29/19, &amp;</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16,658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13,964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15,825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16,658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29,789</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46,447</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17,108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3/12/19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DEL MAR</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7/11/08,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 (Florida)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15,624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41,712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15,821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15,587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57,570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73,157</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24,154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1982/1994/2007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10/14/14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EAST BAY BRIDGE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1994-2001,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29,069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138,035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11,839</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29,069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149,874</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178,943</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36,029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2011/2012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12/21/2012</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EASTGATE</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CROSSING (North</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Carolina)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5,775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27,806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33,581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35,189</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21,822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12/18/1986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ELLISBURG (New</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Jersey)</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4,028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11,309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19,277</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30,601</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34,614</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21,832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10/16/1992</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ESCONDIDO</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PROMENADE</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12/31/96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19,117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15,829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17,942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19,117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33,771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52,888</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19,105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FAIRFAX</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JUNCTION (Virgina)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10,229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11,321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10,229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11,346</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21,575</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1981/2000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2/8/2019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FALLS PLAZA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9/30/67 &amp;</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1,798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11,370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1,819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14,438</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9,078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1960/1962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10/05/72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FEDERAL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10,216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17,895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42,396</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10,216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60,291</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70,507</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46,693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6/29/1989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FINLEY SQUARE</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9,252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9,544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22,645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9,252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32,189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41,441</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22,071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FLOURTOWN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3,943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11,795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1,507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15,576</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17,083</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7,028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4/25/1980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FOURTH STREET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13,978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9,909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2,345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13,978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12,254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26,232</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1948,1975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5/19/2017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FREEDOM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3,255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35,623</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38,878</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38,878</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2018-2019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6/15/2018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FRESH MEADOWS</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24,625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25,255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43,297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24,633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68,544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93,177</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43,607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1946-1949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12/5/1997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FRIENDSHIP</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CENTER (District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Columbia)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12,696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20,803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4,662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12,696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25,465</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38,161</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13,970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9/21/2001</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GAITHERSBURG</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SQUARE (Maryland)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7,701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5,271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15,692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5,973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22,691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28,664</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18,933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GARDEN MARKET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(Illinois)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2,677</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4,829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7,295</w:t>
            </w:r>
          </w:p>
        </w:tc>
        <w:tc>
          <w:tcPr>
            <w:tcW w:w="12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2,677</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12,124</w:t>
            </w:r>
          </w:p>
        </w:tc>
        <w:tc>
          <w:tcPr>
            <w:tcW w:w="1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14,801</w:t>
            </w:r>
          </w:p>
        </w:tc>
        <w:tc>
          <w:tcPr>
            <w:tcW w:w="880" w:type="dxa"/>
            <w:vAlign w:val="bottom"/>
            <w:gridSpan w:val="2"/>
          </w:tcPr>
          <w:p>
            <w:pPr>
              <w:jc w:val="right"/>
              <w:ind w:right="36"/>
              <w:spacing w:after="0"/>
              <w:rPr>
                <w:sz w:val="20"/>
                <w:szCs w:val="20"/>
                <w:color w:val="auto"/>
              </w:rPr>
            </w:pPr>
            <w:r>
              <w:rPr>
                <w:rFonts w:ascii="Arial" w:cs="Arial" w:eastAsia="Arial" w:hAnsi="Arial"/>
                <w:sz w:val="14"/>
                <w:szCs w:val="14"/>
                <w:color w:val="auto"/>
              </w:rPr>
              <w:t>8,640</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7/28/1994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4"/>
        </w:trPr>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440" w:type="dxa"/>
            <w:vAlign w:val="bottom"/>
            <w:gridSpan w:val="2"/>
          </w:tcPr>
          <w:p>
            <w:pPr>
              <w:ind w:left="40"/>
              <w:spacing w:after="0"/>
              <w:rPr>
                <w:sz w:val="20"/>
                <w:szCs w:val="20"/>
                <w:color w:val="auto"/>
              </w:rPr>
            </w:pPr>
            <w:r>
              <w:rPr>
                <w:rFonts w:ascii="Arial" w:cs="Arial" w:eastAsia="Arial" w:hAnsi="Arial"/>
                <w:sz w:val="13"/>
                <w:szCs w:val="13"/>
                <w:b w:val="1"/>
                <w:bCs w:val="1"/>
                <w:color w:val="auto"/>
              </w:rPr>
              <w:t>Descriptions</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780" w:type="dxa"/>
            <w:vAlign w:val="bottom"/>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34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shd w:val="clear" w:color="auto" w:fill="CCEEFF"/>
              </w:rPr>
              <w:t>GEORGETOWNE</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SHOPPING</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CENTER (New</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York)</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30,738</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50,103</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946</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32,199</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49,588</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81,787</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1969/2006/2015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11/15/2019</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GOVERNOR</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PLAZA (Maryland)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4,905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20,620</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25,525</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27,593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22,092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GRAHAM PARK</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15,096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20,518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35,682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36,851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28,526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7/21/1983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GRATIOT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(Michigan)</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1,601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17,996</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19,597</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20,122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18,005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3/29/1973</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GREENLAWN</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(New York)</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10,590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20,869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10,590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21,281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31,871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3,468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1975/2004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GREENWICH</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AVENUE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(Connecticut)</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5,445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10,819</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16,264</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23,748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4,824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4/12/1995</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HASTINGS RANCH</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1958, 1984,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(California)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22,393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22,831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22,831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2,272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2006, 2007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2/1/2017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HAUPPAUGE (New</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York)</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8,791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15,262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5,388</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8,419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21,022</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29,441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13,170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8/6/1998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9/18/19,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shd w:val="clear" w:color="auto" w:fill="CCEEFF"/>
              </w:rPr>
              <w:t>HOBOKEN (New</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shd w:val="clear" w:color="auto" w:fill="CCEEFF"/>
              </w:rPr>
              <w:t>11/26/19,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Jersey)</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98,224</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45,385</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150,905</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952</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43,450</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153,792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197,242</w:t>
            </w:r>
          </w:p>
        </w:tc>
        <w:tc>
          <w:tcPr>
            <w:tcW w:w="8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628</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1887-2006</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12/19/19</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HOLLYWOOD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3/22/99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BLVD (California)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16,920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26,745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8,370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43,595</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51,965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16,783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1929/1991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6/18/99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12/12/88,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HUNTINGTON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10/26/07,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12,194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16,008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18,484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12,194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34,492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46,686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17,431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11/24/15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HUNTINGTON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SQUARE (New</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1980/2004-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York)</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10,075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3,148</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12,717</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13,223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4,238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8/16/2010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IDYLWOOD</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10,026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2,779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12,805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17,113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9,716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4/15/1994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KINGS COURT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10,714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11,580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11,580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9,545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LANCASTER</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2,103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6,116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7,787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6,008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4/24/1980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LANGHORNE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SQUARE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2,974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18,992</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21,966</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22,686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16,661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1/31/1985</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76"/>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LAUREL (Maryland)</w:t>
            </w: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7,458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22,525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28,273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7,462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50,794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58,256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40,417</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8/15/1986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LAWRENCE PARK</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w w:val="97"/>
              </w:rPr>
              <w:t>7/23/1980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6,150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8,491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19,621</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6,161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28,101</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34,262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23,385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LEESBURG PLAZA</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8,184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10,722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18,165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8,184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28,887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37,071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16,067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LINDEN SQUARE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79,382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19,247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51,735</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79,346</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71,018</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150,364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26,947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1960-2008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MELVILLE MALL</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35,622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32,882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31,450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35,622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64,332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99,954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17,028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10/16/2006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MERCER MALL</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10/14/03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440" w:type="dxa"/>
            <w:vAlign w:val="bottom"/>
            <w:gridSpan w:val="2"/>
          </w:tcPr>
          <w:p>
            <w:pPr>
              <w:ind w:left="40"/>
              <w:spacing w:after="0"/>
              <w:rPr>
                <w:sz w:val="20"/>
                <w:szCs w:val="20"/>
                <w:color w:val="auto"/>
              </w:rPr>
            </w:pPr>
            <w:r>
              <w:rPr>
                <w:rFonts w:ascii="Arial" w:cs="Arial" w:eastAsia="Arial" w:hAnsi="Arial"/>
                <w:sz w:val="14"/>
                <w:szCs w:val="14"/>
                <w:color w:val="auto"/>
              </w:rPr>
              <w:t>(New Jersey)</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5,917</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18,358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48,524</w:t>
            </w:r>
          </w:p>
        </w:tc>
        <w:tc>
          <w:tcPr>
            <w:tcW w:w="12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5,917</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66,882</w:t>
            </w:r>
          </w:p>
        </w:tc>
        <w:tc>
          <w:tcPr>
            <w:tcW w:w="1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72,799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33,340</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1/31/17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COLUMN D</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Life on</w:t>
            </w: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Cost</w:t>
            </w:r>
          </w:p>
        </w:tc>
        <w:tc>
          <w:tcPr>
            <w:tcW w:w="760" w:type="dxa"/>
            <w:vAlign w:val="bottom"/>
          </w:tcPr>
          <w:p>
            <w:pPr>
              <w:spacing w:after="0"/>
              <w:rPr>
                <w:sz w:val="11"/>
                <w:szCs w:val="11"/>
                <w:color w:val="auto"/>
              </w:rPr>
            </w:pPr>
          </w:p>
        </w:tc>
        <w:tc>
          <w:tcPr>
            <w:tcW w:w="10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close of period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depreciation</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Date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Building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and</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22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3"/>
                <w:szCs w:val="13"/>
                <w:b w:val="1"/>
                <w:bCs w:val="1"/>
                <w:color w:val="auto"/>
                <w:w w:val="86"/>
              </w:rPr>
              <w:t>Encumbrance</w:t>
            </w:r>
          </w:p>
        </w:tc>
        <w:tc>
          <w:tcPr>
            <w:tcW w:w="10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20" w:type="dxa"/>
            <w:vAlign w:val="bottom"/>
          </w:tcPr>
          <w:p>
            <w:pPr>
              <w:spacing w:after="0"/>
              <w:rPr>
                <w:sz w:val="15"/>
                <w:szCs w:val="15"/>
                <w:color w:val="auto"/>
              </w:rPr>
            </w:pPr>
          </w:p>
        </w:tc>
        <w:tc>
          <w:tcPr>
            <w:tcW w:w="76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2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620" w:type="dxa"/>
            <w:vAlign w:val="bottom"/>
          </w:tcPr>
          <w:p>
            <w:pPr>
              <w:jc w:val="right"/>
              <w:ind w:right="108"/>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57"/>
        </w:trPr>
        <w:tc>
          <w:tcPr>
            <w:tcW w:w="122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MONTROSE</w:t>
            </w: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CROSSING</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1960s, 1970s, 1996 &amp;</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12/27/11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67,492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48,624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91,819</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22,110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48,624</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113,929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162,553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32,948</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12/19/13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MOUNT</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VERNON/SOUTH</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VALLEY/7770</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3/31/03,</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RICHMOND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3/21/03, &amp;</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HWY. (Virginia)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10,068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33,501</w:t>
            </w:r>
          </w:p>
        </w:tc>
        <w:tc>
          <w:tcPr>
            <w:tcW w:w="860" w:type="dxa"/>
            <w:vAlign w:val="bottom"/>
            <w:gridSpan w:val="2"/>
          </w:tcPr>
          <w:p>
            <w:pPr>
              <w:jc w:val="right"/>
              <w:ind w:right="36"/>
              <w:spacing w:after="0"/>
              <w:rPr>
                <w:sz w:val="20"/>
                <w:szCs w:val="20"/>
                <w:color w:val="auto"/>
              </w:rPr>
            </w:pPr>
            <w:r>
              <w:rPr>
                <w:rFonts w:ascii="Arial" w:cs="Arial" w:eastAsia="Arial" w:hAnsi="Arial"/>
                <w:sz w:val="14"/>
                <w:szCs w:val="14"/>
                <w:color w:val="auto"/>
              </w:rPr>
              <w:t>42,942</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10,150</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76,361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86,511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39,734</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w w:val="93"/>
              </w:rPr>
              <w:t>1966/1972/1987/2001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1/27/06</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DARTMOUTH</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9,366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9,366</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NORTHEAST</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8,779</w:t>
            </w:r>
          </w:p>
        </w:tc>
        <w:tc>
          <w:tcPr>
            <w:tcW w:w="860" w:type="dxa"/>
            <w:vAlign w:val="bottom"/>
            <w:gridSpan w:val="2"/>
          </w:tcPr>
          <w:p>
            <w:pPr>
              <w:jc w:val="right"/>
              <w:ind w:right="36"/>
              <w:spacing w:after="0"/>
              <w:rPr>
                <w:sz w:val="20"/>
                <w:szCs w:val="20"/>
                <w:color w:val="auto"/>
              </w:rPr>
            </w:pPr>
            <w:r>
              <w:rPr>
                <w:rFonts w:ascii="Arial" w:cs="Arial" w:eastAsia="Arial" w:hAnsi="Arial"/>
                <w:sz w:val="14"/>
                <w:szCs w:val="14"/>
                <w:color w:val="auto"/>
              </w:rPr>
              <w:t>22,027</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939</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30,805</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31,744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19,120</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8/30/1983</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OLD KEENE</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MILL (Virginia)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998</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11,093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12,091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6,017</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6/15/1976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OLD TOWN</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CENTER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3,420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2,765</w:t>
            </w:r>
          </w:p>
        </w:tc>
        <w:tc>
          <w:tcPr>
            <w:tcW w:w="860" w:type="dxa"/>
            <w:vAlign w:val="bottom"/>
            <w:gridSpan w:val="2"/>
          </w:tcPr>
          <w:p>
            <w:pPr>
              <w:jc w:val="right"/>
              <w:ind w:right="36"/>
              <w:spacing w:after="0"/>
              <w:rPr>
                <w:sz w:val="20"/>
                <w:szCs w:val="20"/>
                <w:color w:val="auto"/>
              </w:rPr>
            </w:pPr>
            <w:r>
              <w:rPr>
                <w:rFonts w:ascii="Arial" w:cs="Arial" w:eastAsia="Arial" w:hAnsi="Arial"/>
                <w:sz w:val="14"/>
                <w:szCs w:val="14"/>
                <w:color w:val="auto"/>
              </w:rPr>
              <w:t>29,348</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3,420</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32,113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35,533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22,722</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1962, 1997-1998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10/22/1997</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OLIVO AT</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MISSION HILLS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15,048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46,732</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17,869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15,048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64,601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79,649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3,016</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2017-2018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64"/>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PAN AM (Virginia)</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8,694</w:t>
            </w:r>
          </w:p>
        </w:tc>
        <w:tc>
          <w:tcPr>
            <w:tcW w:w="10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12,929</w:t>
            </w:r>
          </w:p>
        </w:tc>
        <w:tc>
          <w:tcPr>
            <w:tcW w:w="860" w:type="dxa"/>
            <w:vAlign w:val="bottom"/>
            <w:gridSpan w:val="2"/>
          </w:tcPr>
          <w:p>
            <w:pPr>
              <w:jc w:val="right"/>
              <w:ind w:right="36"/>
              <w:spacing w:after="0"/>
              <w:rPr>
                <w:sz w:val="20"/>
                <w:szCs w:val="20"/>
                <w:color w:val="auto"/>
              </w:rPr>
            </w:pPr>
            <w:r>
              <w:rPr>
                <w:rFonts w:ascii="Arial" w:cs="Arial" w:eastAsia="Arial" w:hAnsi="Arial"/>
                <w:sz w:val="14"/>
                <w:szCs w:val="14"/>
                <w:color w:val="auto"/>
              </w:rPr>
              <w:t>8,314</w:t>
            </w:r>
          </w:p>
        </w:tc>
        <w:tc>
          <w:tcPr>
            <w:tcW w:w="12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8,695</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21,242</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29,937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16,292</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1979</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2/5/1993</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PENTAGON ROW</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 &amp;</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2,955</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103,383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106,338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106,338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52,509</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1999 - 2002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11/22/10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PERRING PLAZA</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6,461</w:t>
            </w:r>
          </w:p>
        </w:tc>
        <w:tc>
          <w:tcPr>
            <w:tcW w:w="860" w:type="dxa"/>
            <w:vAlign w:val="bottom"/>
            <w:gridSpan w:val="2"/>
          </w:tcPr>
          <w:p>
            <w:pPr>
              <w:jc w:val="right"/>
              <w:ind w:right="36"/>
              <w:spacing w:after="0"/>
              <w:rPr>
                <w:sz w:val="20"/>
                <w:szCs w:val="20"/>
                <w:color w:val="auto"/>
              </w:rPr>
            </w:pPr>
            <w:r>
              <w:rPr>
                <w:rFonts w:ascii="Arial" w:cs="Arial" w:eastAsia="Arial" w:hAnsi="Arial"/>
                <w:sz w:val="14"/>
                <w:szCs w:val="14"/>
                <w:color w:val="auto"/>
              </w:rPr>
              <w:t>22,943</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2,800</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29,404</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32,204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24,834</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10/1/1985</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5/18/82,</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PIKE &amp; ROSE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10/26/07,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31,471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10,335</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579,682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27,929</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593,559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621,488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50,600</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 2012-2019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7/31/12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PIKE 7 PLAZA</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3/31/97 &amp;</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14,970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22,799</w:t>
            </w:r>
          </w:p>
        </w:tc>
        <w:tc>
          <w:tcPr>
            <w:tcW w:w="860" w:type="dxa"/>
            <w:vAlign w:val="bottom"/>
            <w:gridSpan w:val="2"/>
          </w:tcPr>
          <w:p>
            <w:pPr>
              <w:jc w:val="right"/>
              <w:ind w:right="36"/>
              <w:spacing w:after="0"/>
              <w:rPr>
                <w:sz w:val="20"/>
                <w:szCs w:val="20"/>
                <w:color w:val="auto"/>
              </w:rPr>
            </w:pPr>
            <w:r>
              <w:rPr>
                <w:rFonts w:ascii="Arial" w:cs="Arial" w:eastAsia="Arial" w:hAnsi="Arial"/>
                <w:sz w:val="14"/>
                <w:szCs w:val="14"/>
                <w:color w:val="auto"/>
              </w:rPr>
              <w:t>11,569</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14,914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34,424</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49,338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18,736</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7/8/15</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DEL</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MERCADO</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10,305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21,553</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14,859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10,305</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36,412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5,571</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PLAZA DEL SOL</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8,308</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5,605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12,331</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5,605</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12,331</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17,936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1,185</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8/2/2017</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12/30/11,</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PLAZA EL</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6/14/13,</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SEGUNDO/THE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7/26/13,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POINT (California)</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124,336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62,127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153,556</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77,079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64,788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227,974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292,762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54,745</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2006/2007/2016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QUEEN ANNE</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PLAZA</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8,457</w:t>
            </w:r>
          </w:p>
        </w:tc>
        <w:tc>
          <w:tcPr>
            <w:tcW w:w="860" w:type="dxa"/>
            <w:vAlign w:val="bottom"/>
            <w:gridSpan w:val="2"/>
          </w:tcPr>
          <w:p>
            <w:pPr>
              <w:jc w:val="right"/>
              <w:ind w:right="36"/>
              <w:spacing w:after="0"/>
              <w:rPr>
                <w:sz w:val="20"/>
                <w:szCs w:val="20"/>
                <w:color w:val="auto"/>
              </w:rPr>
            </w:pPr>
            <w:r>
              <w:rPr>
                <w:rFonts w:ascii="Arial" w:cs="Arial" w:eastAsia="Arial" w:hAnsi="Arial"/>
                <w:sz w:val="14"/>
                <w:szCs w:val="14"/>
                <w:color w:val="auto"/>
              </w:rPr>
              <w:t>6,166</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3,319</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14,623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17,942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10,580</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12/23/1994</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QUINCE</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ORCHARD</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3,197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7,949</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30,386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2,928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38,604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22,770</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RIVERPOINT</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CENTER (Illinois)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15,422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104,572</w:t>
            </w:r>
          </w:p>
        </w:tc>
        <w:tc>
          <w:tcPr>
            <w:tcW w:w="860" w:type="dxa"/>
            <w:vAlign w:val="bottom"/>
            <w:gridSpan w:val="2"/>
          </w:tcPr>
          <w:p>
            <w:pPr>
              <w:jc w:val="right"/>
              <w:ind w:right="36"/>
              <w:spacing w:after="0"/>
              <w:rPr>
                <w:sz w:val="20"/>
                <w:szCs w:val="20"/>
                <w:color w:val="auto"/>
              </w:rPr>
            </w:pPr>
            <w:r>
              <w:rPr>
                <w:rFonts w:ascii="Arial" w:cs="Arial" w:eastAsia="Arial" w:hAnsi="Arial"/>
                <w:sz w:val="14"/>
                <w:szCs w:val="14"/>
                <w:color w:val="auto"/>
              </w:rPr>
              <w:t>1,930</w:t>
            </w:r>
          </w:p>
        </w:tc>
        <w:tc>
          <w:tcPr>
            <w:tcW w:w="12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15,422</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106,502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121,924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9,487</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1989, 2012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3/31/2017</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ROCKVILLE</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TOWN SQUARE</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8,092</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4"/>
                <w:szCs w:val="14"/>
                <w:color w:val="auto"/>
              </w:rPr>
              <w:t>39,639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47,731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47,731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20,001</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2005 - 2007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2006 - 2007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ROLLINGWOOD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340" w:type="dxa"/>
            <w:vAlign w:val="bottom"/>
            <w:gridSpan w:val="2"/>
          </w:tcPr>
          <w:p>
            <w:pPr>
              <w:ind w:left="40"/>
              <w:spacing w:after="0"/>
              <w:rPr>
                <w:sz w:val="20"/>
                <w:szCs w:val="20"/>
                <w:color w:val="auto"/>
              </w:rPr>
            </w:pPr>
            <w:r>
              <w:rPr>
                <w:rFonts w:ascii="Arial" w:cs="Arial" w:eastAsia="Arial" w:hAnsi="Arial"/>
                <w:sz w:val="14"/>
                <w:szCs w:val="14"/>
                <w:color w:val="auto"/>
              </w:rPr>
              <w:t>APTS. (Maryland)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2,246</w:t>
            </w:r>
          </w:p>
        </w:tc>
        <w:tc>
          <w:tcPr>
            <w:tcW w:w="860" w:type="dxa"/>
            <w:vAlign w:val="bottom"/>
            <w:gridSpan w:val="2"/>
          </w:tcPr>
          <w:p>
            <w:pPr>
              <w:jc w:val="right"/>
              <w:ind w:right="36"/>
              <w:spacing w:after="0"/>
              <w:rPr>
                <w:sz w:val="20"/>
                <w:szCs w:val="20"/>
                <w:color w:val="auto"/>
              </w:rPr>
            </w:pPr>
            <w:r>
              <w:rPr>
                <w:rFonts w:ascii="Arial" w:cs="Arial" w:eastAsia="Arial" w:hAnsi="Arial"/>
                <w:sz w:val="14"/>
                <w:szCs w:val="14"/>
                <w:color w:val="auto"/>
              </w:rPr>
              <w:t>8,575</w:t>
            </w:r>
          </w:p>
        </w:tc>
        <w:tc>
          <w:tcPr>
            <w:tcW w:w="12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774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10,599</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11,373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9,940</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1/15/1971</w:t>
            </w:r>
          </w:p>
        </w:tc>
        <w:tc>
          <w:tcPr>
            <w:tcW w:w="1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D</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4"/>
        </w:trPr>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87"/>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32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800" w:type="dxa"/>
            <w:vAlign w:val="bottom"/>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32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rPr>
              <w:t>SAM'S PARK &amp;</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SHOP (District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Columbia)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6,319</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3,022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4,840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9,341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14,181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5,912</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1958, 1964-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SAN ANTONIO</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1965, 1974-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CENTER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1975, 1995-</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1/9/2015,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26,400</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18,462</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26,400</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19,603</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46,003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3,752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9/13/19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1999-2006,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7/13/12,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2009, 2011,</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SANTANA ROW</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 2016-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4/30/13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66,682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7,502</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976,080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53,217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997,047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1,050,264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221,350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SAUGUS PLAZA</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20" w:type="dxa"/>
            <w:vAlign w:val="bottom"/>
            <w:gridSpan w:val="2"/>
          </w:tcPr>
          <w:p>
            <w:pPr>
              <w:ind w:left="40"/>
              <w:spacing w:after="0"/>
              <w:rPr>
                <w:sz w:val="20"/>
                <w:szCs w:val="20"/>
                <w:color w:val="auto"/>
              </w:rPr>
            </w:pPr>
            <w:r>
              <w:rPr>
                <w:rFonts w:ascii="Arial" w:cs="Arial" w:eastAsia="Arial" w:hAnsi="Arial"/>
                <w:sz w:val="14"/>
                <w:szCs w:val="14"/>
                <w:color w:val="auto"/>
              </w:rPr>
              <w:t>(Massachusetts)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8,291</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4,501</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12,792</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17,175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7,557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10/1/1996</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SYLMAR TOWNE</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16,854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18,522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24,636</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18,522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25,315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43,837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2,205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THE AVENUE AT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WHITE MARSH</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52,597</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20,682</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72,432</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29,311</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20,685</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101,740</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122,425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38,923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THE GROVE AT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SHREWSBURY</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1/1/2014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42,874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18,016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103,115</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5,419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18,021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108,529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126,550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20,825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1988/1993/2007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THE SHOPPES AT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NOTTINGHAM</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SQUARE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4,441</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12,849</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4,441</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13,584</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18,025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5,889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2005 - 2006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THE SHOPS AT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SUNSET PLACE</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62,426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64,499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50,853</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8,944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64,499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59,797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124,296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10,136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10/1/2015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THIRD STREET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PROMENADE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22,645</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12,709</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45,863</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25,125</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56,092</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81,217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36,201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1888-2000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1996-2000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TOWER SHOPPNG</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 (Virginia)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7,170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10,518</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4,797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7,280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15,205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22,485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9,921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1953-1960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TOWER SHOPS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1/19/11 &amp;</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20" w:type="dxa"/>
            <w:vAlign w:val="bottom"/>
            <w:gridSpan w:val="2"/>
          </w:tcPr>
          <w:p>
            <w:pPr>
              <w:ind w:left="40"/>
              <w:spacing w:after="0"/>
              <w:rPr>
                <w:sz w:val="20"/>
                <w:szCs w:val="20"/>
                <w:color w:val="auto"/>
              </w:rPr>
            </w:pPr>
            <w:r>
              <w:rPr>
                <w:rFonts w:ascii="Arial" w:cs="Arial" w:eastAsia="Arial" w:hAnsi="Arial"/>
                <w:sz w:val="14"/>
                <w:szCs w:val="14"/>
                <w:color w:val="auto"/>
              </w:rPr>
              <w:t>(Florida)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29,940</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43,390</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24,855</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29,962</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68,223</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98,185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21,085</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6/13/14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TOWN CENTER OF</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NEW BRITAIN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12,285</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2,888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1,535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14,920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16,455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5,931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6/29/2006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TOWSON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RESIDENTIAL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(FLATS @703)</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gridSpan w:val="2"/>
          </w:tcPr>
          <w:p>
            <w:pPr>
              <w:ind w:left="40"/>
              <w:spacing w:after="0"/>
              <w:rPr>
                <w:sz w:val="20"/>
                <w:szCs w:val="20"/>
                <w:color w:val="auto"/>
              </w:rPr>
            </w:pPr>
            <w:r>
              <w:rPr>
                <w:rFonts w:ascii="Arial" w:cs="Arial" w:eastAsia="Arial" w:hAnsi="Arial"/>
                <w:sz w:val="14"/>
                <w:szCs w:val="14"/>
                <w:color w:val="auto"/>
              </w:rPr>
              <w:t>(Maryland)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2,328</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20,042</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2,328</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20,042</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22,370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1,454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2016-2017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TROY HILLS (New</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Jersey)</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3,126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5,193</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32,655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5,865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35,109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40,974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23,135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TYSON'S STATION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20" w:type="dxa"/>
            <w:vAlign w:val="bottom"/>
            <w:gridSpan w:val="2"/>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453</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4,170</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4,518</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5,011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3,939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1/17/1978</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 AT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SHIRLINGTON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 2006-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9,761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14,808</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38,771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4,234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59,106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63,340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30,187</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WESTGATE</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CENTER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gridSpan w:val="2"/>
          </w:tcPr>
          <w:p>
            <w:pPr>
              <w:ind w:left="40"/>
              <w:spacing w:after="0"/>
              <w:rPr>
                <w:sz w:val="20"/>
                <w:szCs w:val="20"/>
                <w:color w:val="auto"/>
              </w:rPr>
            </w:pPr>
            <w:r>
              <w:rPr>
                <w:rFonts w:ascii="Arial" w:cs="Arial" w:eastAsia="Arial" w:hAnsi="Arial"/>
                <w:sz w:val="14"/>
                <w:szCs w:val="14"/>
                <w:color w:val="auto"/>
              </w:rPr>
              <w:t>(California)</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6,319</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107,284</w:t>
            </w:r>
          </w:p>
        </w:tc>
        <w:tc>
          <w:tcPr>
            <w:tcW w:w="900" w:type="dxa"/>
            <w:vAlign w:val="bottom"/>
            <w:gridSpan w:val="2"/>
          </w:tcPr>
          <w:p>
            <w:pPr>
              <w:jc w:val="right"/>
              <w:ind w:right="57"/>
              <w:spacing w:after="0"/>
              <w:rPr>
                <w:sz w:val="20"/>
                <w:szCs w:val="20"/>
                <w:color w:val="auto"/>
              </w:rPr>
            </w:pPr>
            <w:r>
              <w:rPr>
                <w:rFonts w:ascii="Arial" w:cs="Arial" w:eastAsia="Arial" w:hAnsi="Arial"/>
                <w:sz w:val="14"/>
                <w:szCs w:val="14"/>
                <w:color w:val="auto"/>
              </w:rPr>
              <w:t>43,870</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6,319</w:t>
            </w:r>
          </w:p>
        </w:tc>
        <w:tc>
          <w:tcPr>
            <w:tcW w:w="10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151,154</w:t>
            </w:r>
          </w:p>
        </w:tc>
        <w:tc>
          <w:tcPr>
            <w:tcW w:w="10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157,473</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61,106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1960-1966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3/31/2004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WHITE MARSH</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(Maryland)</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21,413</w:t>
            </w:r>
          </w:p>
        </w:tc>
        <w:tc>
          <w:tcPr>
            <w:tcW w:w="90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22,441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25,919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9,736</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6"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A</w:t>
            </w: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Arial" w:cs="Arial" w:eastAsia="Arial" w:hAnsi="Arial"/>
                <w:sz w:val="13"/>
                <w:szCs w:val="13"/>
                <w:b w:val="1"/>
                <w:bCs w:val="1"/>
                <w:color w:val="auto"/>
              </w:rPr>
              <w:t>COLUMN F</w:t>
            </w: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COLUMN I</w:t>
            </w:r>
          </w:p>
        </w:tc>
        <w:tc>
          <w:tcPr>
            <w:tcW w:w="0" w:type="dxa"/>
            <w:vAlign w:val="bottom"/>
          </w:tcPr>
          <w:p>
            <w:pPr>
              <w:spacing w:after="0"/>
              <w:rPr>
                <w:sz w:val="1"/>
                <w:szCs w:val="1"/>
                <w:color w:val="auto"/>
              </w:rPr>
            </w:pPr>
          </w:p>
        </w:tc>
      </w:tr>
      <w:tr>
        <w:trPr>
          <w:trHeight w:val="144"/>
        </w:trPr>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87"/>
              </w:rPr>
              <w:t>Gross amount at which carried at</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4"/>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38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120" w:type="dxa"/>
            <w:vAlign w:val="bottom"/>
          </w:tcPr>
          <w:p>
            <w:pPr>
              <w:spacing w:after="0"/>
              <w:rPr>
                <w:sz w:val="15"/>
                <w:szCs w:val="15"/>
                <w:color w:val="auto"/>
              </w:rPr>
            </w:pPr>
          </w:p>
        </w:tc>
        <w:tc>
          <w:tcPr>
            <w:tcW w:w="840" w:type="dxa"/>
            <w:vAlign w:val="bottom"/>
          </w:tcPr>
          <w:p>
            <w:pPr>
              <w:ind w:left="40"/>
              <w:spacing w:after="0"/>
              <w:rPr>
                <w:sz w:val="20"/>
                <w:szCs w:val="20"/>
                <w:color w:val="auto"/>
              </w:rPr>
            </w:pPr>
            <w:r>
              <w:rPr>
                <w:rFonts w:ascii="Arial" w:cs="Arial" w:eastAsia="Arial" w:hAnsi="Arial"/>
                <w:sz w:val="13"/>
                <w:szCs w:val="13"/>
                <w:b w:val="1"/>
                <w:bCs w:val="1"/>
                <w:color w:val="auto"/>
                <w:w w:val="90"/>
              </w:rPr>
              <w:t>Encumbrance</w:t>
            </w:r>
          </w:p>
        </w:tc>
        <w:tc>
          <w:tcPr>
            <w:tcW w:w="12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Arial" w:cs="Arial" w:eastAsia="Arial" w:hAnsi="Arial"/>
                <w:sz w:val="13"/>
                <w:szCs w:val="13"/>
                <w:b w:val="1"/>
                <w:bCs w:val="1"/>
                <w:color w:val="auto"/>
              </w:rPr>
              <w:t>Land</w:t>
            </w:r>
          </w:p>
        </w:tc>
        <w:tc>
          <w:tcPr>
            <w:tcW w:w="12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9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38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WHITE MARSH</w:t>
            </w:r>
          </w:p>
        </w:tc>
        <w:tc>
          <w:tcPr>
            <w:tcW w:w="1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OTHER (Maryland)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29,725</w:t>
            </w:r>
          </w:p>
        </w:tc>
        <w:tc>
          <w:tcPr>
            <w:tcW w:w="12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1,843</w:t>
            </w:r>
          </w:p>
        </w:tc>
        <w:tc>
          <w:tcPr>
            <w:tcW w:w="1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29,754</w:t>
            </w:r>
          </w:p>
        </w:tc>
        <w:tc>
          <w:tcPr>
            <w:tcW w:w="10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31,714</w:t>
            </w:r>
          </w:p>
        </w:tc>
        <w:tc>
          <w:tcPr>
            <w:tcW w:w="100" w:type="dxa"/>
            <w:vAlign w:val="bottom"/>
          </w:tcPr>
          <w:p>
            <w:pPr>
              <w:spacing w:after="0"/>
              <w:rPr>
                <w:sz w:val="16"/>
                <w:szCs w:val="16"/>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913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WILDWOOD</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9,111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15,905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9,111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16,966</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26,077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9,208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5/5/1969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5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 GROVE</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(Pennsylvania)</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1,499</w:t>
            </w:r>
          </w:p>
        </w:tc>
        <w:tc>
          <w:tcPr>
            <w:tcW w:w="12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6,643</w:t>
            </w:r>
          </w:p>
        </w:tc>
        <w:tc>
          <w:tcPr>
            <w:tcW w:w="120" w:type="dxa"/>
            <w:vAlign w:val="bottom"/>
          </w:tcPr>
          <w:p>
            <w:pPr>
              <w:spacing w:after="0"/>
              <w:rPr>
                <w:sz w:val="16"/>
                <w:szCs w:val="16"/>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color w:val="auto"/>
              </w:rPr>
              <w:t>22,061</w:t>
            </w:r>
          </w:p>
        </w:tc>
        <w:tc>
          <w:tcPr>
            <w:tcW w:w="10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1,499</w:t>
            </w:r>
          </w:p>
        </w:tc>
        <w:tc>
          <w:tcPr>
            <w:tcW w:w="10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28,704</w:t>
            </w:r>
          </w:p>
        </w:tc>
        <w:tc>
          <w:tcPr>
            <w:tcW w:w="10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30,203</w:t>
            </w:r>
          </w:p>
        </w:tc>
        <w:tc>
          <w:tcPr>
            <w:tcW w:w="100" w:type="dxa"/>
            <w:vAlign w:val="bottom"/>
          </w:tcPr>
          <w:p>
            <w:pPr>
              <w:spacing w:after="0"/>
              <w:rPr>
                <w:sz w:val="16"/>
                <w:szCs w:val="16"/>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27,812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11/20/1984</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63"/>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WILLOW LAWN</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3,192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7,723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91,838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7,790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94,963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102,753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62,087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12/5/1983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157"/>
        </w:trPr>
        <w:tc>
          <w:tcPr>
            <w:tcW w:w="15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WYNNEWOOD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(Pennsylvania)</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8,055</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13,759</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21,272</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8,055</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35,031</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43,086</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25,668</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10/29/1996</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(1)</w:t>
            </w:r>
          </w:p>
        </w:tc>
        <w:tc>
          <w:tcPr>
            <w:tcW w:w="0" w:type="dxa"/>
            <w:vAlign w:val="bottom"/>
          </w:tcPr>
          <w:p>
            <w:pPr>
              <w:spacing w:after="0"/>
              <w:rPr>
                <w:sz w:val="1"/>
                <w:szCs w:val="1"/>
                <w:color w:val="auto"/>
              </w:rPr>
            </w:pPr>
          </w:p>
        </w:tc>
      </w:tr>
      <w:tr>
        <w:trPr>
          <w:trHeight w:val="243"/>
        </w:trPr>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TOTALS</w:t>
            </w:r>
          </w:p>
        </w:tc>
        <w:tc>
          <w:tcPr>
            <w:tcW w:w="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545,679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94"/>
              </w:rPr>
              <w:t>$1,449,865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1"/>
              </w:rPr>
              <w:t>$ 2,526,772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w w:val="94"/>
              </w:rPr>
              <w:t>$4,321,495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4"/>
              </w:rPr>
              <w:t>$1,414,814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91"/>
              </w:rPr>
              <w:t>$ 6,883,318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6"/>
              </w:rPr>
              <w:t>$8,298,132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6"/>
              </w:rPr>
              <w:t>$2,215,413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40" w:right="1840" w:hanging="5208"/>
        <w:spacing w:after="0" w:line="528" w:lineRule="auto"/>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Depreciation of building and improvements is calculated based on useful lives ranging from the life of the lease to 50 years. F-36</w:t>
      </w:r>
    </w:p>
    <w:p>
      <w:pPr>
        <w:sectPr>
          <w:pgSz w:w="11900" w:h="16838" w:orient="portrait"/>
          <w:cols w:equalWidth="0" w:num="1">
            <w:col w:w="11420"/>
          </w:cols>
          <w:pgMar w:left="240" w:top="126"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0"/>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2019</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Reconciliation of Total Cost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6,759,073</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555,476</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492,541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(172,029)</w:t>
            </w:r>
          </w:p>
        </w:tc>
        <w:tc>
          <w:tcPr>
            <w:tcW w:w="0" w:type="dxa"/>
            <w:vAlign w:val="bottom"/>
          </w:tcPr>
          <w:p>
            <w:pPr>
              <w:spacing w:after="0"/>
              <w:rPr>
                <w:sz w:val="1"/>
                <w:szCs w:val="1"/>
                <w:color w:val="auto"/>
              </w:rPr>
            </w:pPr>
          </w:p>
        </w:tc>
      </w:tr>
      <w:tr>
        <w:trPr>
          <w:trHeight w:val="23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2017</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7,635,061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14,940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407,225</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(237,754)</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7,819,472</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January 1, 2019 adoption of new accounting standard - See Note 2</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(71,859)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309,921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441,703</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(201,105)</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2019 (1)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8,298,132</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060" w:type="dxa"/>
            <w:vAlign w:val="bottom"/>
            <w:gridSpan w:val="2"/>
          </w:tcPr>
          <w:p>
            <w:pPr>
              <w:spacing w:after="0"/>
              <w:rPr>
                <w:sz w:val="20"/>
                <w:szCs w:val="20"/>
                <w:color w:val="auto"/>
              </w:rPr>
            </w:pPr>
            <w:r>
              <w:rPr>
                <w:rFonts w:ascii="Arial" w:cs="Arial" w:eastAsia="Arial" w:hAnsi="Arial"/>
                <w:sz w:val="18"/>
                <w:szCs w:val="18"/>
                <w:color w:val="auto"/>
              </w:rPr>
              <w:t>(1) For Federal tax purposes, the aggregate cost basis is approximately $7.4 billion as of December 31, 2019.</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20" w:type="dxa"/>
            <w:vAlign w:val="bottom"/>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color w:val="auto"/>
                <w:w w:val="91"/>
              </w:rPr>
              <w:t>F-37</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0"/>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2019</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Reconciliation of Accumulated Depreciation and Amortization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1,729,234</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193,340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(46,030)</w:t>
            </w:r>
          </w:p>
        </w:tc>
        <w:tc>
          <w:tcPr>
            <w:tcW w:w="0" w:type="dxa"/>
            <w:vAlign w:val="bottom"/>
          </w:tcPr>
          <w:p>
            <w:pPr>
              <w:spacing w:after="0"/>
              <w:rPr>
                <w:sz w:val="1"/>
                <w:szCs w:val="1"/>
                <w:color w:val="auto"/>
              </w:rPr>
            </w:pPr>
          </w:p>
        </w:tc>
      </w:tr>
      <w:tr>
        <w:trPr>
          <w:trHeight w:val="23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2017</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1,876,544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215,969</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(33,370)</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2,059,143</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January 1, 2019 adoption of new accounting standard - See Note 2</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(18,173)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215,382</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period—dispositions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(40,939)</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2,215,413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F-38</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12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57">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gridSpan w:val="2"/>
          </w:tcPr>
          <w:p>
            <w:pPr>
              <w:ind w:left="440"/>
              <w:spacing w:after="0"/>
              <w:rPr>
                <w:sz w:val="20"/>
                <w:szCs w:val="20"/>
                <w:color w:val="auto"/>
              </w:rPr>
            </w:pPr>
            <w:r>
              <w:rPr>
                <w:rFonts w:ascii="Arial" w:cs="Arial" w:eastAsia="Arial" w:hAnsi="Arial"/>
                <w:sz w:val="14"/>
                <w:szCs w:val="14"/>
                <w:b w:val="1"/>
                <w:bCs w:val="1"/>
                <w:color w:val="auto"/>
              </w:rPr>
              <w:t>Column A</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Column B</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Column C</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Column D</w:t>
            </w:r>
          </w:p>
        </w:tc>
        <w:tc>
          <w:tcPr>
            <w:tcW w:w="240" w:type="dxa"/>
            <w:vAlign w:val="bottom"/>
          </w:tcPr>
          <w:p>
            <w:pPr>
              <w:spacing w:after="0"/>
              <w:rPr>
                <w:sz w:val="16"/>
                <w:szCs w:val="16"/>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Column E</w:t>
            </w:r>
          </w:p>
        </w:tc>
        <w:tc>
          <w:tcPr>
            <w:tcW w:w="18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Column F</w:t>
            </w:r>
          </w:p>
        </w:tc>
        <w:tc>
          <w:tcPr>
            <w:tcW w:w="16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Column G</w:t>
            </w:r>
          </w:p>
        </w:tc>
        <w:tc>
          <w:tcPr>
            <w:tcW w:w="160" w:type="dxa"/>
            <w:vAlign w:val="bottom"/>
          </w:tcPr>
          <w:p>
            <w:pPr>
              <w:spacing w:after="0"/>
              <w:rPr>
                <w:sz w:val="16"/>
                <w:szCs w:val="16"/>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Column H</w:t>
            </w:r>
          </w:p>
        </w:tc>
        <w:tc>
          <w:tcPr>
            <w:tcW w:w="0" w:type="dxa"/>
            <w:vAlign w:val="bottom"/>
          </w:tcPr>
          <w:p>
            <w:pPr>
              <w:spacing w:after="0"/>
              <w:rPr>
                <w:sz w:val="1"/>
                <w:szCs w:val="1"/>
                <w:color w:val="auto"/>
              </w:rPr>
            </w:pPr>
          </w:p>
        </w:tc>
      </w:tr>
      <w:tr>
        <w:trPr>
          <w:trHeight w:val="152"/>
        </w:trPr>
        <w:tc>
          <w:tcPr>
            <w:tcW w:w="1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of Loans</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Periodic Payment</w:t>
            </w:r>
          </w:p>
        </w:tc>
        <w:tc>
          <w:tcPr>
            <w:tcW w:w="240" w:type="dxa"/>
            <w:vAlign w:val="bottom"/>
          </w:tcPr>
          <w:p>
            <w:pPr>
              <w:spacing w:after="0"/>
              <w:rPr>
                <w:sz w:val="12"/>
                <w:szCs w:val="12"/>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2"/>
                <w:szCs w:val="12"/>
                <w:color w:val="auto"/>
              </w:rPr>
            </w:pPr>
          </w:p>
        </w:tc>
        <w:tc>
          <w:tcPr>
            <w:tcW w:w="11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Face Amount</w:t>
            </w: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delinquent</w:t>
            </w:r>
          </w:p>
        </w:tc>
        <w:tc>
          <w:tcPr>
            <w:tcW w:w="0" w:type="dxa"/>
            <w:vAlign w:val="bottom"/>
          </w:tcPr>
          <w:p>
            <w:pPr>
              <w:spacing w:after="0"/>
              <w:rPr>
                <w:sz w:val="1"/>
                <w:szCs w:val="1"/>
                <w:color w:val="auto"/>
              </w:rPr>
            </w:pPr>
          </w:p>
        </w:tc>
      </w:tr>
      <w:tr>
        <w:trPr>
          <w:trHeight w:val="149"/>
        </w:trPr>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Lien</w:t>
            </w:r>
          </w:p>
        </w:tc>
        <w:tc>
          <w:tcPr>
            <w:tcW w:w="120" w:type="dxa"/>
            <w:vAlign w:val="bottom"/>
            <w:vMerge w:val="restart"/>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20" w:type="dxa"/>
            <w:vAlign w:val="bottom"/>
            <w:vMerge w:val="restart"/>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Terms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Liens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of Mortgages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of Mortgages(1)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3"/>
              </w:rPr>
              <w:t>or Interest</w:t>
            </w:r>
          </w:p>
        </w:tc>
        <w:tc>
          <w:tcPr>
            <w:tcW w:w="0" w:type="dxa"/>
            <w:vAlign w:val="bottom"/>
          </w:tcPr>
          <w:p>
            <w:pPr>
              <w:spacing w:after="0"/>
              <w:rPr>
                <w:sz w:val="1"/>
                <w:szCs w:val="1"/>
                <w:color w:val="auto"/>
              </w:rPr>
            </w:pPr>
          </w:p>
        </w:tc>
      </w:tr>
      <w:tr>
        <w:trPr>
          <w:trHeight w:val="219"/>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 or 10%</w:t>
            </w: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2021</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only</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98"/>
              </w:rPr>
              <w:t>21,179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21,179   (2)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retail buildings in</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on</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monthly; balloon</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Philadelphia, PA</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timing of</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due</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draws, plus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 maturity</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participation</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Mortgage on retail</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10% plus</w:t>
            </w:r>
          </w:p>
        </w:tc>
        <w:tc>
          <w:tcPr>
            <w:tcW w:w="1380" w:type="dxa"/>
            <w:vAlign w:val="bottom"/>
            <w:gridSpan w:val="2"/>
          </w:tcPr>
          <w:p>
            <w:pPr>
              <w:ind w:left="40"/>
              <w:spacing w:after="0"/>
              <w:rPr>
                <w:sz w:val="20"/>
                <w:szCs w:val="20"/>
                <w:color w:val="auto"/>
              </w:rPr>
            </w:pPr>
            <w:r>
              <w:rPr>
                <w:rFonts w:ascii="Arial" w:cs="Arial" w:eastAsia="Arial" w:hAnsi="Arial"/>
                <w:sz w:val="16"/>
                <w:szCs w:val="16"/>
                <w:color w:val="auto"/>
              </w:rPr>
              <w:t>May 2021</w:t>
            </w: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Interest only</w:t>
            </w:r>
          </w:p>
        </w:tc>
        <w:tc>
          <w:tcPr>
            <w:tcW w:w="240" w:type="dxa"/>
            <w:vAlign w:val="bottom"/>
          </w:tcPr>
          <w:p>
            <w:pPr>
              <w:spacing w:after="0"/>
              <w:rPr>
                <w:sz w:val="19"/>
                <w:szCs w:val="19"/>
                <w:color w:val="auto"/>
              </w:rPr>
            </w:pPr>
          </w:p>
        </w:tc>
        <w:tc>
          <w:tcPr>
            <w:tcW w:w="118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ind w:right="43"/>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24"/>
              <w:spacing w:after="0"/>
              <w:rPr>
                <w:sz w:val="20"/>
                <w:szCs w:val="20"/>
                <w:color w:val="auto"/>
              </w:rPr>
            </w:pPr>
            <w:r>
              <w:rPr>
                <w:rFonts w:ascii="Arial" w:cs="Arial" w:eastAsia="Arial" w:hAnsi="Arial"/>
                <w:sz w:val="16"/>
                <w:szCs w:val="16"/>
                <w:color w:val="auto"/>
              </w:rPr>
              <w:t>9,250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buildings in</w:t>
            </w: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participation</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monthly;</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Philadelphia, PA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balloon payment due</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at maturity</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98"/>
              </w:rPr>
              <w:t>30,429</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30,429</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6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Federal tax purposes, the aggregate tax basis is approximately $30.4 million as of December 31, 2019.</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mortgage is available for up to $25.0 million.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6"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2760" w:type="dxa"/>
            <w:vAlign w:val="bottom"/>
            <w:gridSpan w:val="2"/>
          </w:tcPr>
          <w:p>
            <w:pPr>
              <w:spacing w:after="0"/>
              <w:rPr>
                <w:rFonts w:ascii="Arial" w:cs="Arial" w:eastAsia="Arial" w:hAnsi="Arial"/>
                <w:sz w:val="16"/>
                <w:szCs w:val="16"/>
                <w:b w:val="1"/>
                <w:bCs w:val="1"/>
                <w:color w:val="0000EE"/>
              </w:rPr>
            </w:pPr>
            <w:hyperlink w:anchor="page57">
              <w:r>
                <w:rPr>
                  <w:rFonts w:ascii="Arial" w:cs="Arial" w:eastAsia="Arial" w:hAnsi="Arial"/>
                  <w:sz w:val="16"/>
                  <w:szCs w:val="16"/>
                  <w:b w:val="1"/>
                  <w:bCs w:val="1"/>
                  <w:color w:val="0000EE"/>
                </w:rPr>
                <w:t>Table of Contents</w:t>
              </w:r>
            </w:hyperlink>
          </w:p>
        </w:tc>
        <w:tc>
          <w:tcPr>
            <w:tcW w:w="7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10"/>
        </w:trPr>
        <w:tc>
          <w:tcPr>
            <w:tcW w:w="122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7740" w:type="dxa"/>
            <w:vAlign w:val="bottom"/>
            <w:gridSpan w:val="2"/>
          </w:tcPr>
          <w:p>
            <w:pPr>
              <w:jc w:val="center"/>
              <w:ind w:right="1750"/>
              <w:spacing w:after="0"/>
              <w:rPr>
                <w:sz w:val="20"/>
                <w:szCs w:val="20"/>
                <w:color w:val="auto"/>
              </w:rPr>
            </w:pPr>
            <w:r>
              <w:rPr>
                <w:rFonts w:ascii="Arial" w:cs="Arial" w:eastAsia="Arial" w:hAnsi="Arial"/>
                <w:sz w:val="18"/>
                <w:szCs w:val="18"/>
                <w:b w:val="1"/>
                <w:bCs w:val="1"/>
                <w:color w:val="auto"/>
              </w:rPr>
              <w:t>FEDERAL REALTY INVESTMENT TRUST</w:t>
            </w:r>
          </w:p>
        </w:tc>
        <w:tc>
          <w:tcPr>
            <w:tcW w:w="92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740" w:type="dxa"/>
            <w:vAlign w:val="bottom"/>
            <w:gridSpan w:val="2"/>
          </w:tcPr>
          <w:p>
            <w:pPr>
              <w:jc w:val="center"/>
              <w:ind w:right="1730"/>
              <w:spacing w:after="0"/>
              <w:rPr>
                <w:sz w:val="20"/>
                <w:szCs w:val="20"/>
                <w:color w:val="auto"/>
              </w:rPr>
            </w:pPr>
            <w:r>
              <w:rPr>
                <w:rFonts w:ascii="Arial" w:cs="Arial" w:eastAsia="Arial" w:hAnsi="Arial"/>
                <w:sz w:val="18"/>
                <w:szCs w:val="18"/>
                <w:b w:val="1"/>
                <w:bCs w:val="1"/>
                <w:color w:val="auto"/>
              </w:rPr>
              <w:t>SCHEDULE IV</w:t>
            </w:r>
          </w:p>
        </w:tc>
        <w:tc>
          <w:tcPr>
            <w:tcW w:w="9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740" w:type="dxa"/>
            <w:vAlign w:val="bottom"/>
            <w:gridSpan w:val="2"/>
          </w:tcPr>
          <w:p>
            <w:pPr>
              <w:jc w:val="center"/>
              <w:ind w:right="1750"/>
              <w:spacing w:after="0"/>
              <w:rPr>
                <w:sz w:val="20"/>
                <w:szCs w:val="20"/>
                <w:color w:val="auto"/>
              </w:rPr>
            </w:pPr>
            <w:r>
              <w:rPr>
                <w:rFonts w:ascii="Arial" w:cs="Arial" w:eastAsia="Arial" w:hAnsi="Arial"/>
                <w:sz w:val="18"/>
                <w:szCs w:val="18"/>
                <w:b w:val="1"/>
                <w:bCs w:val="1"/>
                <w:color w:val="auto"/>
                <w:w w:val="99"/>
              </w:rPr>
              <w:t>MORTGAGE LOANS ON REAL ESTATE - CONTINUED</w:t>
            </w:r>
          </w:p>
        </w:tc>
        <w:tc>
          <w:tcPr>
            <w:tcW w:w="9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740" w:type="dxa"/>
            <w:vAlign w:val="bottom"/>
            <w:gridSpan w:val="2"/>
          </w:tcPr>
          <w:p>
            <w:pPr>
              <w:jc w:val="center"/>
              <w:ind w:right="1750"/>
              <w:spacing w:after="0"/>
              <w:rPr>
                <w:sz w:val="20"/>
                <w:szCs w:val="20"/>
                <w:color w:val="auto"/>
              </w:rPr>
            </w:pPr>
            <w:r>
              <w:rPr>
                <w:rFonts w:ascii="Arial" w:cs="Arial" w:eastAsia="Arial" w:hAnsi="Arial"/>
                <w:sz w:val="18"/>
                <w:szCs w:val="18"/>
                <w:b w:val="1"/>
                <w:bCs w:val="1"/>
                <w:color w:val="auto"/>
                <w:w w:val="90"/>
              </w:rPr>
              <w:t>Three Years Ended December 31, 2019</w:t>
            </w:r>
          </w:p>
        </w:tc>
        <w:tc>
          <w:tcPr>
            <w:tcW w:w="9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740" w:type="dxa"/>
            <w:vAlign w:val="bottom"/>
            <w:gridSpan w:val="2"/>
          </w:tcPr>
          <w:p>
            <w:pPr>
              <w:jc w:val="center"/>
              <w:ind w:right="1730"/>
              <w:spacing w:after="0"/>
              <w:rPr>
                <w:sz w:val="20"/>
                <w:szCs w:val="20"/>
                <w:color w:val="auto"/>
              </w:rPr>
            </w:pPr>
            <w:r>
              <w:rPr>
                <w:rFonts w:ascii="Arial" w:cs="Arial" w:eastAsia="Arial" w:hAnsi="Arial"/>
                <w:sz w:val="18"/>
                <w:szCs w:val="18"/>
                <w:b w:val="1"/>
                <w:bCs w:val="1"/>
                <w:color w:val="auto"/>
                <w:w w:val="91"/>
              </w:rPr>
              <w:t>Reconciliation of Carrying Amount</w:t>
            </w:r>
          </w:p>
        </w:tc>
        <w:tc>
          <w:tcPr>
            <w:tcW w:w="9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740" w:type="dxa"/>
            <w:vAlign w:val="bottom"/>
            <w:gridSpan w:val="2"/>
          </w:tcPr>
          <w:p>
            <w:pPr>
              <w:jc w:val="center"/>
              <w:ind w:right="175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0"/>
                <w:szCs w:val="20"/>
                <w:color w:val="auto"/>
              </w:rPr>
            </w:pPr>
          </w:p>
        </w:tc>
      </w:tr>
      <w:tr>
        <w:trPr>
          <w:trHeight w:val="378"/>
        </w:trPr>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77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29,904</w:t>
            </w:r>
          </w:p>
        </w:tc>
      </w:tr>
      <w:tr>
        <w:trPr>
          <w:trHeight w:val="243"/>
        </w:trPr>
        <w:tc>
          <w:tcPr>
            <w:tcW w:w="27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7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Issuance of loans</w:t>
            </w:r>
          </w:p>
        </w:tc>
        <w:tc>
          <w:tcPr>
            <w:tcW w:w="73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237"/>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2017</w:t>
            </w:r>
          </w:p>
        </w:tc>
        <w:tc>
          <w:tcPr>
            <w:tcW w:w="73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30,429</w:t>
            </w:r>
          </w:p>
        </w:tc>
      </w:tr>
      <w:tr>
        <w:trPr>
          <w:trHeight w:val="27"/>
        </w:trPr>
        <w:tc>
          <w:tcPr>
            <w:tcW w:w="12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7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30,429</w:t>
            </w:r>
          </w:p>
        </w:tc>
      </w:tr>
      <w:tr>
        <w:trPr>
          <w:trHeight w:val="257"/>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2019</w:t>
            </w:r>
          </w:p>
        </w:tc>
        <w:tc>
          <w:tcPr>
            <w:tcW w:w="73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30,429</w:t>
            </w:r>
          </w:p>
        </w:tc>
      </w:tr>
      <w:tr>
        <w:trPr>
          <w:trHeight w:val="20"/>
        </w:trPr>
        <w:tc>
          <w:tcPr>
            <w:tcW w:w="1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24"/>
        </w:trPr>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740" w:type="dxa"/>
            <w:vAlign w:val="bottom"/>
            <w:gridSpan w:val="2"/>
          </w:tcPr>
          <w:p>
            <w:pPr>
              <w:jc w:val="center"/>
              <w:ind w:right="1750"/>
              <w:spacing w:after="0"/>
              <w:rPr>
                <w:sz w:val="20"/>
                <w:szCs w:val="20"/>
                <w:color w:val="auto"/>
              </w:rPr>
            </w:pPr>
            <w:r>
              <w:rPr>
                <w:rFonts w:ascii="Arial" w:cs="Arial" w:eastAsia="Arial" w:hAnsi="Arial"/>
                <w:sz w:val="18"/>
                <w:szCs w:val="18"/>
                <w:color w:val="auto"/>
                <w:w w:val="91"/>
              </w:rPr>
              <w:t>F-40</w:t>
            </w:r>
          </w:p>
        </w:tc>
        <w:tc>
          <w:tcPr>
            <w:tcW w:w="9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4.8</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following description sets forth certain material terms and provisions of our securities that are registered under Section 12 of the Securities Exchange Act of 1934, as amended. This description also contains summaries of relevant portions of the Code of Maryland, including Title 8 of the Corporations and Associations Article, or Maryland REIT Law, our declaration of trust, our bylaws and the articles supplementary with respect to our Series C preferred shares (as defined below). The following summary of the material terms, rights and preferences of our securities does not purport to be complete and is subject to and qualified in its entirety by reference to our declaration of trust, bylaws and the articles supplementary establishing the Series C preferred shares, copies of which are incorporated by reference as exhibits to the Annual Report on Form 10-K of which this exhibit is a part, as well as the laws of the State of Maryland, including the Maryland REIT law. We encourage you to read the laws of the State of Maryland, including Maryland REIT law, our declaration of trust, bylaws and the articles supplementary establishing the Series C preferred shares for additional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exhibit, references to “we,” “us,” “our” or “ours” refer to Federal Realty Investment Trust.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February 5, 2020, we had issued and outstanding 75,651,842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Holders of our common shares are entitled to receive distributions, or dividends, on our common shares if the Board of Trustees authorizes a dividend to the holders of our common shares out of our legally available assets. The right of holders of common shares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holders of our common shares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w:t>
      </w:r>
    </w:p>
    <w:p>
      <w:pPr>
        <w:spacing w:after="0" w:line="108" w:lineRule="exact"/>
        <w:rPr>
          <w:sz w:val="20"/>
          <w:szCs w:val="20"/>
          <w:color w:val="auto"/>
        </w:rPr>
      </w:pPr>
    </w:p>
    <w:p>
      <w:pPr>
        <w:ind w:right="40" w:firstLine="432"/>
        <w:spacing w:after="0" w:line="266" w:lineRule="auto"/>
        <w:rPr>
          <w:sz w:val="20"/>
          <w:szCs w:val="20"/>
          <w:color w:val="auto"/>
        </w:rPr>
      </w:pPr>
      <w:r>
        <w:rPr>
          <w:rFonts w:ascii="Arial" w:cs="Arial" w:eastAsia="Arial" w:hAnsi="Arial"/>
          <w:sz w:val="18"/>
          <w:szCs w:val="18"/>
          <w:b w:val="1"/>
          <w:bCs w:val="1"/>
          <w:i w:val="1"/>
          <w:iCs w:val="1"/>
          <w:color w:val="auto"/>
        </w:rPr>
        <w:t>Ranking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outstanding Series 1 preferred shares and Series C preferred shares rank senior to our common shares with respect to the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as to the distribution of assets in the event of our liquidation, dissolution or winding up. All outstanding common shares are fully paid and non-assessable.</w:t>
      </w:r>
    </w:p>
    <w:p>
      <w:pPr>
        <w:spacing w:after="0" w:line="126"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Holders of common shares do not have any right to:</w:t>
      </w:r>
    </w:p>
    <w:p>
      <w:pPr>
        <w:spacing w:after="0" w:line="23"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convert their common shares into any other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require us to repurchase their common shares;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1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ectPr>
          <w:pgSz w:w="11900" w:h="16838" w:orient="portrait"/>
          <w:cols w:equalWidth="0" w:num="1">
            <w:col w:w="11420"/>
          </w:cols>
          <w:pgMar w:left="240" w:top="553" w:right="239" w:bottom="1440" w:gutter="0" w:footer="0" w:header="0"/>
        </w:sectPr>
      </w:pPr>
    </w:p>
    <w:bookmarkStart w:id="97" w:name="page98"/>
    <w:bookmarkEnd w:id="97"/>
    <w:p>
      <w:pPr>
        <w:ind w:firstLine="432"/>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660" w:hanging="328"/>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51"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51" w:lineRule="exact"/>
        <w:rPr>
          <w:rFonts w:ascii="Arial" w:cs="Arial" w:eastAsia="Arial" w:hAnsi="Arial"/>
          <w:sz w:val="18"/>
          <w:szCs w:val="18"/>
          <w:color w:val="auto"/>
        </w:rPr>
      </w:pPr>
    </w:p>
    <w:p>
      <w:pPr>
        <w:ind w:left="660" w:right="40" w:hanging="328"/>
        <w:spacing w:after="0" w:line="286"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30"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Internal Revenue Code of 1986, as amended, or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our shareholders, to:</w:t>
      </w:r>
    </w:p>
    <w:p>
      <w:pPr>
        <w:spacing w:after="0" w:line="187"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2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b w:val="1"/>
          <w:bCs w:val="1"/>
          <w:i w:val="1"/>
          <w:iCs w:val="1"/>
          <w:color w:val="auto"/>
        </w:rPr>
        <w:t xml:space="preserve">No Preemptive, Conversion or Subscription Rights; No Redemption or Sinking Fund Provisions. </w:t>
      </w:r>
      <w:r>
        <w:rPr>
          <w:rFonts w:ascii="Arial" w:cs="Arial" w:eastAsia="Arial" w:hAnsi="Arial"/>
          <w:sz w:val="18"/>
          <w:szCs w:val="18"/>
          <w:color w:val="auto"/>
        </w:rPr>
        <w:t>Holders of our common shares have no preemptive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conversion rights, and there are no sinking fund or redemption provisions relating to our common shares. In addition, under our declaration of trust, no holder of shares of beneficial interest has any preemptive rights to subscribe to any issuance 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ectPr>
          <w:pgSz w:w="11900" w:h="16838" w:orient="portrait"/>
          <w:cols w:equalWidth="0" w:num="1">
            <w:col w:w="11400"/>
          </w:cols>
          <w:pgMar w:left="240" w:top="773"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Depositary Shares each Representing a 1/1000 Fractional Interest in a 5.000% Series C Preferred Share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Board of Trustees, has adopted articles supplementary to our declaration of trust establishing the terms of the Series C preferred shares consisting of 6,400 shares, designated 5.000% Series C Cumulative Redeemable Preferred Shares, $0.01 par value per share. Unless redeemed or otherwise repurchased by us, the Series C preferred shares have a perpetual term with no stated maturity date. The following summary of the terms and provisions of the Series C preferred shares does not purport to be complete and is qualified in its entirety by reference to the pertinent sections of our declaration of trust, which includes the articles supplementary establishing the Series C preferred shares.</w:t>
      </w:r>
    </w:p>
    <w:p>
      <w:pPr>
        <w:spacing w:after="0" w:line="11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Each depositary share represents a 1/1000 fractional interest in a Series C preferred share. The Series C preferred shares are deposited with American Stock Transfer &amp; Trust Company, LLC, as depositary (referred to herein as the preferred share depositary), under a deposit agreement between us, the preferred share depositary and the holders from time to time of the depositary receipts issued by the preferred share depositary thereunder. The depositary receipts evidence the depositary shares. Subject to the terms of the deposit agreement, each holder of a depositary receipt representing a depositary share is entitled to all the rights and preferences of a fractional interest in a Series C preferred share (including dividends, voting, redemption and liquidation rights and preferences). Holders of depositary shares representing Series C preferred shares may surrender their depositary receipts and the depositary will be required to deliver certificates to the holder of the depositary shares representing Series C preferred shares evidencing the number of preferred shares represented by those receipts (but only in whole shares). If a holder delivers depositary receipts representing a number of depositary shares that is greater than the number of whole shares to be withdrawn, the depositary will deliver to the holder, at the same time, a new depositary receipt evidencing the fractional shares.</w:t>
      </w:r>
    </w:p>
    <w:p>
      <w:pPr>
        <w:spacing w:after="0" w:line="141"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b w:val="1"/>
          <w:bCs w:val="1"/>
          <w:i w:val="1"/>
          <w:iCs w:val="1"/>
          <w:color w:val="auto"/>
        </w:rPr>
        <w:t xml:space="preserve">Ranking. </w:t>
      </w:r>
      <w:r>
        <w:rPr>
          <w:rFonts w:ascii="Arial" w:cs="Arial" w:eastAsia="Arial" w:hAnsi="Arial"/>
          <w:sz w:val="16"/>
          <w:szCs w:val="16"/>
          <w:color w:val="auto"/>
        </w:rPr>
        <w:t>With respect to the payment of dividends and distribution of our assets and rights upon liquidation, dissolution or winding up, the Series 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shares rank (i) senior to our common shares and to all other equity securities that, by their terms, rank junior to the Series C preferred shares, (ii) on a parity with all equity securities issued by us other than those referred to in clause (i) or clause (iii), including our outstanding Series 1 preferred shares, and</w:t>
      </w:r>
    </w:p>
    <w:p>
      <w:pPr>
        <w:ind w:right="300" w:firstLine="8"/>
        <w:spacing w:after="0" w:line="255" w:lineRule="auto"/>
        <w:tabs>
          <w:tab w:leader="none" w:pos="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junior to all equity securities issued by us whose senior ranking is consented to by holders of at least two-thirds of the shares of the Series C preferred shares outstanding at the time. For these purposes, the term “equity securities” does not include convertible debt securities. We currently have no equity securities outstanding senior to the Series C preferred shares.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Holders of the Series C preferred shares shall be entitled to receive, when, as and if authorized by our Board of Trustees and declared by us, out of assets legally available for payment, cumulative cash dividends at the rate of 5.000% of the $25,000.00 liquidation preference per year (equal to $1.250 per depositary share per year). Dividends on the Series C preferred shares shall accrue and be cumulative from, and including, the date of original issue and shall be payable, subject to authorization by our Board of Trustees and declaration by us, quarterly in arrears on January 15, April 15, July 15 and October 15 of each year, commencing on January 15, 2018, or, if any such date is not a business day, the next succeeding business day. Dividends payable on the Series C preferred shares are computed on the basis of a 360-day year consisting of twelve 30-day months. The preferred share depositary distributes cash dividends received in respect of the Series C preferred shares to the record holders of the depositary receipts as of the close of business on the applicable record date, which shall be the first day of the calendar month in which the applicable dividend payment date falls or such other date designated by our Board of Trustees for the payment of dividends that is not more than 30 nor less than 10 days prior to the dividend payment date.</w:t>
      </w:r>
    </w:p>
    <w:p>
      <w:pPr>
        <w:spacing w:after="0" w:line="11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No full dividends shall be declared or paid or set apart for payment on any class or series of equity securities ranking, as to dividends or payment upon liquidation, dissolution or winding up, on a parity with or junior to our Series C preferred shares unless full cumulative dividends have been or contemporaneously are declared and paid or declared and a sum sufficient for the payment thereof set apart for that payment on the Series C preferred shares for all past dividend periods.</w:t>
      </w:r>
    </w:p>
    <w:p>
      <w:pPr>
        <w:spacing w:after="0" w:line="13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When dividends are not paid in full (or a sum sufficient for their full payment is not so set apart) on the Series C preferred shares and any other class or series of equity securities ranking on a parity as to dividends or payment upon liquidation, dissolution or winding up with the Series C preferred shares, all dividends declared upon the Series C preferred shares and any other such equity securities shall be declared pro rata so that the amount of dividends declared per share on the Series C preferred shares and all other such parity securities shall in all cases bear to each other the same ratio that accrued and unpaid dividends per share on the Series C preferred shares and all other such parity securities bear to each other.</w:t>
      </w:r>
    </w:p>
    <w:p>
      <w:pPr>
        <w:spacing w:after="0" w:line="11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Except as provided in the immediately preceding paragraph, unless full cumulative dividends on the Series C preferred shares have been or contemporaneously are declared and paid or declared and a sum sufficient for the payment thereof set apart for payment for all past dividend periods, then no dividends (other than in the form of our common shares or any of our other</w:t>
      </w:r>
    </w:p>
    <w:p>
      <w:pPr>
        <w:sectPr>
          <w:pgSz w:w="11900" w:h="16838" w:orient="portrait"/>
          <w:cols w:equalWidth="0" w:num="1">
            <w:col w:w="11400"/>
          </w:cols>
          <w:pgMar w:left="240" w:top="769" w:right="259" w:bottom="1440" w:gutter="0" w:footer="0" w:header="0"/>
        </w:sectPr>
      </w:pPr>
    </w:p>
    <w:bookmarkStart w:id="99" w:name="page100"/>
    <w:bookmarkEnd w:id="99"/>
    <w:p>
      <w:pPr>
        <w:ind w:right="40"/>
        <w:spacing w:after="0" w:line="272" w:lineRule="auto"/>
        <w:rPr>
          <w:sz w:val="20"/>
          <w:szCs w:val="20"/>
          <w:color w:val="auto"/>
        </w:rPr>
      </w:pPr>
      <w:r>
        <w:rPr>
          <w:rFonts w:ascii="Arial" w:cs="Arial" w:eastAsia="Arial" w:hAnsi="Arial"/>
          <w:sz w:val="17"/>
          <w:szCs w:val="17"/>
          <w:color w:val="auto"/>
        </w:rPr>
        <w:t>equity securities ranking junior to the Series C preferred shares as to dividends and upon our liquidation, dissolution or winding up) shall be declared or paid or set apart for payment or other distribution shall be declared or made upon our common shares or any of our other equity securities ranking junior to or on a parity with the Series C preferred shares as to dividends or upon liquidation, dissolution or winding up, nor shall any common shares or any of our other equity securities ranking junior to or on a parity with the Series C preferred shares as to dividends or upon our liquidation, dissolution or winding up be redeemed, purchased or otherwise acquired for any consideration (or any moneys be paid to or made available for a sinking fund for the redemption of any such equity securities) by us (except by conversion into or exchange for other of our equity securities ranking junior to the Series C preferred shares as to dividends and upon our liquidation, dissolution or winding up).</w:t>
      </w:r>
    </w:p>
    <w:p>
      <w:pPr>
        <w:spacing w:after="0" w:line="12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No dividends on the Series C preferred shares shall be authorized by our Board of Trustees or declared by us or be paid or set apart for payment by us at such time as the terms and provisions of any agreement of ours, including any agreement relating to our indebtedness, prohibits the authorization, declaration, payment or setting apart for payment or provides that the authorization, declaration, payment or setting apart for payment would constitute a breach thereof or a default thereunder, or if the declaration or payment shall be restricted or prohibited by law.</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Notwithstanding the foregoing, dividends on the Series C preferred shares accrue whether or not we have earnings, whether or not there are funds legally available for the payment of the dividends and whether or not the dividends are authorized or declared. Accrued but unpaid dividends on the Series C preferred shares do not bear interest and holders of the Series C preferred shares are not entitled to any dividends in excess of full cumulative dividends as described above.</w:t>
      </w:r>
    </w:p>
    <w:p>
      <w:pPr>
        <w:spacing w:after="0" w:line="13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Any dividend payment made on the Series C preferred shares shall first be credited against the earliest accrued but unpaid dividend due with respect to the shares which remains payable.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the event of any liquidation, dissolution or winding up of our affairs, the holders of the Series C preferred shares are entitled to be paid out of our assets legally available for distribution to our shareholders liquidating distributions in cash or property at its fair market value as determined by our Board of Trustees in the amount of a liquidation preference of $25,000.00 per share (equivalent to $25.00 per depositary share), plus an amount equal to all accrued and unpaid dividends to, but excluding, the date of the liquidation, dissolution or winding up, before any distribution or payment shall be made to the holders of any common shares or any other class or series of equity securities issued by us ranking junior to our Series C preferred shares as to liquidation rights. After payment of the full amount of the liquidating distributions to which they are entitled, the holders of the Series C preferred shares will have no right or claim to any of our remaining assets. Our consolidation or merger with or into any other entity or the sale, lease, transfer or conveyance of all or substantially all of our property or business, individually or as part of a series of transactions, shall not be deemed to constitute a liquidation, dissolution or winding up of our affairs.</w:t>
      </w:r>
    </w:p>
    <w:p>
      <w:pPr>
        <w:spacing w:after="0" w:line="12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the event that, upon any such voluntary or involuntary liquidation, dissolution or winding up, our legally available assets are insufficient to pay the amount of the liquidating distributions on all outstanding Series C preferred shares and the corresponding amounts payable on all other classes or series of equity securities issued by us ranking on a parity with the Series C preferred shares as to liquidation rights, then the holders of the depositary shares representing the Series C preferred shares and all other classes or series of equity securities issued by us ranking on a parity with the Series C preferred shares as to liquidation rights, including all other preferred shares, shall share ratably in any distribution of assets in proportion to the full liquidating distributions to which they would otherwise be respectively entitled.</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Series C preferred shares are not redeemable prior to September 29, 2022. On or after September 29, 2022, we may redeem, at our option upon not less than 30 nor more than 60 days’ written notice, the Series C preferred shares (and the preferred share depositary will redeem the number of depositary shares representing the Series C preferred shares so redeemed), in whole or in part, at any time or from time to time, for cash at a redemption price of $25,000.00 per share (equivalent to $25.00 per depositary share), plus accrued and unpaid dividends thereon, if any, to, but excluding, the date fixed for redemption. If fewer than all of the outstanding Series C preferred shares and depositary shares are to be redeemed, the Series C preferred shares and depositary shares to be redeemed will be determined pro rata (as nearly as practicable without creating fractional shares) or by lot. In addition, we may redeem Series C preferred shares at any time in certain circumstances relating to the maintenance of our ability to qualify as a REIT for federal income tax purposes.</w:t>
      </w:r>
    </w:p>
    <w:p>
      <w:pPr>
        <w:spacing w:after="0" w:line="16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will give the preferred share depositary prior written notice of redemption of the deposited Series C preferred shares. A similar notice will be mailed by the preferred share depositary, postage prepaid, not less than 30 nor more than 60 days prior to the date fixed for redemption of the Series C preferred shares and the depositary shares, addressed to the respective holders of depositary shares to be redeemed at their respective addresses shown on the records of the preferred share depositary. The</w:t>
      </w:r>
    </w:p>
    <w:p>
      <w:pPr>
        <w:sectPr>
          <w:pgSz w:w="11900" w:h="16838" w:orient="portrait"/>
          <w:cols w:equalWidth="0" w:num="1">
            <w:col w:w="11400"/>
          </w:cols>
          <w:pgMar w:left="240" w:top="719" w:right="259" w:bottom="1440" w:gutter="0" w:footer="0" w:header="0"/>
        </w:sectPr>
      </w:pPr>
    </w:p>
    <w:bookmarkStart w:id="100" w:name="page101"/>
    <w:bookmarkEnd w:id="100"/>
    <w:p>
      <w:pPr>
        <w:spacing w:after="0" w:line="264" w:lineRule="auto"/>
        <w:rPr>
          <w:sz w:val="20"/>
          <w:szCs w:val="20"/>
          <w:color w:val="auto"/>
        </w:rPr>
      </w:pPr>
      <w:r>
        <w:rPr>
          <w:rFonts w:ascii="Arial" w:cs="Arial" w:eastAsia="Arial" w:hAnsi="Arial"/>
          <w:sz w:val="18"/>
          <w:szCs w:val="18"/>
          <w:color w:val="auto"/>
        </w:rPr>
        <w:t>notice of redemption may be contingent on the occurrence of a future event. No failure to give notice or any defect of the notice or in the mailing of the notice shall affect the validity of the proceedings for the redemption of any Series C preferred shares except as to the holder to whom notice was defective or not given. Each notice shall state:</w:t>
      </w:r>
    </w:p>
    <w:p>
      <w:pPr>
        <w:spacing w:after="0" w:line="181"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fixed for redemption of the Series C preferred shares and the depositary shares;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Series C preferred shares and the number of depositary shares to be redeemed;</w:t>
      </w:r>
    </w:p>
    <w:p>
      <w:pPr>
        <w:spacing w:after="0" w:line="9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place or places where certificates representing the Series C preferred shares and the depositary receipts are to be surrendered for payment of the redemption price;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the redemption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notice mailed to each holder shall also specify the number of Series C preferred shares and depositary shares to be redeemed from such holder.</w:t>
      </w:r>
    </w:p>
    <w:p>
      <w:pPr>
        <w:spacing w:after="0" w:line="19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On or after the redemption date, each holder of Series C preferred shares to be redeemed must present and surrender the certificates representing the Series C preferred shares at the place designated in the redemption notice and then the redemption price of such Series C preferred shares and any accrued and unpaid dividends payable upon such redemption will be paid to the person who presented and surrendered such certificates and each surrendered certificate will be canceled. Similarly, on or after the redemption date, each holder of depositary receipts representing depositary shares to be redeemed must present and surrender the depositary receipts representing depositary shares at the place designated in the redemption notice and then the redemption price of such depositary shares and any accrued and unpaid dividends payable upon such redemption will be paid to the person who presented and surrendered such depositary receipts and each surrendered depositary receipt will be canceled. In the event that fewer than all the Series C preferred shares or depositary shares represented by any certificate or depositary receipt are to be redeemed, a new certificate or depositary receipt will be issued representing the unredeemed preferred shares or depositary shares, as the case may be.</w:t>
      </w:r>
    </w:p>
    <w:p>
      <w:pPr>
        <w:spacing w:after="0" w:line="12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At our election, we may, prior to the redemption date, irrevocably deposit cash in an amount equal to the redemption price (including accrued and unpaid dividends) of the Series C preferred shares called for redemption in trust for the holders thereof with a bank or trust company, in which case the notice to holders of the Series C preferred shares and depositary shares to be redeemed will:</w:t>
      </w:r>
    </w:p>
    <w:p>
      <w:pPr>
        <w:spacing w:after="0" w:line="46"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specify the office of such bank or trust company as the place of payment of the redemption price; and</w:t>
      </w:r>
    </w:p>
    <w:p>
      <w:pPr>
        <w:spacing w:after="0" w:line="90" w:lineRule="exact"/>
        <w:rPr>
          <w:rFonts w:ascii="Arial" w:cs="Arial" w:eastAsia="Arial" w:hAnsi="Arial"/>
          <w:sz w:val="18"/>
          <w:szCs w:val="18"/>
          <w:color w:val="auto"/>
        </w:rPr>
      </w:pPr>
    </w:p>
    <w:p>
      <w:pPr>
        <w:ind w:left="660" w:right="120" w:hanging="328"/>
        <w:spacing w:after="0" w:line="279"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call upon such holders to surrender the certificates or depositary receipts, as the case may be, representing such shares at such place on or about the date fixed in such redemption notice (which may not be later than the redemption date) against payment of the redemption price (including all accrued and unpaid dividends up to, but excluding, the redemption date). Subject to applicable law, any moneys deposited which remain unclaimed at the end of two years after the redemption date will be returned to us by such bank or trust company.</w:t>
      </w:r>
    </w:p>
    <w:p>
      <w:pPr>
        <w:spacing w:after="0" w:line="117" w:lineRule="exact"/>
        <w:rPr>
          <w:sz w:val="20"/>
          <w:szCs w:val="20"/>
          <w:color w:val="auto"/>
        </w:rPr>
      </w:pPr>
    </w:p>
    <w:p>
      <w:pPr>
        <w:ind w:right="20" w:firstLine="432"/>
        <w:spacing w:after="0" w:line="270" w:lineRule="auto"/>
        <w:rPr>
          <w:sz w:val="20"/>
          <w:szCs w:val="20"/>
          <w:color w:val="auto"/>
        </w:rPr>
      </w:pPr>
      <w:r>
        <w:rPr>
          <w:rFonts w:ascii="Arial" w:cs="Arial" w:eastAsia="Arial" w:hAnsi="Arial"/>
          <w:sz w:val="18"/>
          <w:szCs w:val="18"/>
          <w:color w:val="auto"/>
        </w:rPr>
        <w:t>The holders of depositary shares at the close of business on a record date of any dividend will be entitled to receive the dividend payable with respect to the Series C preferred shares represented thereby on the corresponding payment date notwithstanding the redemption thereof between such dividend record date and the corresponding dividend payment date. Except as provided above, we will make no payment or allowance for unpaid dividends, whether or not in arrears, on Series C preferred shares to be redeemed.</w:t>
      </w:r>
    </w:p>
    <w:p>
      <w:pPr>
        <w:spacing w:after="0" w:line="12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If notice of redemption of any Series C preferred shares has been given, if the funds necessary for that redemption have been set apart by us in trust for the benefit of the holders of any Series C preferred shares so called for redemption, and unless we default in providing funds for the payment of the redemption price, then from and after the redemption date dividends will cease to accrue on those Series C preferred shares, those Series C preferred shares will no longer be deemed outstanding and such shares will not thereafter be transferred (except with our consent) on our books and all rights of the holders of those shares will terminate, except the right to receive the redemption price (including all accrued and unpaid dividends up to, but excluding, the redemption date).</w:t>
      </w:r>
    </w:p>
    <w:p>
      <w:pPr>
        <w:spacing w:after="0" w:line="13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Notwithstanding the foregoing, unless full cumulative dividends on all outstanding Series C preferred shares have been or contemporaneously are paid or declared and a sum sufficient for the payment set apart for payment for all past dividend periods, no Series C preferred shares or depositary shares representing Series C preferred shares will be redeemed unless all outstanding Series C preferred shares and depositary shares representing Series C preferred shares are simultaneously redeemed. Unless full cumulative dividends on all outstanding Series C preferred shares and depositary shares representing Series C preferred shares have been or contemporaneously are paid or declared and a sum sufficient for the payment thereof set</w:t>
      </w:r>
    </w:p>
    <w:p>
      <w:pPr>
        <w:sectPr>
          <w:pgSz w:w="11900" w:h="16838" w:orient="portrait"/>
          <w:cols w:equalWidth="0" w:num="1">
            <w:col w:w="11400"/>
          </w:cols>
          <w:pgMar w:left="240" w:top="773" w:right="259" w:bottom="1440" w:gutter="0" w:footer="0" w:header="0"/>
        </w:sectPr>
      </w:pPr>
    </w:p>
    <w:bookmarkStart w:id="101" w:name="page102"/>
    <w:bookmarkEnd w:id="101"/>
    <w:p>
      <w:pPr>
        <w:spacing w:after="0" w:line="257" w:lineRule="auto"/>
        <w:rPr>
          <w:sz w:val="20"/>
          <w:szCs w:val="20"/>
          <w:color w:val="auto"/>
        </w:rPr>
      </w:pPr>
      <w:r>
        <w:rPr>
          <w:rFonts w:ascii="Arial" w:cs="Arial" w:eastAsia="Arial" w:hAnsi="Arial"/>
          <w:sz w:val="18"/>
          <w:szCs w:val="18"/>
          <w:color w:val="auto"/>
        </w:rPr>
        <w:t>apart for payment for all past dividend periods, we will not purchase or otherwise acquire, directly or indirectly, any Series C preferred shares or depositary shares representing Series C preferred shares (except by conversion into or exchange for equity securities ranking junior to the Series C preferred shares as to dividend and liquidation rights). However, the foregoing will not prevent the purchase or acquisition of Series C preferred shares or depositary shares representing Series C preferred shares pursuant to a purchase or exchange offer made on the same terms to holders of all outstanding Series C preferred shares and depositary shares representing Series C preferred shares.</w:t>
      </w:r>
    </w:p>
    <w:p>
      <w:pPr>
        <w:spacing w:after="0" w:line="134"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The Series C preferred shares and the depositary shares have no stated maturity date and are not be subject to any sinking fund or mandatory redemption provisions (except in connection with the preservation of our REIT status).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Except as indicated below, the holders of the depositary shares representing the Series C preferred shares have no voting rights. On any matter on which the Series C preferred shares are entitled to vote, each Series C preferred share shall be entitled to one thousand votes. As a result, each depositary share is entitled to one vote on each matter for which the holders of Series C preferred shares are entitled to vote.</w:t>
      </w:r>
    </w:p>
    <w:p>
      <w:pPr>
        <w:spacing w:after="0" w:line="12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If and whenever dividends payable on the Series C preferred shares are in arrears for six or more dividend periods, whether or not consecutive, holders of the depositary shares representing the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of such Series C preferred shares are entitled.</w:t>
      </w:r>
    </w:p>
    <w:p>
      <w:pPr>
        <w:spacing w:after="0" w:line="10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So long as any depositary shares representing Series C preferred shares remain outstanding, we will not, without the affirmative vote or consent of the holders of at least two-thirds of the Series C preferred shares outstanding at the time, given in person or by proxy, either in writing or at a meeting (with the holders of the depositary shares representing the Series C preferred shares voting separately as a class): (i) authorize or create, or increase the authorized or issued amount of, any class or series of equity securities issued by us that rank senior to Series C preferred shares with respect to payment of dividends or the distribution of assets upon our liquidation, dissolution or winding-up, or reclassify any of our authorized shares into such equity securities or create, authorize or issue any obligation or security convertible into or evidencing the right to purchase any such equity securities; or (ii) amend, alter or repeal the provisions of the declaration of trust or bylaws, whether by merger, consolidation, or otherwise, so as to materially and adversely affect any right, preference, privilege or voting power of the holders of the depositary shares representing Series C preferred shares; except that (1) with respect to the occurrence of any of the events described in (ii) above, so long as the Series C preferred shares remain outstanding with the terms of the Series C preferred shares materially unchanged or are converted into a security in another entity with the terms materially unchanged, the occurrence of such event will not be deemed to materially and adversely affect the rights, preferences, privileges or voting powers of holders of the depositary shares representing Series C preferred shares and (2) (A) any increase in the amount of the authorized Series C preferred shares or the authorization or issuance of any other class or series of equity securities or (B) any increase in the number of authorized Series C preferred shares or any other class or series of equity securities, in each case ranking on a parity with or junior to the Series C preferred shares with respect to the payment of dividends and the distribution of assets upon our liquidation, dissolution or winding up, will not be deemed to materially and adversely affect such rights, preferences, privileges or voting powers.</w:t>
      </w:r>
    </w:p>
    <w:p>
      <w:pPr>
        <w:spacing w:after="0" w:line="11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foregoing voting provisions will not apply if, at or prior to the time when the act with respect to which the vote would otherwise be required shall be effected, all outstanding Series C preferred shares shall have been redeemed or called for redemption and sufficient funds shall have been deposited in trust to effect the redemption.</w:t>
      </w:r>
    </w:p>
    <w:p>
      <w:pPr>
        <w:spacing w:after="0" w:line="12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b w:val="1"/>
          <w:bCs w:val="1"/>
          <w:i w:val="1"/>
          <w:iCs w:val="1"/>
          <w:color w:val="auto"/>
        </w:rPr>
        <w:t xml:space="preserve">No Preemptive, Conversion or Subscription Rights. </w:t>
      </w:r>
      <w:r>
        <w:rPr>
          <w:rFonts w:ascii="Arial" w:cs="Arial" w:eastAsia="Arial" w:hAnsi="Arial"/>
          <w:sz w:val="17"/>
          <w:szCs w:val="17"/>
          <w:color w:val="auto"/>
        </w:rPr>
        <w:t>Holders of our Series C preferred shares and the depositary shares have no preemptive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conversion rights. In addition, under our declaration of trust, no holder of shares of beneficial interest has any preemptive rights to subscribe to any issuance 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1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depositary shares representing Series C preferred shares are traded on the New York Stock Exchange under the trading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symbol “FRTPRC.”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ectPr>
          <w:pgSz w:w="11900" w:h="16838" w:orient="portrait"/>
          <w:cols w:equalWidth="0" w:num="1">
            <w:col w:w="11420"/>
          </w:cols>
          <w:pgMar w:left="240" w:top="719" w:right="239" w:bottom="1440" w:gutter="0" w:footer="0" w:header="0"/>
        </w:sectPr>
      </w:pPr>
    </w:p>
    <w:bookmarkStart w:id="102" w:name="page103"/>
    <w:bookmarkEnd w:id="102"/>
    <w:p>
      <w:pPr>
        <w:ind w:left="660" w:right="40" w:hanging="328"/>
        <w:spacing w:after="0" w:line="31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3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4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exhibit, the term “ownership limitation” is used to describe this provision of our declaration of trust.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7" w:lineRule="exact"/>
        <w:rPr>
          <w:sz w:val="20"/>
          <w:szCs w:val="20"/>
          <w:color w:val="auto"/>
        </w:rPr>
      </w:pPr>
    </w:p>
    <w:p>
      <w:pPr>
        <w:ind w:right="120" w:firstLine="432"/>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0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30" w:lineRule="exact"/>
        <w:rPr>
          <w:sz w:val="20"/>
          <w:szCs w:val="20"/>
          <w:color w:val="auto"/>
        </w:rPr>
      </w:pPr>
    </w:p>
    <w:p>
      <w:pPr>
        <w:ind w:left="680" w:hanging="348"/>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price per share equal to the market price (which is calculated as defined in our declaration of trust) on the date the shares were received, or</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33"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w:t>
      </w:r>
    </w:p>
    <w:p>
      <w:pPr>
        <w:sectPr>
          <w:pgSz w:w="11900" w:h="16838" w:orient="portrait"/>
          <w:cols w:equalWidth="0" w:num="1">
            <w:col w:w="11420"/>
          </w:cols>
          <w:pgMar w:left="240" w:top="665" w:right="239" w:bottom="1440" w:gutter="0" w:footer="0" w:header="0"/>
        </w:sectPr>
      </w:pPr>
    </w:p>
    <w:bookmarkStart w:id="103" w:name="page104"/>
    <w:bookmarkEnd w:id="103"/>
    <w:p>
      <w:pPr>
        <w:ind w:right="120"/>
        <w:spacing w:after="0" w:line="277" w:lineRule="auto"/>
        <w:rPr>
          <w:sz w:val="20"/>
          <w:szCs w:val="20"/>
          <w:color w:val="auto"/>
        </w:rPr>
      </w:pPr>
      <w:r>
        <w:rPr>
          <w:rFonts w:ascii="Arial" w:cs="Arial" w:eastAsia="Arial" w:hAnsi="Arial"/>
          <w:sz w:val="18"/>
          <w:szCs w:val="18"/>
          <w:color w:val="auto"/>
        </w:rPr>
        <w:t>of such transfer) or the market price per share on the date that we, or our designee, accepts such offer. We may accept such offer until the trustee has sold the shares-in-trust as provided above.</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2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exhibit will continue to apply until the Board of Trustees determines that it is no longer in our best interests to attempt to qualify, or to continue to qualify, as a REIT.</w:t>
      </w:r>
    </w:p>
    <w:p>
      <w:pPr>
        <w:spacing w:after="0" w:line="133"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3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“Restrictions on Ownership and Transfer” and the supermajority voting rights described under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31" w:lineRule="exact"/>
        <w:rPr>
          <w:sz w:val="20"/>
          <w:szCs w:val="20"/>
          <w:color w:val="auto"/>
        </w:rPr>
      </w:pPr>
    </w:p>
    <w:p>
      <w:pPr>
        <w:ind w:right="140" w:firstLine="432"/>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49"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1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ectPr>
          <w:pgSz w:w="11900" w:h="16838" w:orient="portrait"/>
          <w:cols w:equalWidth="0" w:num="1">
            <w:col w:w="11400"/>
          </w:cols>
          <w:pgMar w:left="240" w:top="719" w:right="259" w:bottom="1440" w:gutter="0" w:footer="0" w:header="0"/>
        </w:sectPr>
      </w:pPr>
    </w:p>
    <w:bookmarkStart w:id="104" w:name="page105"/>
    <w:bookmarkEnd w:id="104"/>
    <w:p>
      <w:pPr>
        <w:ind w:right="640" w:firstLine="432"/>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35"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40" w:hanging="379"/>
        <w:spacing w:after="0"/>
        <w:tabs>
          <w:tab w:leader="none" w:pos="14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300" w:hanging="239"/>
        <w:spacing w:after="0"/>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3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35"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16"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23" w:lineRule="exact"/>
        <w:rPr>
          <w:sz w:val="20"/>
          <w:szCs w:val="20"/>
          <w:color w:val="auto"/>
        </w:rPr>
      </w:pPr>
    </w:p>
    <w:p>
      <w:pPr>
        <w:ind w:right="40" w:firstLine="432"/>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2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12" w:lineRule="exact"/>
        <w:rPr>
          <w:sz w:val="20"/>
          <w:szCs w:val="20"/>
          <w:color w:val="auto"/>
        </w:rPr>
      </w:pPr>
    </w:p>
    <w:p>
      <w:pPr>
        <w:ind w:right="100" w:firstLine="432"/>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45" w:lineRule="exact"/>
        <w:rPr>
          <w:sz w:val="20"/>
          <w:szCs w:val="20"/>
          <w:color w:val="auto"/>
        </w:rPr>
      </w:pPr>
    </w:p>
    <w:p>
      <w:pPr>
        <w:ind w:left="660" w:right="10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3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ectPr>
          <w:pgSz w:w="11900" w:h="16838" w:orient="portrait"/>
          <w:cols w:equalWidth="0" w:num="1">
            <w:col w:w="11420"/>
          </w:cols>
          <w:pgMar w:left="240" w:top="557" w:right="239" w:bottom="1440" w:gutter="0" w:footer="0" w:header="0"/>
        </w:sectPr>
      </w:pPr>
    </w:p>
    <w:bookmarkStart w:id="105" w:name="page106"/>
    <w:bookmarkEnd w:id="105"/>
    <w:p>
      <w:pPr>
        <w:ind w:right="40" w:firstLine="432"/>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or she is replacing.</w:t>
      </w:r>
    </w:p>
    <w:p>
      <w:pPr>
        <w:spacing w:after="0" w:line="126" w:lineRule="exact"/>
        <w:rPr>
          <w:sz w:val="20"/>
          <w:szCs w:val="20"/>
          <w:color w:val="auto"/>
        </w:rPr>
      </w:pPr>
    </w:p>
    <w:p>
      <w:pPr>
        <w:ind w:right="140" w:firstLine="432"/>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15"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3"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3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7"/>
          <w:szCs w:val="17"/>
          <w:color w:val="auto"/>
          <w:vertAlign w:val="superscript"/>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7"/>
          <w:szCs w:val="17"/>
          <w:color w:val="auto"/>
          <w:vertAlign w:val="superscript"/>
        </w:rPr>
        <w:t>th</w:t>
      </w:r>
      <w:r>
        <w:rPr>
          <w:rFonts w:ascii="Arial" w:cs="Arial" w:eastAsia="Arial" w:hAnsi="Arial"/>
          <w:sz w:val="17"/>
          <w:szCs w:val="17"/>
          <w:color w:val="auto"/>
        </w:rPr>
        <w:t xml:space="preserve"> day prior to the special meeting or the 10</w:t>
      </w:r>
      <w:r>
        <w:rPr>
          <w:rFonts w:ascii="Arial" w:cs="Arial" w:eastAsia="Arial" w:hAnsi="Arial"/>
          <w:sz w:val="17"/>
          <w:szCs w:val="17"/>
          <w:color w:val="auto"/>
          <w:vertAlign w:val="superscript"/>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2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b w:val="1"/>
          <w:bCs w:val="1"/>
          <w:i w:val="1"/>
          <w:iCs w:val="1"/>
          <w:color w:val="auto"/>
        </w:rPr>
        <w:t xml:space="preserve">Shareholder Liability and Indemnification. </w:t>
      </w:r>
      <w:r>
        <w:rPr>
          <w:rFonts w:ascii="Arial" w:cs="Arial" w:eastAsia="Arial" w:hAnsi="Arial"/>
          <w:sz w:val="18"/>
          <w:szCs w:val="18"/>
          <w:color w:val="auto"/>
        </w:rPr>
        <w:t>Under Maryland law, holders of our shares of beneficial interest will not be personally liable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 of ours solely because they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34"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93"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52"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ectPr>
          <w:pgSz w:w="11900" w:h="16838" w:orient="portrait"/>
          <w:cols w:equalWidth="0" w:num="1">
            <w:col w:w="11380"/>
          </w:cols>
          <w:pgMar w:left="240" w:top="769" w:right="279" w:bottom="1440" w:gutter="0" w:footer="0" w:header="0"/>
        </w:sectPr>
      </w:pPr>
    </w:p>
    <w:bookmarkStart w:id="106" w:name="page107"/>
    <w:bookmarkEnd w:id="106"/>
    <w:p>
      <w:pPr>
        <w:ind w:right="300" w:firstLine="432"/>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3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ectPr>
          <w:pgSz w:w="11900" w:h="16838" w:orient="portrait"/>
          <w:cols w:equalWidth="0" w:num="1">
            <w:col w:w="11400"/>
          </w:cols>
          <w:pgMar w:left="240" w:top="719"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20" w:type="dxa"/>
            <w:vAlign w:val="bottom"/>
            <w:gridSpan w:val="4"/>
          </w:tcPr>
          <w:p>
            <w:pPr>
              <w:ind w:left="3060"/>
              <w:spacing w:after="0"/>
              <w:rPr>
                <w:sz w:val="20"/>
                <w:szCs w:val="20"/>
                <w:color w:val="auto"/>
              </w:rPr>
            </w:pPr>
            <w:r>
              <w:rPr>
                <w:rFonts w:ascii="Arial" w:cs="Arial" w:eastAsia="Arial" w:hAnsi="Arial"/>
                <w:sz w:val="18"/>
                <w:szCs w:val="18"/>
                <w:b w:val="1"/>
                <w:bCs w:val="1"/>
                <w:color w:val="auto"/>
              </w:rPr>
              <w:t>FEDERAL REALTY INVESTMENT TRUST AND SUBSIDIARIES</w:t>
            </w:r>
          </w:p>
        </w:tc>
      </w:tr>
      <w:tr>
        <w:trPr>
          <w:trHeight w:val="573"/>
        </w:trPr>
        <w:tc>
          <w:tcPr>
            <w:tcW w:w="3060" w:type="dxa"/>
            <w:vAlign w:val="bottom"/>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3"/>
              </w:rPr>
              <w:t>STATE OF INCORPORATION OR</w:t>
            </w:r>
          </w:p>
        </w:tc>
      </w:tr>
      <w:tr>
        <w:trPr>
          <w:trHeight w:val="230"/>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NAME OF SUBSIDIARY</w:t>
            </w:r>
          </w:p>
        </w:tc>
        <w:tc>
          <w:tcPr>
            <w:tcW w:w="2440" w:type="dxa"/>
            <w:vAlign w:val="bottom"/>
          </w:tcPr>
          <w:p>
            <w:pPr>
              <w:spacing w:after="0"/>
              <w:rPr>
                <w:sz w:val="20"/>
                <w:szCs w:val="20"/>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7"/>
              </w:rPr>
              <w:t>ORGANIZATION</w:t>
            </w:r>
          </w:p>
        </w:tc>
      </w:tr>
      <w:tr>
        <w:trPr>
          <w:trHeight w:val="27"/>
        </w:trPr>
        <w:tc>
          <w:tcPr>
            <w:tcW w:w="30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52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Associates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Andorra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Governor Plaza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Shopping Center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Berman Enterprises II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Escondido Promenade,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California</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Leasing &amp; Development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Congressional Plaza Associates,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Pike 7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Federal/LPF GP,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FRLP,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East Bay Bridge,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East Bay Bridge Retail,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Management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Solar,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Santana Row ROF,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Westgate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Assembly Square,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Crow Canyon,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Linden Square,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White Marsh,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Cordon Fairfield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Campbell-Philadelphia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Shoppes at 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Retail Properties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Limited Partnership, LLLP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The Avenue at White Marsh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NVI-Avenue,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Florida,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West Coast,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Montrose Crossing Borrower,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420"/>
          </w:cols>
          <w:pgMar w:left="240" w:top="715" w:right="239" w:bottom="545"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FRIT CA Operations,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Huntington Square,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Darien,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Hastings Ranch,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Riverpoint,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SRI/CM 4th Street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Old Town,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II,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3,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4,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6,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7,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10, L.P.</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Assembly Row 5B,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B7,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B8,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B9,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Santana Row Services,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SRI/Continental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CCA Sepulveda,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Rosecrans-Sepulveda Partners 3,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PES Partners,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The Grove Fee Owner,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Route 35 Shrewsbury Limited Partnership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Shrewsbury Commons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Sea Girt Limited Partnership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35 West,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Merritt Shrewsbury Commons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Cole Grove West,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508 Broad,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San Antonio Center,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San Antonio Center II,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Pike &amp; Rose Condominium,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Owner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Operator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 Winchester,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Assembly Row Condominium,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Hotel,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Operator,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Assembly Row Hotel,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FRIT Shops at Sunset Place Owner,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FRIT Shops at Sunset Place Fee Owner, LLC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FRIT Cocowalk,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FRIT Cocowalk Owner,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3112 Commodore Plaza Investments,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3131 Commodore Plaza Investments,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3206 Grand Avenue,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3406 Main Highway,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3419 Main Highway Investments,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California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New Jersey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Florida</w:t>
      </w:r>
    </w:p>
    <w:p>
      <w:pPr>
        <w:sectPr>
          <w:pgSz w:w="11900" w:h="16838" w:orient="portrait"/>
          <w:cols w:equalWidth="0" w:num="2">
            <w:col w:w="7380" w:space="720"/>
            <w:col w:w="2079"/>
          </w:cols>
          <w:pgMar w:left="280" w:top="717" w:right="1440" w:bottom="295"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Federal/Lion Venture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Campus Plaza GP,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FLV Campus Plaza Limited Partnership</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FLV Plaza del Mercado,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Plaza del Mercado,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GP,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Greenlawn Plaza,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GP,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Barcroft Plaza, LP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Free State GP,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FLV Free State Limited Partnership</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South Gate Joint Venture,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Primestor/FRIT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Azalea Joint Venture,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Alameda,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Bell Gardens,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El Monte,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El Portal,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Los Jardines,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Mission Hills,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SCP,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Sylmar,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TRS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Plaza Pacoima,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Prime/FRIT Olivo Land,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Primestor/FRIT Jordan Downs JV, LLC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Primestor Jordan Downs,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Primestor Development Investment, LLC</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RevUp, Inc.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FR Fairfax Junction.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SRI UNLMTD JV,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SRA-WSA Properties I,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SRA-WSA Properties II,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SRA-WSA 214 Washington,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SRA-WSA 302 Washington,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SRA-WSA 600 Washington, LLC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SRA-WSA 210 14</w:t>
      </w:r>
      <w:r>
        <w:rPr>
          <w:rFonts w:ascii="Arial" w:cs="Arial" w:eastAsia="Arial" w:hAnsi="Arial"/>
          <w:sz w:val="12"/>
          <w:szCs w:val="12"/>
          <w:color w:val="auto"/>
        </w:rPr>
        <w:t>th</w:t>
      </w:r>
      <w:r>
        <w:rPr>
          <w:rFonts w:ascii="Arial" w:cs="Arial" w:eastAsia="Arial" w:hAnsi="Arial"/>
          <w:sz w:val="20"/>
          <w:szCs w:val="20"/>
          <w:color w:val="auto"/>
        </w:rPr>
        <w: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7380" w:space="720"/>
            <w:col w:w="2079"/>
          </w:cols>
          <w:pgMar w:left="280" w:top="717"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issued our reports dated February 10, 2020, with respect to the consolidated financial statements, schedules, and internal control over financial reporting included in the Annual Report of Federal Realty Investment Trust on Form 10-K for the year ended December 31, 2019. We consent to the incorporation by reference of said reports in the Registration Statements of Federal Realty Investment Trust on Form S-3 (File No. 333-224701, File No. 333-224721, File No. 333-224807, File No. 333-217607, File No. 333-124195, and File No. 033-63687) and on Form S-8 (File No. 333-166531, File No. 333-147080, File No. 333-147081, and File No. 333-60364).</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10, 2020</w:t>
      </w:r>
    </w:p>
    <w:p>
      <w:pPr>
        <w:sectPr>
          <w:pgSz w:w="11900" w:h="16838" w:orient="portrait"/>
          <w:cols w:equalWidth="0" w:num="1">
            <w:col w:w="11420"/>
          </w:cols>
          <w:pgMar w:left="240" w:top="553"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880" w:hanging="467"/>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10, 2020</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53"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February 10, 2020</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53"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2019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10, 2020</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53"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2019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February 10, 2020</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lvl w:ilvl="1">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1)"/>
      <w:numFmt w:val="upperLetter"/>
      <w:start w:val="1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1)"/>
      <w:numFmt w:val="decimal"/>
      <w:start w:val="2"/>
    </w:lvl>
  </w:abstractNum>
  <w:abstractNum w:abstractNumId="29">
    <w:nsid w:val="7E0C57B1"/>
    <w:multiLevelType w:val="hybridMultilevel"/>
    <w:lvl w:ilvl="0">
      <w:lvlJc w:val="left"/>
      <w:lvlText w:val="(%1)"/>
      <w:numFmt w:val="decimal"/>
      <w:start w:val="3"/>
    </w:lvl>
  </w:abstractNum>
  <w:abstractNum w:abstractNumId="30">
    <w:nsid w:val="77AE35EB"/>
    <w:multiLevelType w:val="hybridMultilevel"/>
    <w:lvl w:ilvl="0">
      <w:lvlJc w:val="left"/>
      <w:lvlText w:val="(%1)"/>
      <w:numFmt w:val="decimal"/>
      <w:start w:val="4"/>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1)"/>
      <w:numFmt w:val="decimal"/>
      <w:start w:val="1"/>
    </w:lvl>
  </w:abstractNum>
  <w:abstractNum w:abstractNumId="46">
    <w:nsid w:val="799D0247"/>
    <w:multiLevelType w:val="hybridMultilevel"/>
    <w:lvl w:ilvl="0">
      <w:lvlJc w:val="left"/>
      <w:lvlText w:val="(%1)"/>
      <w:numFmt w:val="lowerLetter"/>
      <w:start w:val="1"/>
    </w:lvl>
  </w:abstractNum>
  <w:abstractNum w:abstractNumId="47">
    <w:nsid w:val="6B94764"/>
    <w:multiLevelType w:val="hybridMultilevel"/>
    <w:lvl w:ilvl="0">
      <w:lvlJc w:val="left"/>
      <w:lvlText w:val="(%1)"/>
      <w:numFmt w:val="lowerLetter"/>
      <w:start w:val="2"/>
    </w:lvl>
    <w:lvl w:ilvl="1">
      <w:lvlJc w:val="left"/>
      <w:lvlText w:val="(%2)"/>
      <w:numFmt w:val="lowerLetter"/>
      <w:start w:val="4"/>
    </w:lvl>
  </w:abstractNum>
  <w:abstractNum w:abstractNumId="48">
    <w:nsid w:val="42C296BD"/>
    <w:multiLevelType w:val="hybridMultilevel"/>
    <w:lvl w:ilvl="0">
      <w:lvlJc w:val="left"/>
      <w:lvlText w:val="(%1)"/>
      <w:numFmt w:val="lowerLetter"/>
      <w:start w:val="5"/>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1)"/>
      <w:numFmt w:val="decimal"/>
      <w:start w:val="1"/>
    </w:lvl>
  </w:abstractNum>
  <w:abstractNum w:abstractNumId="53">
    <w:nsid w:val="540A471C"/>
    <w:multiLevelType w:val="hybridMultilevel"/>
    <w:lvl w:ilvl="0">
      <w:lvlJc w:val="left"/>
      <w:lvlText w:val="(%1)"/>
      <w:numFmt w:val="decimal"/>
      <w:start w:val="2"/>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lowerLetter"/>
      <w:start w:val="2"/>
    </w:lvl>
  </w:abstractNum>
  <w:abstractNum w:abstractNumId="56">
    <w:nsid w:val="613EFDC5"/>
    <w:multiLevelType w:val="hybridMultilevel"/>
    <w:lvl w:ilvl="0">
      <w:lvlJc w:val="left"/>
      <w:lvlText w:val="%1"/>
      <w:numFmt w:val="decimal"/>
      <w:start w:val="101"/>
    </w:lvl>
  </w:abstractNum>
  <w:abstractNum w:abstractNumId="57">
    <w:nsid w:val="BF72B14"/>
    <w:multiLevelType w:val="hybridMultilevel"/>
    <w:lvl w:ilvl="0">
      <w:lvlJc w:val="left"/>
      <w:lvlText w:val="*"/>
      <w:numFmt w:val="bullet"/>
      <w:start w:val="1"/>
    </w:lvl>
    <w:lvl w:ilvl="1">
      <w:lvlJc w:val="left"/>
      <w:lvlText w:val="%2"/>
      <w:numFmt w:val="decimal"/>
      <w:start w:val="104"/>
    </w:lvl>
  </w:abstractNum>
  <w:abstractNum w:abstractNumId="58">
    <w:nsid w:val="11447B73"/>
    <w:multiLevelType w:val="hybridMultilevel"/>
    <w:lvl w:ilvl="0">
      <w:lvlJc w:val="left"/>
      <w:lvlText w:val="**"/>
      <w:numFmt w:val="bullet"/>
      <w:start w:val="1"/>
    </w:lvl>
    <w:lvl w:ilvl="1">
      <w:lvlJc w:val="left"/>
      <w:lvlText w:val="%2"/>
      <w:numFmt w:val="decimal"/>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2"/>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
    </w:lvl>
  </w:abstractNum>
  <w:abstractNum w:abstractNumId="74">
    <w:nsid w:val="6EB5BD4"/>
    <w:multiLevelType w:val="hybridMultilevel"/>
    <w:lvl w:ilvl="0">
      <w:lvlJc w:val="left"/>
      <w:lvlText w:val="(%1)"/>
      <w:numFmt w:val="decimal"/>
      <w:start w:val="2"/>
    </w:lvl>
  </w:abstractNum>
  <w:abstractNum w:abstractNumId="75">
    <w:nsid w:val="6F6DD9AC"/>
    <w:multiLevelType w:val="hybridMultilevel"/>
    <w:lvl w:ilvl="0">
      <w:lvlJc w:val="left"/>
      <w:lvlText w:val="(%1)"/>
      <w:numFmt w:val="decimal"/>
      <w:start w:val="1"/>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1)"/>
      <w:numFmt w:val="lowerRoman"/>
      <w:start w:val="3"/>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lvl w:ilvl="1">
      <w:lvlJc w:val="left"/>
      <w:lvlText w:val="•"/>
      <w:numFmt w:val="bullet"/>
      <w:start w:val="1"/>
    </w:lvl>
  </w:abstractNum>
  <w:abstractNum w:abstractNumId="88">
    <w:nsid w:val="39EE015C"/>
    <w:multiLevelType w:val="hybridMultilevel"/>
    <w:lvl w:ilvl="0">
      <w:lvlJc w:val="left"/>
      <w:lvlText w:val="•"/>
      <w:numFmt w:val="bullet"/>
      <w:start w:val="1"/>
    </w:lvl>
  </w:abstractNum>
  <w:abstractNum w:abstractNumId="89">
    <w:nsid w:val="57FC4FBB"/>
    <w:multiLevelType w:val="hybridMultilevel"/>
    <w:lvl w:ilvl="0">
      <w:lvlJc w:val="left"/>
      <w:lvlText w:val="•"/>
      <w:numFmt w:val="bullet"/>
      <w:start w:val="1"/>
    </w:lvl>
  </w:abstractNum>
  <w:abstractNum w:abstractNumId="90">
    <w:nsid w:val="CC1016F"/>
    <w:multiLevelType w:val="hybridMultilevel"/>
    <w:lvl w:ilvl="0">
      <w:lvlJc w:val="left"/>
      <w:lvlText w:val="•"/>
      <w:numFmt w:val="bullet"/>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53" Type="http://schemas.openxmlformats.org/officeDocument/2006/relationships/image" Target="media/image5.png"/><Relationship Id="rId54" Type="http://schemas.openxmlformats.org/officeDocument/2006/relationships/image" Target="media/image6.png"/><Relationship Id="rId55" Type="http://schemas.openxmlformats.org/officeDocument/2006/relationships/image" Target="media/image7.png"/><Relationship Id="rId56" Type="http://schemas.openxmlformats.org/officeDocument/2006/relationships/image" Target="media/image8.png"/><Relationship Id="rId57" Type="http://schemas.openxmlformats.org/officeDocument/2006/relationships/image" Target="media/image9.png"/><Relationship Id="rId58" Type="http://schemas.openxmlformats.org/officeDocument/2006/relationships/image" Target="media/image10.png"/><Relationship Id="rId59" Type="http://schemas.openxmlformats.org/officeDocument/2006/relationships/image" Target="media/image11.png"/><Relationship Id="rId60" Type="http://schemas.openxmlformats.org/officeDocument/2006/relationships/image" Target="media/image12.png"/><Relationship Id="rId61" Type="http://schemas.openxmlformats.org/officeDocument/2006/relationships/image" Target="media/image13.png"/><Relationship Id="rId62" Type="http://schemas.openxmlformats.org/officeDocument/2006/relationships/image" Target="media/image14.png"/><Relationship Id="rId63" Type="http://schemas.openxmlformats.org/officeDocument/2006/relationships/image" Target="media/image15.png"/><Relationship Id="rId64" Type="http://schemas.openxmlformats.org/officeDocument/2006/relationships/image" Target="media/image16.png"/><Relationship Id="rId65" Type="http://schemas.openxmlformats.org/officeDocument/2006/relationships/image" Target="media/image17.png"/><Relationship Id="rId66" Type="http://schemas.openxmlformats.org/officeDocument/2006/relationships/image" Target="media/image18.png"/><Relationship Id="rId67" Type="http://schemas.openxmlformats.org/officeDocument/2006/relationships/image" Target="media/image19.png"/><Relationship Id="rId68" Type="http://schemas.openxmlformats.org/officeDocument/2006/relationships/image" Target="media/image20.png"/><Relationship Id="rId69" Type="http://schemas.openxmlformats.org/officeDocument/2006/relationships/image" Target="media/image21.png"/><Relationship Id="rId70" Type="http://schemas.openxmlformats.org/officeDocument/2006/relationships/image" Target="media/image22.png"/><Relationship Id="rId71" Type="http://schemas.openxmlformats.org/officeDocument/2006/relationships/image" Target="media/image23.png"/><Relationship Id="rId12" Type="http://schemas.openxmlformats.org/officeDocument/2006/relationships/hyperlink" Target="http://www.sec.gov/Archives/edgar/data/34903/000119312509131764/dex31.htm" TargetMode="External"/><Relationship Id="rId13" Type="http://schemas.openxmlformats.org/officeDocument/2006/relationships/hyperlink" Target="http://www.sec.gov/Archives/edgar/data/34903/000003490317000008/frt-12312016xex32.htm" TargetMode="External"/><Relationship Id="rId14" Type="http://schemas.openxmlformats.org/officeDocument/2006/relationships/hyperlink" Target="http://www.sec.gov/Archives/edgar/data/34903/000095010900001048/0000950109-00-001048.txt" TargetMode="External"/><Relationship Id="rId15" Type="http://schemas.openxmlformats.org/officeDocument/2006/relationships/hyperlink" Target="http://www.sec.gov/Archives/edgar/data/34903/000119312507053506/dex41.htm" TargetMode="External"/><Relationship Id="rId16" Type="http://schemas.openxmlformats.org/officeDocument/2006/relationships/hyperlink" Target="http://www.sec.gov/Archives/edgar/data/34903/0000950109-98-004542.txt" TargetMode="External"/><Relationship Id="rId17" Type="http://schemas.openxmlformats.org/officeDocument/2006/relationships/hyperlink" Target="http://www.sec.gov/Archives/edgar/data/34903/000119312517299279/d453589dex32.htm" TargetMode="External"/><Relationship Id="rId18" Type="http://schemas.openxmlformats.org/officeDocument/2006/relationships/hyperlink" Target="http://www.sec.gov/Archives/edgar/data/34903/000119312517299279/d453589dex41.htm" TargetMode="External"/><Relationship Id="rId19" Type="http://schemas.openxmlformats.org/officeDocument/2006/relationships/hyperlink" Target="http://www.sec.gov/Archives/edgar/data/34903/000119312517299279/d453589dex43.htm" TargetMode="External"/><Relationship Id="rId20" Type="http://schemas.openxmlformats.org/officeDocument/2006/relationships/hyperlink" Target="http://www.sec.gov/Archives/edgar/data/34903/0000928385-99-001432.txt" TargetMode="External"/><Relationship Id="rId21" Type="http://schemas.openxmlformats.org/officeDocument/2006/relationships/hyperlink" Target="http://www.sec.gov/Archives/edgar/data/34903/000119312505043736/dex1012.htm" TargetMode="External"/><Relationship Id="rId22" Type="http://schemas.openxmlformats.org/officeDocument/2006/relationships/hyperlink" Target="http://www.sec.gov/Archives/edgar/data/34903/000092838501500706/dex991.txt" TargetMode="External"/><Relationship Id="rId23" Type="http://schemas.openxmlformats.org/officeDocument/2006/relationships/hyperlink" Target="http://www.sec.gov/Archives/edgar/data/34903/000119312505043736/dex1026.htm" TargetMode="External"/><Relationship Id="rId24" Type="http://schemas.openxmlformats.org/officeDocument/2006/relationships/hyperlink" Target="http://www.sec.gov/Archives/edgar/data/34903/000119312505151516/dex1026.htm" TargetMode="External"/><Relationship Id="rId25" Type="http://schemas.openxmlformats.org/officeDocument/2006/relationships/hyperlink" Target="http://www.sec.gov/Archives/edgar/data/34903/000119312505043736/dex1027.htm" TargetMode="External"/><Relationship Id="rId26" Type="http://schemas.openxmlformats.org/officeDocument/2006/relationships/hyperlink" Target="http://www.sec.gov/Archives/edgar/data/34903/000119312505043736/dex1028.htm" TargetMode="External"/><Relationship Id="rId27" Type="http://schemas.openxmlformats.org/officeDocument/2006/relationships/hyperlink" Target="http://www.sec.gov/Archives/edgar/data/34903/000119312511036800/dex1035.htm" TargetMode="External"/><Relationship Id="rId28" Type="http://schemas.openxmlformats.org/officeDocument/2006/relationships/hyperlink" Target="http://www.sec.gov/Archives/edgar/data/34903/000119312506044561/dex1032.htm" TargetMode="External"/><Relationship Id="rId29" Type="http://schemas.openxmlformats.org/officeDocument/2006/relationships/hyperlink" Target="http://www.sec.gov/Archives/edgar/data/34903/000119312507168241/dex1034.htm" TargetMode="External"/><Relationship Id="rId30" Type="http://schemas.openxmlformats.org/officeDocument/2006/relationships/hyperlink" Target="http://www.sec.gov/Archives/edgar/data/34903/000119312509038641/dex1026.htm" TargetMode="External"/><Relationship Id="rId31" Type="http://schemas.openxmlformats.org/officeDocument/2006/relationships/hyperlink" Target="http://www.sec.gov/Archives/edgar/data/34903/000119312509038641/dex1027.htm" TargetMode="External"/><Relationship Id="rId32" Type="http://schemas.openxmlformats.org/officeDocument/2006/relationships/hyperlink" Target="http://www.sec.gov/Archives/edgar/data/34903/000119312509038641/dex1028.htm" TargetMode="External"/><Relationship Id="rId33" Type="http://schemas.openxmlformats.org/officeDocument/2006/relationships/hyperlink" Target="http://www.sec.gov/Archives/edgar/data/34903/000119312509038641/dex1030.htm" TargetMode="External"/><Relationship Id="rId34" Type="http://schemas.openxmlformats.org/officeDocument/2006/relationships/hyperlink" Target="http://www.sec.gov/Archives/edgar/data/34903/000119312510065274/ddef14a.htm#toc85041_80" TargetMode="External"/><Relationship Id="rId35" Type="http://schemas.openxmlformats.org/officeDocument/2006/relationships/hyperlink" Target="http://www.sec.gov/Archives/edgar/data/34903/000119312510246216/dex1036.htm" TargetMode="External"/><Relationship Id="rId36" Type="http://schemas.openxmlformats.org/officeDocument/2006/relationships/hyperlink" Target="http://www.sec.gov/Archives/edgar/data/34903/000119312511036800/dex1034.htm" TargetMode="External"/><Relationship Id="rId37" Type="http://schemas.openxmlformats.org/officeDocument/2006/relationships/hyperlink" Target="http://www.sec.gov/Archives/edgar/data/34903/000119312511036800/dex1038.htm" TargetMode="External"/><Relationship Id="rId38" Type="http://schemas.openxmlformats.org/officeDocument/2006/relationships/hyperlink" Target="http://www.sec.gov/Archives/edgar/data/34903/000119312511036800/dex1039.htm" TargetMode="External"/><Relationship Id="rId39" Type="http://schemas.openxmlformats.org/officeDocument/2006/relationships/hyperlink" Target="http://www.sec.gov/Archives/edgar/data/34903/000119312511036800/dex1040.htm" TargetMode="External"/><Relationship Id="rId40" Type="http://schemas.openxmlformats.org/officeDocument/2006/relationships/hyperlink" Target="http://www.sec.gov/Archives/edgar/data/34903/000119312511036800/dex1041.htm" TargetMode="External"/><Relationship Id="rId41" Type="http://schemas.openxmlformats.org/officeDocument/2006/relationships/hyperlink" Target="http://www.sec.gov/Archives/edgar/data/34903/000119312511186005/dex101.htm" TargetMode="External"/><Relationship Id="rId42" Type="http://schemas.openxmlformats.org/officeDocument/2006/relationships/hyperlink" Target="http://www.sec.gov/Archives/edgar/data/34903/000119312511322933/d260701dex101.htm" TargetMode="External"/><Relationship Id="rId43" Type="http://schemas.openxmlformats.org/officeDocument/2006/relationships/hyperlink" Target="http://www.sec.gov/Archives/edgar/data/34903/000003490313000006/frt-12312012xex1035.htm" TargetMode="External"/><Relationship Id="rId44" Type="http://schemas.openxmlformats.org/officeDocument/2006/relationships/hyperlink" Target="http://www.sec.gov/Archives/edgar/data/34903/000003490313000006/frt-12312012xex1036.htm" TargetMode="External"/><Relationship Id="rId45" Type="http://schemas.openxmlformats.org/officeDocument/2006/relationships/hyperlink" Target="http://www.sec.gov/Archives/edgar/data/34903/000003490313000006/frt-12312012xex1037.htm" TargetMode="External"/><Relationship Id="rId46" Type="http://schemas.openxmlformats.org/officeDocument/2006/relationships/hyperlink" Target="http://www.sec.gov/Archives/edgar/data/34903/000003490313000006/frt-12312012xex1038.htm" TargetMode="External"/><Relationship Id="rId47" Type="http://schemas.openxmlformats.org/officeDocument/2006/relationships/hyperlink" Target="http://www.sec.gov/Archives/edgar/data/34903/000003490313000012/frt-04262013ex101.htm" TargetMode="External"/><Relationship Id="rId48" Type="http://schemas.openxmlformats.org/officeDocument/2006/relationships/hyperlink" Target="http://www.sec.gov/Archives/edgar/data/34903/000003490313000018/frt-03312013xex1040.htm" TargetMode="External"/><Relationship Id="rId49" Type="http://schemas.openxmlformats.org/officeDocument/2006/relationships/hyperlink" Target="http://www.sec.gov/Archives/edgar/data/34903/000003490314000032/frt-08282014ex101.htm" TargetMode="External"/><Relationship Id="rId50" Type="http://schemas.openxmlformats.org/officeDocument/2006/relationships/hyperlink" Target="http://www.sec.gov/Archives/edgar/data/34903/000003490316000053/frt-042016ex101.htm" TargetMode="External"/><Relationship Id="rId51" Type="http://schemas.openxmlformats.org/officeDocument/2006/relationships/hyperlink" Target="http://www.sec.gov/Archives/edgar/data/34903/000003490316000054/frt-042016ex101tl.htm" TargetMode="External"/><Relationship Id="rId52" Type="http://schemas.openxmlformats.org/officeDocument/2006/relationships/hyperlink" Target="http://www.sec.gov/Archives/edgar/data/34903/000003490316000072/frt-09302016xex10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2020-02-10T15:25:58Z</dcterms:created>
  <dcterms:modified xsi:type="dcterms:W3CDTF">2020-02-10T15:25:58Z</dcterms:modified>
</cp:coreProperties>
</file>