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September 21, 2022</w:t>
      </w:r>
    </w:p>
    <w:p>
      <w:pPr>
        <w:spacing w:after="0" w:line="1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6" w:lineRule="exact"/>
        <w:rPr>
          <w:sz w:val="24"/>
          <w:szCs w:val="24"/>
          <w:color w:val="auto"/>
        </w:rPr>
      </w:pPr>
    </w:p>
    <w:tbl>
      <w:tblPr>
        <w:tblLayout w:type="fixed"/>
        <w:tblInd w:w="460" w:type="dxa"/>
        <w:tblCellMar>
          <w:top w:w="0" w:type="dxa"/>
          <w:left w:w="0" w:type="dxa"/>
          <w:bottom w:w="0" w:type="dxa"/>
          <w:right w:w="0" w:type="dxa"/>
        </w:tblCellMar>
      </w:tblPr>
      <w:tr>
        <w:trPr>
          <w:trHeight w:val="226"/>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Maryland (Federal Realty Investment Trust)</w:t>
            </w:r>
          </w:p>
        </w:tc>
        <w:tc>
          <w:tcPr>
            <w:tcW w:w="1700" w:type="dxa"/>
            <w:vAlign w:val="bottom"/>
          </w:tcPr>
          <w:p>
            <w:pPr>
              <w:jc w:val="right"/>
              <w:ind w:right="444"/>
              <w:spacing w:after="0"/>
              <w:rPr>
                <w:sz w:val="20"/>
                <w:szCs w:val="20"/>
                <w:color w:val="auto"/>
              </w:rPr>
            </w:pPr>
            <w:r>
              <w:rPr>
                <w:rFonts w:ascii="Times New Roman" w:cs="Times New Roman" w:eastAsia="Times New Roman" w:hAnsi="Times New Roman"/>
                <w:sz w:val="17"/>
                <w:szCs w:val="17"/>
                <w:b w:val="1"/>
                <w:bCs w:val="1"/>
                <w:color w:val="auto"/>
              </w:rPr>
              <w:t>1-07533</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87-3916363</w:t>
            </w:r>
          </w:p>
        </w:tc>
      </w:tr>
      <w:tr>
        <w:trPr>
          <w:trHeight w:val="229"/>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Delaware (Federal Realty OP LP)</w:t>
            </w:r>
          </w:p>
        </w:tc>
        <w:tc>
          <w:tcPr>
            <w:tcW w:w="1700" w:type="dxa"/>
            <w:vAlign w:val="bottom"/>
          </w:tcPr>
          <w:p>
            <w:pPr>
              <w:jc w:val="right"/>
              <w:ind w:right="184"/>
              <w:spacing w:after="0"/>
              <w:rPr>
                <w:sz w:val="20"/>
                <w:szCs w:val="20"/>
                <w:color w:val="auto"/>
              </w:rPr>
            </w:pPr>
            <w:r>
              <w:rPr>
                <w:rFonts w:ascii="Times New Roman" w:cs="Times New Roman" w:eastAsia="Times New Roman" w:hAnsi="Times New Roman"/>
                <w:sz w:val="17"/>
                <w:szCs w:val="17"/>
                <w:b w:val="1"/>
                <w:bCs w:val="1"/>
                <w:color w:val="auto"/>
              </w:rPr>
              <w:t>333-262016-01</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52-0782497</w:t>
            </w:r>
          </w:p>
        </w:tc>
      </w:tr>
      <w:tr>
        <w:trPr>
          <w:trHeight w:val="144"/>
        </w:trPr>
        <w:tc>
          <w:tcPr>
            <w:tcW w:w="4240" w:type="dxa"/>
            <w:vAlign w:val="bottom"/>
          </w:tcPr>
          <w:p>
            <w:pPr>
              <w:jc w:val="center"/>
              <w:ind w:right="884"/>
              <w:spacing w:after="0" w:line="144"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1700" w:type="dxa"/>
            <w:vAlign w:val="bottom"/>
          </w:tcPr>
          <w:p>
            <w:pPr>
              <w:ind w:left="560"/>
              <w:spacing w:after="0" w:line="144"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1340" w:type="dxa"/>
            <w:vAlign w:val="bottom"/>
          </w:tcPr>
          <w:p>
            <w:pPr>
              <w:spacing w:after="0"/>
              <w:rPr>
                <w:sz w:val="12"/>
                <w:szCs w:val="12"/>
                <w:color w:val="auto"/>
              </w:rPr>
            </w:pPr>
          </w:p>
        </w:tc>
        <w:tc>
          <w:tcPr>
            <w:tcW w:w="1900" w:type="dxa"/>
            <w:vAlign w:val="bottom"/>
          </w:tcPr>
          <w:p>
            <w:pPr>
              <w:jc w:val="center"/>
              <w:ind w:left="844"/>
              <w:spacing w:after="0" w:line="144"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4240" w:type="dxa"/>
            <w:vAlign w:val="bottom"/>
          </w:tcPr>
          <w:p>
            <w:pPr>
              <w:jc w:val="center"/>
              <w:ind w:right="884"/>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170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340" w:type="dxa"/>
            <w:vAlign w:val="bottom"/>
          </w:tcPr>
          <w:p>
            <w:pPr>
              <w:spacing w:after="0"/>
              <w:rPr>
                <w:sz w:val="14"/>
                <w:szCs w:val="14"/>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42"/>
        </w:trPr>
        <w:tc>
          <w:tcPr>
            <w:tcW w:w="4240" w:type="dxa"/>
            <w:vAlign w:val="bottom"/>
          </w:tcPr>
          <w:p>
            <w:pPr>
              <w:ind w:left="2140"/>
              <w:spacing w:after="0"/>
              <w:rPr>
                <w:sz w:val="20"/>
                <w:szCs w:val="20"/>
                <w:color w:val="auto"/>
              </w:rPr>
            </w:pPr>
            <w:r>
              <w:rPr>
                <w:rFonts w:ascii="Times New Roman" w:cs="Times New Roman" w:eastAsia="Times New Roman" w:hAnsi="Times New Roman"/>
                <w:sz w:val="16"/>
                <w:szCs w:val="16"/>
                <w:b w:val="1"/>
                <w:bCs w:val="1"/>
                <w:color w:val="auto"/>
              </w:rPr>
              <w:t>909 Rose Avenue, Suite 200</w:t>
            </w:r>
          </w:p>
        </w:tc>
        <w:tc>
          <w:tcPr>
            <w:tcW w:w="17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North Bethesda,</w:t>
            </w:r>
          </w:p>
        </w:tc>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900" w:type="dxa"/>
            <w:vAlign w:val="bottom"/>
          </w:tcPr>
          <w:p>
            <w:pPr>
              <w:jc w:val="right"/>
              <w:ind w:right="724"/>
              <w:spacing w:after="0"/>
              <w:rPr>
                <w:sz w:val="20"/>
                <w:szCs w:val="20"/>
                <w:color w:val="auto"/>
              </w:rPr>
            </w:pPr>
            <w:r>
              <w:rPr>
                <w:rFonts w:ascii="Times New Roman" w:cs="Times New Roman" w:eastAsia="Times New Roman" w:hAnsi="Times New Roman"/>
                <w:sz w:val="16"/>
                <w:szCs w:val="16"/>
                <w:b w:val="1"/>
                <w:bCs w:val="1"/>
                <w:color w:val="auto"/>
              </w:rPr>
              <w:t>20852</w:t>
            </w:r>
          </w:p>
        </w:tc>
      </w:tr>
      <w:tr>
        <w:trPr>
          <w:trHeight w:val="216"/>
        </w:trPr>
        <w:tc>
          <w:tcPr>
            <w:tcW w:w="5940" w:type="dxa"/>
            <w:vAlign w:val="bottom"/>
            <w:gridSpan w:val="2"/>
          </w:tcPr>
          <w:p>
            <w:pPr>
              <w:ind w:left="31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40" w:type="dxa"/>
            <w:vAlign w:val="bottom"/>
          </w:tcPr>
          <w:p>
            <w:pPr>
              <w:spacing w:after="0"/>
              <w:rPr>
                <w:sz w:val="18"/>
                <w:szCs w:val="18"/>
                <w:color w:val="auto"/>
              </w:rPr>
            </w:pPr>
          </w:p>
        </w:tc>
        <w:tc>
          <w:tcPr>
            <w:tcW w:w="190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301/998-8100</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36"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Common Shares of Beneficial Interest</w:t>
            </w:r>
          </w:p>
        </w:tc>
        <w:tc>
          <w:tcPr>
            <w:tcW w:w="580" w:type="dxa"/>
            <w:vAlign w:val="bottom"/>
          </w:tcPr>
          <w:p>
            <w:pPr>
              <w:spacing w:after="0"/>
              <w:rPr>
                <w:sz w:val="20"/>
                <w:szCs w:val="20"/>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5"/>
              </w:rPr>
              <w:t>FRT</w:t>
            </w:r>
          </w:p>
        </w:tc>
        <w:tc>
          <w:tcPr>
            <w:tcW w:w="28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4480" w:type="dxa"/>
            <w:vAlign w:val="bottom"/>
            <w:gridSpan w:val="3"/>
          </w:tcPr>
          <w:p>
            <w:pPr>
              <w:jc w:val="center"/>
              <w:ind w:left="99"/>
              <w:spacing w:after="0" w:line="168" w:lineRule="exact"/>
              <w:rPr>
                <w:sz w:val="20"/>
                <w:szCs w:val="20"/>
                <w:color w:val="auto"/>
              </w:rPr>
            </w:pPr>
            <w:r>
              <w:rPr>
                <w:rFonts w:ascii="Times New Roman" w:cs="Times New Roman" w:eastAsia="Times New Roman" w:hAnsi="Times New Roman"/>
                <w:sz w:val="16"/>
                <w:szCs w:val="16"/>
                <w:color w:val="auto"/>
              </w:rPr>
              <w:t>$.01 par value per share, with associated Common Share Purchase</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Rights</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Depositary Shares, each representing 1/1000 of a share</w:t>
            </w:r>
          </w:p>
        </w:tc>
        <w:tc>
          <w:tcPr>
            <w:tcW w:w="580" w:type="dxa"/>
            <w:vAlign w:val="bottom"/>
          </w:tcPr>
          <w:p>
            <w:pPr>
              <w:spacing w:after="0"/>
              <w:rPr>
                <w:sz w:val="24"/>
                <w:szCs w:val="24"/>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6"/>
              </w:rPr>
              <w:t>FRT-C</w:t>
            </w:r>
          </w:p>
        </w:tc>
        <w:tc>
          <w:tcPr>
            <w:tcW w:w="2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7020" w:type="dxa"/>
            <w:vAlign w:val="bottom"/>
            <w:gridSpan w:val="6"/>
          </w:tcPr>
          <w:p>
            <w:pPr>
              <w:jc w:val="center"/>
              <w:ind w:right="2380"/>
              <w:spacing w:after="0" w:line="168" w:lineRule="exact"/>
              <w:rPr>
                <w:sz w:val="20"/>
                <w:szCs w:val="20"/>
                <w:color w:val="auto"/>
              </w:rPr>
            </w:pPr>
            <w:r>
              <w:rPr>
                <w:rFonts w:ascii="Times New Roman" w:cs="Times New Roman" w:eastAsia="Times New Roman" w:hAnsi="Times New Roman"/>
                <w:sz w:val="16"/>
                <w:szCs w:val="16"/>
                <w:color w:val="auto"/>
              </w:rPr>
              <w:t>of 5.00% Series C Cumulative Redeemable Preferred Stock, $.01 par</w:t>
            </w: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value per share</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10"/>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OP LP</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0"/>
        </w:trPr>
        <w:tc>
          <w:tcPr>
            <w:tcW w:w="168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8" w:lineRule="exact"/>
        <w:rPr>
          <w:sz w:val="24"/>
          <w:szCs w:val="24"/>
          <w:color w:val="auto"/>
        </w:rPr>
      </w:pPr>
    </w:p>
    <w:p>
      <w:pPr>
        <w:ind w:left="20" w:right="60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184" w:lineRule="exact"/>
        <w:tabs>
          <w:tab w:leader="none" w:pos="3740" w:val="left"/>
        </w:tabs>
        <w:rPr>
          <w:sz w:val="20"/>
          <w:szCs w:val="20"/>
          <w:color w:val="auto"/>
        </w:rPr>
      </w:pPr>
      <w:r>
        <w:rPr>
          <w:rFonts w:ascii="Times New Roman" w:cs="Times New Roman" w:eastAsia="Times New Roman" w:hAnsi="Times New Roman"/>
          <w:sz w:val="16"/>
          <w:szCs w:val="16"/>
          <w:color w:val="auto"/>
        </w:rPr>
        <w:t xml:space="preserve">Federal Realty Investment Trust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59" w:lineRule="exact"/>
        <w:rPr>
          <w:sz w:val="24"/>
          <w:szCs w:val="24"/>
          <w:color w:val="auto"/>
        </w:rPr>
      </w:pPr>
    </w:p>
    <w:p>
      <w:pPr>
        <w:ind w:left="20" w:right="100"/>
        <w:spacing w:after="0" w:line="242" w:lineRule="auto"/>
        <w:rPr>
          <w:sz w:val="20"/>
          <w:szCs w:val="20"/>
          <w:color w:val="auto"/>
        </w:rPr>
      </w:pPr>
      <w:r>
        <w:rPr>
          <w:rFonts w:ascii="Times New Roman" w:cs="Times New Roman" w:eastAsia="Times New Roman" w:hAnsi="Times New Roman"/>
          <w:sz w:val="16"/>
          <w:szCs w:val="16"/>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0"/>
        <w:spacing w:after="0" w:line="184" w:lineRule="exact"/>
        <w:tabs>
          <w:tab w:leader="none" w:pos="2980" w:val="left"/>
        </w:tabs>
        <w:rPr>
          <w:sz w:val="20"/>
          <w:szCs w:val="20"/>
          <w:color w:val="auto"/>
        </w:rPr>
      </w:pPr>
      <w:r>
        <w:rPr>
          <w:rFonts w:ascii="Times New Roman" w:cs="Times New Roman" w:eastAsia="Times New Roman" w:hAnsi="Times New Roman"/>
          <w:sz w:val="16"/>
          <w:szCs w:val="16"/>
          <w:color w:val="auto"/>
        </w:rPr>
        <w:t xml:space="preserve">Federal Realty Investment Trust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Federal Realty OP LP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1" w:name="page2"/>
    <w:bookmarkEnd w:id="1"/>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5.02.</w:t>
      </w:r>
      <w:r>
        <w:rPr>
          <w:sz w:val="20"/>
          <w:szCs w:val="20"/>
          <w:color w:val="auto"/>
        </w:rPr>
        <w:tab/>
      </w:r>
      <w:r>
        <w:rPr>
          <w:rFonts w:ascii="Times New Roman" w:cs="Times New Roman" w:eastAsia="Times New Roman" w:hAnsi="Times New Roman"/>
          <w:sz w:val="19"/>
          <w:szCs w:val="19"/>
          <w:b w:val="1"/>
          <w:bCs w:val="1"/>
          <w:color w:val="auto"/>
        </w:rPr>
        <w:t>Departure of Directors or Principal Officers; Election of Directors; Appointment of Principal Officers.</w:t>
      </w:r>
    </w:p>
    <w:p>
      <w:pPr>
        <w:spacing w:after="0" w:line="24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On September 21, 2022, Mark S. Ordan notified Federal Realty Investment Trust (the “Company”) of his decision to resign as a member of the Company's Board of Trustees (the “Board”) effective as of September 30, 2022. Mr. Ordan’s resignation was not the result of any disagreement with the Company on any matter relating to the Company’s operations, policies or practices. Effective as of October 1, 2022, the Board of the Company elected Thomas A. McEachin as a Trustee to fill the vacancy created by Mr. Ordan’s resignation. Mr. McEachin has also been appointed to serve on the Board’s Compensation and Human Capital Management Committee and Nominating and Corporate Governance Committee. In addition, Mr. Anthony R. Nader, III will become the Chair of the Company’s Nominating and Corporate Governance Committee, replacing Mr. Ordan in that role.</w:t>
      </w:r>
    </w:p>
    <w:p>
      <w:pPr>
        <w:spacing w:after="0" w:line="21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For his service on the Board and Committees, Mr. McEachin will receive the same compensation as that paid to all other non-executive Trustees that do not serve as the Non-Executive Chairman of the Board.</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The Company has determined that Mr. McEachin is independent within the meaning of the New York Stock Exchange listing standards and the Company’s Corporate Governance Guidelines and qualifies as an audit committee financial expert as defined by the Securities and Exchange Commission. There is no arrangement or understanding pursuant to which Mr. McEachin was elected as a Trustee of the Company, and there are no related party transactions involving Mr. McEachin that would require disclosure under Item 404(a) of Regulation S-K.</w:t>
      </w:r>
    </w:p>
    <w:p>
      <w:pPr>
        <w:spacing w:after="0" w:line="18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90" w:lineRule="exact"/>
        <w:rPr>
          <w:sz w:val="20"/>
          <w:szCs w:val="20"/>
          <w:color w:val="auto"/>
        </w:rPr>
      </w:pPr>
    </w:p>
    <w:p>
      <w:pPr>
        <w:ind w:right="460" w:firstLine="198"/>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registrants have duly caused this report to be signed on their behalf by the undersigned hereunto duly authorized.</w:t>
      </w:r>
    </w:p>
    <w:p>
      <w:pPr>
        <w:spacing w:after="0" w:line="2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FEDERAL REALTY INVESTMENT TRUST</w:t>
      </w:r>
    </w:p>
    <w:p>
      <w:pPr>
        <w:spacing w:after="0" w:line="3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FEDERAL REALTY OP LP</w:t>
      </w:r>
    </w:p>
    <w:p>
      <w:pPr>
        <w:spacing w:after="0" w:line="295" w:lineRule="exact"/>
        <w:rPr>
          <w:sz w:val="20"/>
          <w:szCs w:val="20"/>
          <w:color w:val="auto"/>
        </w:rPr>
      </w:pPr>
    </w:p>
    <w:p>
      <w:pPr>
        <w:ind w:left="40"/>
        <w:spacing w:after="0"/>
        <w:tabs>
          <w:tab w:leader="none" w:pos="840" w:val="left"/>
          <w:tab w:leader="none" w:pos="472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September 26, 2022</w:t>
      </w:r>
      <w:r>
        <w:rPr>
          <w:sz w:val="20"/>
          <w:szCs w:val="20"/>
          <w:color w:val="auto"/>
        </w:rPr>
        <w:tab/>
      </w:r>
      <w:r>
        <w:rPr>
          <w:rFonts w:ascii="Times New Roman" w:cs="Times New Roman" w:eastAsia="Times New Roman" w:hAnsi="Times New Roman"/>
          <w:sz w:val="19"/>
          <w:szCs w:val="19"/>
          <w:u w:val="single" w:color="auto"/>
          <w:color w:val="auto"/>
        </w:rPr>
        <w:t>/s/ Dawn M. Becker</w:t>
      </w:r>
    </w:p>
    <w:p>
      <w:pPr>
        <w:spacing w:after="0" w:line="29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Dawn M. Becker</w:t>
      </w:r>
    </w:p>
    <w:p>
      <w:pPr>
        <w:spacing w:after="0" w:line="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Executive Vice President-General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tcPr>
          <w:p>
            <w:pPr>
              <w:ind w:left="2980"/>
              <w:spacing w:after="0"/>
              <w:rPr>
                <w:sz w:val="20"/>
                <w:szCs w:val="20"/>
                <w:color w:val="auto"/>
              </w:rPr>
            </w:pPr>
            <w:r>
              <w:rPr>
                <w:rFonts w:ascii="Times New Roman" w:cs="Times New Roman" w:eastAsia="Times New Roman" w:hAnsi="Times New Roman"/>
                <w:sz w:val="22"/>
                <w:szCs w:val="22"/>
                <w:color w:val="auto"/>
              </w:rPr>
              <w:t>EXHIBIT INDEX</w:t>
            </w:r>
          </w:p>
        </w:tc>
      </w:tr>
      <w:tr>
        <w:trPr>
          <w:trHeight w:val="555"/>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9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(the Cover Page Interactive Data File is embedded within the Inline XBRL document)</w:t>
            </w:r>
          </w:p>
        </w:tc>
      </w:tr>
    </w:tbl>
    <w:p>
      <w:pPr>
        <w:spacing w:after="0" w:line="1" w:lineRule="exact"/>
        <w:rPr>
          <w:sz w:val="20"/>
          <w:szCs w:val="20"/>
          <w:color w:val="auto"/>
        </w:rPr>
      </w:pPr>
    </w:p>
    <w:sectPr>
      <w:pgSz w:w="11900" w:h="16838" w:orient="portrait"/>
      <w:cols w:equalWidth="0" w:num="1">
        <w:col w:w="11180"/>
      </w:cols>
      <w:pgMar w:left="360" w:top="89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2022-09-26T15:34:32Z</dcterms:created>
  <dcterms:modified xsi:type="dcterms:W3CDTF">2022-09-26T15:34:32Z</dcterms:modified>
</cp:coreProperties>
</file>