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jc w:val="center"/>
        <w:ind w:right="1999"/>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3"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QUARTERLY REPORT UNDER SECTION 13 OR 15(d)</w:t>
      </w:r>
    </w:p>
    <w:p>
      <w:pPr>
        <w:jc w:val="center"/>
        <w:ind w:right="189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899"/>
        <w:spacing w:after="0"/>
        <w:tabs>
          <w:tab w:leader="none" w:pos="200" w:val="left"/>
        </w:tabs>
        <w:rPr>
          <w:sz w:val="20"/>
          <w:szCs w:val="20"/>
          <w:color w:val="auto"/>
        </w:rPr>
      </w:pPr>
      <w:r>
        <w:rPr>
          <w:rFonts w:ascii="Courier New" w:cs="Courier New" w:eastAsia="Courier New" w:hAnsi="Courier New"/>
          <w:sz w:val="18"/>
          <w:szCs w:val="18"/>
          <w:color w:val="auto"/>
        </w:rPr>
        <w:t>For the Quarter Ended:</w:t>
      </w:r>
      <w:r>
        <w:rPr>
          <w:sz w:val="20"/>
          <w:szCs w:val="20"/>
          <w:color w:val="auto"/>
        </w:rPr>
        <w:tab/>
      </w:r>
      <w:r>
        <w:rPr>
          <w:rFonts w:ascii="Courier New" w:cs="Courier New" w:eastAsia="Courier New" w:hAnsi="Courier New"/>
          <w:sz w:val="16"/>
          <w:szCs w:val="16"/>
          <w:color w:val="auto"/>
        </w:rPr>
        <w:t>March 31, 1994</w:t>
      </w:r>
    </w:p>
    <w:p>
      <w:pPr>
        <w:jc w:val="center"/>
        <w:ind w:right="1899"/>
        <w:spacing w:after="0" w:line="238" w:lineRule="auto"/>
        <w:rPr>
          <w:sz w:val="20"/>
          <w:szCs w:val="20"/>
          <w:color w:val="auto"/>
        </w:rPr>
      </w:pPr>
      <w:r>
        <w:rPr>
          <w:rFonts w:ascii="Courier New" w:cs="Courier New" w:eastAsia="Courier New" w:hAnsi="Courier New"/>
          <w:sz w:val="18"/>
          <w:szCs w:val="18"/>
          <w:color w:val="auto"/>
        </w:rPr>
        <w:t>Commission File No. 1-7533</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1480"/>
        <w:spacing w:after="0"/>
        <w:tabs>
          <w:tab w:leader="none" w:pos="6100" w:val="left"/>
        </w:tabs>
        <w:rPr>
          <w:sz w:val="20"/>
          <w:szCs w:val="20"/>
          <w:color w:val="auto"/>
        </w:rPr>
      </w:pPr>
      <w:r>
        <w:rPr>
          <w:rFonts w:ascii="Courier New" w:cs="Courier New" w:eastAsia="Courier New" w:hAnsi="Courier New"/>
          <w:sz w:val="18"/>
          <w:szCs w:val="18"/>
          <w:color w:val="auto"/>
        </w:rPr>
        <w:t>District of Columbia</w:t>
      </w:r>
      <w:r>
        <w:rPr>
          <w:sz w:val="20"/>
          <w:szCs w:val="20"/>
          <w:color w:val="auto"/>
        </w:rPr>
        <w:tab/>
      </w:r>
      <w:r>
        <w:rPr>
          <w:rFonts w:ascii="Courier New" w:cs="Courier New" w:eastAsia="Courier New" w:hAnsi="Courier New"/>
          <w:sz w:val="16"/>
          <w:szCs w:val="16"/>
          <w:color w:val="auto"/>
        </w:rPr>
        <w:t>52-0782497</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tabs>
          <w:tab w:leader="none" w:pos="472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ind w:left="1060"/>
        <w:spacing w:after="0"/>
        <w:tabs>
          <w:tab w:leader="none" w:pos="4720" w:val="left"/>
        </w:tabs>
        <w:rPr>
          <w:sz w:val="20"/>
          <w:szCs w:val="20"/>
          <w:color w:val="auto"/>
        </w:rPr>
      </w:pP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ind w:left="1060"/>
        <w:spacing w:after="0"/>
        <w:tabs>
          <w:tab w:leader="none" w:pos="6300" w:val="left"/>
        </w:tabs>
        <w:rPr>
          <w:sz w:val="20"/>
          <w:szCs w:val="20"/>
          <w:color w:val="auto"/>
        </w:rPr>
      </w:pPr>
      <w:r>
        <w:rPr>
          <w:rFonts w:ascii="Courier New" w:cs="Courier New" w:eastAsia="Courier New" w:hAnsi="Courier New"/>
          <w:sz w:val="18"/>
          <w:szCs w:val="18"/>
          <w:color w:val="auto"/>
        </w:rPr>
        <w:t>4800 Hampden Lane, Suite 500, Bethesda, Maryland</w:t>
        <w:tab/>
        <w:t>20814</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tabs>
          <w:tab w:leader="none" w:pos="57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3900" w:hanging="630"/>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652-3360</w:t>
      </w:r>
    </w:p>
    <w:p>
      <w:pPr>
        <w:spacing w:after="0" w:line="4" w:lineRule="exact"/>
        <w:rPr>
          <w:rFonts w:ascii="Courier New" w:cs="Courier New" w:eastAsia="Courier New" w:hAnsi="Courier New"/>
          <w:sz w:val="18"/>
          <w:szCs w:val="18"/>
          <w:color w:val="auto"/>
        </w:rPr>
      </w:pPr>
    </w:p>
    <w:p>
      <w:pPr>
        <w:ind w:left="1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DC-142784.1</w:t>
      </w:r>
    </w:p>
    <w:p>
      <w:pPr>
        <w:spacing w:after="0" w:line="382" w:lineRule="exact"/>
        <w:rPr>
          <w:sz w:val="24"/>
          <w:szCs w:val="24"/>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period that the registrant was required to file such reports), and (2) has been subject to such filing requirements for the past 90 days.</w:t>
      </w:r>
    </w:p>
    <w:p>
      <w:pPr>
        <w:spacing w:after="0" w:line="203" w:lineRule="exact"/>
        <w:rPr>
          <w:sz w:val="24"/>
          <w:szCs w:val="24"/>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Yes / X /.</w:t>
      </w:r>
      <w:r>
        <w:rPr>
          <w:sz w:val="20"/>
          <w:szCs w:val="20"/>
          <w:color w:val="auto"/>
        </w:rPr>
        <w:tab/>
      </w:r>
      <w:r>
        <w:rPr>
          <w:rFonts w:ascii="Courier New" w:cs="Courier New" w:eastAsia="Courier New" w:hAnsi="Courier New"/>
          <w:sz w:val="16"/>
          <w:szCs w:val="16"/>
          <w:color w:val="auto"/>
        </w:rPr>
        <w:t>No /_ /.</w:t>
      </w:r>
    </w:p>
    <w:p>
      <w:pPr>
        <w:spacing w:after="0" w:line="207" w:lineRule="exact"/>
        <w:rPr>
          <w:sz w:val="24"/>
          <w:szCs w:val="24"/>
          <w:color w:val="auto"/>
        </w:rPr>
      </w:pPr>
    </w:p>
    <w:p>
      <w:pPr>
        <w:jc w:val="both"/>
        <w:ind w:right="1999" w:firstLine="527"/>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pacing w:after="0" w:line="203" w:lineRule="exact"/>
        <w:rPr>
          <w:sz w:val="24"/>
          <w:szCs w:val="24"/>
          <w:color w:val="auto"/>
        </w:rPr>
      </w:pPr>
    </w:p>
    <w:p>
      <w:pPr>
        <w:jc w:val="center"/>
        <w:ind w:right="839"/>
        <w:spacing w:after="0"/>
        <w:tabs>
          <w:tab w:leader="none" w:pos="2300" w:val="left"/>
        </w:tabs>
        <w:rPr>
          <w:sz w:val="20"/>
          <w:szCs w:val="20"/>
          <w:color w:val="auto"/>
        </w:rPr>
      </w:pPr>
      <w:r>
        <w:rPr>
          <w:rFonts w:ascii="Courier New" w:cs="Courier New" w:eastAsia="Courier New" w:hAnsi="Courier New"/>
          <w:sz w:val="18"/>
          <w:szCs w:val="18"/>
          <w:color w:val="auto"/>
        </w:rPr>
        <w:t>Class</w:t>
      </w:r>
      <w:r>
        <w:rPr>
          <w:sz w:val="20"/>
          <w:szCs w:val="20"/>
          <w:color w:val="auto"/>
        </w:rPr>
        <w:tab/>
      </w:r>
      <w:r>
        <w:rPr>
          <w:rFonts w:ascii="Courier New" w:cs="Courier New" w:eastAsia="Courier New" w:hAnsi="Courier New"/>
          <w:sz w:val="18"/>
          <w:szCs w:val="18"/>
          <w:color w:val="auto"/>
        </w:rPr>
        <w:t>Outstanding at May 9, 1994</w:t>
      </w:r>
    </w:p>
    <w:p>
      <w:pPr>
        <w:spacing w:after="0" w:line="4"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spacing w:after="0"/>
        <w:tabs>
          <w:tab w:leader="none" w:pos="4820" w:val="left"/>
        </w:tabs>
        <w:rPr>
          <w:sz w:val="20"/>
          <w:szCs w:val="20"/>
          <w:color w:val="auto"/>
        </w:rPr>
      </w:pPr>
      <w:r>
        <w:rPr>
          <w:rFonts w:ascii="Courier New" w:cs="Courier New" w:eastAsia="Courier New" w:hAnsi="Courier New"/>
          <w:sz w:val="18"/>
          <w:szCs w:val="18"/>
          <w:color w:val="auto"/>
        </w:rPr>
        <w:t>Common Shares of Beneficial Interest</w:t>
      </w:r>
      <w:r>
        <w:rPr>
          <w:sz w:val="20"/>
          <w:szCs w:val="20"/>
          <w:color w:val="auto"/>
        </w:rPr>
        <w:tab/>
      </w:r>
      <w:r>
        <w:rPr>
          <w:rFonts w:ascii="Courier New" w:cs="Courier New" w:eastAsia="Courier New" w:hAnsi="Courier New"/>
          <w:sz w:val="16"/>
          <w:szCs w:val="16"/>
          <w:color w:val="auto"/>
        </w:rPr>
        <w:t>31,481,183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report contains 24 pages.</w:t>
      </w:r>
    </w:p>
    <w:p>
      <w:pPr>
        <w:sectPr>
          <w:pgSz w:w="11900" w:h="16838" w:orient="portrait"/>
          <w:cols w:equalWidth="0" w:num="1">
            <w:col w:w="9899"/>
          </w:cols>
          <w:pgMar w:left="560" w:top="852" w:right="1440" w:bottom="1440" w:gutter="0" w:footer="0" w:header="0"/>
        </w:sectPr>
      </w:pPr>
    </w:p>
    <w:bookmarkStart w:id="1" w:name="page2"/>
    <w:bookmarkEnd w:id="1"/>
    <w:p>
      <w:pPr>
        <w:ind w:left="23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 FORM 10-Q</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March 31, 1994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60" w:type="dxa"/>
            <w:vAlign w:val="bottom"/>
          </w:tcPr>
          <w:p>
            <w:pPr>
              <w:ind w:left="1100"/>
              <w:spacing w:after="0"/>
              <w:rPr>
                <w:sz w:val="20"/>
                <w:szCs w:val="20"/>
                <w:color w:val="auto"/>
              </w:rPr>
            </w:pPr>
            <w:r>
              <w:rPr>
                <w:rFonts w:ascii="Courier New" w:cs="Courier New" w:eastAsia="Courier New" w:hAnsi="Courier New"/>
                <w:sz w:val="18"/>
                <w:szCs w:val="18"/>
                <w:color w:val="auto"/>
              </w:rPr>
              <w:t>I N D E X</w:t>
            </w:r>
          </w:p>
        </w:tc>
        <w:tc>
          <w:tcPr>
            <w:tcW w:w="1260" w:type="dxa"/>
            <w:vAlign w:val="bottom"/>
          </w:tcPr>
          <w:p>
            <w:pPr>
              <w:spacing w:after="0"/>
              <w:rPr>
                <w:sz w:val="17"/>
                <w:szCs w:val="17"/>
                <w:color w:val="auto"/>
              </w:rPr>
            </w:pPr>
          </w:p>
        </w:tc>
      </w:tr>
      <w:tr>
        <w:trPr>
          <w:trHeight w:val="810"/>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5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FINANCIAL INFORMATION</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w w:val="94"/>
              </w:rPr>
              <w:t>PAGE NO.</w:t>
            </w: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Accountants'</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rPr>
              <w:t>4</w:t>
            </w: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Balance Sheets</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rPr>
              <w:t>5</w:t>
            </w:r>
          </w:p>
        </w:tc>
      </w:tr>
      <w:tr>
        <w:trPr>
          <w:trHeight w:val="203"/>
        </w:trPr>
        <w:tc>
          <w:tcPr>
            <w:tcW w:w="960" w:type="dxa"/>
            <w:vAlign w:val="bottom"/>
          </w:tcPr>
          <w:p>
            <w:pPr>
              <w:spacing w:after="0"/>
              <w:rPr>
                <w:sz w:val="17"/>
                <w:szCs w:val="17"/>
                <w:color w:val="auto"/>
              </w:rPr>
            </w:pPr>
          </w:p>
        </w:tc>
        <w:tc>
          <w:tcPr>
            <w:tcW w:w="5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March 31, 1994 (unaudited) and</w:t>
            </w:r>
          </w:p>
        </w:tc>
        <w:tc>
          <w:tcPr>
            <w:tcW w:w="12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31,</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 (audited)</w:t>
            </w:r>
          </w:p>
        </w:tc>
        <w:tc>
          <w:tcPr>
            <w:tcW w:w="126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 (unaudited)</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rPr>
              <w:t>6</w:t>
            </w:r>
          </w:p>
        </w:tc>
      </w:tr>
      <w:tr>
        <w:trPr>
          <w:trHeight w:val="203"/>
        </w:trPr>
        <w:tc>
          <w:tcPr>
            <w:tcW w:w="9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Three months</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ended March 31, 1994 and 1993</w:t>
            </w:r>
          </w:p>
        </w:tc>
        <w:tc>
          <w:tcPr>
            <w:tcW w:w="126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Statements</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rPr>
              <w:t>7</w:t>
            </w:r>
          </w:p>
        </w:tc>
      </w:tr>
      <w:tr>
        <w:trPr>
          <w:trHeight w:val="203"/>
        </w:trPr>
        <w:tc>
          <w:tcPr>
            <w:tcW w:w="960" w:type="dxa"/>
            <w:vAlign w:val="bottom"/>
          </w:tcPr>
          <w:p>
            <w:pPr>
              <w:spacing w:after="0"/>
              <w:rPr>
                <w:sz w:val="17"/>
                <w:szCs w:val="17"/>
                <w:color w:val="auto"/>
              </w:rPr>
            </w:pPr>
          </w:p>
        </w:tc>
        <w:tc>
          <w:tcPr>
            <w:tcW w:w="5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Shareholders' Equity (unaudited)</w:t>
            </w:r>
          </w:p>
        </w:tc>
        <w:tc>
          <w:tcPr>
            <w:tcW w:w="12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Three months</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ended March 31, 1994 and 1993</w:t>
            </w:r>
          </w:p>
        </w:tc>
        <w:tc>
          <w:tcPr>
            <w:tcW w:w="126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Statements of Cash Flows (unaudited)</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rPr>
              <w:t>8</w:t>
            </w:r>
          </w:p>
        </w:tc>
      </w:tr>
      <w:tr>
        <w:trPr>
          <w:trHeight w:val="203"/>
        </w:trPr>
        <w:tc>
          <w:tcPr>
            <w:tcW w:w="9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Three months</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ended March 31, 1994 and 1993</w:t>
            </w:r>
          </w:p>
        </w:tc>
        <w:tc>
          <w:tcPr>
            <w:tcW w:w="126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5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Notes to Financial Statements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9-11</w:t>
            </w: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Management's</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Discussion and Analysis of</w:t>
            </w:r>
          </w:p>
        </w:tc>
        <w:tc>
          <w:tcPr>
            <w:tcW w:w="126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5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12-16</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5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rPr>
              <w:t>17</w:t>
            </w:r>
          </w:p>
        </w:tc>
      </w:tr>
    </w:tbl>
    <w:p>
      <w:pPr>
        <w:sectPr>
          <w:pgSz w:w="11900" w:h="16838" w:orient="portrait"/>
          <w:cols w:equalWidth="0" w:num="1">
            <w:col w:w="9899"/>
          </w:cols>
          <w:pgMar w:left="560" w:top="919"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S.E.C. FORM 10-Q</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March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200" w:lineRule="exact"/>
        <w:rPr>
          <w:sz w:val="20"/>
          <w:szCs w:val="20"/>
          <w:color w:val="auto"/>
        </w:rPr>
      </w:pPr>
    </w:p>
    <w:p>
      <w:pPr>
        <w:spacing w:after="0" w:line="214"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balance sheet as of December 31, 1993 was audited by Grant Thornton, independent public accountants, who expressed an unqualified opinion on it in their report dated February 14, 1994. All other financial information presented is unaudited but has been reviewed as of March 31, 1994 and for each of the three months ended March 31, 1994 and 1993 by Grant Thornton whose report thereon appears on Page 4. All adjustments and disclosures proposed by them have been reflected in the data presented.</w:t>
      </w:r>
    </w:p>
    <w:p>
      <w:pPr>
        <w:sectPr>
          <w:pgSz w:w="11900" w:h="16838" w:orient="portrait"/>
          <w:cols w:equalWidth="0" w:num="1">
            <w:col w:w="9899"/>
          </w:cols>
          <w:pgMar w:left="56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Accountants' Review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Trustees and Shareholders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We have made a review of the consolidated balance sheet of Federal Realty Investment Trust as of March 31, 1994 and the related consolidated statements of earnings, shareholders' equity and cash flows for the three-month periods ended March 31, 1994 and 1993. These financial statements are the responsibility of the Trust's management.</w:t>
      </w:r>
    </w:p>
    <w:p>
      <w:pPr>
        <w:spacing w:after="0" w:line="20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in accordance with generally accepted auditing standards, the objective of which is the expression of an opinion regarding the financial statements taken as a whole. Accordingly, we do not express such an opinion.</w:t>
      </w:r>
    </w:p>
    <w:p>
      <w:pPr>
        <w:spacing w:after="0" w:line="214"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Based on our review, we are not aware of any material modifications that should be made to the accompanying financial statements for them to be in conformity with generally accepted accounting principals, except that they do not include all disclosures which might be associated with such statments.</w:t>
      </w:r>
    </w:p>
    <w:p>
      <w:pPr>
        <w:spacing w:after="0" w:line="20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We have previously audited, in accordance with generally accepted auditing standards, the consoldiated balance sheet as of December 31, 1993 and the related consolidated statements of operations, shareholders' equity and cash flows for the year then ended (not presented herein); and in our report dated February 14, 1994, we expressed an unqualified opinion on those consolidated financial statements.</w:t>
      </w:r>
    </w:p>
    <w:p>
      <w:pPr>
        <w:spacing w:after="0" w:line="210" w:lineRule="exact"/>
        <w:rPr>
          <w:sz w:val="20"/>
          <w:szCs w:val="20"/>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In our opinion, the information set forth in the accompanying consolidated balance sheet as of December 31, 1993 is stated fairly, in all material</w:t>
      </w:r>
    </w:p>
    <w:p>
      <w:pPr>
        <w:spacing w:after="0" w:line="36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9899"/>
          </w:cols>
          <w:pgMar w:left="560" w:top="514" w:right="1440" w:bottom="1440" w:gutter="0" w:footer="0" w:header="0"/>
        </w:sectPr>
      </w:pPr>
    </w:p>
    <w:bookmarkStart w:id="4" w:name="page5"/>
    <w:bookmarkEnd w:id="4"/>
    <w:p>
      <w:pPr>
        <w:ind w:right="1999"/>
        <w:spacing w:after="0" w:line="235" w:lineRule="auto"/>
        <w:rPr>
          <w:sz w:val="20"/>
          <w:szCs w:val="20"/>
          <w:color w:val="auto"/>
        </w:rPr>
      </w:pPr>
      <w:r>
        <w:rPr>
          <w:rFonts w:ascii="Courier New" w:cs="Courier New" w:eastAsia="Courier New" w:hAnsi="Courier New"/>
          <w:sz w:val="18"/>
          <w:szCs w:val="18"/>
          <w:color w:val="auto"/>
        </w:rPr>
        <w:t>respects, in relation to the consolidated balance sheet from which it has been derived.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Grant Thornton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38" w:lineRule="auto"/>
        <w:rPr>
          <w:sz w:val="20"/>
          <w:szCs w:val="20"/>
          <w:color w:val="auto"/>
        </w:rPr>
      </w:pPr>
      <w:r>
        <w:rPr>
          <w:rFonts w:ascii="Courier New" w:cs="Courier New" w:eastAsia="Courier New" w:hAnsi="Courier New"/>
          <w:sz w:val="18"/>
          <w:szCs w:val="18"/>
          <w:color w:val="auto"/>
        </w:rPr>
        <w:t>May 9,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9899"/>
          </w:cols>
          <w:pgMar w:left="560" w:top="52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rPr>
          <w:sz w:val="20"/>
          <w:szCs w:val="20"/>
          <w:color w:val="auto"/>
        </w:rPr>
      </w:pPr>
      <w:r>
        <w:rPr>
          <w:rFonts w:ascii="Courier New" w:cs="Courier New" w:eastAsia="Courier New" w:hAnsi="Courier New"/>
          <w:sz w:val="18"/>
          <w:szCs w:val="18"/>
          <w:color w:val="auto"/>
        </w:rPr>
        <w:t>(See Accountants' Review Report)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940" w:type="dxa"/>
            <w:vAlign w:val="bottom"/>
          </w:tcPr>
          <w:p>
            <w:pPr>
              <w:jc w:val="center"/>
              <w:ind w:left="512"/>
              <w:spacing w:after="0"/>
              <w:rPr>
                <w:sz w:val="20"/>
                <w:szCs w:val="20"/>
                <w:color w:val="auto"/>
              </w:rPr>
            </w:pPr>
            <w:r>
              <w:rPr>
                <w:rFonts w:ascii="Courier New" w:cs="Courier New" w:eastAsia="Courier New" w:hAnsi="Courier New"/>
                <w:sz w:val="18"/>
                <w:szCs w:val="18"/>
                <w:color w:val="auto"/>
                <w:w w:val="96"/>
              </w:rPr>
              <w:t>March 31,</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380" w:type="dxa"/>
            <w:vAlign w:val="bottom"/>
          </w:tcPr>
          <w:p>
            <w:pPr>
              <w:spacing w:after="0"/>
              <w:rPr>
                <w:sz w:val="17"/>
                <w:szCs w:val="17"/>
                <w:color w:val="auto"/>
              </w:rPr>
            </w:pP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380" w:type="dxa"/>
            <w:vAlign w:val="bottom"/>
          </w:tcPr>
          <w:p>
            <w:pPr>
              <w:spacing w:after="0"/>
              <w:rPr>
                <w:sz w:val="17"/>
                <w:szCs w:val="17"/>
                <w:color w:val="auto"/>
              </w:rPr>
            </w:pP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94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480" w:type="dxa"/>
            <w:vAlign w:val="bottom"/>
          </w:tcPr>
          <w:p>
            <w:pPr>
              <w:spacing w:after="0"/>
              <w:rPr>
                <w:sz w:val="17"/>
                <w:szCs w:val="17"/>
                <w:color w:val="auto"/>
              </w:rPr>
            </w:pPr>
          </w:p>
        </w:tc>
      </w:tr>
      <w:tr>
        <w:trPr>
          <w:trHeight w:val="203"/>
        </w:trPr>
        <w:tc>
          <w:tcPr>
            <w:tcW w:w="4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ASSETS</w:t>
            </w:r>
          </w:p>
        </w:tc>
        <w:tc>
          <w:tcPr>
            <w:tcW w:w="194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8"/>
              </w:rPr>
              <w:t>(in</w:t>
            </w:r>
          </w:p>
        </w:tc>
        <w:tc>
          <w:tcPr>
            <w:tcW w:w="1480" w:type="dxa"/>
            <w:vAlign w:val="bottom"/>
          </w:tcPr>
          <w:p>
            <w:pPr>
              <w:spacing w:after="0"/>
              <w:rPr>
                <w:sz w:val="17"/>
                <w:szCs w:val="17"/>
                <w:color w:val="auto"/>
              </w:rPr>
            </w:pPr>
          </w:p>
        </w:tc>
      </w:tr>
      <w:tr>
        <w:trPr>
          <w:trHeight w:val="203"/>
        </w:trPr>
        <w:tc>
          <w:tcPr>
            <w:tcW w:w="4380" w:type="dxa"/>
            <w:vAlign w:val="bottom"/>
          </w:tcPr>
          <w:p>
            <w:pPr>
              <w:spacing w:after="0"/>
              <w:rPr>
                <w:sz w:val="17"/>
                <w:szCs w:val="17"/>
                <w:color w:val="auto"/>
              </w:rPr>
            </w:pP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thousands)</w:t>
            </w:r>
          </w:p>
        </w:tc>
        <w:tc>
          <w:tcPr>
            <w:tcW w:w="1480" w:type="dxa"/>
            <w:vAlign w:val="bottom"/>
          </w:tcPr>
          <w:p>
            <w:pPr>
              <w:spacing w:after="0"/>
              <w:rPr>
                <w:sz w:val="17"/>
                <w:szCs w:val="17"/>
                <w:color w:val="auto"/>
              </w:rPr>
            </w:pP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Real estate, at cost</w:t>
            </w:r>
          </w:p>
        </w:tc>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$765,615</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$758,088</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19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-140,397</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-135,045</w:t>
            </w:r>
          </w:p>
        </w:tc>
      </w:tr>
      <w:tr>
        <w:trPr>
          <w:trHeight w:val="203"/>
        </w:trPr>
        <w:tc>
          <w:tcPr>
            <w:tcW w:w="4380" w:type="dxa"/>
            <w:vAlign w:val="bottom"/>
          </w:tcPr>
          <w:p>
            <w:pPr>
              <w:spacing w:after="0"/>
              <w:rPr>
                <w:sz w:val="17"/>
                <w:szCs w:val="17"/>
                <w:color w:val="auto"/>
              </w:rPr>
            </w:pP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4"/>
                <w:szCs w:val="24"/>
                <w:color w:val="auto"/>
              </w:rPr>
            </w:pPr>
          </w:p>
        </w:tc>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625,218</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623,043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Mortgage notes receivable</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18,316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13,871</w:t>
            </w:r>
          </w:p>
        </w:tc>
      </w:tr>
      <w:tr>
        <w:trPr>
          <w:trHeight w:val="203"/>
        </w:trPr>
        <w:tc>
          <w:tcPr>
            <w:tcW w:w="4380" w:type="dxa"/>
            <w:vAlign w:val="bottom"/>
          </w:tcPr>
          <w:p>
            <w:pPr>
              <w:spacing w:after="0"/>
              <w:rPr>
                <w:sz w:val="17"/>
                <w:szCs w:val="17"/>
                <w:color w:val="auto"/>
              </w:rPr>
            </w:pP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4"/>
                <w:szCs w:val="24"/>
                <w:color w:val="auto"/>
              </w:rPr>
            </w:pPr>
          </w:p>
        </w:tc>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643,534</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636,914</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8,950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9,635</w:t>
            </w: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Investments</w:t>
            </w:r>
          </w:p>
        </w:tc>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3,863</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4,008</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receivable - officers</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1,890</w:t>
            </w: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Accounts receivable</w:t>
            </w:r>
          </w:p>
        </w:tc>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15,938</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15,681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8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9799"/>
          </w:cols>
          <w:pgMar w:left="660" w:top="9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Prepaid expenses and other assets,</w:t>
            </w: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principally property taxes, insurance, and</w:t>
            </w: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 commissions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20,650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19,499</w:t>
            </w: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Debt issue costs (net of accumulated</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amortization of $2,839,000 and $3,862,000,</w:t>
            </w: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respectively)</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3,197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3,316</w:t>
            </w:r>
          </w:p>
        </w:tc>
      </w:tr>
      <w:tr>
        <w:trPr>
          <w:trHeight w:val="203"/>
        </w:trPr>
        <w:tc>
          <w:tcPr>
            <w:tcW w:w="5020" w:type="dxa"/>
            <w:vAlign w:val="bottom"/>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$698,513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$690,943</w:t>
            </w:r>
          </w:p>
        </w:tc>
      </w:tr>
      <w:tr>
        <w:trPr>
          <w:trHeight w:val="203"/>
        </w:trPr>
        <w:tc>
          <w:tcPr>
            <w:tcW w:w="5020" w:type="dxa"/>
            <w:vAlign w:val="bottom"/>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ind w:left="540"/>
              <w:spacing w:after="0"/>
              <w:rPr>
                <w:sz w:val="20"/>
                <w:szCs w:val="20"/>
                <w:color w:val="auto"/>
              </w:rPr>
            </w:pPr>
            <w:r>
              <w:rPr>
                <w:rFonts w:ascii="Courier New" w:cs="Courier New" w:eastAsia="Courier New" w:hAnsi="Courier New"/>
                <w:sz w:val="18"/>
                <w:szCs w:val="18"/>
                <w:color w:val="auto"/>
              </w:rPr>
              <w:t>LIABILITIES AND SHAREHOLDERS' EQUITY</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$137,072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$137,308</w:t>
            </w: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Mortgages payable</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103,506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81,237</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21,484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30,519</w:t>
            </w: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Accrued expenses</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19,225</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19,104</w:t>
            </w: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Accounts payable</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5,248</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5,785</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10,963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10,927</w:t>
            </w: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Security deposits</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2,431</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2,430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rents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2,069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1,783</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5 1/4% Convertible subordinated debentures,</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due 2003</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75,000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5 1/4% Convertible subordinated debentures,</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due 2002</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40,167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40,167</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Investors' interest in consolidated assets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2,368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2,484</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08"/>
        </w:trPr>
        <w:tc>
          <w:tcPr>
            <w:tcW w:w="5020" w:type="dxa"/>
            <w:vAlign w:val="bottom"/>
          </w:tcPr>
          <w:p>
            <w:pPr>
              <w:spacing w:after="0"/>
              <w:rPr>
                <w:sz w:val="24"/>
                <w:szCs w:val="24"/>
                <w:color w:val="auto"/>
              </w:rPr>
            </w:pPr>
          </w:p>
        </w:tc>
        <w:tc>
          <w:tcPr>
            <w:tcW w:w="158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- 8 -</w:t>
            </w:r>
          </w:p>
        </w:tc>
        <w:tc>
          <w:tcPr>
            <w:tcW w:w="1200" w:type="dxa"/>
            <w:vAlign w:val="bottom"/>
          </w:tcPr>
          <w:p>
            <w:pPr>
              <w:spacing w:after="0"/>
              <w:rPr>
                <w:sz w:val="24"/>
                <w:szCs w:val="24"/>
                <w:color w:val="auto"/>
              </w:rPr>
            </w:pPr>
          </w:p>
        </w:tc>
      </w:tr>
    </w:tbl>
    <w:p>
      <w:pPr>
        <w:sectPr>
          <w:pgSz w:w="11900" w:h="16838" w:orient="portrait"/>
          <w:cols w:equalWidth="0" w:num="1">
            <w:col w:w="9799"/>
          </w:cols>
          <w:pgMar w:left="660" w:top="514" w:right="1440" w:bottom="1440" w:gutter="0" w:footer="0" w:header="0"/>
        </w:sectPr>
      </w:pPr>
    </w:p>
    <w:bookmarkStart w:id="7" w:name="page8"/>
    <w:bookmarkEnd w:id="7"/>
    <w:p>
      <w:pPr>
        <w:ind w:left="200" w:hanging="104"/>
        <w:spacing w:after="0" w:line="237" w:lineRule="auto"/>
        <w:rPr>
          <w:sz w:val="20"/>
          <w:szCs w:val="20"/>
          <w:color w:val="auto"/>
        </w:rPr>
      </w:pPr>
      <w:r>
        <w:rPr>
          <w:rFonts w:ascii="Courier New" w:cs="Courier New" w:eastAsia="Courier New" w:hAnsi="Courier New"/>
          <w:sz w:val="18"/>
          <w:szCs w:val="18"/>
          <w:color w:val="auto"/>
        </w:rPr>
        <w:t>Common shares of beneficial interest, no par or stated value, unlimited authorization, issued 28,170,318 and 28,077,999 shares, respectively</w:t>
      </w:r>
    </w:p>
    <w:p>
      <w:pPr>
        <w:spacing w:after="0" w:line="207" w:lineRule="exact"/>
        <w:rPr>
          <w:sz w:val="20"/>
          <w:szCs w:val="20"/>
          <w:color w:val="auto"/>
        </w:rPr>
      </w:pPr>
    </w:p>
    <w:p>
      <w:pPr>
        <w:ind w:left="200" w:hanging="104"/>
        <w:spacing w:after="0" w:line="235" w:lineRule="auto"/>
        <w:rPr>
          <w:sz w:val="20"/>
          <w:szCs w:val="20"/>
          <w:color w:val="auto"/>
        </w:rPr>
      </w:pPr>
      <w:r>
        <w:rPr>
          <w:rFonts w:ascii="Courier New" w:cs="Courier New" w:eastAsia="Courier New" w:hAnsi="Courier New"/>
          <w:sz w:val="18"/>
          <w:szCs w:val="18"/>
          <w:color w:val="auto"/>
        </w:rPr>
        <w:t>Accumulated dividends in excess of Trust net income</w:t>
      </w:r>
    </w:p>
    <w:p>
      <w:pPr>
        <w:spacing w:after="0" w:line="6" w:lineRule="exact"/>
        <w:rPr>
          <w:sz w:val="20"/>
          <w:szCs w:val="20"/>
          <w:color w:val="auto"/>
        </w:rPr>
      </w:pPr>
    </w:p>
    <w:p>
      <w:pPr>
        <w:ind w:left="200" w:right="120" w:hanging="104"/>
        <w:spacing w:after="0" w:line="235" w:lineRule="auto"/>
        <w:rPr>
          <w:sz w:val="20"/>
          <w:szCs w:val="20"/>
          <w:color w:val="auto"/>
        </w:rPr>
      </w:pPr>
      <w:r>
        <w:rPr>
          <w:rFonts w:ascii="Courier New" w:cs="Courier New" w:eastAsia="Courier New" w:hAnsi="Courier New"/>
          <w:sz w:val="18"/>
          <w:szCs w:val="18"/>
          <w:color w:val="auto"/>
        </w:rPr>
        <w:t>Allowance for unrealized loss on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20" w:hanging="104"/>
        <w:spacing w:after="0" w:line="235" w:lineRule="auto"/>
        <w:rPr>
          <w:sz w:val="20"/>
          <w:szCs w:val="20"/>
          <w:color w:val="auto"/>
        </w:rPr>
      </w:pPr>
      <w:r>
        <w:rPr>
          <w:rFonts w:ascii="Courier New" w:cs="Courier New" w:eastAsia="Courier New" w:hAnsi="Courier New"/>
          <w:sz w:val="18"/>
          <w:szCs w:val="18"/>
          <w:color w:val="auto"/>
        </w:rPr>
        <w:t>Less 60,200 common shares in treasury - at cost, and subscriptions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hanging="104"/>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204"/>
        </w:trPr>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410,294</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408,005</w:t>
            </w:r>
          </w:p>
        </w:tc>
      </w:tr>
      <w:tr>
        <w:trPr>
          <w:trHeight w:val="608"/>
        </w:trPr>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4"/>
              </w:rPr>
              <w:t>-123,703</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-116,823</w:t>
            </w:r>
          </w:p>
        </w:tc>
      </w:tr>
      <w:tr>
        <w:trPr>
          <w:trHeight w:val="405"/>
        </w:trPr>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-414</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-364</w:t>
            </w:r>
          </w:p>
        </w:tc>
      </w:tr>
      <w:tr>
        <w:trPr>
          <w:trHeight w:val="203"/>
        </w:trPr>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286,177</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290,818</w:t>
            </w:r>
          </w:p>
        </w:tc>
      </w:tr>
      <w:tr>
        <w:trPr>
          <w:trHeight w:val="608"/>
        </w:trPr>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-7,197</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-6,619</w:t>
            </w:r>
          </w:p>
        </w:tc>
      </w:tr>
      <w:tr>
        <w:trPr>
          <w:trHeight w:val="203"/>
        </w:trPr>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278,980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284,199</w:t>
            </w:r>
          </w:p>
        </w:tc>
      </w:tr>
      <w:tr>
        <w:trPr>
          <w:trHeight w:val="203"/>
        </w:trPr>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4"/>
              </w:rPr>
              <w:t>$698,513</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$690,943</w:t>
            </w:r>
          </w:p>
        </w:tc>
      </w:tr>
      <w:tr>
        <w:trPr>
          <w:trHeight w:val="203"/>
        </w:trPr>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2">
            <w:col w:w="4740" w:space="320"/>
            <w:col w:w="4619"/>
          </w:cols>
          <w:pgMar w:left="780" w:top="52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Federal Realty Investment Trust</w:t>
            </w:r>
          </w:p>
        </w:tc>
        <w:tc>
          <w:tcPr>
            <w:tcW w:w="2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CONSOLIDATED STATEMENTS OF OPERATIONS</w:t>
            </w: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(see accountants' review report)</w:t>
            </w:r>
          </w:p>
        </w:tc>
        <w:tc>
          <w:tcPr>
            <w:tcW w:w="2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8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(unaudited)</w:t>
            </w:r>
          </w:p>
        </w:tc>
        <w:tc>
          <w:tcPr>
            <w:tcW w:w="2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480" w:type="dxa"/>
            <w:vAlign w:val="bottom"/>
          </w:tcPr>
          <w:p>
            <w:pPr>
              <w:spacing w:after="0"/>
              <w:rPr>
                <w:sz w:val="24"/>
                <w:szCs w:val="24"/>
                <w:color w:val="auto"/>
              </w:rPr>
            </w:pPr>
          </w:p>
        </w:tc>
        <w:tc>
          <w:tcPr>
            <w:tcW w:w="3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480" w:type="dxa"/>
            <w:vAlign w:val="bottom"/>
          </w:tcPr>
          <w:p>
            <w:pPr>
              <w:spacing w:after="0"/>
              <w:rPr>
                <w:sz w:val="17"/>
                <w:szCs w:val="17"/>
                <w:color w:val="auto"/>
              </w:rPr>
            </w:pPr>
          </w:p>
        </w:tc>
        <w:tc>
          <w:tcPr>
            <w:tcW w:w="32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480" w:type="dxa"/>
            <w:vAlign w:val="bottom"/>
          </w:tcPr>
          <w:p>
            <w:pPr>
              <w:spacing w:after="0"/>
              <w:rPr>
                <w:sz w:val="17"/>
                <w:szCs w:val="17"/>
                <w:color w:val="auto"/>
              </w:rPr>
            </w:pP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480" w:type="dxa"/>
            <w:vAlign w:val="bottom"/>
          </w:tcPr>
          <w:p>
            <w:pPr>
              <w:spacing w:after="0"/>
              <w:rPr>
                <w:sz w:val="17"/>
                <w:szCs w:val="17"/>
                <w:color w:val="auto"/>
              </w:rPr>
            </w:pP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 thousands, except per share data)</w:t>
            </w: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Rental income</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$31,481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$24,567</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Interest</w:t>
            </w: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869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1,044</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1,033</w:t>
            </w:r>
          </w:p>
        </w:tc>
      </w:tr>
      <w:tr>
        <w:trPr>
          <w:trHeight w:val="203"/>
        </w:trPr>
        <w:tc>
          <w:tcPr>
            <w:tcW w:w="4480" w:type="dxa"/>
            <w:vAlign w:val="bottom"/>
          </w:tcPr>
          <w:p>
            <w:pPr>
              <w:spacing w:after="0"/>
              <w:rPr>
                <w:sz w:val="17"/>
                <w:szCs w:val="17"/>
                <w:color w:val="auto"/>
              </w:rPr>
            </w:pP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4"/>
                <w:szCs w:val="24"/>
                <w:color w:val="auto"/>
              </w:rPr>
            </w:pP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33,692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26,644</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Rental</w:t>
            </w: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10,112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6,054</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 estate taxes</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2,398</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Interest</w:t>
            </w: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8,178</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8,501</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Administrative</w:t>
            </w: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1,381</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1,025</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5,936</w:t>
            </w:r>
          </w:p>
        </w:tc>
      </w:tr>
      <w:tr>
        <w:trPr>
          <w:trHeight w:val="203"/>
        </w:trPr>
        <w:tc>
          <w:tcPr>
            <w:tcW w:w="4480" w:type="dxa"/>
            <w:vAlign w:val="bottom"/>
          </w:tcPr>
          <w:p>
            <w:pPr>
              <w:spacing w:after="0"/>
              <w:rPr>
                <w:sz w:val="17"/>
                <w:szCs w:val="17"/>
                <w:color w:val="auto"/>
              </w:rPr>
            </w:pP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80" w:type="dxa"/>
            <w:vAlign w:val="bottom"/>
          </w:tcPr>
          <w:p>
            <w:pPr>
              <w:spacing w:after="0"/>
              <w:rPr>
                <w:sz w:val="24"/>
                <w:szCs w:val="24"/>
                <w:color w:val="auto"/>
              </w:rPr>
            </w:pPr>
          </w:p>
        </w:tc>
        <w:tc>
          <w:tcPr>
            <w:tcW w:w="21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- 10 -</w:t>
            </w:r>
          </w:p>
        </w:tc>
        <w:tc>
          <w:tcPr>
            <w:tcW w:w="1060" w:type="dxa"/>
            <w:vAlign w:val="bottom"/>
          </w:tcPr>
          <w:p>
            <w:pPr>
              <w:spacing w:after="0"/>
              <w:rPr>
                <w:sz w:val="24"/>
                <w:szCs w:val="24"/>
                <w:color w:val="auto"/>
              </w:rPr>
            </w:pPr>
          </w:p>
        </w:tc>
      </w:tr>
    </w:tbl>
    <w:p>
      <w:pPr>
        <w:sectPr>
          <w:pgSz w:w="11900" w:h="16838" w:orient="portrait"/>
          <w:cols w:equalWidth="0" w:num="1">
            <w:col w:w="9799"/>
          </w:cols>
          <w:pgMar w:left="660" w:top="919"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29,427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23,914</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Operating income before investors' share</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4,265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2,730</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operations and extraordinary item</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Investors' share of operations</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-144</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Income before extraordinary item</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4,083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2,586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Net (loss) gain on early</w:t>
            </w: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extinquishment of debt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$4,083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$2,521</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Shares</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28,151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24,846</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extraordinary item</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$0.10</w:t>
            </w:r>
          </w:p>
        </w:tc>
      </w:tr>
      <w:tr>
        <w:trPr>
          <w:trHeight w:val="405"/>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Extraordinary item</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w:t>
      </w:r>
    </w:p>
    <w:p>
      <w:pPr>
        <w:spacing w:after="0" w:line="238" w:lineRule="auto"/>
        <w:rPr>
          <w:sz w:val="20"/>
          <w:szCs w:val="20"/>
          <w:color w:val="auto"/>
        </w:rPr>
      </w:pPr>
      <w:r>
        <w:rPr>
          <w:rFonts w:ascii="Courier New" w:cs="Courier New" w:eastAsia="Courier New" w:hAnsi="Courier New"/>
          <w:sz w:val="18"/>
          <w:szCs w:val="18"/>
          <w:color w:val="auto"/>
        </w:rPr>
        <w:t>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9799"/>
          </w:cols>
          <w:pgMar w:left="660" w:top="51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CONSOLIDATED STATEMENTS OF SHAREHOLDERS' EQUITY (see accountants' review report)</w:t>
      </w:r>
    </w:p>
    <w:p>
      <w:pPr>
        <w:ind w:left="212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5000" w:type="dxa"/>
            <w:vAlign w:val="bottom"/>
            <w:gridSpan w:val="4"/>
          </w:tcPr>
          <w:p>
            <w:pPr>
              <w:jc w:val="right"/>
              <w:ind w:right="852"/>
              <w:spacing w:after="0"/>
              <w:rPr>
                <w:sz w:val="20"/>
                <w:szCs w:val="20"/>
                <w:color w:val="auto"/>
              </w:rPr>
            </w:pPr>
            <w:r>
              <w:rPr>
                <w:rFonts w:ascii="Courier New" w:cs="Courier New" w:eastAsia="Courier New" w:hAnsi="Courier New"/>
                <w:sz w:val="18"/>
                <w:szCs w:val="18"/>
                <w:color w:val="auto"/>
              </w:rPr>
              <w:t>Three months ended March 31,</w:t>
            </w:r>
          </w:p>
        </w:tc>
      </w:tr>
      <w:tr>
        <w:trPr>
          <w:trHeight w:val="203"/>
        </w:trPr>
        <w:tc>
          <w:tcPr>
            <w:tcW w:w="270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(In thousands, except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Shares</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Amount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Shares</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Amount</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 amounts)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rPr>
              <w:t>Common Shares of</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 Interest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Balance, beginning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period</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28,077,999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$408,005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24,777,831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$322,903</w:t>
            </w:r>
          </w:p>
        </w:tc>
      </w:tr>
      <w:tr>
        <w:trPr>
          <w:trHeight w:val="405"/>
        </w:trPr>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rPr>
              <w:t>Exercise of stock</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17,216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27,634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issued under</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 reinvestment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35,103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31,686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w:t>
            </w:r>
          </w:p>
        </w:tc>
      </w:tr>
      <w:tr>
        <w:trPr>
          <w:trHeight w:val="405"/>
        </w:trPr>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rPr>
              <w:t>Conversion of 8 3/4%</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subordinated deben-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tures, net of costs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$50,000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137,364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2,209</w:t>
            </w:r>
          </w:p>
        </w:tc>
      </w:tr>
      <w:tr>
        <w:trPr>
          <w:trHeight w:val="405"/>
        </w:trPr>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rPr>
              <w:t>Shares purchased under</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 purchase plan</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- 12 -</w:t>
            </w:r>
          </w:p>
        </w:tc>
        <w:tc>
          <w:tcPr>
            <w:tcW w:w="1160" w:type="dxa"/>
            <w:vAlign w:val="bottom"/>
          </w:tcPr>
          <w:p>
            <w:pPr>
              <w:spacing w:after="0"/>
              <w:rPr>
                <w:sz w:val="24"/>
                <w:szCs w:val="24"/>
                <w:color w:val="auto"/>
              </w:rPr>
            </w:pPr>
          </w:p>
        </w:tc>
      </w:tr>
    </w:tbl>
    <w:p>
      <w:pPr>
        <w:sectPr>
          <w:pgSz w:w="11900" w:h="16838" w:orient="portrait"/>
          <w:cols w:equalWidth="0" w:num="1">
            <w:col w:w="9799"/>
          </w:cols>
          <w:pgMar w:left="660" w:top="919"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rPr>
              <w:t>Balance, end of period</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28,170,318</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$410,294</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24,974,515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$326,482</w:t>
            </w:r>
          </w:p>
        </w:tc>
      </w:tr>
      <w:tr>
        <w:trPr>
          <w:trHeight w:val="203"/>
        </w:trPr>
        <w:tc>
          <w:tcPr>
            <w:tcW w:w="2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rPr>
              <w:t>Common Shares of Bene-</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ficial Interest in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Deferred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and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Subscriptions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Receivable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Balance, beginning of</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-422,575</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-$6,619</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-426,575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-$6,708</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period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Amortization of deferred</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27,875</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422</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Subscription of shares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under share purchase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Balance, end of period</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-434,700</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$-7,197</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-425,575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$-6,686</w:t>
            </w:r>
          </w:p>
        </w:tc>
      </w:tr>
      <w:tr>
        <w:trPr>
          <w:trHeight w:val="203"/>
        </w:trPr>
        <w:tc>
          <w:tcPr>
            <w:tcW w:w="2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Allowance for Unrealized Loss on</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-$364</w:t>
            </w:r>
          </w:p>
        </w:tc>
        <w:tc>
          <w:tcPr>
            <w:tcW w:w="1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-$385</w:t>
            </w:r>
          </w:p>
        </w:tc>
      </w:tr>
      <w:tr>
        <w:trPr>
          <w:trHeight w:val="203"/>
        </w:trPr>
        <w:tc>
          <w:tcPr>
            <w:tcW w:w="40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Marketable Securities Balance,</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rPr>
              <w:t>Unrealized (loss)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recovery</w:t>
            </w:r>
          </w:p>
        </w:tc>
        <w:tc>
          <w:tcPr>
            <w:tcW w:w="1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c>
          <w:tcPr>
            <w:tcW w:w="1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2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Balance, end of period</w:t>
            </w:r>
          </w:p>
        </w:tc>
        <w:tc>
          <w:tcPr>
            <w:tcW w:w="1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w:t>
            </w:r>
          </w:p>
        </w:tc>
        <w:tc>
          <w:tcPr>
            <w:tcW w:w="1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w:t>
            </w:r>
          </w:p>
        </w:tc>
      </w:tr>
      <w:tr>
        <w:trPr>
          <w:trHeight w:val="203"/>
        </w:trPr>
        <w:tc>
          <w:tcPr>
            <w:tcW w:w="2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9799"/>
          </w:cols>
          <w:pgMar w:left="660" w:top="514"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Accumulated Dividends in</w:t>
      </w:r>
    </w:p>
    <w:p>
      <w:pPr>
        <w:ind w:left="120"/>
        <w:spacing w:after="0" w:line="238" w:lineRule="auto"/>
        <w:rPr>
          <w:sz w:val="20"/>
          <w:szCs w:val="20"/>
          <w:color w:val="auto"/>
        </w:rPr>
      </w:pPr>
      <w:r>
        <w:rPr>
          <w:rFonts w:ascii="Courier New" w:cs="Courier New" w:eastAsia="Courier New" w:hAnsi="Courier New"/>
          <w:sz w:val="18"/>
          <w:szCs w:val="18"/>
          <w:color w:val="auto"/>
        </w:rPr>
        <w:t>Excess of Trust Net</w:t>
      </w:r>
    </w:p>
    <w:p>
      <w:pPr>
        <w:ind w:left="120"/>
        <w:spacing w:after="0"/>
        <w:rPr>
          <w:sz w:val="20"/>
          <w:szCs w:val="20"/>
          <w:color w:val="auto"/>
        </w:rPr>
      </w:pPr>
      <w:r>
        <w:rPr>
          <w:rFonts w:ascii="Courier New" w:cs="Courier New" w:eastAsia="Courier New" w:hAnsi="Courier New"/>
          <w:sz w:val="18"/>
          <w:szCs w:val="18"/>
          <w:color w:val="auto"/>
        </w:rPr>
        <w:t>Income</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Balance, beginning of</w:t>
            </w:r>
          </w:p>
        </w:tc>
        <w:tc>
          <w:tcPr>
            <w:tcW w:w="2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period</w:t>
            </w:r>
          </w:p>
        </w:tc>
        <w:tc>
          <w:tcPr>
            <w:tcW w:w="25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-$116,823</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-$92,932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5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4,083</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2,521</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Dividends declared to</w:t>
            </w:r>
          </w:p>
        </w:tc>
        <w:tc>
          <w:tcPr>
            <w:tcW w:w="25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shareholders</w:t>
            </w:r>
          </w:p>
        </w:tc>
        <w:tc>
          <w:tcPr>
            <w:tcW w:w="25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-10,963</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-9,592</w:t>
            </w:r>
          </w:p>
        </w:tc>
      </w:tr>
      <w:tr>
        <w:trPr>
          <w:trHeight w:val="203"/>
        </w:trPr>
        <w:tc>
          <w:tcPr>
            <w:tcW w:w="3160" w:type="dxa"/>
            <w:vAlign w:val="bottom"/>
          </w:tcPr>
          <w:p>
            <w:pPr>
              <w:spacing w:after="0"/>
              <w:rPr>
                <w:sz w:val="17"/>
                <w:szCs w:val="17"/>
                <w:color w:val="auto"/>
              </w:rPr>
            </w:pPr>
          </w:p>
        </w:tc>
        <w:tc>
          <w:tcPr>
            <w:tcW w:w="25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Balance, end of period</w:t>
            </w:r>
          </w:p>
        </w:tc>
        <w:tc>
          <w:tcPr>
            <w:tcW w:w="25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-$123,703</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-$100,003</w:t>
            </w:r>
          </w:p>
        </w:tc>
      </w:tr>
      <w:tr>
        <w:trPr>
          <w:trHeight w:val="203"/>
        </w:trPr>
        <w:tc>
          <w:tcPr>
            <w:tcW w:w="3160" w:type="dxa"/>
            <w:vAlign w:val="bottom"/>
          </w:tcPr>
          <w:p>
            <w:pPr>
              <w:spacing w:after="0"/>
              <w:rPr>
                <w:sz w:val="17"/>
                <w:szCs w:val="17"/>
                <w:color w:val="auto"/>
              </w:rPr>
            </w:pPr>
          </w:p>
        </w:tc>
        <w:tc>
          <w:tcPr>
            <w:tcW w:w="25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9799"/>
          </w:cols>
          <w:pgMar w:left="660" w:top="514"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Federal Realty Investment Trust</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accountants' review report)</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(unaudited)</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6020" w:type="dxa"/>
            <w:vAlign w:val="bottom"/>
          </w:tcPr>
          <w:p>
            <w:pPr>
              <w:spacing w:after="0"/>
              <w:rPr>
                <w:sz w:val="24"/>
                <w:szCs w:val="24"/>
                <w:color w:val="auto"/>
              </w:rPr>
            </w:pPr>
          </w:p>
        </w:tc>
        <w:tc>
          <w:tcPr>
            <w:tcW w:w="3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Three months ended March 31,</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1994</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602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02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$4,083</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$2,521</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provided by operations</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6020" w:type="dxa"/>
            <w:vAlign w:val="bottom"/>
          </w:tcPr>
          <w:p>
            <w:pPr>
              <w:ind w:left="540"/>
              <w:spacing w:after="0"/>
              <w:rPr>
                <w:sz w:val="20"/>
                <w:szCs w:val="20"/>
                <w:color w:val="auto"/>
              </w:rPr>
            </w:pPr>
            <w:r>
              <w:rPr>
                <w:rFonts w:ascii="Courier New" w:cs="Courier New" w:eastAsia="Courier New" w:hAnsi="Courier New"/>
                <w:sz w:val="18"/>
                <w:szCs w:val="18"/>
                <w:color w:val="auto"/>
              </w:rPr>
              <w:t>Depreciation and amortization</w:t>
            </w: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6,897</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5,936</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Rent abatements in lieu of leasehold improvements,</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of tenant improvements retired</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6020" w:type="dxa"/>
            <w:vAlign w:val="bottom"/>
          </w:tcPr>
          <w:p>
            <w:pPr>
              <w:ind w:left="540"/>
              <w:spacing w:after="0"/>
              <w:rPr>
                <w:sz w:val="20"/>
                <w:szCs w:val="20"/>
                <w:color w:val="auto"/>
              </w:rPr>
            </w:pPr>
            <w:r>
              <w:rPr>
                <w:rFonts w:ascii="Courier New" w:cs="Courier New" w:eastAsia="Courier New" w:hAnsi="Courier New"/>
                <w:sz w:val="18"/>
                <w:szCs w:val="18"/>
                <w:color w:val="auto"/>
              </w:rPr>
              <w:t>Imputed interest and amortization of debt cost</w:t>
            </w: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162</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153</w:t>
            </w:r>
          </w:p>
        </w:tc>
      </w:tr>
      <w:tr>
        <w:trPr>
          <w:trHeight w:val="405"/>
        </w:trPr>
        <w:tc>
          <w:tcPr>
            <w:tcW w:w="6020" w:type="dxa"/>
            <w:vAlign w:val="bottom"/>
          </w:tcPr>
          <w:p>
            <w:pPr>
              <w:ind w:left="540"/>
              <w:spacing w:after="0"/>
              <w:rPr>
                <w:sz w:val="20"/>
                <w:szCs w:val="20"/>
                <w:color w:val="auto"/>
              </w:rPr>
            </w:pPr>
            <w:r>
              <w:rPr>
                <w:rFonts w:ascii="Courier New" w:cs="Courier New" w:eastAsia="Courier New" w:hAnsi="Courier New"/>
                <w:sz w:val="18"/>
                <w:szCs w:val="18"/>
                <w:color w:val="auto"/>
              </w:rPr>
              <w:t>Amortization of deferred compensation and</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forgiveness of officers' notes</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 of trustees' fees in shares of beneficial</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405"/>
        </w:trPr>
        <w:tc>
          <w:tcPr>
            <w:tcW w:w="6020" w:type="dxa"/>
            <w:vAlign w:val="bottom"/>
          </w:tcPr>
          <w:p>
            <w:pPr>
              <w:ind w:left="540"/>
              <w:spacing w:after="0"/>
              <w:rPr>
                <w:sz w:val="20"/>
                <w:szCs w:val="20"/>
                <w:color w:val="auto"/>
              </w:rPr>
            </w:pPr>
            <w:r>
              <w:rPr>
                <w:rFonts w:ascii="Courier New" w:cs="Courier New" w:eastAsia="Courier New" w:hAnsi="Courier New"/>
                <w:sz w:val="18"/>
                <w:szCs w:val="18"/>
                <w:color w:val="auto"/>
              </w:rPr>
              <w:t>Net loss (gain) on early extinguishment of debt</w:t>
            </w: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6020" w:type="dxa"/>
            <w:vAlign w:val="bottom"/>
          </w:tcPr>
          <w:p>
            <w:pPr>
              <w:ind w:left="540"/>
              <w:spacing w:after="0"/>
              <w:rPr>
                <w:sz w:val="20"/>
                <w:szCs w:val="20"/>
                <w:color w:val="auto"/>
              </w:rPr>
            </w:pPr>
            <w:r>
              <w:rPr>
                <w:rFonts w:ascii="Courier New" w:cs="Courier New" w:eastAsia="Courier New" w:hAnsi="Courier New"/>
                <w:sz w:val="18"/>
                <w:szCs w:val="18"/>
                <w:color w:val="auto"/>
              </w:rPr>
              <w:t>(Increase) decrease in accounts receivable</w:t>
            </w: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-257</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-1,280</w:t>
            </w:r>
          </w:p>
        </w:tc>
      </w:tr>
      <w:tr>
        <w:trPr>
          <w:trHeight w:val="810"/>
        </w:trPr>
        <w:tc>
          <w:tcPr>
            <w:tcW w:w="6020" w:type="dxa"/>
            <w:vAlign w:val="bottom"/>
          </w:tcPr>
          <w:p>
            <w:pPr>
              <w:ind w:left="5060"/>
              <w:spacing w:after="0"/>
              <w:rPr>
                <w:sz w:val="20"/>
                <w:szCs w:val="20"/>
                <w:color w:val="auto"/>
              </w:rPr>
            </w:pPr>
            <w:r>
              <w:rPr>
                <w:rFonts w:ascii="Courier New" w:cs="Courier New" w:eastAsia="Courier New" w:hAnsi="Courier New"/>
                <w:sz w:val="18"/>
                <w:szCs w:val="18"/>
                <w:color w:val="auto"/>
              </w:rPr>
              <w:t>- 15 -</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9799"/>
          </w:cols>
          <w:pgMar w:left="660" w:top="1122" w:right="1440" w:bottom="1440" w:gutter="0" w:footer="0" w:header="0"/>
        </w:sectPr>
      </w:pPr>
    </w:p>
    <w:bookmarkStart w:id="14" w:name="page15"/>
    <w:bookmarkEnd w:id="14"/>
    <w:p>
      <w:pPr>
        <w:spacing w:after="0" w:line="6" w:lineRule="exact"/>
        <w:rPr>
          <w:sz w:val="20"/>
          <w:szCs w:val="20"/>
          <w:color w:val="auto"/>
        </w:rPr>
      </w:pPr>
    </w:p>
    <w:p>
      <w:pPr>
        <w:ind w:left="640" w:right="520" w:hanging="104"/>
        <w:spacing w:after="0" w:line="290" w:lineRule="auto"/>
        <w:rPr>
          <w:sz w:val="20"/>
          <w:szCs w:val="20"/>
          <w:color w:val="auto"/>
        </w:rPr>
      </w:pPr>
      <w:r>
        <w:rPr>
          <w:rFonts w:ascii="Courier New" w:cs="Courier New" w:eastAsia="Courier New" w:hAnsi="Courier New"/>
          <w:sz w:val="16"/>
          <w:szCs w:val="16"/>
          <w:color w:val="auto"/>
        </w:rPr>
        <w:t>Increase in prepaid expenses and other assets before depreciation and amortization</w:t>
      </w:r>
    </w:p>
    <w:p>
      <w:pPr>
        <w:spacing w:after="0" w:line="170" w:lineRule="exact"/>
        <w:rPr>
          <w:sz w:val="20"/>
          <w:szCs w:val="20"/>
          <w:color w:val="auto"/>
        </w:rPr>
      </w:pPr>
    </w:p>
    <w:p>
      <w:pPr>
        <w:ind w:left="640" w:hanging="104"/>
        <w:spacing w:after="0" w:line="235" w:lineRule="auto"/>
        <w:rPr>
          <w:sz w:val="20"/>
          <w:szCs w:val="20"/>
          <w:color w:val="auto"/>
        </w:rPr>
      </w:pPr>
      <w:r>
        <w:rPr>
          <w:rFonts w:ascii="Courier New" w:cs="Courier New" w:eastAsia="Courier New" w:hAnsi="Courier New"/>
          <w:sz w:val="18"/>
          <w:szCs w:val="18"/>
          <w:color w:val="auto"/>
        </w:rPr>
        <w:t>(Decrease) increase in operating accounts payable, security deposits and prepaid rent</w:t>
      </w:r>
    </w:p>
    <w:p>
      <w:pPr>
        <w:spacing w:after="0" w:line="6" w:lineRule="exact"/>
        <w:rPr>
          <w:sz w:val="20"/>
          <w:szCs w:val="20"/>
          <w:color w:val="auto"/>
        </w:rPr>
      </w:pPr>
    </w:p>
    <w:p>
      <w:pPr>
        <w:ind w:left="640" w:right="100" w:hanging="104"/>
        <w:spacing w:after="0" w:line="235" w:lineRule="auto"/>
        <w:rPr>
          <w:sz w:val="20"/>
          <w:szCs w:val="20"/>
          <w:color w:val="auto"/>
        </w:rPr>
      </w:pPr>
      <w:r>
        <w:rPr>
          <w:rFonts w:ascii="Courier New" w:cs="Courier New" w:eastAsia="Courier New" w:hAnsi="Courier New"/>
          <w:sz w:val="18"/>
          <w:szCs w:val="18"/>
          <w:color w:val="auto"/>
        </w:rPr>
        <w:t>Increase in accrued expenses, before accretion of interest</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cash provided by operating activities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INVESTING ACTIVITIES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Acquisition of real estate</w:t>
      </w:r>
    </w:p>
    <w:p>
      <w:pPr>
        <w:ind w:left="220"/>
        <w:spacing w:after="0" w:line="238" w:lineRule="auto"/>
        <w:rPr>
          <w:sz w:val="20"/>
          <w:szCs w:val="20"/>
          <w:color w:val="auto"/>
        </w:rPr>
      </w:pPr>
      <w:r>
        <w:rPr>
          <w:rFonts w:ascii="Courier New" w:cs="Courier New" w:eastAsia="Courier New" w:hAnsi="Courier New"/>
          <w:sz w:val="18"/>
          <w:szCs w:val="18"/>
          <w:color w:val="auto"/>
        </w:rPr>
        <w:t>Capital expenditures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decrease (increase) in notes receivable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decrease in temporary investments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cash used in investing activities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FINANCING ACTIVITIES</w:t>
      </w:r>
    </w:p>
    <w:p>
      <w:pPr>
        <w:spacing w:after="0" w:line="4" w:lineRule="exact"/>
        <w:rPr>
          <w:sz w:val="20"/>
          <w:szCs w:val="20"/>
          <w:color w:val="auto"/>
        </w:rPr>
      </w:pPr>
    </w:p>
    <w:p>
      <w:pPr>
        <w:ind w:left="320" w:right="320" w:hanging="104"/>
        <w:spacing w:after="0" w:line="235" w:lineRule="auto"/>
        <w:rPr>
          <w:sz w:val="20"/>
          <w:szCs w:val="20"/>
          <w:color w:val="auto"/>
        </w:rPr>
      </w:pPr>
      <w:r>
        <w:rPr>
          <w:rFonts w:ascii="Courier New" w:cs="Courier New" w:eastAsia="Courier New" w:hAnsi="Courier New"/>
          <w:sz w:val="18"/>
          <w:szCs w:val="18"/>
          <w:color w:val="auto"/>
        </w:rPr>
        <w:t>Regular payments on mortgages, capital leases, and notes payable</w:t>
      </w:r>
    </w:p>
    <w:p>
      <w:pPr>
        <w:spacing w:after="0" w:line="208" w:lineRule="exact"/>
        <w:rPr>
          <w:sz w:val="20"/>
          <w:szCs w:val="20"/>
          <w:color w:val="auto"/>
        </w:rPr>
      </w:pPr>
    </w:p>
    <w:p>
      <w:pPr>
        <w:ind w:left="320" w:right="200" w:hanging="104"/>
        <w:spacing w:after="0" w:line="235" w:lineRule="auto"/>
        <w:rPr>
          <w:sz w:val="20"/>
          <w:szCs w:val="20"/>
          <w:color w:val="auto"/>
        </w:rPr>
      </w:pPr>
      <w:r>
        <w:rPr>
          <w:rFonts w:ascii="Courier New" w:cs="Courier New" w:eastAsia="Courier New" w:hAnsi="Courier New"/>
          <w:sz w:val="18"/>
          <w:szCs w:val="18"/>
          <w:color w:val="auto"/>
        </w:rPr>
        <w:t>Balloon payments on mortgages, including prepayment fees</w:t>
      </w:r>
    </w:p>
    <w:p>
      <w:pPr>
        <w:spacing w:after="0" w:line="208" w:lineRule="exact"/>
        <w:rPr>
          <w:sz w:val="20"/>
          <w:szCs w:val="20"/>
          <w:color w:val="auto"/>
        </w:rPr>
      </w:pPr>
    </w:p>
    <w:p>
      <w:pPr>
        <w:ind w:left="220" w:right="840"/>
        <w:spacing w:after="0" w:line="235" w:lineRule="auto"/>
        <w:rPr>
          <w:sz w:val="20"/>
          <w:szCs w:val="20"/>
          <w:color w:val="auto"/>
        </w:rPr>
      </w:pPr>
      <w:r>
        <w:rPr>
          <w:rFonts w:ascii="Courier New" w:cs="Courier New" w:eastAsia="Courier New" w:hAnsi="Courier New"/>
          <w:sz w:val="18"/>
          <w:szCs w:val="18"/>
          <w:color w:val="auto"/>
        </w:rPr>
        <w:t>Proceeds of mortgage financings, net of costs Repayments of short-term debt, net</w:t>
      </w:r>
    </w:p>
    <w:p>
      <w:pPr>
        <w:spacing w:after="0" w:line="208" w:lineRule="exact"/>
        <w:rPr>
          <w:sz w:val="20"/>
          <w:szCs w:val="20"/>
          <w:color w:val="auto"/>
        </w:rPr>
      </w:pPr>
    </w:p>
    <w:p>
      <w:pPr>
        <w:ind w:left="220" w:right="1060"/>
        <w:spacing w:after="0" w:line="235" w:lineRule="auto"/>
        <w:rPr>
          <w:sz w:val="20"/>
          <w:szCs w:val="20"/>
          <w:color w:val="auto"/>
        </w:rPr>
      </w:pPr>
      <w:r>
        <w:rPr>
          <w:rFonts w:ascii="Courier New" w:cs="Courier New" w:eastAsia="Courier New" w:hAnsi="Courier New"/>
          <w:sz w:val="18"/>
          <w:szCs w:val="18"/>
          <w:color w:val="auto"/>
        </w:rPr>
        <w:t>Redemption of 8 3/4% convertible debentures Dividends paid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- 16 -</w:t>
      </w:r>
    </w:p>
    <w:p>
      <w:pPr>
        <w:spacing w:after="0" w:line="20" w:lineRule="exact"/>
        <w:rPr>
          <w:sz w:val="20"/>
          <w:szCs w:val="20"/>
          <w:color w:val="auto"/>
        </w:rPr>
      </w:pPr>
      <w:r>
        <w:rPr>
          <w:sz w:val="20"/>
          <w:szCs w:val="20"/>
          <w:color w:val="auto"/>
        </w:rPr>
        <w:br w:type="column"/>
      </w:r>
    </w:p>
    <w:p>
      <w:pPr>
        <w:jc w:val="right"/>
        <w:ind w:right="519"/>
        <w:spacing w:after="0"/>
        <w:tabs>
          <w:tab w:leader="none" w:pos="620" w:val="left"/>
        </w:tabs>
        <w:rPr>
          <w:sz w:val="20"/>
          <w:szCs w:val="20"/>
          <w:color w:val="auto"/>
        </w:rPr>
      </w:pPr>
      <w:r>
        <w:rPr>
          <w:rFonts w:ascii="Courier New" w:cs="Courier New" w:eastAsia="Courier New" w:hAnsi="Courier New"/>
          <w:sz w:val="18"/>
          <w:szCs w:val="18"/>
          <w:color w:val="auto"/>
        </w:rPr>
        <w:t>-1,906</w:t>
      </w:r>
      <w:r>
        <w:rPr>
          <w:sz w:val="20"/>
          <w:szCs w:val="20"/>
          <w:color w:val="auto"/>
        </w:rPr>
        <w:tab/>
      </w:r>
      <w:r>
        <w:rPr>
          <w:rFonts w:ascii="Courier New" w:cs="Courier New" w:eastAsia="Courier New" w:hAnsi="Courier New"/>
          <w:sz w:val="16"/>
          <w:szCs w:val="16"/>
          <w:color w:val="auto"/>
        </w:rPr>
        <w:t>-1,817</w:t>
      </w:r>
    </w:p>
    <w:p>
      <w:pPr>
        <w:spacing w:after="0" w:line="200" w:lineRule="exact"/>
        <w:rPr>
          <w:sz w:val="20"/>
          <w:szCs w:val="20"/>
          <w:color w:val="auto"/>
        </w:rPr>
      </w:pPr>
    </w:p>
    <w:p>
      <w:pPr>
        <w:spacing w:after="0" w:line="204" w:lineRule="exact"/>
        <w:rPr>
          <w:sz w:val="20"/>
          <w:szCs w:val="20"/>
          <w:color w:val="auto"/>
        </w:rPr>
      </w:pPr>
    </w:p>
    <w:p>
      <w:pPr>
        <w:jc w:val="right"/>
        <w:ind w:right="519"/>
        <w:spacing w:after="0"/>
        <w:tabs>
          <w:tab w:leader="none" w:pos="50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1,101</w:t>
      </w:r>
    </w:p>
    <w:p>
      <w:pPr>
        <w:spacing w:after="0" w:line="200" w:lineRule="exact"/>
        <w:rPr>
          <w:sz w:val="20"/>
          <w:szCs w:val="20"/>
          <w:color w:val="auto"/>
        </w:rPr>
      </w:pPr>
    </w:p>
    <w:p>
      <w:pPr>
        <w:spacing w:after="0" w:line="209" w:lineRule="exact"/>
        <w:rPr>
          <w:sz w:val="20"/>
          <w:szCs w:val="20"/>
          <w:color w:val="auto"/>
        </w:rPr>
      </w:pPr>
    </w:p>
    <w:p>
      <w:pPr>
        <w:ind w:left="2320" w:hanging="1587"/>
        <w:spacing w:after="0"/>
        <w:tabs>
          <w:tab w:leader="none" w:pos="2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1,599</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202" w:lineRule="exact"/>
        <w:rPr>
          <w:sz w:val="20"/>
          <w:szCs w:val="20"/>
          <w:color w:val="auto"/>
        </w:rPr>
      </w:pPr>
    </w:p>
    <w:p>
      <w:pPr>
        <w:jc w:val="both"/>
        <w:ind w:left="520"/>
        <w:spacing w:after="0"/>
        <w:tabs>
          <w:tab w:leader="none" w:pos="2300" w:val="left"/>
        </w:tabs>
        <w:rPr>
          <w:sz w:val="20"/>
          <w:szCs w:val="20"/>
          <w:color w:val="auto"/>
        </w:rPr>
      </w:pPr>
      <w:r>
        <w:rPr>
          <w:rFonts w:ascii="Courier New" w:cs="Courier New" w:eastAsia="Courier New" w:hAnsi="Courier New"/>
          <w:sz w:val="18"/>
          <w:szCs w:val="18"/>
          <w:color w:val="auto"/>
        </w:rPr>
        <w:t>9,637</w:t>
      </w:r>
      <w:r>
        <w:rPr>
          <w:sz w:val="20"/>
          <w:szCs w:val="20"/>
          <w:color w:val="auto"/>
        </w:rPr>
        <w:tab/>
      </w:r>
      <w:r>
        <w:rPr>
          <w:rFonts w:ascii="Courier New" w:cs="Courier New" w:eastAsia="Courier New" w:hAnsi="Courier New"/>
          <w:sz w:val="18"/>
          <w:szCs w:val="18"/>
          <w:color w:val="auto"/>
        </w:rPr>
        <w:t>7,980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100" w:hanging="1157"/>
        <w:spacing w:after="0"/>
        <w:tabs>
          <w:tab w:leader="none" w:pos="21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-21,623</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-8,690</w:t>
      </w:r>
      <w:r>
        <w:rPr>
          <w:rFonts w:ascii="Courier New" w:cs="Courier New" w:eastAsia="Courier New" w:hAnsi="Courier New"/>
          <w:sz w:val="16"/>
          <w:szCs w:val="16"/>
          <w:color w:val="auto"/>
        </w:rPr>
        <w:t>-7,771</w:t>
      </w:r>
    </w:p>
    <w:p>
      <w:pPr>
        <w:spacing w:after="0" w:line="202" w:lineRule="exact"/>
        <w:rPr>
          <w:sz w:val="20"/>
          <w:szCs w:val="20"/>
          <w:color w:val="auto"/>
        </w:rPr>
      </w:pPr>
    </w:p>
    <w:p>
      <w:pPr>
        <w:jc w:val="right"/>
        <w:ind w:right="519"/>
        <w:spacing w:after="0"/>
        <w:tabs>
          <w:tab w:leader="none" w:pos="200" w:val="left"/>
        </w:tabs>
        <w:rPr>
          <w:sz w:val="20"/>
          <w:szCs w:val="20"/>
          <w:color w:val="auto"/>
        </w:rPr>
      </w:pPr>
      <w:r>
        <w:rPr>
          <w:rFonts w:ascii="Courier New" w:cs="Courier New" w:eastAsia="Courier New" w:hAnsi="Courier New"/>
          <w:sz w:val="18"/>
          <w:szCs w:val="18"/>
          <w:color w:val="auto"/>
        </w:rPr>
        <w:t>-4,614</w:t>
      </w:r>
      <w:r>
        <w:rPr>
          <w:sz w:val="20"/>
          <w:szCs w:val="20"/>
          <w:color w:val="auto"/>
        </w:rPr>
        <w:tab/>
      </w:r>
      <w:r>
        <w:rPr>
          <w:rFonts w:ascii="Courier New" w:cs="Courier New" w:eastAsia="Courier New" w:hAnsi="Courier New"/>
          <w:sz w:val="18"/>
          <w:szCs w:val="18"/>
          <w:color w:val="auto"/>
        </w:rPr>
        <w:t>12</w:t>
      </w:r>
    </w:p>
    <w:p>
      <w:pPr>
        <w:spacing w:after="0" w:line="207" w:lineRule="exact"/>
        <w:rPr>
          <w:sz w:val="20"/>
          <w:szCs w:val="20"/>
          <w:color w:val="auto"/>
        </w:rPr>
      </w:pPr>
    </w:p>
    <w:p>
      <w:pPr>
        <w:ind w:left="2200" w:hanging="1362"/>
        <w:spacing w:after="0"/>
        <w:tabs>
          <w:tab w:leader="none" w:pos="2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25,320</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jc w:val="right"/>
        <w:ind w:right="519"/>
        <w:spacing w:after="0"/>
        <w:tabs>
          <w:tab w:leader="none" w:pos="620" w:val="left"/>
        </w:tabs>
        <w:rPr>
          <w:sz w:val="20"/>
          <w:szCs w:val="20"/>
          <w:color w:val="auto"/>
        </w:rPr>
      </w:pPr>
      <w:r>
        <w:rPr>
          <w:rFonts w:ascii="Courier New" w:cs="Courier New" w:eastAsia="Courier New" w:hAnsi="Courier New"/>
          <w:sz w:val="18"/>
          <w:szCs w:val="18"/>
          <w:color w:val="auto"/>
        </w:rPr>
        <w:t>-13,209</w:t>
      </w:r>
      <w:r>
        <w:rPr>
          <w:sz w:val="20"/>
          <w:szCs w:val="20"/>
          <w:color w:val="auto"/>
        </w:rPr>
        <w:tab/>
      </w:r>
      <w:r>
        <w:rPr>
          <w:rFonts w:ascii="Courier New" w:cs="Courier New" w:eastAsia="Courier New" w:hAnsi="Courier New"/>
          <w:sz w:val="16"/>
          <w:szCs w:val="16"/>
          <w:color w:val="auto"/>
        </w:rPr>
        <w:t>-4,062</w:t>
      </w:r>
    </w:p>
    <w:p>
      <w:pPr>
        <w:spacing w:after="0" w:line="200" w:lineRule="exact"/>
        <w:rPr>
          <w:sz w:val="20"/>
          <w:szCs w:val="20"/>
          <w:color w:val="auto"/>
        </w:rPr>
      </w:pPr>
    </w:p>
    <w:p>
      <w:pPr>
        <w:spacing w:after="0" w:line="203" w:lineRule="exact"/>
        <w:rPr>
          <w:sz w:val="20"/>
          <w:szCs w:val="20"/>
          <w:color w:val="auto"/>
        </w:rPr>
      </w:pPr>
    </w:p>
    <w:p>
      <w:pPr>
        <w:ind w:left="520"/>
        <w:spacing w:after="0"/>
        <w:tabs>
          <w:tab w:leader="none" w:pos="2300" w:val="left"/>
        </w:tabs>
        <w:rPr>
          <w:sz w:val="20"/>
          <w:szCs w:val="20"/>
          <w:color w:val="auto"/>
        </w:rPr>
      </w:pPr>
      <w:r>
        <w:rPr>
          <w:rFonts w:ascii="Courier New" w:cs="Courier New" w:eastAsia="Courier New" w:hAnsi="Courier New"/>
          <w:sz w:val="18"/>
          <w:szCs w:val="18"/>
          <w:color w:val="auto"/>
        </w:rPr>
        <w:t>-505</w:t>
      </w:r>
      <w:r>
        <w:rPr>
          <w:sz w:val="20"/>
          <w:szCs w:val="20"/>
          <w:color w:val="auto"/>
        </w:rPr>
        <w:tab/>
      </w:r>
      <w:r>
        <w:rPr>
          <w:rFonts w:ascii="Courier New" w:cs="Courier New" w:eastAsia="Courier New" w:hAnsi="Courier New"/>
          <w:sz w:val="16"/>
          <w:szCs w:val="16"/>
          <w:color w:val="auto"/>
        </w:rPr>
        <w:t>-578</w:t>
      </w:r>
    </w:p>
    <w:p>
      <w:pPr>
        <w:spacing w:after="0" w:line="200" w:lineRule="exact"/>
        <w:rPr>
          <w:sz w:val="20"/>
          <w:szCs w:val="20"/>
          <w:color w:val="auto"/>
        </w:rPr>
      </w:pPr>
    </w:p>
    <w:p>
      <w:pPr>
        <w:spacing w:after="0" w:line="209" w:lineRule="exact"/>
        <w:rPr>
          <w:sz w:val="20"/>
          <w:szCs w:val="20"/>
          <w:color w:val="auto"/>
        </w:rPr>
      </w:pPr>
    </w:p>
    <w:p>
      <w:pPr>
        <w:ind w:left="2200" w:hanging="1257"/>
        <w:spacing w:after="0"/>
        <w:tabs>
          <w:tab w:leader="none" w:pos="2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-3,387</w:t>
      </w:r>
    </w:p>
    <w:p>
      <w:pPr>
        <w:spacing w:after="0" w:line="200" w:lineRule="exact"/>
        <w:rPr>
          <w:sz w:val="20"/>
          <w:szCs w:val="20"/>
          <w:color w:val="auto"/>
        </w:rPr>
      </w:pP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480" w:type="dxa"/>
            <w:vAlign w:val="bottom"/>
          </w:tcPr>
          <w:p>
            <w:pPr>
              <w:jc w:val="right"/>
              <w:ind w:right="772"/>
              <w:spacing w:after="0"/>
              <w:rPr>
                <w:sz w:val="20"/>
                <w:szCs w:val="20"/>
                <w:color w:val="auto"/>
              </w:rPr>
            </w:pPr>
            <w:r>
              <w:rPr>
                <w:rFonts w:ascii="Courier New" w:cs="Courier New" w:eastAsia="Courier New" w:hAnsi="Courier New"/>
                <w:sz w:val="18"/>
                <w:szCs w:val="18"/>
                <w:color w:val="auto"/>
                <w:w w:val="92"/>
              </w:rPr>
              <w:t>22,500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w w:val="92"/>
              </w:rPr>
              <w:t>-9,013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420" w:hanging="1477"/>
        <w:spacing w:after="0"/>
        <w:tabs>
          <w:tab w:leader="none" w:pos="2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-176</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-10,272</w:t>
      </w:r>
      <w:r>
        <w:rPr>
          <w:rFonts w:ascii="Courier New" w:cs="Courier New" w:eastAsia="Courier New" w:hAnsi="Courier New"/>
          <w:sz w:val="16"/>
          <w:szCs w:val="16"/>
          <w:color w:val="auto"/>
        </w:rPr>
        <w:t>-9,517</w:t>
      </w:r>
    </w:p>
    <w:p>
      <w:pPr>
        <w:sectPr>
          <w:pgSz w:w="11900" w:h="16838" w:orient="portrait"/>
          <w:cols w:equalWidth="0" w:num="2">
            <w:col w:w="5800" w:space="640"/>
            <w:col w:w="3359"/>
          </w:cols>
          <w:pgMar w:left="660" w:top="514"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Issuance of shares of beneficial interest</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293</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824</w:t>
            </w:r>
          </w:p>
        </w:tc>
      </w:tr>
      <w:tr>
        <w:trPr>
          <w:trHeight w:val="405"/>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Increase (decrease) in minority interest</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-116</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(used) in financing activities</w:t>
            </w: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2,887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-12,800</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020" w:type="dxa"/>
            <w:vAlign w:val="bottom"/>
          </w:tcPr>
          <w:p>
            <w:pPr>
              <w:spacing w:after="0"/>
              <w:rPr>
                <w:sz w:val="20"/>
                <w:szCs w:val="20"/>
                <w:color w:val="auto"/>
              </w:rPr>
            </w:pPr>
            <w:r>
              <w:rPr>
                <w:rFonts w:ascii="Courier New" w:cs="Courier New" w:eastAsia="Courier New" w:hAnsi="Courier New"/>
                <w:sz w:val="18"/>
                <w:szCs w:val="18"/>
                <w:color w:val="auto"/>
              </w:rPr>
              <w:t>Decrease in cash</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-685</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-8,882</w:t>
            </w:r>
          </w:p>
        </w:tc>
      </w:tr>
      <w:tr>
        <w:trPr>
          <w:trHeight w:val="608"/>
        </w:trPr>
        <w:tc>
          <w:tcPr>
            <w:tcW w:w="6020" w:type="dxa"/>
            <w:vAlign w:val="bottom"/>
          </w:tcPr>
          <w:p>
            <w:pPr>
              <w:spacing w:after="0"/>
              <w:rPr>
                <w:sz w:val="20"/>
                <w:szCs w:val="20"/>
                <w:color w:val="auto"/>
              </w:rPr>
            </w:pPr>
            <w:r>
              <w:rPr>
                <w:rFonts w:ascii="Courier New" w:cs="Courier New" w:eastAsia="Courier New" w:hAnsi="Courier New"/>
                <w:sz w:val="18"/>
                <w:szCs w:val="18"/>
                <w:color w:val="auto"/>
              </w:rPr>
              <w:t>Cash at beginning of period</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9,635</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36,316</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end of period</w:t>
            </w: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$8,950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$27,434</w:t>
            </w:r>
          </w:p>
        </w:tc>
      </w:tr>
      <w:tr>
        <w:trPr>
          <w:trHeight w:val="203"/>
        </w:trPr>
        <w:tc>
          <w:tcPr>
            <w:tcW w:w="602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- 17 -</w:t>
      </w:r>
    </w:p>
    <w:p>
      <w:pPr>
        <w:sectPr>
          <w:pgSz w:w="11900" w:h="16838" w:orient="portrait"/>
          <w:cols w:equalWidth="0" w:num="1">
            <w:col w:w="9799"/>
          </w:cols>
          <w:pgMar w:left="660" w:top="514" w:right="1440" w:bottom="1440" w:gutter="0" w:footer="0" w:header="0"/>
        </w:sectPr>
      </w:pPr>
    </w:p>
    <w:bookmarkStart w:id="16" w:name="page17"/>
    <w:bookmarkEnd w:id="16"/>
    <w:p>
      <w:pPr>
        <w:ind w:left="23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March 31, 1994</w:t>
      </w:r>
    </w:p>
    <w:p>
      <w:pPr>
        <w:jc w:val="center"/>
        <w:ind w:right="1899"/>
        <w:spacing w:after="0" w:line="238" w:lineRule="auto"/>
        <w:rPr>
          <w:sz w:val="20"/>
          <w:szCs w:val="20"/>
          <w:color w:val="auto"/>
        </w:rPr>
      </w:pPr>
      <w:r>
        <w:rPr>
          <w:rFonts w:ascii="Courier New" w:cs="Courier New" w:eastAsia="Courier New" w:hAnsi="Courier New"/>
          <w:sz w:val="18"/>
          <w:szCs w:val="18"/>
          <w:color w:val="auto"/>
        </w:rPr>
        <w:t>(see accountants' review report)</w:t>
      </w:r>
    </w:p>
    <w:p>
      <w:pPr>
        <w:jc w:val="center"/>
        <w:ind w:right="19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ACCOUNTING POLICIES AND OTHER DATA</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Reference should be made to the notes to financial statements included in the Annual Report to shareholders for the year ended December 31, 1993 which contain the Trust's accounting policies and other data.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DIVIDENDS PAYABLE</w:t>
      </w:r>
    </w:p>
    <w:p>
      <w:pPr>
        <w:spacing w:after="0" w:line="207" w:lineRule="exact"/>
        <w:rPr>
          <w:sz w:val="20"/>
          <w:szCs w:val="20"/>
          <w:color w:val="auto"/>
        </w:rPr>
      </w:pPr>
    </w:p>
    <w:p>
      <w:pPr>
        <w:jc w:val="both"/>
        <w:ind w:right="1999" w:firstLine="527"/>
        <w:spacing w:after="0" w:line="235" w:lineRule="auto"/>
        <w:rPr>
          <w:sz w:val="20"/>
          <w:szCs w:val="20"/>
          <w:color w:val="auto"/>
        </w:rPr>
      </w:pPr>
      <w:r>
        <w:rPr>
          <w:rFonts w:ascii="Courier New" w:cs="Courier New" w:eastAsia="Courier New" w:hAnsi="Courier New"/>
          <w:sz w:val="18"/>
          <w:szCs w:val="18"/>
          <w:color w:val="auto"/>
        </w:rPr>
        <w:t>On March 3, 1994 the Trustees declared a cash dividend of $.39 per share, payable April 15, 1994 to shareholders of record March 25,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MORTGAGE NOTES RECEIVABLE</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On March 1, 1994 the Trust issued a mortgage note receivable for $4.4 million. The note, which bears interest at 10.625%, is due in September, 1994 and is secured by a portion of Bethesda Row, the leasehold interest in which was acquired by the Trust in December 1993.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MORTGAGES PAYABLE</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On January 31, 1994 the Trust placed with a bank a $22.5 million mortgage on Northeast Plaza in Atlanta, Georgia. The mortgage, which matures on January 31, 1995, originally bore interest at 150 basis points over LIBOR (London Interbank Offered Rate). The interest rate was reduced</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- 18 -</w:t>
      </w:r>
    </w:p>
    <w:p>
      <w:pPr>
        <w:sectPr>
          <w:pgSz w:w="11900" w:h="16838" w:orient="portrait"/>
          <w:cols w:equalWidth="0" w:num="1">
            <w:col w:w="9899"/>
          </w:cols>
          <w:pgMar w:left="560" w:top="1122" w:right="1440" w:bottom="1440" w:gutter="0" w:footer="0" w:header="0"/>
        </w:sectPr>
      </w:pPr>
    </w:p>
    <w:bookmarkStart w:id="17" w:name="page18"/>
    <w:bookmarkEnd w:id="17"/>
    <w:p>
      <w:pPr>
        <w:jc w:val="both"/>
        <w:ind w:right="1999"/>
        <w:spacing w:after="0" w:line="236" w:lineRule="auto"/>
        <w:rPr>
          <w:sz w:val="20"/>
          <w:szCs w:val="20"/>
          <w:color w:val="auto"/>
        </w:rPr>
      </w:pPr>
      <w:r>
        <w:rPr>
          <w:rFonts w:ascii="Courier New" w:cs="Courier New" w:eastAsia="Courier New" w:hAnsi="Courier New"/>
          <w:sz w:val="18"/>
          <w:szCs w:val="18"/>
          <w:color w:val="auto"/>
        </w:rPr>
        <w:t>to 100 basis points over LIBOR as of April 7, 1994 provided that the Trust does not draw over $15.0 million on its $20.0 million line of credit with the bank.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 - NOTES PAYABLE</w:t>
      </w:r>
    </w:p>
    <w:p>
      <w:pPr>
        <w:spacing w:after="0" w:line="207" w:lineRule="exact"/>
        <w:rPr>
          <w:sz w:val="20"/>
          <w:szCs w:val="20"/>
          <w:color w:val="auto"/>
        </w:rPr>
      </w:pPr>
    </w:p>
    <w:p>
      <w:pPr>
        <w:jc w:val="both"/>
        <w:ind w:right="1999" w:firstLine="527"/>
        <w:spacing w:after="0" w:line="271" w:lineRule="auto"/>
        <w:rPr>
          <w:sz w:val="20"/>
          <w:szCs w:val="20"/>
          <w:color w:val="auto"/>
        </w:rPr>
      </w:pPr>
      <w:r>
        <w:rPr>
          <w:rFonts w:ascii="Courier New" w:cs="Courier New" w:eastAsia="Courier New" w:hAnsi="Courier New"/>
          <w:sz w:val="16"/>
          <w:szCs w:val="16"/>
          <w:color w:val="auto"/>
        </w:rPr>
        <w:t>In February 1994 the Trust obtained a $15.0 million revolving credit facility with a bank, bringing the Trust's total availability of revolving credit facilities to $85.0 million. All four facilities require fees and have covenants requiring a minimum shareholders' equity and a maximum ratio of debt to net worth. At March 31, 1994 there was $15.4 million outstanding on these facilities. The average weighted interest rate on borrowings as of March 31, 1994 was 4.3%. The maximum amount borrowed under these facilities during the first three months of 1994 was $33.5 million.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 SHAREHOLDERS' EQUITY</w:t>
      </w:r>
    </w:p>
    <w:p>
      <w:pPr>
        <w:spacing w:after="0" w:line="207"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On January 1, 1994 under the terms of the 1993 Long-Term Incentive Plan, an officer of the Trust purchased 40,000 common shares at $25 per share with the assistance of a $1.0 million loan from the Trust. The loan, which has a term of 12 years, bears interest at 6.24%. One-sixteenth of</w:t>
      </w:r>
    </w:p>
    <w:p>
      <w:pPr>
        <w:spacing w:after="0" w:line="1"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the loan will be forgiven on January 31, 1995. Forgiveness of the remainder of the loan is subject to the future performance of the Trust.</w:t>
      </w:r>
    </w:p>
    <w:p>
      <w:pPr>
        <w:spacing w:after="0" w:line="208"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During the first three months of 1994, 17,216 shares were issued at prices ranging from $20.50 a share to $22.63 a share as the result of the exercise of stock options. The Trust accepted notes from its officers and employees of $341,000 in connection with the issuance of certain of these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 INTEREST EXPENSE</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Trust incurred interest expense totaling $8.2 million in the first quarter of 1994 and $8.5 million in the first quarter of 1993, of which $107,000 and $34,000, respectively, were capitalized. Interest paid was $6.5 million in the first quarter of 1994 and $6.5 million in the first quarter of 1993.</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- 19 -</w:t>
      </w:r>
    </w:p>
    <w:p>
      <w:pPr>
        <w:sectPr>
          <w:pgSz w:w="11900" w:h="16838" w:orient="portrait"/>
          <w:cols w:equalWidth="0" w:num="1">
            <w:col w:w="9899"/>
          </w:cols>
          <w:pgMar w:left="560" w:top="52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NOTE H - COMMITMENTS AND CONTINGENCIES</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 Trust believes that it is entitled to the deduction. At this time, the outcome of this matter is unknown; however in a similar case involving another real estate investment trust, the New Jersey tax court recently ruled that the dividends paid deduction was allowable.</w:t>
      </w:r>
    </w:p>
    <w:p>
      <w:pPr>
        <w:spacing w:after="0" w:line="212"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Trust's non real estate investments consist of $473,000 in marketable equity securities and $3.4 million of Olympia and York Senior First Mortgage Notes. The Olympia &amp; York notes were written down in 1992 to management's best estimate of their net realizable value.</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North Carolina Department of the Environment, Health and Natural Resources ("DEHNR") issued a Notice of Violation ("NOV") against a dry cleaner tenant at Eastgate Shopping Center in Chapel Hill, North Carolina concerning a spill at the shopping center. As owner of the shopping center, the Trust was named in and received a copy of the NOV. Estimates to remediate the spill range from $300,000 to $500,000. An agreement is being negotiated with two previous owners of the shopping center to share the costs to remediate. In 1993 the Trust recorded a liability of $120,000 as its estimated share of the clean up costs.</w:t>
      </w:r>
    </w:p>
    <w:p>
      <w:pPr>
        <w:spacing w:after="0" w:line="214"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other properties. In each case, the contamination appears to be linked to the current and/or previous dry cleaner. The Trust intends to look to the responsible parties for any remediation effort. Evaluation of these situations is preliminary and it is impossible to estimate the range of remediation costs, if any.</w:t>
      </w: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- 20 -</w:t>
      </w:r>
    </w:p>
    <w:p>
      <w:pPr>
        <w:sectPr>
          <w:pgSz w:w="11900" w:h="16838" w:orient="portrait"/>
          <w:cols w:equalWidth="0" w:num="1">
            <w:col w:w="9899"/>
          </w:cols>
          <w:pgMar w:left="560" w:top="514" w:right="1440" w:bottom="1440" w:gutter="0" w:footer="0" w:header="0"/>
        </w:sectPr>
      </w:pPr>
    </w:p>
    <w:bookmarkStart w:id="19" w:name="page20"/>
    <w:bookmarkEnd w:id="19"/>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211" w:lineRule="exact"/>
        <w:rPr>
          <w:sz w:val="20"/>
          <w:szCs w:val="20"/>
          <w:color w:val="auto"/>
        </w:rPr>
      </w:pPr>
    </w:p>
    <w:p>
      <w:pPr>
        <w:jc w:val="both"/>
        <w:ind w:right="1999" w:firstLine="527"/>
        <w:spacing w:after="0" w:line="275" w:lineRule="auto"/>
        <w:rPr>
          <w:sz w:val="20"/>
          <w:szCs w:val="20"/>
          <w:color w:val="auto"/>
        </w:rPr>
      </w:pPr>
      <w:r>
        <w:rPr>
          <w:rFonts w:ascii="Courier New" w:cs="Courier New" w:eastAsia="Courier New" w:hAnsi="Courier New"/>
          <w:sz w:val="16"/>
          <w:szCs w:val="16"/>
          <w:color w:val="auto"/>
        </w:rPr>
        <w:t>At March 31, 1994 in connection with certain redevelopment projects, the Trust is contractually obligated on contracts of approximately $3.7 million. At March 31, 1994 the Trust is also contractually obligated under leases with tenants to provide approximately $7.1 million for improvements.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 - SUBSEQUENT EVENTS</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On April 5, 1994 the Trust sold 840,000 shares at $25.875 to an institutional investor, raising net proceeds of $21.7 million. In a concurrent public offering, on April 6, 1994 the Trust sold 2.5 million shares at $26 per share, raising net proceeds of approximately $61.2 million.</w:t>
      </w:r>
    </w:p>
    <w:p>
      <w:pPr>
        <w:spacing w:after="0" w:line="209"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On April 30, 1994 $39.8 million of the Trust's $40.2 million 5 1/4% subordinated convertible debentures due 2002 were redeemed at a redemption price equal to 120% of their principal amount or $47.8 million.</w:t>
      </w:r>
    </w:p>
    <w:p>
      <w:pPr>
        <w:spacing w:after="0" w:line="178" w:lineRule="exact"/>
        <w:rPr>
          <w:sz w:val="20"/>
          <w:szCs w:val="20"/>
          <w:color w:val="auto"/>
        </w:rPr>
      </w:pPr>
    </w:p>
    <w:p>
      <w:pPr>
        <w:jc w:val="both"/>
        <w:ind w:right="1999" w:firstLine="527"/>
        <w:spacing w:after="0" w:line="235" w:lineRule="auto"/>
        <w:rPr>
          <w:sz w:val="20"/>
          <w:szCs w:val="20"/>
          <w:color w:val="auto"/>
        </w:rPr>
      </w:pPr>
      <w:r>
        <w:rPr>
          <w:rFonts w:ascii="Courier New" w:cs="Courier New" w:eastAsia="Courier New" w:hAnsi="Courier New"/>
          <w:sz w:val="18"/>
          <w:szCs w:val="18"/>
          <w:color w:val="auto"/>
        </w:rPr>
        <w:t>On April 15, 1994 the Trust purchased Idylwood Plaza in Fairfax, Virginia for a cash price of $14.3 million.</w:t>
      </w:r>
    </w:p>
    <w:p>
      <w:pPr>
        <w:spacing w:after="0" w:line="6"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On April 29, 1994 the Trust purchased North Lake Commons Shopping Center in Lake Zurich, Illinois for a cash price of $10.8 million. A parcel of land with a grocery store adjoining the Trust's Bala Cynwyd Shopping Center was also purchased on April 29, 1994 for a price of $990,000.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- 21 -</w:t>
      </w:r>
    </w:p>
    <w:p>
      <w:pPr>
        <w:sectPr>
          <w:pgSz w:w="11900" w:h="16838" w:orient="portrait"/>
          <w:cols w:equalWidth="0" w:num="1">
            <w:col w:w="9899"/>
          </w:cols>
          <w:pgMar w:left="560" w:top="520" w:right="1440" w:bottom="1440" w:gutter="0" w:footer="0" w:header="0"/>
        </w:sectPr>
      </w:pPr>
    </w:p>
    <w:bookmarkStart w:id="20" w:name="page21"/>
    <w:bookmarkEnd w:id="20"/>
    <w:p>
      <w:pPr>
        <w:ind w:left="2320"/>
        <w:spacing w:after="0"/>
        <w:rPr>
          <w:sz w:val="20"/>
          <w:szCs w:val="20"/>
          <w:color w:val="auto"/>
        </w:rPr>
      </w:pPr>
      <w:r>
        <w:rPr>
          <w:rFonts w:ascii="Courier New" w:cs="Courier New" w:eastAsia="Courier New" w:hAnsi="Courier New"/>
          <w:sz w:val="18"/>
          <w:szCs w:val="18"/>
          <w:color w:val="auto"/>
        </w:rPr>
        <w:t>FEDERAL REALTY INVESTMENT TRUST</w:t>
      </w:r>
    </w:p>
    <w:p>
      <w:pPr>
        <w:ind w:left="3480"/>
        <w:spacing w:after="0" w:line="238" w:lineRule="auto"/>
        <w:rPr>
          <w:sz w:val="20"/>
          <w:szCs w:val="20"/>
          <w:color w:val="auto"/>
        </w:rPr>
      </w:pPr>
      <w:r>
        <w:rPr>
          <w:rFonts w:ascii="Courier New" w:cs="Courier New" w:eastAsia="Courier New" w:hAnsi="Courier New"/>
          <w:sz w:val="18"/>
          <w:szCs w:val="18"/>
          <w:color w:val="auto"/>
        </w:rPr>
        <w:t>FORM 10-Q</w:t>
      </w:r>
    </w:p>
    <w:p>
      <w:pPr>
        <w:ind w:left="3260"/>
        <w:spacing w:after="0"/>
        <w:rPr>
          <w:sz w:val="20"/>
          <w:szCs w:val="20"/>
          <w:color w:val="auto"/>
        </w:rPr>
      </w:pPr>
      <w:r>
        <w:rPr>
          <w:rFonts w:ascii="Courier New" w:cs="Courier New" w:eastAsia="Courier New" w:hAnsi="Courier New"/>
          <w:sz w:val="18"/>
          <w:szCs w:val="18"/>
          <w:color w:val="auto"/>
        </w:rPr>
        <w:t>MARCH 31, 1994</w:t>
      </w:r>
    </w:p>
    <w:p>
      <w:pPr>
        <w:spacing w:after="0" w:line="20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Federal Realty meets its liquidity requirements through net cash provided by operating activities, long-term borrowing through debt offerings and mortgages, medium and short-term borrowing under lines of credit,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212"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During 1992 and 1993 in order to improve its capital structure and to finance and expand its real estate portfolio, the Trust restructured debt and raised equity. The Trust continues to believe that now is an opportune time to acquire or develop shopping centers, so as capital is needed to acquire or develop properties, the Trust will again seek to issue equity or additional debt securities.</w:t>
      </w:r>
    </w:p>
    <w:p>
      <w:pPr>
        <w:spacing w:after="0" w:line="210"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On January 31, 1994 the Trust placed, with a bank, a $22.5 million mortgage on Northeast Plaza in Atlanta, Georgia. The mortgage, which matures on January 31, 1995, originally bore interest at 150 basis points over LIBOR. The interest rate was reduced to 100 basis points over LIBOR as of April 7, 1994 provided that the Trust does not draw over $15.0 million on its $20.0 million line of credit with the bank. The proceeds of this mortgage were used to fund improvements to Trust properties and to repay borrowings on the Trust's revolving credit facilities.</w:t>
      </w:r>
    </w:p>
    <w:p>
      <w:pPr>
        <w:spacing w:after="0" w:line="212" w:lineRule="exact"/>
        <w:rPr>
          <w:sz w:val="20"/>
          <w:szCs w:val="20"/>
          <w:color w:val="auto"/>
        </w:rPr>
      </w:pPr>
    </w:p>
    <w:p>
      <w:pPr>
        <w:jc w:val="both"/>
        <w:ind w:right="1999" w:firstLine="527"/>
        <w:spacing w:after="0" w:line="235" w:lineRule="auto"/>
        <w:rPr>
          <w:sz w:val="20"/>
          <w:szCs w:val="20"/>
          <w:color w:val="auto"/>
        </w:rPr>
      </w:pPr>
      <w:r>
        <w:rPr>
          <w:rFonts w:ascii="Courier New" w:cs="Courier New" w:eastAsia="Courier New" w:hAnsi="Courier New"/>
          <w:sz w:val="18"/>
          <w:szCs w:val="18"/>
          <w:color w:val="auto"/>
        </w:rPr>
        <w:t>In early April 1994 the Trust sold 840,000 shares at $25.875 to an institutional investor, raising net proceeds of $21.7 million. In a</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- 22 -</w:t>
      </w:r>
    </w:p>
    <w:p>
      <w:pPr>
        <w:sectPr>
          <w:pgSz w:w="11900" w:h="16838" w:orient="portrait"/>
          <w:cols w:equalWidth="0" w:num="1">
            <w:col w:w="9899"/>
          </w:cols>
          <w:pgMar w:left="560" w:top="717" w:right="1440" w:bottom="1440" w:gutter="0" w:footer="0" w:header="0"/>
        </w:sectPr>
      </w:pPr>
    </w:p>
    <w:bookmarkStart w:id="21" w:name="page22"/>
    <w:bookmarkEnd w:id="21"/>
    <w:p>
      <w:pPr>
        <w:jc w:val="both"/>
        <w:ind w:right="1999"/>
        <w:spacing w:after="0" w:line="237" w:lineRule="auto"/>
        <w:rPr>
          <w:sz w:val="20"/>
          <w:szCs w:val="20"/>
          <w:color w:val="auto"/>
        </w:rPr>
      </w:pPr>
      <w:r>
        <w:rPr>
          <w:rFonts w:ascii="Courier New" w:cs="Courier New" w:eastAsia="Courier New" w:hAnsi="Courier New"/>
          <w:sz w:val="18"/>
          <w:szCs w:val="18"/>
          <w:color w:val="auto"/>
        </w:rPr>
        <w:t>concurrent public offering, on April 6, 1994 the Trust sold 2.5 million shares at $26 per share, raising net proceeds of approximately $61.2 million. Proceeds from these offerings were used to redeem $39.8 million of the Trust's 5 1/4% convertible subordinated debentures due 2002 which were redeemable on April 30, 1994 by the noteholders at 120% of their principal amount or $47.8 million.</w:t>
      </w:r>
    </w:p>
    <w:p>
      <w:pPr>
        <w:spacing w:after="0" w:line="210" w:lineRule="exact"/>
        <w:rPr>
          <w:sz w:val="20"/>
          <w:szCs w:val="20"/>
          <w:color w:val="auto"/>
        </w:rPr>
      </w:pPr>
    </w:p>
    <w:p>
      <w:pPr>
        <w:jc w:val="both"/>
        <w:ind w:right="1999" w:firstLine="737"/>
        <w:spacing w:after="0" w:line="237" w:lineRule="auto"/>
        <w:rPr>
          <w:sz w:val="20"/>
          <w:szCs w:val="20"/>
          <w:color w:val="auto"/>
        </w:rPr>
      </w:pPr>
      <w:r>
        <w:rPr>
          <w:rFonts w:ascii="Courier New" w:cs="Courier New" w:eastAsia="Courier New" w:hAnsi="Courier New"/>
          <w:sz w:val="18"/>
          <w:szCs w:val="18"/>
          <w:color w:val="auto"/>
        </w:rPr>
        <w:t>Proceeds from the offerings were also used to purchase shopping centers. On April 15, 1994 the Trust purchased Idylwood Plaza in Fairfax, Virginia for a price of $14.3 million in cash. On April 29, 1994 the Trust purchased North Lake Commons Shopping Center in Lake Zurich, Illinois for a price of $10.8 million in cash. A parcel of land with a grocery store adjoining the Trust's Bala Cynwyd Shopping Center was also purchased on April 29, 1994 for a price of $990,000 in cash.</w:t>
      </w:r>
    </w:p>
    <w:p>
      <w:pPr>
        <w:spacing w:after="0" w:line="211"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The Trust has available $85.0 million of unsecured medium-term revolving credit facilities with four banks. The facilities, which require fees and have covenants requiring a minimum shareholders' equity and a maximum ratio of debt to net worth, are used to fund acquisitions and other cash requirements until conditions are favorable for issuing equity or long-term debt. At March 31, 1994 there was $15.4 million outstanding on these facilities. The average weighted interest rate on borrowings as of</w:t>
      </w:r>
    </w:p>
    <w:p>
      <w:pPr>
        <w:spacing w:after="0" w:line="1"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March 31, 1994 was 4.3%. The maximum amount borrowed under these facilities during the first three months of 1994 was $33.5 million.</w:t>
      </w:r>
    </w:p>
    <w:p>
      <w:pPr>
        <w:spacing w:after="0" w:line="208"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Major expenditures of capital by the Trust during the first quarter of 1994 included the following: (1) $9.0 million to reduce borrowings on the medium-term bank facilities and (2) $8.7 million in tenant work and improvements to the shopping centers. These improvements include $1.1 million to begin the redevelopment of Congressional Plaza, $1.9 million for the renovation and tenant work at Ellisburg Circle Shopping Center and $886,000 in tenant work and improvements at Perring Plaza.</w:t>
      </w: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Trust is committed under leases for approximately $7.1 million in tenant work. In addition the Trust has budgeted approximately $33.7 million for the remainder of 1994 for improvements to its properties.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- 23 -</w:t>
      </w:r>
    </w:p>
    <w:p>
      <w:pPr>
        <w:sectPr>
          <w:pgSz w:w="11900" w:h="16838" w:orient="portrait"/>
          <w:cols w:equalWidth="0" w:num="1">
            <w:col w:w="9899"/>
          </w:cols>
          <w:pgMar w:left="560" w:top="520" w:right="1440" w:bottom="1440" w:gutter="0" w:footer="0" w:header="0"/>
        </w:sectPr>
      </w:pPr>
    </w:p>
    <w:bookmarkStart w:id="22" w:name="page23"/>
    <w:bookmarkEnd w:id="22"/>
    <w:p>
      <w:pPr>
        <w:jc w:val="both"/>
        <w:ind w:right="1999"/>
        <w:spacing w:after="0" w:line="235" w:lineRule="auto"/>
        <w:rPr>
          <w:sz w:val="20"/>
          <w:szCs w:val="20"/>
          <w:color w:val="auto"/>
        </w:rPr>
      </w:pPr>
      <w:r>
        <w:rPr>
          <w:rFonts w:ascii="Courier New" w:cs="Courier New" w:eastAsia="Courier New" w:hAnsi="Courier New"/>
          <w:sz w:val="18"/>
          <w:szCs w:val="18"/>
          <w:color w:val="auto"/>
        </w:rPr>
        <w:t>These expenditures will be paid from borrowings on the revolving credit facilities or from other financing.</w:t>
      </w:r>
    </w:p>
    <w:p>
      <w:pPr>
        <w:spacing w:after="0" w:line="208"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 Trust believes that it is entitled to the deduction. At this time, the outcome of this matter is unknown; however in a similar case involving another real estate investment trust, the New Jersey tax court recently ruled that the dividends paid deduction was allowable.</w:t>
      </w:r>
    </w:p>
    <w:p>
      <w:pPr>
        <w:spacing w:after="0" w:line="212" w:lineRule="exact"/>
        <w:rPr>
          <w:sz w:val="20"/>
          <w:szCs w:val="20"/>
          <w:color w:val="auto"/>
        </w:rPr>
      </w:pPr>
    </w:p>
    <w:p>
      <w:pPr>
        <w:jc w:val="both"/>
        <w:ind w:right="1999" w:firstLine="527"/>
        <w:spacing w:after="0" w:line="273" w:lineRule="auto"/>
        <w:rPr>
          <w:sz w:val="20"/>
          <w:szCs w:val="20"/>
          <w:color w:val="auto"/>
        </w:rPr>
      </w:pPr>
      <w:r>
        <w:rPr>
          <w:rFonts w:ascii="Courier New" w:cs="Courier New" w:eastAsia="Courier New" w:hAnsi="Courier New"/>
          <w:sz w:val="16"/>
          <w:szCs w:val="16"/>
          <w:color w:val="auto"/>
        </w:rPr>
        <w:t>Included in the Trust's non real estate investments of $3.9 million is $3.4 million of Olympia and York Senior First Mortgage Notes. The Olympia and York notes were written down during 1992 to management's best estimate of their net realizable value. Interest income on these notes is not being recorded as revenue, but is being treated as a reduction of principal.</w:t>
      </w:r>
    </w:p>
    <w:p>
      <w:pPr>
        <w:spacing w:after="0" w:line="38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North Carolina Department of the Environment, Health and Natural Resources ("DEHNR") issued a Notice of Violation ("NOV") against a dry cleaner tenant at Eastgate Shopping Center in Chapel Hill, North Carolina concerning a spill at the shopping center. As owner of the shopping center, the Trust was named in and received a copy of the NOV. Estimates to remediate the spill range from $300,000 to $500,000. An agreement is being negotiated with two previous owners of the shopping center to share the costs to remediate. In 1993 the Trust recorded a liability of $120,000 as its estimated share of the clean up costs.</w:t>
      </w:r>
    </w:p>
    <w:p>
      <w:pPr>
        <w:spacing w:after="0" w:line="214" w:lineRule="exact"/>
        <w:rPr>
          <w:sz w:val="20"/>
          <w:szCs w:val="20"/>
          <w:color w:val="auto"/>
        </w:rPr>
      </w:pPr>
    </w:p>
    <w:p>
      <w:pPr>
        <w:jc w:val="both"/>
        <w:ind w:right="1999" w:firstLine="527"/>
        <w:spacing w:after="0" w:line="271" w:lineRule="auto"/>
        <w:rPr>
          <w:sz w:val="20"/>
          <w:szCs w:val="20"/>
          <w:color w:val="auto"/>
        </w:rPr>
      </w:pPr>
      <w:r>
        <w:rPr>
          <w:rFonts w:ascii="Courier New" w:cs="Courier New" w:eastAsia="Courier New" w:hAnsi="Courier New"/>
          <w:sz w:val="16"/>
          <w:szCs w:val="16"/>
          <w:color w:val="auto"/>
        </w:rPr>
        <w:t>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other properties. In each case, the contamination appears to be linked to the current and/or previous dry cleaner. The Trust intends to</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- 24 -</w:t>
      </w:r>
    </w:p>
    <w:p>
      <w:pPr>
        <w:sectPr>
          <w:pgSz w:w="11900" w:h="16838" w:orient="portrait"/>
          <w:cols w:equalWidth="0" w:num="1">
            <w:col w:w="9899"/>
          </w:cols>
          <w:pgMar w:left="560" w:top="520" w:right="1440" w:bottom="1440" w:gutter="0" w:footer="0" w:header="0"/>
        </w:sectPr>
      </w:pPr>
    </w:p>
    <w:bookmarkStart w:id="23" w:name="page24"/>
    <w:bookmarkEnd w:id="23"/>
    <w:p>
      <w:pPr>
        <w:jc w:val="both"/>
        <w:ind w:right="1999"/>
        <w:spacing w:after="0" w:line="236" w:lineRule="auto"/>
        <w:rPr>
          <w:sz w:val="20"/>
          <w:szCs w:val="20"/>
          <w:color w:val="auto"/>
        </w:rPr>
      </w:pPr>
      <w:r>
        <w:rPr>
          <w:rFonts w:ascii="Courier New" w:cs="Courier New" w:eastAsia="Courier New" w:hAnsi="Courier New"/>
          <w:sz w:val="18"/>
          <w:szCs w:val="18"/>
          <w:color w:val="auto"/>
        </w:rPr>
        <w:t>look to the responsible parties for any remediation effort. Evaluation of these situations is preliminary and it is impossible to estimate the range of remediation costs, if any.</w:t>
      </w:r>
    </w:p>
    <w:p>
      <w:pPr>
        <w:spacing w:after="0" w:line="200" w:lineRule="exact"/>
        <w:rPr>
          <w:sz w:val="20"/>
          <w:szCs w:val="20"/>
          <w:color w:val="auto"/>
        </w:rPr>
      </w:pPr>
    </w:p>
    <w:p>
      <w:pPr>
        <w:spacing w:after="0" w:line="211"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of certain third party claims and government requirements related to contamination at adjacent properties.</w:t>
      </w:r>
    </w:p>
    <w:p>
      <w:pPr>
        <w:spacing w:after="0" w:line="200" w:lineRule="exact"/>
        <w:rPr>
          <w:sz w:val="20"/>
          <w:szCs w:val="20"/>
          <w:color w:val="auto"/>
        </w:rPr>
      </w:pPr>
    </w:p>
    <w:p>
      <w:pPr>
        <w:spacing w:after="0" w:line="214"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Management believes that the combination of cash at March 31, 1994, the revolving credit facilities, and the unencumbered value of the Trust's properties provide the Trust with adequate capital resources and liquidity for operating purposes in the near future. The Trust, however, continues to renovate its existing centers and seeks to acquire more shopping</w:t>
      </w:r>
    </w:p>
    <w:p>
      <w:pPr>
        <w:spacing w:after="0" w:line="1"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centers. The Trust will need to continue to raise equity or issue additional debt in order to fund these activities. Subject to market conditions, the Trust believes that it will continue to be able to raise this needed capital through the offering of equity and debt securities so that it may pursue its growth plans as well as to meet its longer term capital and debt refinancing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- 25 -</w:t>
      </w:r>
    </w:p>
    <w:p>
      <w:pPr>
        <w:sectPr>
          <w:pgSz w:w="11900" w:h="16838" w:orient="portrait"/>
          <w:cols w:equalWidth="0" w:num="1">
            <w:col w:w="9899"/>
          </w:cols>
          <w:pgMar w:left="560" w:top="520"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RESULTS OF OPERATIONS - THREE MONTHS ENDED MARCH 31, 1994 AND 1993</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Funds from operations is defined as income before depreciation and amortization and extraordinary items less gains on sale of real estate. Management believes that funds from operations is an appropriate supplemental measure of the Trust's operating performance because it believes that reductions for depreciation and amortization charges are not meaningful in evaluating income-producing real estate, which have historically been appreciating assets. The Trust acquires, evaluates and sells income-producing properties based upon operating income without taking into account property depreciation and amortization charges and utilizes funds from operations, together with other factors in setting</w:t>
      </w:r>
    </w:p>
    <w:p>
      <w:pPr>
        <w:spacing w:after="0" w:line="12"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shareholder distribution levels. Gains on sale of real estate and extraordinary items are also excluded from this supplemental measure of performance because such amounts are not part of the ongoing operations of the Trust's portfolio. Funds from operations does not replace net income as a measure of performance or net cash provided by operating activities as a measure of liquidity.</w:t>
      </w:r>
    </w:p>
    <w:p>
      <w:pPr>
        <w:spacing w:after="0" w:line="210" w:lineRule="exact"/>
        <w:rPr>
          <w:sz w:val="20"/>
          <w:szCs w:val="20"/>
          <w:color w:val="auto"/>
        </w:rPr>
      </w:pPr>
    </w:p>
    <w:p>
      <w:pPr>
        <w:jc w:val="both"/>
        <w:ind w:right="1999" w:firstLine="527"/>
        <w:spacing w:after="0" w:line="235" w:lineRule="auto"/>
        <w:rPr>
          <w:sz w:val="20"/>
          <w:szCs w:val="20"/>
          <w:color w:val="auto"/>
        </w:rPr>
      </w:pPr>
      <w:r>
        <w:rPr>
          <w:rFonts w:ascii="Courier New" w:cs="Courier New" w:eastAsia="Courier New" w:hAnsi="Courier New"/>
          <w:sz w:val="18"/>
          <w:szCs w:val="18"/>
          <w:color w:val="auto"/>
        </w:rPr>
        <w:t>Funds from operations increased 29% to $11.0 million in the first quarter of 1994 from $8.5 million in the first quarter of 1993.</w:t>
      </w:r>
    </w:p>
    <w:p>
      <w:pPr>
        <w:spacing w:after="0" w:line="208"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Rental income, which consists of minimum rent, percentage rent and cost recoveries, increased 28% from $24.6 million in the first quarter of 1993 to $31.5 million in the first quarter of 1994. The properties acquired in 1993 contributed 20% of this 28% increase. The major component of the remaining increase is cost recoveries, the increase in which is due to recovery of the large increase in snow removal expense during the first quarter of 1994.</w:t>
      </w:r>
    </w:p>
    <w:p>
      <w:pPr>
        <w:spacing w:after="0" w:line="211"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Other income which includes items which tend to fluctuate from period to period, such as utility reimbursements, telephone income, merchant association dues, lease termination fees, late fees and temporary tenant income, has increased from $1.0 million in 1993 to $1.3 million in 1994 because of the 1993 acquisitions and because of lease termination fees paid to the Trust.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- 26 -</w:t>
      </w:r>
    </w:p>
    <w:p>
      <w:pPr>
        <w:sectPr>
          <w:pgSz w:w="11900" w:h="16838" w:orient="portrait"/>
          <w:cols w:equalWidth="0" w:num="1">
            <w:col w:w="9899"/>
          </w:cols>
          <w:pgMar w:left="560" w:top="717" w:right="1440" w:bottom="1440" w:gutter="0" w:footer="0" w:header="0"/>
        </w:sectPr>
      </w:pPr>
    </w:p>
    <w:bookmarkStart w:id="25" w:name="page26"/>
    <w:bookmarkEnd w:id="25"/>
    <w:p>
      <w:pPr>
        <w:jc w:val="both"/>
        <w:ind w:right="1999" w:firstLine="527"/>
        <w:spacing w:after="0" w:line="238" w:lineRule="auto"/>
        <w:rPr>
          <w:sz w:val="20"/>
          <w:szCs w:val="20"/>
          <w:color w:val="auto"/>
        </w:rPr>
      </w:pPr>
      <w:r>
        <w:rPr>
          <w:rFonts w:ascii="Courier New" w:cs="Courier New" w:eastAsia="Courier New" w:hAnsi="Courier New"/>
          <w:sz w:val="18"/>
          <w:szCs w:val="18"/>
          <w:color w:val="auto"/>
        </w:rPr>
        <w:t>Rental expenses have increased from $6.1 million in the first quarter of 1993 to $10.1 million in the first quarter of 1994. This increase results primarily from new acquisitions and from an increase of over $1.5 million in snow removal expenses during the winter of 1994. The other major component of the increase in rental expense is in bad debt and the write off of tenant improvements for tenants which vacated prior to the end of their lease term. Real estate taxes have increased because of the 1993 acquisitions. Depreciation and amortization charges increased because of the 1993 acquisitions but also because of depreciation on recent tenant work and property improvements. Administrative expenses are increasing as the Trust grows, but are relatively constant as a percentage of total revenue at approximately 4%.</w:t>
      </w:r>
    </w:p>
    <w:p>
      <w:pPr>
        <w:sectPr>
          <w:pgSz w:w="11900" w:h="16838" w:orient="portrait"/>
          <w:cols w:equalWidth="0" w:num="1">
            <w:col w:w="9899"/>
          </w:cols>
          <w:pgMar w:left="560" w:top="520" w:right="1440" w:bottom="1440" w:gutter="0" w:footer="0" w:header="0"/>
        </w:sectPr>
      </w:pPr>
    </w:p>
    <w:p>
      <w:pPr>
        <w:spacing w:after="0" w:line="207" w:lineRule="exact"/>
        <w:rPr>
          <w:sz w:val="20"/>
          <w:szCs w:val="20"/>
          <w:color w:val="auto"/>
        </w:rPr>
      </w:pPr>
    </w:p>
    <w:p>
      <w:pPr>
        <w:jc w:val="both"/>
        <w:ind w:firstLine="527"/>
        <w:spacing w:after="0" w:line="236" w:lineRule="auto"/>
        <w:rPr>
          <w:sz w:val="20"/>
          <w:szCs w:val="20"/>
          <w:color w:val="auto"/>
        </w:rPr>
      </w:pPr>
      <w:r>
        <w:rPr>
          <w:rFonts w:ascii="Courier New" w:cs="Courier New" w:eastAsia="Courier New" w:hAnsi="Courier New"/>
          <w:sz w:val="18"/>
          <w:szCs w:val="18"/>
          <w:color w:val="auto"/>
        </w:rPr>
        <w:t>Interest income has decreased of 1993 to $869,000 in the first balances during 1994.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from $1.0 million in the first quarter quarter of 1994, because of lower cash</w:t>
      </w:r>
    </w:p>
    <w:p>
      <w:pPr>
        <w:spacing w:after="0" w:line="363" w:lineRule="exact"/>
        <w:rPr>
          <w:sz w:val="20"/>
          <w:szCs w:val="20"/>
          <w:color w:val="auto"/>
        </w:rPr>
      </w:pPr>
    </w:p>
    <w:p>
      <w:pPr>
        <w:sectPr>
          <w:pgSz w:w="11900" w:h="16838" w:orient="portrait"/>
          <w:cols w:equalWidth="0" w:num="2">
            <w:col w:w="3580" w:space="220"/>
            <w:col w:w="6099"/>
          </w:cols>
          <w:pgMar w:left="560" w:top="520" w:right="1440" w:bottom="1440" w:gutter="0" w:footer="0" w:header="0"/>
          <w:type w:val="continuous"/>
        </w:sectPr>
      </w:pPr>
    </w:p>
    <w:p>
      <w:pPr>
        <w:spacing w:after="0" w:line="9"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Interest expense has decreased from $8.5 million in the first quarter of 1993 to $8.2 million in the first quarter of 1994. Decreases in interest expense resulting from the repayment of several mortgages and the senior notes in 1993 are mostly offset by increases in interest because of the issuance of the 5 1/4% convertible subordinated debentures due 2003, because of the interest portion of the capital lease payment on Bethesda Row, and because of interest on the larger outstanding balances of the revolving credit facilities.</w:t>
      </w:r>
    </w:p>
    <w:p>
      <w:pPr>
        <w:spacing w:after="0" w:line="212"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Income before extraordinary item increased from $2.6 million in the first quarter of 1993 to $4.1 million in the first quarter of 1994 primarily due to increased revenue from the Trust's new acquisitions.</w:t>
      </w:r>
    </w:p>
    <w:p>
      <w:pPr>
        <w:spacing w:after="0" w:line="209"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During the first quarter of 1993 the Trust incurred losses on the early extinguishment of debt of $65,000 due to the prepayment of a mortgage and the redemption of its 8 3/4% convertible subordinated debentures.</w:t>
      </w:r>
    </w:p>
    <w:p>
      <w:pPr>
        <w:spacing w:after="0" w:line="178"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As a result of the foregoing items, primarily the increases in property income, net income rose from $2.5 million in the first quarter of 1993 to $4.1 million in the first quarter of 1994.</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- 27 -</w:t>
      </w:r>
    </w:p>
    <w:p>
      <w:pPr>
        <w:sectPr>
          <w:pgSz w:w="11900" w:h="16838" w:orient="portrait"/>
          <w:cols w:equalWidth="0" w:num="1">
            <w:col w:w="9899"/>
          </w:cols>
          <w:pgMar w:left="560" w:top="520" w:right="1440" w:bottom="144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420" w:hanging="416"/>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4" w:lineRule="exact"/>
        <w:rPr>
          <w:rFonts w:ascii="Courier New" w:cs="Courier New" w:eastAsia="Courier New" w:hAnsi="Courier New"/>
          <w:sz w:val="18"/>
          <w:szCs w:val="18"/>
          <w:color w:val="auto"/>
        </w:rPr>
      </w:pPr>
    </w:p>
    <w:p>
      <w:pPr>
        <w:ind w:right="1999" w:firstLine="531"/>
        <w:spacing w:after="0" w:line="235" w:lineRule="auto"/>
        <w:tabs>
          <w:tab w:leader="none" w:pos="105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Share Award and Purchase Note between Federal Realty Investment Trust and Ron D. Kaplan, dated January 1, 1994.</w:t>
      </w:r>
    </w:p>
    <w:p>
      <w:pPr>
        <w:spacing w:after="0" w:line="5" w:lineRule="exact"/>
        <w:rPr>
          <w:rFonts w:ascii="Courier New" w:cs="Courier New" w:eastAsia="Courier New" w:hAnsi="Courier New"/>
          <w:sz w:val="18"/>
          <w:szCs w:val="18"/>
          <w:color w:val="auto"/>
        </w:rPr>
      </w:pPr>
    </w:p>
    <w:p>
      <w:pPr>
        <w:ind w:left="420" w:right="7479" w:hanging="416"/>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- 28 -</w:t>
      </w:r>
    </w:p>
    <w:p>
      <w:pPr>
        <w:sectPr>
          <w:pgSz w:w="11900" w:h="16838" w:orient="portrait"/>
          <w:cols w:equalWidth="0" w:num="1">
            <w:col w:w="9899"/>
          </w:cols>
          <w:pgMar w:left="560" w:top="919" w:right="1440" w:bottom="1440" w:gutter="0" w:footer="0" w:header="0"/>
        </w:sectPr>
      </w:pPr>
    </w:p>
    <w:bookmarkStart w:id="27" w:name="page28"/>
    <w:bookmarkEnd w:id="27"/>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FEDERAL REALTY INVESTMENT TRUST</w:t>
      </w:r>
    </w:p>
    <w:p>
      <w:pPr>
        <w:jc w:val="right"/>
        <w:ind w:right="199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May 11, 1994</w:t>
            </w:r>
          </w:p>
        </w:tc>
        <w:tc>
          <w:tcPr>
            <w:tcW w:w="3620" w:type="dxa"/>
            <w:vAlign w:val="bottom"/>
          </w:tcPr>
          <w:p>
            <w:pPr>
              <w:ind w:left="460"/>
              <w:spacing w:after="0"/>
              <w:rPr>
                <w:sz w:val="20"/>
                <w:szCs w:val="20"/>
                <w:color w:val="auto"/>
              </w:rPr>
            </w:pPr>
            <w:r>
              <w:rPr>
                <w:rFonts w:ascii="Courier New" w:cs="Courier New" w:eastAsia="Courier New" w:hAnsi="Courier New"/>
                <w:sz w:val="18"/>
                <w:szCs w:val="18"/>
                <w:color w:val="auto"/>
              </w:rPr>
              <w:t>Steven J. Guttman</w:t>
            </w:r>
          </w:p>
        </w:tc>
      </w:tr>
      <w:tr>
        <w:trPr>
          <w:trHeight w:val="203"/>
        </w:trPr>
        <w:tc>
          <w:tcPr>
            <w:tcW w:w="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r>
    </w:tbl>
    <w:p>
      <w:pPr>
        <w:ind w:left="3160"/>
        <w:spacing w:after="0" w:line="238" w:lineRule="auto"/>
        <w:rPr>
          <w:sz w:val="20"/>
          <w:szCs w:val="20"/>
          <w:color w:val="auto"/>
        </w:rPr>
      </w:pPr>
      <w:r>
        <w:rPr>
          <w:rFonts w:ascii="Courier New" w:cs="Courier New" w:eastAsia="Courier New" w:hAnsi="Courier New"/>
          <w:sz w:val="18"/>
          <w:szCs w:val="18"/>
          <w:color w:val="auto"/>
        </w:rPr>
        <w:t>Steven J. Guttman, President</w:t>
      </w:r>
    </w:p>
    <w:p>
      <w:pPr>
        <w:ind w:left="316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May 11, 1994</w:t>
            </w:r>
          </w:p>
        </w:tc>
        <w:tc>
          <w:tcPr>
            <w:tcW w:w="3620" w:type="dxa"/>
            <w:vAlign w:val="bottom"/>
          </w:tcPr>
          <w:p>
            <w:pPr>
              <w:ind w:left="460"/>
              <w:spacing w:after="0"/>
              <w:rPr>
                <w:sz w:val="20"/>
                <w:szCs w:val="20"/>
                <w:color w:val="auto"/>
              </w:rPr>
            </w:pPr>
            <w:r>
              <w:rPr>
                <w:rFonts w:ascii="Courier New" w:cs="Courier New" w:eastAsia="Courier New" w:hAnsi="Courier New"/>
                <w:sz w:val="18"/>
                <w:szCs w:val="18"/>
                <w:color w:val="auto"/>
              </w:rPr>
              <w:t>Cecily A. Ward</w:t>
            </w:r>
          </w:p>
        </w:tc>
      </w:tr>
      <w:tr>
        <w:trPr>
          <w:trHeight w:val="203"/>
        </w:trPr>
        <w:tc>
          <w:tcPr>
            <w:tcW w:w="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Cecily A. Ward</w:t>
            </w:r>
          </w:p>
        </w:tc>
      </w:tr>
      <w:tr>
        <w:trPr>
          <w:trHeight w:val="203"/>
        </w:trPr>
        <w:tc>
          <w:tcPr>
            <w:tcW w:w="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- 29 -</w:t>
      </w:r>
    </w:p>
    <w:p>
      <w:pPr>
        <w:sectPr>
          <w:pgSz w:w="11900" w:h="16838" w:orient="portrait"/>
          <w:cols w:equalWidth="0" w:num="1">
            <w:col w:w="9899"/>
          </w:cols>
          <w:pgMar w:left="560" w:top="520"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December 17, 1993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Kaplan:</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Board of Trustees of Federal Realty Investment Trust ("Trust") is pleased to inform you that you have been awarded an "Other Award" under the terms of the Federal Realty Investment Trust 1993 Long-Term Incentive Plan ("Plan"), a copy of which is available to you. This purchase is effective January 1, 1994.</w:t>
      </w:r>
    </w:p>
    <w:p>
      <w:pPr>
        <w:spacing w:after="0" w:line="209" w:lineRule="exact"/>
        <w:rPr>
          <w:sz w:val="20"/>
          <w:szCs w:val="20"/>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The terms of the "Other Award" are substantially similar to the terms of a "Stock Purchase Award" under the Plan, with the following modifications:</w:t>
      </w:r>
    </w:p>
    <w:p>
      <w:pPr>
        <w:spacing w:after="0" w:line="170" w:lineRule="exact"/>
        <w:rPr>
          <w:sz w:val="20"/>
          <w:szCs w:val="20"/>
          <w:color w:val="auto"/>
        </w:rPr>
      </w:pPr>
    </w:p>
    <w:p>
      <w:pPr>
        <w:jc w:val="both"/>
        <w:ind w:left="1060" w:right="1999" w:hanging="529"/>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entitled to stock purchase loan forgiveness for a fiscal year of 1/16th of the original principal amount of your stock purchase loan if growth in the Trust's funds from operations per share ("FFO") is equal to or greater than 5% during that fiscal year.</w:t>
      </w:r>
    </w:p>
    <w:p>
      <w:pPr>
        <w:spacing w:after="0" w:line="208" w:lineRule="exact"/>
        <w:rPr>
          <w:rFonts w:ascii="Courier New" w:cs="Courier New" w:eastAsia="Courier New" w:hAnsi="Courier New"/>
          <w:sz w:val="18"/>
          <w:szCs w:val="18"/>
          <w:color w:val="auto"/>
        </w:rPr>
      </w:pPr>
    </w:p>
    <w:p>
      <w:pPr>
        <w:jc w:val="both"/>
        <w:ind w:left="1060" w:right="1999" w:hanging="529"/>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Beginning with the forgiveness scheduled to occur on January 31, 1997, if growth in FFO is equal to or greater than 10% during the immediately preceding fiscal year and if total return to the Trust's shareholders is equal to or greater than 10% during the same fiscal year, then an additional 1/16th of the original principal amount of your stock purchase loan will be forgiven on January 31 of the following fiscal year.</w:t>
      </w:r>
    </w:p>
    <w:p>
      <w:pPr>
        <w:spacing w:after="0" w:line="211" w:lineRule="exact"/>
        <w:rPr>
          <w:rFonts w:ascii="Courier New" w:cs="Courier New" w:eastAsia="Courier New" w:hAnsi="Courier New"/>
          <w:sz w:val="18"/>
          <w:szCs w:val="18"/>
          <w:color w:val="auto"/>
        </w:rPr>
      </w:pPr>
    </w:p>
    <w:p>
      <w:pPr>
        <w:jc w:val="both"/>
        <w:ind w:left="1060" w:right="1999" w:hanging="529"/>
        <w:spacing w:after="0" w:line="272"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forgiveness scheduled to occur on January 31, 1995 only, you are entitled to stock purchase loan forgiveness of 1/16th of the original principal amount of your stock purchase loan even if the FFO test is not met for fiscal year 1994. If the FFO test described in (1) is met for fiscal year 1994, you are entitled to total stock purchase loan forgiveness of 2/16th</w:t>
      </w:r>
    </w:p>
    <w:p>
      <w:pPr>
        <w:sectPr>
          <w:pgSz w:w="11900" w:h="16838" w:orient="portrait"/>
          <w:cols w:equalWidth="0" w:num="1">
            <w:col w:w="9899"/>
          </w:cols>
          <w:pgMar w:left="560" w:top="1122" w:right="1440" w:bottom="1440" w:gutter="0" w:footer="0" w:header="0"/>
        </w:sectPr>
      </w:pPr>
    </w:p>
    <w:bookmarkStart w:id="29" w:name="page30"/>
    <w:bookmarkEnd w:id="29"/>
    <w:p>
      <w:pPr>
        <w:ind w:left="1060" w:right="1999"/>
        <w:spacing w:after="0" w:line="235" w:lineRule="auto"/>
        <w:rPr>
          <w:sz w:val="20"/>
          <w:szCs w:val="20"/>
          <w:color w:val="auto"/>
        </w:rPr>
      </w:pPr>
      <w:r>
        <w:rPr>
          <w:rFonts w:ascii="Courier New" w:cs="Courier New" w:eastAsia="Courier New" w:hAnsi="Courier New"/>
          <w:sz w:val="18"/>
          <w:szCs w:val="18"/>
          <w:color w:val="auto"/>
        </w:rPr>
        <w:t>of the original principal amount of your stock purchase loan on January 31, 1995.</w:t>
      </w:r>
    </w:p>
    <w:p>
      <w:pPr>
        <w:spacing w:after="0" w:line="208" w:lineRule="exact"/>
        <w:rPr>
          <w:sz w:val="20"/>
          <w:szCs w:val="20"/>
          <w:color w:val="auto"/>
        </w:rPr>
      </w:pPr>
    </w:p>
    <w:p>
      <w:pPr>
        <w:jc w:val="both"/>
        <w:ind w:left="1060" w:right="1999" w:hanging="529"/>
        <w:spacing w:after="0" w:line="279"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the first sentence of (3) above, if growth in FFO does not equal 5% in any fiscal year, no stock purchase loan forgiveness on the following January 31 will occur.</w:t>
      </w:r>
    </w:p>
    <w:p>
      <w:pPr>
        <w:spacing w:after="0" w:line="178" w:lineRule="exact"/>
        <w:rPr>
          <w:rFonts w:ascii="Courier New" w:cs="Courier New" w:eastAsia="Courier New" w:hAnsi="Courier New"/>
          <w:sz w:val="16"/>
          <w:szCs w:val="16"/>
          <w:color w:val="auto"/>
        </w:rPr>
      </w:pPr>
    </w:p>
    <w:p>
      <w:pPr>
        <w:jc w:val="both"/>
        <w:ind w:left="1060" w:right="1999" w:hanging="529"/>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entitled to stock purchase loan forgiveness in any year, forgiveness shall occur on January 31 of the following year, beginning on January 31, 1995; provided, however, that 25% of the original principal amount of your stock purchase loan shall not be subject to forgiveness.</w:t>
      </w:r>
    </w:p>
    <w:p>
      <w:pPr>
        <w:spacing w:after="0" w:line="208" w:lineRule="exact"/>
        <w:rPr>
          <w:rFonts w:ascii="Courier New" w:cs="Courier New" w:eastAsia="Courier New" w:hAnsi="Courier New"/>
          <w:sz w:val="18"/>
          <w:szCs w:val="18"/>
          <w:color w:val="auto"/>
        </w:rPr>
      </w:pPr>
    </w:p>
    <w:p>
      <w:pPr>
        <w:jc w:val="both"/>
        <w:ind w:left="1060" w:right="1999" w:hanging="529"/>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of your stock purchase loan shall be twelve years and the stock purchase loan, and any related tax loan, shall be non-recourse loans. Any tax loans you may receive shall also have a term of twelve years.</w:t>
      </w:r>
    </w:p>
    <w:p>
      <w:pPr>
        <w:spacing w:after="0" w:line="207" w:lineRule="exact"/>
        <w:rPr>
          <w:rFonts w:ascii="Courier New" w:cs="Courier New" w:eastAsia="Courier New" w:hAnsi="Courier New"/>
          <w:sz w:val="18"/>
          <w:szCs w:val="18"/>
          <w:color w:val="auto"/>
        </w:rPr>
      </w:pPr>
    </w:p>
    <w:p>
      <w:pPr>
        <w:jc w:val="both"/>
        <w:ind w:left="1060" w:right="1999" w:hanging="529"/>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rates on your stock purchase loan and any related tax loans shall be 6.24% per annum or such higher rate as shall be necessary to avoid imputed interest under the Internal Revenue Code.</w:t>
      </w:r>
    </w:p>
    <w:p>
      <w:pPr>
        <w:spacing w:after="0" w:line="207" w:lineRule="exact"/>
        <w:rPr>
          <w:rFonts w:ascii="Courier New" w:cs="Courier New" w:eastAsia="Courier New" w:hAnsi="Courier New"/>
          <w:sz w:val="18"/>
          <w:szCs w:val="18"/>
          <w:color w:val="auto"/>
        </w:rPr>
      </w:pPr>
    </w:p>
    <w:p>
      <w:pPr>
        <w:jc w:val="both"/>
        <w:ind w:left="1060" w:right="1999" w:hanging="529"/>
        <w:spacing w:after="0" w:line="236"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purchase price per share shall be the closing price per share on The New York Stock Exchange, Inc. for Trust shares on December 31, 1993.</w:t>
      </w:r>
    </w:p>
    <w:p>
      <w:pPr>
        <w:spacing w:after="0" w:line="209"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The members of the Trust's Compensation Committee are pleased to make this award in recognition of your contributions to the Trust.</w:t>
      </w:r>
    </w:p>
    <w:p>
      <w:pPr>
        <w:spacing w:after="0" w:line="208"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Also enclosed is a copy of the Prospectus for the Plan as well as a copy of the Trust's annual report to shareholders for the year ended December 31, 1992. We will provide you with a copy of the Trust's annual report to shareholders for the year ended December 31, 1993 as soon as it is available.</w:t>
      </w:r>
    </w:p>
    <w:p>
      <w:pPr>
        <w:sectPr>
          <w:pgSz w:w="11900" w:h="16838" w:orient="portrait"/>
          <w:cols w:equalWidth="0" w:num="1">
            <w:col w:w="9899"/>
          </w:cols>
          <w:pgMar w:left="560" w:top="520" w:right="1440" w:bottom="1440" w:gutter="0" w:footer="0" w:header="0"/>
        </w:sectPr>
      </w:pPr>
    </w:p>
    <w:bookmarkStart w:id="30" w:name="page31"/>
    <w:bookmarkEnd w:id="30"/>
    <w:p>
      <w:pPr>
        <w:ind w:right="1999"/>
        <w:spacing w:after="0" w:line="235" w:lineRule="auto"/>
        <w:rPr>
          <w:sz w:val="20"/>
          <w:szCs w:val="20"/>
          <w:color w:val="auto"/>
        </w:rPr>
      </w:pPr>
      <w:r>
        <w:rPr>
          <w:rFonts w:ascii="Courier New" w:cs="Courier New" w:eastAsia="Courier New" w:hAnsi="Courier New"/>
          <w:sz w:val="18"/>
          <w:szCs w:val="18"/>
          <w:color w:val="auto"/>
        </w:rPr>
        <w:t>Please indicate your acceptance of this award under the terms described above by signing where indicated below.</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Dennis L. Berman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Dennis L. Berman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Title: Chairman, Compensation Committee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Ron D. Kaplan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Ron D. Kaplan</w:t>
      </w:r>
    </w:p>
    <w:p>
      <w:pPr>
        <w:sectPr>
          <w:pgSz w:w="11900" w:h="16838" w:orient="portrait"/>
          <w:cols w:equalWidth="0" w:num="1">
            <w:col w:w="9899"/>
          </w:cols>
          <w:pgMar w:left="560" w:top="520" w:right="1440" w:bottom="1440" w:gutter="0" w:footer="0" w:header="0"/>
        </w:sectPr>
      </w:pPr>
    </w:p>
    <w:bookmarkStart w:id="31" w:name="page32"/>
    <w:bookmarkEnd w:id="31"/>
    <w:p>
      <w:pPr>
        <w:ind w:left="3260"/>
        <w:spacing w:after="0"/>
        <w:rPr>
          <w:sz w:val="20"/>
          <w:szCs w:val="20"/>
          <w:color w:val="auto"/>
        </w:rPr>
      </w:pPr>
      <w:r>
        <w:rPr>
          <w:rFonts w:ascii="Courier New" w:cs="Courier New" w:eastAsia="Courier New" w:hAnsi="Courier New"/>
          <w:sz w:val="18"/>
          <w:szCs w:val="18"/>
          <w:color w:val="auto"/>
        </w:rPr>
        <w:t>PURCHASE NOTE</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January 1, 1994</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FOR VALUE RECEIVED, Ron D. Kaplan ("Borrower"), promises to pay to the order of FEDERAL REALTY INVESTMENT TRUST ("Payee") at 4800 Hampden Lane, Bethesda, Maryland 20814, or at such other place as the holder hereof may from time to time designate in writing, in lawful money of the United States of America, the principal sum of One Million Dollars and No Cents ($1,000,000.00) together with interest as described below on the principal balance hereof from time to time outstanding, all in accordance with the following terms and provisions:</w:t>
      </w:r>
    </w:p>
    <w:p>
      <w:pPr>
        <w:spacing w:after="0" w:line="212" w:lineRule="exact"/>
        <w:rPr>
          <w:sz w:val="20"/>
          <w:szCs w:val="20"/>
          <w:color w:val="auto"/>
        </w:rPr>
      </w:pPr>
    </w:p>
    <w:p>
      <w:pPr>
        <w:jc w:val="both"/>
        <w:ind w:right="1999" w:firstLine="4"/>
        <w:spacing w:after="0" w:line="270"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Share Award. This promissory note (as the same may be amended, modified or supplemented from time to time, the "Purchase Note") represents the Purchase Loan referred to in the Federal Realty Investment Trust 1993 Long-Term Incentive Plan (as amended, modified or supplemented from time to time, "the Plan"). Terms defined in the Plan shall have the same meanings when such terms are used in this Purchase Note. This Purchase Note evidences a non-recourse, secured loan made by Payee to Borrower to enable Borrower to purchase Shares pursuant to Borrower's Other Share Award issued under the Plan. The performance of the Borrower's obligations hereunder are secured by (a) a pledge of the Shares purchased by Borrower under the Plan and (b) an Assignment to Payee of all quarterly cash Dividends paid on the Shares purchased by Borrower under the Plan.</w:t>
      </w:r>
    </w:p>
    <w:p>
      <w:pPr>
        <w:spacing w:after="0" w:line="390" w:lineRule="exact"/>
        <w:rPr>
          <w:rFonts w:ascii="Courier New" w:cs="Courier New" w:eastAsia="Courier New" w:hAnsi="Courier New"/>
          <w:sz w:val="16"/>
          <w:szCs w:val="16"/>
          <w:color w:val="auto"/>
        </w:rPr>
      </w:pPr>
    </w:p>
    <w:p>
      <w:pPr>
        <w:jc w:val="both"/>
        <w:ind w:right="1999" w:firstLine="4"/>
        <w:spacing w:after="0" w:line="237"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The unpaid principal balance of this Purchase Note, outstanding from time to time, shall bear Interest of Six and 24/100 percent (6.24%) per anum or such higher rate as shall be necessary to avoid imputed interest under the Internal Revenue Code and shall be due and payable quarterly in arrears on each date of payment of a cash Dividend on the Shares owned by Borrower pursuant to the Plan. If no quarterly cash Dividend is paid on the Shares for a quarter, Interest shall accrue on the last day of the quarter, and shall be satisfied from future cash Dividends paid on such Shares. Any accrued but unpaid Interest on the Purchase Note shall be due and payable on July 31, 2006.</w:t>
      </w:r>
    </w:p>
    <w:p>
      <w:pPr>
        <w:spacing w:after="0" w:line="214" w:lineRule="exact"/>
        <w:rPr>
          <w:rFonts w:ascii="Courier New" w:cs="Courier New" w:eastAsia="Courier New" w:hAnsi="Courier New"/>
          <w:sz w:val="18"/>
          <w:szCs w:val="18"/>
          <w:color w:val="auto"/>
        </w:rPr>
      </w:pPr>
    </w:p>
    <w:p>
      <w:pPr>
        <w:jc w:val="both"/>
        <w:ind w:right="1999" w:firstLine="4"/>
        <w:spacing w:after="0" w:line="290"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Payments. Payee shall forgive the repayment of one-sixteenth (six and one quarter percent) of the original principal of this Purchase</w:t>
      </w:r>
    </w:p>
    <w:p>
      <w:pPr>
        <w:sectPr>
          <w:pgSz w:w="11900" w:h="16838" w:orient="portrait"/>
          <w:cols w:equalWidth="0" w:num="1">
            <w:col w:w="9899"/>
          </w:cols>
          <w:pgMar w:left="560" w:top="514" w:right="1440" w:bottom="1440" w:gutter="0" w:footer="0" w:header="0"/>
        </w:sectPr>
      </w:pPr>
    </w:p>
    <w:bookmarkStart w:id="32" w:name="page33"/>
    <w:bookmarkEnd w:id="32"/>
    <w:p>
      <w:pPr>
        <w:jc w:val="both"/>
        <w:ind w:right="1999"/>
        <w:spacing w:after="0" w:line="238" w:lineRule="auto"/>
        <w:rPr>
          <w:sz w:val="20"/>
          <w:szCs w:val="20"/>
          <w:color w:val="auto"/>
        </w:rPr>
      </w:pPr>
      <w:r>
        <w:rPr>
          <w:rFonts w:ascii="Courier New" w:cs="Courier New" w:eastAsia="Courier New" w:hAnsi="Courier New"/>
          <w:sz w:val="18"/>
          <w:szCs w:val="18"/>
          <w:color w:val="auto"/>
        </w:rPr>
        <w:t>Note on the 31st day of January, so long as Funds From Operations per Share ("FFO") grew 5% or more during the immediately preceding fiscal year. The Payee shall also forgive an additional one-sixteenth of the original principal of the loan beginning on January 31, 1997, and each scheduled forgiveness date thereafter, if growth in FFO for the preceding fiscal year was greater than or equal to 10% and total return to shareholders for the preceding fiscal year was greater than or equal to 10%. Payee also agrees to forgive one-sixteenth of the original principal on January 31, 1995. Except as provided in the immediately preceding sentence, Payee will not forgive any portion of the original principal of the loan on the 31st day of January if growth in FFO was less than 5% during the preceding year. In order for the forgiveness to occur, Borrower must be an employee on the forgiveness date.</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Unless due earlier in accordance with Paragraphs 4 and 6 of this Purchase Note, the balance of the Purchase Note that is not forgiven in accordance with the schedule set forth in this Paragraph 3, shall be due and payable on July 31, 2006.</w:t>
      </w:r>
    </w:p>
    <w:p>
      <w:pPr>
        <w:spacing w:after="0" w:line="207" w:lineRule="exact"/>
        <w:rPr>
          <w:sz w:val="20"/>
          <w:szCs w:val="20"/>
          <w:color w:val="auto"/>
        </w:rPr>
      </w:pPr>
    </w:p>
    <w:p>
      <w:pPr>
        <w:ind w:right="1999" w:firstLine="4"/>
        <w:spacing w:after="0" w:line="235"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In the event there is a Termination of Employment of Borrower, the following shall apply:</w:t>
      </w:r>
    </w:p>
    <w:p>
      <w:pPr>
        <w:spacing w:after="0" w:line="203" w:lineRule="exact"/>
        <w:rPr>
          <w:sz w:val="20"/>
          <w:szCs w:val="20"/>
          <w:color w:val="auto"/>
        </w:rPr>
      </w:pPr>
    </w:p>
    <w:p>
      <w:pPr>
        <w:ind w:left="1060" w:hanging="529"/>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by Voluntary Resignation.</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In the event of Borrower's Termination of Employment by voluntary</w:t>
      </w:r>
    </w:p>
    <w:p>
      <w:pPr>
        <w:spacing w:after="0" w:line="1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w w:val="98"/>
              </w:rPr>
              <w:t>resignation, the outstanding balance of</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the  Purchase</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Loan  and</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any accrued but unpaid  Interest hereon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shall be due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and payable</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within  ninety (90) days of the date of</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Borrower's Termination of</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Employment by voluntary resignation.</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207" w:lineRule="exact"/>
        <w:rPr>
          <w:sz w:val="20"/>
          <w:szCs w:val="20"/>
          <w:color w:val="auto"/>
        </w:rPr>
      </w:pPr>
    </w:p>
    <w:p>
      <w:pPr>
        <w:ind w:left="1060" w:right="3679" w:hanging="529"/>
        <w:spacing w:after="0" w:line="235"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by Death, Disability or Change of Control.</w:t>
      </w:r>
    </w:p>
    <w:p>
      <w:pPr>
        <w:spacing w:after="0" w:line="5" w:lineRule="exact"/>
        <w:rPr>
          <w:rFonts w:ascii="Courier New" w:cs="Courier New" w:eastAsia="Courier New" w:hAnsi="Courier New"/>
          <w:sz w:val="18"/>
          <w:szCs w:val="18"/>
          <w:color w:val="auto"/>
        </w:rPr>
      </w:pPr>
    </w:p>
    <w:p>
      <w:pPr>
        <w:jc w:val="both"/>
        <w:ind w:left="1060" w:right="19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the event of a Borrower's Termination of Employment by reason of death, Disability or a Change of Control, the timetable set forth in Paragraph 3 of this Purchase Note shall be accelerated so that an aggregate of one-half of the original principal of the Purchase Note shall be forgiven as of the date of Borrower's Termination of Employment by reason of death, Disability or a</w:t>
      </w:r>
    </w:p>
    <w:p>
      <w:pPr>
        <w:spacing w:after="0" w:line="179" w:lineRule="exact"/>
        <w:rPr>
          <w:rFonts w:ascii="Courier New" w:cs="Courier New" w:eastAsia="Courier New" w:hAnsi="Courier New"/>
          <w:sz w:val="18"/>
          <w:szCs w:val="18"/>
          <w:color w:val="auto"/>
        </w:rPr>
      </w:pPr>
    </w:p>
    <w:p>
      <w:pPr>
        <w:ind w:left="3900" w:hanging="209"/>
        <w:spacing w:after="0"/>
        <w:tabs>
          <w:tab w:leader="none" w:pos="3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ectPr>
          <w:pgSz w:w="11900" w:h="16838" w:orient="portrait"/>
          <w:cols w:equalWidth="0" w:num="1">
            <w:col w:w="9899"/>
          </w:cols>
          <w:pgMar w:left="560" w:top="520" w:right="1440" w:bottom="1440" w:gutter="0" w:footer="0" w:header="0"/>
        </w:sectPr>
      </w:pPr>
    </w:p>
    <w:bookmarkStart w:id="33" w:name="page34"/>
    <w:bookmarkEnd w:id="33"/>
    <w:p>
      <w:pPr>
        <w:jc w:val="both"/>
        <w:ind w:left="1060" w:right="1999"/>
        <w:spacing w:after="0" w:line="237" w:lineRule="auto"/>
        <w:rPr>
          <w:sz w:val="20"/>
          <w:szCs w:val="20"/>
          <w:color w:val="auto"/>
        </w:rPr>
      </w:pPr>
      <w:r>
        <w:rPr>
          <w:rFonts w:ascii="Courier New" w:cs="Courier New" w:eastAsia="Courier New" w:hAnsi="Courier New"/>
          <w:sz w:val="18"/>
          <w:szCs w:val="18"/>
          <w:color w:val="auto"/>
        </w:rPr>
        <w:t>Change of Control. In that event, the outstanding balance of the Purchase Note and any accrued but unpaid Interest thereon shall be due and payable within one hundred eighty (180) days of such Termination of Employment.</w:t>
      </w:r>
    </w:p>
    <w:p>
      <w:pPr>
        <w:spacing w:after="0" w:line="207" w:lineRule="exact"/>
        <w:rPr>
          <w:sz w:val="20"/>
          <w:szCs w:val="20"/>
          <w:color w:val="auto"/>
        </w:rPr>
      </w:pPr>
    </w:p>
    <w:p>
      <w:pPr>
        <w:ind w:left="1060" w:right="3359" w:hanging="529"/>
        <w:spacing w:after="0" w:line="235" w:lineRule="auto"/>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Constituting Discharge for Cause.</w:t>
      </w:r>
    </w:p>
    <w:p>
      <w:pPr>
        <w:spacing w:after="0" w:line="208" w:lineRule="exact"/>
        <w:rPr>
          <w:rFonts w:ascii="Courier New" w:cs="Courier New" w:eastAsia="Courier New" w:hAnsi="Courier New"/>
          <w:sz w:val="18"/>
          <w:szCs w:val="18"/>
          <w:color w:val="auto"/>
        </w:rPr>
      </w:pPr>
    </w:p>
    <w:p>
      <w:pPr>
        <w:jc w:val="both"/>
        <w:ind w:left="1060"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the event of Borrower's Termination of Employment that constitutes a Discharge for Cause, the outstanding balance of the Purchase Note and any accrued but unpaid Interest thereon shall be due and payable immediately upon the date of Borrower's Termination of Employment that constitutes a Discharge for Cause.</w:t>
      </w:r>
    </w:p>
    <w:p>
      <w:pPr>
        <w:spacing w:after="0" w:line="178" w:lineRule="exact"/>
        <w:rPr>
          <w:rFonts w:ascii="Courier New" w:cs="Courier New" w:eastAsia="Courier New" w:hAnsi="Courier New"/>
          <w:sz w:val="18"/>
          <w:szCs w:val="18"/>
          <w:color w:val="auto"/>
        </w:rPr>
      </w:pPr>
    </w:p>
    <w:p>
      <w:pPr>
        <w:ind w:left="1060" w:hanging="529"/>
        <w:spacing w:after="0"/>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Termination of Employment.</w:t>
      </w:r>
    </w:p>
    <w:p>
      <w:pPr>
        <w:spacing w:after="0" w:line="206" w:lineRule="exact"/>
        <w:rPr>
          <w:rFonts w:ascii="Courier New" w:cs="Courier New" w:eastAsia="Courier New" w:hAnsi="Courier New"/>
          <w:sz w:val="18"/>
          <w:szCs w:val="18"/>
          <w:color w:val="auto"/>
        </w:rPr>
      </w:pPr>
    </w:p>
    <w:p>
      <w:pPr>
        <w:jc w:val="both"/>
        <w:ind w:left="10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Borrower's Termination of Employment for reasons other than those set forth in the foregoing subparagraphs (a) through (c), the outstanding balance of the Purchase Note and any accrued but unpaid Interest thereon shall be due and payable within twelve (12) months of the date of Borrower's Termination of Employment.</w:t>
      </w:r>
    </w:p>
    <w:p>
      <w:pPr>
        <w:spacing w:after="0" w:line="204" w:lineRule="exact"/>
        <w:rPr>
          <w:rFonts w:ascii="Courier New" w:cs="Courier New" w:eastAsia="Courier New" w:hAnsi="Courier New"/>
          <w:sz w:val="18"/>
          <w:szCs w:val="18"/>
          <w:color w:val="auto"/>
        </w:rPr>
      </w:pPr>
    </w:p>
    <w:p>
      <w:pPr>
        <w:ind w:left="540" w:hanging="536"/>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w:t>
      </w:r>
      <w:r>
        <w:rPr>
          <w:rFonts w:ascii="Courier New" w:cs="Courier New" w:eastAsia="Courier New" w:hAnsi="Courier New"/>
          <w:sz w:val="16"/>
          <w:szCs w:val="16"/>
          <w:color w:val="auto"/>
        </w:rPr>
        <w:t>This Purchase Note may  be prepaid in whole or  in part</w:t>
      </w:r>
    </w:p>
    <w:p>
      <w:pPr>
        <w:spacing w:after="0" w:line="4" w:lineRule="exact"/>
        <w:rPr>
          <w:rFonts w:ascii="Courier New" w:cs="Courier New" w:eastAsia="Courier New" w:hAnsi="Courier New"/>
          <w:sz w:val="18"/>
          <w:szCs w:val="18"/>
          <w:color w:val="auto"/>
        </w:rPr>
      </w:pPr>
    </w:p>
    <w:p>
      <w:pPr>
        <w:jc w:val="both"/>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and from time to time, without penalty. All partial prepayments shall be applied to the outstanding principal balance of the Purchase Note.</w:t>
      </w:r>
    </w:p>
    <w:p>
      <w:pPr>
        <w:spacing w:after="0" w:line="208" w:lineRule="exact"/>
        <w:rPr>
          <w:rFonts w:ascii="Courier New" w:cs="Courier New" w:eastAsia="Courier New" w:hAnsi="Courier New"/>
          <w:sz w:val="18"/>
          <w:szCs w:val="18"/>
          <w:color w:val="auto"/>
        </w:rPr>
      </w:pPr>
    </w:p>
    <w:p>
      <w:pPr>
        <w:jc w:val="both"/>
        <w:ind w:right="1999" w:firstLine="4"/>
        <w:spacing w:after="0" w:line="271"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An Event of Default shall occur hereunder if the Borrower shall fail to repay the balance of the Purchase Note or the Tax Note and any accrued but unpaid Interest thereon within the applicable time periods set forth in the foregoing Paragraphs 2, 3 and 4 hereof or in the Tax Note and such failure shall continue for a period of ten days after written notice thereof has been given to the Borrower by the Payee. Upon the occurrence of an Event of Default, the outstanding balance of this Purchase Note and any outstanding Tax Notes and any accrued but unpaid Interest thereon shall become immediately due and payable at the option of the</w:t>
      </w:r>
    </w:p>
    <w:p>
      <w:pPr>
        <w:spacing w:after="0" w:line="178" w:lineRule="exact"/>
        <w:rPr>
          <w:rFonts w:ascii="Courier New" w:cs="Courier New" w:eastAsia="Courier New" w:hAnsi="Courier New"/>
          <w:sz w:val="16"/>
          <w:szCs w:val="16"/>
          <w:color w:val="auto"/>
        </w:rPr>
      </w:pPr>
    </w:p>
    <w:p>
      <w:pPr>
        <w:ind w:left="3900" w:hanging="209"/>
        <w:spacing w:after="0"/>
        <w:tabs>
          <w:tab w:leader="none" w:pos="390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9899"/>
          </w:cols>
          <w:pgMar w:left="560" w:top="520" w:right="1440" w:bottom="1440" w:gutter="0" w:footer="0" w:header="0"/>
        </w:sectPr>
      </w:pPr>
    </w:p>
    <w:bookmarkStart w:id="34" w:name="page35"/>
    <w:bookmarkEnd w:id="34"/>
    <w:p>
      <w:pPr>
        <w:jc w:val="both"/>
        <w:ind w:right="1999"/>
        <w:spacing w:after="0" w:line="237" w:lineRule="auto"/>
        <w:rPr>
          <w:sz w:val="20"/>
          <w:szCs w:val="20"/>
          <w:color w:val="auto"/>
        </w:rPr>
      </w:pPr>
      <w:r>
        <w:rPr>
          <w:rFonts w:ascii="Courier New" w:cs="Courier New" w:eastAsia="Courier New" w:hAnsi="Courier New"/>
          <w:sz w:val="18"/>
          <w:szCs w:val="18"/>
          <w:color w:val="auto"/>
        </w:rPr>
        <w:t>Payee. Any delay by the Payee in exercising, or any failure of the Payee to exercise, the aforesaid option to accelerate with respect to an Event of Default shall not constitute a waiver of its right to exercise such an option with respect to that or any subsequent Event of Default.</w:t>
      </w:r>
    </w:p>
    <w:p>
      <w:pPr>
        <w:spacing w:after="0" w:line="207" w:lineRule="exact"/>
        <w:rPr>
          <w:sz w:val="20"/>
          <w:szCs w:val="20"/>
          <w:color w:val="auto"/>
        </w:rPr>
      </w:pPr>
    </w:p>
    <w:p>
      <w:pPr>
        <w:jc w:val="both"/>
        <w:ind w:right="1999" w:firstLine="4"/>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Retention of Security. If there is an Event of Default and Payee exercises its option to accelerate this Purchase Note, then in that event Payee shall be entitled to retain that portion of the Share Purchase Award that has a Fair Market Value (as of the last day of the applicable time period for repayment as set forth in Paragraphs 2, 3 and 4 of this Purchase Note) equal to the sum of the outstanding principal balance of this Purchase Note and any accrued but unpaid Interest thereon, such Fair Market Value and balance to be determined as of the date of Payee's notice of acceleration. This remedy is the sole and exclusive remedy of Payee for any Event of Default.</w:t>
      </w:r>
    </w:p>
    <w:p>
      <w:pPr>
        <w:spacing w:after="0" w:line="214" w:lineRule="exact"/>
        <w:rPr>
          <w:rFonts w:ascii="Courier New" w:cs="Courier New" w:eastAsia="Courier New" w:hAnsi="Courier New"/>
          <w:sz w:val="18"/>
          <w:szCs w:val="18"/>
          <w:color w:val="auto"/>
        </w:rPr>
      </w:pPr>
    </w:p>
    <w:p>
      <w:pPr>
        <w:jc w:val="both"/>
        <w:ind w:right="1999" w:firstLine="4"/>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Extension. Presentment, demand, notice of dishonor, protest and the benefits of the homestead and all other exemptions provided debtors are hereby waived. The Borrower agrees that he shall remain liable for the payment hereof notwithstanding any agreement for the extension of the due date of any amount payable hereunder made by the Payee after the maturity thereof.</w:t>
      </w:r>
    </w:p>
    <w:p>
      <w:pPr>
        <w:spacing w:after="0" w:line="209" w:lineRule="exact"/>
        <w:rPr>
          <w:rFonts w:ascii="Courier New" w:cs="Courier New" w:eastAsia="Courier New" w:hAnsi="Courier New"/>
          <w:sz w:val="18"/>
          <w:szCs w:val="18"/>
          <w:color w:val="auto"/>
        </w:rPr>
      </w:pPr>
    </w:p>
    <w:p>
      <w:pPr>
        <w:jc w:val="both"/>
        <w:ind w:right="1999" w:firstLine="4"/>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requests, demands and other communications with respect to this Purchase Note shall be in writing and shall be delivered by hand or sent by the United States mail, certified, postage prepaid, return receipt requested, to the following addresses: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Payee: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Federal Realty Investment Trust</w:t>
      </w:r>
    </w:p>
    <w:p>
      <w:pPr>
        <w:ind w:left="540"/>
        <w:spacing w:after="0" w:line="238" w:lineRule="auto"/>
        <w:rPr>
          <w:sz w:val="20"/>
          <w:szCs w:val="20"/>
          <w:color w:val="auto"/>
        </w:rPr>
      </w:pPr>
      <w:r>
        <w:rPr>
          <w:rFonts w:ascii="Courier New" w:cs="Courier New" w:eastAsia="Courier New" w:hAnsi="Courier New"/>
          <w:sz w:val="18"/>
          <w:szCs w:val="18"/>
          <w:color w:val="auto"/>
        </w:rPr>
        <w:t>4800 Hampden Lane</w:t>
      </w:r>
    </w:p>
    <w:p>
      <w:pPr>
        <w:ind w:left="540"/>
        <w:spacing w:after="0"/>
        <w:rPr>
          <w:sz w:val="20"/>
          <w:szCs w:val="20"/>
          <w:color w:val="auto"/>
        </w:rPr>
      </w:pPr>
      <w:r>
        <w:rPr>
          <w:rFonts w:ascii="Courier New" w:cs="Courier New" w:eastAsia="Courier New" w:hAnsi="Courier New"/>
          <w:sz w:val="18"/>
          <w:szCs w:val="18"/>
          <w:color w:val="auto"/>
        </w:rPr>
        <w:t>Suite 500</w:t>
      </w:r>
    </w:p>
    <w:p>
      <w:pPr>
        <w:ind w:left="540"/>
        <w:spacing w:after="0" w:line="237" w:lineRule="auto"/>
        <w:rPr>
          <w:sz w:val="20"/>
          <w:szCs w:val="20"/>
          <w:color w:val="auto"/>
        </w:rPr>
      </w:pPr>
      <w:r>
        <w:rPr>
          <w:rFonts w:ascii="Courier New" w:cs="Courier New" w:eastAsia="Courier New" w:hAnsi="Courier New"/>
          <w:sz w:val="18"/>
          <w:szCs w:val="18"/>
          <w:color w:val="auto"/>
        </w:rPr>
        <w:t>Bethesda, MD 20814</w:t>
      </w:r>
    </w:p>
    <w:p>
      <w:pPr>
        <w:ind w:left="540"/>
        <w:spacing w:after="0" w:line="238" w:lineRule="auto"/>
        <w:rPr>
          <w:sz w:val="20"/>
          <w:szCs w:val="20"/>
          <w:color w:val="auto"/>
        </w:rPr>
      </w:pPr>
      <w:r>
        <w:rPr>
          <w:rFonts w:ascii="Courier New" w:cs="Courier New" w:eastAsia="Courier New" w:hAnsi="Courier New"/>
          <w:sz w:val="18"/>
          <w:szCs w:val="18"/>
          <w:color w:val="auto"/>
        </w:rPr>
        <w:t>Attn: Legal Department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Borrower: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9899"/>
          </w:cols>
          <w:pgMar w:left="560" w:top="520" w:right="1440" w:bottom="1440" w:gutter="0" w:footer="0" w:header="0"/>
        </w:sectPr>
      </w:pPr>
    </w:p>
    <w:bookmarkStart w:id="35" w:name="page36"/>
    <w:bookmarkEnd w:id="35"/>
    <w:p>
      <w:pPr>
        <w:ind w:left="540"/>
        <w:spacing w:after="0"/>
        <w:rPr>
          <w:sz w:val="20"/>
          <w:szCs w:val="20"/>
          <w:color w:val="auto"/>
        </w:rPr>
      </w:pPr>
      <w:r>
        <w:rPr>
          <w:rFonts w:ascii="Courier New" w:cs="Courier New" w:eastAsia="Courier New" w:hAnsi="Courier New"/>
          <w:sz w:val="18"/>
          <w:szCs w:val="18"/>
          <w:color w:val="auto"/>
        </w:rPr>
        <w:t>Ron D.Kaplan</w:t>
      </w:r>
    </w:p>
    <w:p>
      <w:pPr>
        <w:ind w:left="540"/>
        <w:spacing w:after="0" w:line="238" w:lineRule="auto"/>
        <w:rPr>
          <w:sz w:val="20"/>
          <w:szCs w:val="20"/>
          <w:color w:val="auto"/>
        </w:rPr>
      </w:pPr>
      <w:r>
        <w:rPr>
          <w:rFonts w:ascii="Courier New" w:cs="Courier New" w:eastAsia="Courier New" w:hAnsi="Courier New"/>
          <w:sz w:val="18"/>
          <w:szCs w:val="18"/>
          <w:color w:val="auto"/>
        </w:rPr>
        <w:t>7909 Greentree Road</w:t>
      </w:r>
    </w:p>
    <w:p>
      <w:pPr>
        <w:ind w:left="540"/>
        <w:spacing w:after="0"/>
        <w:rPr>
          <w:sz w:val="20"/>
          <w:szCs w:val="20"/>
          <w:color w:val="auto"/>
        </w:rPr>
      </w:pPr>
      <w:r>
        <w:rPr>
          <w:rFonts w:ascii="Courier New" w:cs="Courier New" w:eastAsia="Courier New" w:hAnsi="Courier New"/>
          <w:sz w:val="18"/>
          <w:szCs w:val="18"/>
          <w:color w:val="auto"/>
        </w:rPr>
        <w:t>Bethesda, MD 20817</w:t>
      </w:r>
    </w:p>
    <w:p>
      <w:pPr>
        <w:spacing w:after="0" w:line="206" w:lineRule="exact"/>
        <w:rPr>
          <w:sz w:val="20"/>
          <w:szCs w:val="20"/>
          <w:color w:val="auto"/>
        </w:rPr>
      </w:pPr>
    </w:p>
    <w:p>
      <w:pPr>
        <w:jc w:val="both"/>
        <w:ind w:right="1999"/>
        <w:spacing w:after="0" w:line="272" w:lineRule="auto"/>
        <w:rPr>
          <w:sz w:val="20"/>
          <w:szCs w:val="20"/>
          <w:color w:val="auto"/>
        </w:rPr>
      </w:pPr>
      <w:r>
        <w:rPr>
          <w:rFonts w:ascii="Courier New" w:cs="Courier New" w:eastAsia="Courier New" w:hAnsi="Courier New"/>
          <w:sz w:val="16"/>
          <w:szCs w:val="16"/>
          <w:color w:val="auto"/>
        </w:rPr>
        <w:t>Any notice, request, demand or other communication delivered or sent in the manner aforesaid shall be deemed given or made (as the case may be) upon the date it is actually received if it is delivered by hand or on the third business day after the day on which it is deposited in the United States mail. The Borrower or Payee may change its address by notifying the other party of the new address in any manner permitted by this Paragraph 9.</w:t>
      </w:r>
    </w:p>
    <w:p>
      <w:pPr>
        <w:spacing w:after="0" w:line="186" w:lineRule="exact"/>
        <w:rPr>
          <w:sz w:val="20"/>
          <w:szCs w:val="20"/>
          <w:color w:val="auto"/>
        </w:rPr>
      </w:pPr>
    </w:p>
    <w:p>
      <w:pPr>
        <w:jc w:val="both"/>
        <w:ind w:right="1999" w:firstLine="4"/>
        <w:spacing w:after="0" w:line="23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Purchase Note, or the application thereof to any person or circumstance, shall to any extent be invalid or unenforceable, the remainder of the provisions of this Purchase Note, or the application of such provision to other persons or circumstances shall not be affected thereby, and each provision of this Purchase Note shall be valid and enforceable to the fullest extent permitted by law.</w:t>
      </w:r>
    </w:p>
    <w:p>
      <w:pPr>
        <w:spacing w:after="0" w:line="211" w:lineRule="exact"/>
        <w:rPr>
          <w:rFonts w:ascii="Courier New" w:cs="Courier New" w:eastAsia="Courier New" w:hAnsi="Courier New"/>
          <w:sz w:val="18"/>
          <w:szCs w:val="18"/>
          <w:color w:val="auto"/>
        </w:rPr>
      </w:pPr>
    </w:p>
    <w:p>
      <w:pPr>
        <w:jc w:val="both"/>
        <w:ind w:right="1999" w:firstLine="4"/>
        <w:spacing w:after="0" w:line="23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This Purchase Note shall be binding upon and inure to the benefit of Borrower and Payee, and their respective heirs, administrators, personal representatives, successors and assigns; provided, however, that the Borrower may not assign or delegate his obligations hereunder without the prior written consent of Payee.</w:t>
      </w:r>
    </w:p>
    <w:p>
      <w:pPr>
        <w:spacing w:after="0" w:line="208" w:lineRule="exact"/>
        <w:rPr>
          <w:rFonts w:ascii="Courier New" w:cs="Courier New" w:eastAsia="Courier New" w:hAnsi="Courier New"/>
          <w:sz w:val="18"/>
          <w:szCs w:val="18"/>
          <w:color w:val="auto"/>
        </w:rPr>
      </w:pPr>
    </w:p>
    <w:p>
      <w:pPr>
        <w:jc w:val="both"/>
        <w:ind w:right="1999" w:firstLine="4"/>
        <w:spacing w:after="0" w:line="236"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Purchase Note shall be governed by and construed in accordance with the laws of the State of Maryland, without regard to conflict of law principles.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the Borrower has executed this Purchase Note.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Ron D. Kaplan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99"/>
        <w:spacing w:after="0"/>
        <w:rPr>
          <w:sz w:val="20"/>
          <w:szCs w:val="20"/>
          <w:color w:val="auto"/>
        </w:rPr>
      </w:pPr>
      <w:r>
        <w:rPr>
          <w:rFonts w:ascii="Courier New" w:cs="Courier New" w:eastAsia="Courier New" w:hAnsi="Courier New"/>
          <w:sz w:val="18"/>
          <w:szCs w:val="18"/>
          <w:color w:val="auto"/>
        </w:rPr>
        <w:t>Ron D. Kaplan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9899"/>
          </w:cols>
          <w:pgMar w:left="560" w:top="514" w:right="1440" w:bottom="1440" w:gutter="0" w:footer="0" w:header="0"/>
        </w:sectPr>
      </w:pPr>
    </w:p>
    <w:bookmarkStart w:id="36" w:name="page37"/>
    <w:bookmarkEnd w:id="36"/>
    <w:p>
      <w:pPr>
        <w:ind w:left="2740"/>
        <w:spacing w:after="0"/>
        <w:rPr>
          <w:sz w:val="20"/>
          <w:szCs w:val="20"/>
          <w:color w:val="auto"/>
        </w:rPr>
      </w:pPr>
      <w:r>
        <w:rPr>
          <w:rFonts w:ascii="Courier New" w:cs="Courier New" w:eastAsia="Courier New" w:hAnsi="Courier New"/>
          <w:sz w:val="18"/>
          <w:szCs w:val="18"/>
          <w:color w:val="auto"/>
        </w:rPr>
        <w:t>ASSIGNMENT OF DIVIDENDS</w:t>
      </w:r>
    </w:p>
    <w:p>
      <w:pPr>
        <w:spacing w:after="0" w:line="207" w:lineRule="exact"/>
        <w:rPr>
          <w:sz w:val="20"/>
          <w:szCs w:val="20"/>
          <w:color w:val="auto"/>
        </w:rPr>
      </w:pPr>
    </w:p>
    <w:p>
      <w:pPr>
        <w:jc w:val="both"/>
        <w:ind w:right="1999" w:firstLine="531"/>
        <w:spacing w:after="0" w:line="237" w:lineRule="auto"/>
        <w:tabs>
          <w:tab w:leader="none" w:pos="84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hereby assign to Federal Realty Investment Trust all cash Dividends distributed on the 40,000 Shares issued to me as an "Offer Award" (but pledged to the Trust) under the Federal Realty Investment Trust 1993 Long-Term Incentive Plan ("Plan") and authorize the Trust to deduct from such cash Dividends the Interest payments due the Trust under my Purchase Loan and any Tax Loan and remit the balance (if any) to me.</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This Assignment of Dividend is made pursuant to the Plan and all terms defined in the Plan shall have the same meaning when used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Ron D. Kaplan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Ron D. Kaplan</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04/27/94</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Cindy Schwartzman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9899"/>
          </w:cols>
          <w:pgMar w:left="560" w:top="514" w:right="1440"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301"/>
    </w:lvl>
  </w:abstractNum>
  <w:abstractNum w:abstractNumId="1">
    <w:nsid w:val="4DB127F8"/>
    <w:multiLevelType w:val="hybridMultilevel"/>
    <w:lvl w:ilvl="0">
      <w:lvlJc w:val="left"/>
      <w:lvlText w:val="%1"/>
      <w:numFmt w:val="decimal"/>
      <w:start w:val="435"/>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95"/>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upperLetter"/>
      <w:start w:val="1"/>
    </w:lvl>
    <w:lvl w:ilvl="1">
      <w:lvlJc w:val="left"/>
      <w:lvlText w:val="%2."/>
      <w:numFmt w:val="decimal"/>
      <w:start w:val="10"/>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lvl w:ilvl="1">
      <w:lvlJc w:val="left"/>
      <w:lvlText w:val="-"/>
      <w:numFmt w:val="bullet"/>
      <w:start w:val="1"/>
    </w:lvl>
  </w:abstractNum>
  <w:abstractNum w:abstractNumId="13">
    <w:nsid w:val="6B68079A"/>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4">
    <w:nsid w:val="4E6AFB66"/>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5">
    <w:nsid w:val="25E45D32"/>
    <w:multiLevelType w:val="hybridMultilevel"/>
    <w:lvl w:ilvl="0">
      <w:lvlJc w:val="left"/>
      <w:lvlText w:val="%1."/>
      <w:numFmt w:val="decimal"/>
      <w:start w:val="7"/>
    </w:lvl>
  </w:abstractNum>
  <w:abstractNum w:abstractNumId="16">
    <w:nsid w:val="519B500D"/>
    <w:multiLevelType w:val="hybridMultilevel"/>
    <w:lvl w:ilvl="0">
      <w:lvlJc w:val="left"/>
      <w:lvlText w:val="%1."/>
      <w:numFmt w:val="decimal"/>
      <w:start w:val="10"/>
    </w:lvl>
  </w:abstractNum>
  <w:abstractNum w:abstractNumId="17">
    <w:nsid w:val="431BD7B7"/>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2019-12-12T05:46:53Z</dcterms:created>
  <dcterms:modified xsi:type="dcterms:W3CDTF">2019-12-12T05:46:53Z</dcterms:modified>
</cp:coreProperties>
</file>