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(Rule 13d-102)</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INFORMATION TO BE INCLUDED IN STATEMENTS FILED PURSUANT TO RULES 13D-1(b)</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AND AMENDMENTS FILED THERETO FILED PURSUANT TO RULE 13D-2(b)</w:t>
      </w:r>
    </w:p>
    <w:p>
      <w:pPr>
        <w:spacing w:after="0" w:line="200" w:lineRule="exact"/>
        <w:rPr>
          <w:sz w:val="24"/>
          <w:szCs w:val="24"/>
          <w:color w:val="auto"/>
        </w:rPr>
      </w:pPr>
    </w:p>
    <w:p>
      <w:pPr>
        <w:spacing w:after="0" w:line="22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36" w:lineRule="exact"/>
        <w:rPr>
          <w:sz w:val="24"/>
          <w:szCs w:val="24"/>
          <w:color w:val="auto"/>
        </w:rPr>
      </w:pPr>
    </w:p>
    <w:p>
      <w:pPr>
        <w:ind w:left="3080"/>
        <w:spacing w:after="0"/>
        <w:tabs>
          <w:tab w:leader="none" w:pos="488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2804160</wp:posOffset>
            </wp:positionH>
            <wp:positionV relativeFrom="paragraph">
              <wp:posOffset>-10160</wp:posOffset>
            </wp:positionV>
            <wp:extent cx="3067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70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u w:val="single" w:color="auto"/>
          <w:color w:val="auto"/>
        </w:rPr>
        <w:t>Federal Realty Investment Trust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(Name of Issuer)</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u w:val="single" w:color="auto"/>
          <w:color w:val="auto"/>
        </w:rPr>
        <w:t>REIT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(Title of Classes of Securities)</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u w:val="single" w:color="auto"/>
          <w:color w:val="auto"/>
        </w:rPr>
        <w:t>313747206</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(CUSIP Numbers)</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u w:val="single" w:color="auto"/>
          <w:color w:val="auto"/>
        </w:rPr>
        <w:t>December 31, 2008</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2" w:lineRule="exact"/>
        <w:rPr>
          <w:sz w:val="24"/>
          <w:szCs w:val="24"/>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18"/>
          <w:szCs w:val="18"/>
          <w:color w:val="auto"/>
        </w:rPr>
        <w:t>Rule 13d-1(b)</w:t>
      </w:r>
    </w:p>
    <w:p>
      <w:pPr>
        <w:spacing w:after="0" w:line="39" w:lineRule="exact"/>
        <w:rPr>
          <w:sz w:val="24"/>
          <w:szCs w:val="24"/>
          <w:color w:val="auto"/>
        </w:rPr>
      </w:pPr>
    </w:p>
    <w:p>
      <w:pPr>
        <w:jc w:val="both"/>
        <w:ind w:left="1960" w:right="7279" w:hanging="655"/>
        <w:spacing w:after="0" w:line="315" w:lineRule="auto"/>
        <w:tabs>
          <w:tab w:leader="none" w:pos="1960" w:val="left"/>
        </w:tabs>
        <w:numPr>
          <w:ilvl w:val="0"/>
          <w:numId w:val="1"/>
        </w:numPr>
        <w:rPr>
          <w:rFonts w:ascii="Arial" w:cs="Arial" w:eastAsia="Arial" w:hAnsi="Arial"/>
          <w:sz w:val="19"/>
          <w:szCs w:val="19"/>
          <w:color w:val="auto"/>
        </w:rPr>
      </w:pPr>
      <w:r>
        <w:rPr>
          <w:rFonts w:ascii="Arial" w:cs="Arial" w:eastAsia="Arial" w:hAnsi="Arial"/>
          <w:sz w:val="16"/>
          <w:szCs w:val="16"/>
          <w:color w:val="auto"/>
        </w:rPr>
        <w:t>Rule 13d-1(c) Rule 13d-1(d)</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both"/>
        <w:ind w:right="2159"/>
        <w:spacing w:after="0" w:line="25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4" w:lineRule="exact"/>
        <w:rPr>
          <w:sz w:val="24"/>
          <w:szCs w:val="24"/>
          <w:color w:val="auto"/>
        </w:rPr>
      </w:pPr>
    </w:p>
    <w:p>
      <w:pPr>
        <w:jc w:val="both"/>
        <w:ind w:right="2259"/>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jc w:val="right"/>
              <w:ind w:right="402"/>
              <w:spacing w:after="0"/>
              <w:rPr>
                <w:sz w:val="20"/>
                <w:szCs w:val="20"/>
                <w:color w:val="auto"/>
              </w:rPr>
            </w:pPr>
            <w:r>
              <w:rPr>
                <w:rFonts w:ascii="Arial" w:cs="Arial" w:eastAsia="Arial" w:hAnsi="Arial"/>
                <w:sz w:val="18"/>
                <w:szCs w:val="18"/>
                <w:color w:val="auto"/>
                <w:w w:val="88"/>
              </w:rPr>
              <w:t>CUSIP No.</w:t>
            </w:r>
          </w:p>
        </w:tc>
        <w:tc>
          <w:tcPr>
            <w:tcW w:w="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86"/>
              </w:rPr>
              <w:t>313747206</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4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960" w:type="dxa"/>
            <w:vAlign w:val="bottom"/>
            <w:tcBorders>
              <w:left w:val="single" w:sz="8" w:color="auto"/>
            </w:tcBorders>
          </w:tcPr>
          <w:p>
            <w:pPr>
              <w:jc w:val="right"/>
              <w:ind w:right="182"/>
              <w:spacing w:after="0" w:line="201" w:lineRule="exact"/>
              <w:rPr>
                <w:sz w:val="20"/>
                <w:szCs w:val="20"/>
                <w:color w:val="auto"/>
              </w:rPr>
            </w:pPr>
            <w:r>
              <w:rPr>
                <w:rFonts w:ascii="Arial" w:cs="Arial" w:eastAsia="Arial" w:hAnsi="Arial"/>
                <w:sz w:val="22"/>
                <w:szCs w:val="22"/>
                <w:b w:val="1"/>
                <w:bCs w:val="1"/>
                <w:color w:val="auto"/>
              </w:rPr>
              <w:t>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700" w:type="dxa"/>
            <w:vAlign w:val="bottom"/>
            <w:tcBorders>
              <w:right w:val="single" w:sz="8" w:color="auto"/>
            </w:tcBorders>
            <w:gridSpan w:val="6"/>
          </w:tcPr>
          <w:p>
            <w:pPr>
              <w:ind w:left="20"/>
              <w:spacing w:after="0" w:line="201"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9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Invesco Ltd.</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IRS # 980557567</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Invesco Institutional (N.A.), Inc.</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9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Invesco Global Asset Management (N.A.), Inc.</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Invesco Management S.A.</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9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Invesco PowerShares Capital Management LLC</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Invesco PowerShares Capital Management Ireland Ltd</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Stein Roe Investment Counsel, Inc.</w:t>
            </w:r>
          </w:p>
        </w:tc>
        <w:tc>
          <w:tcPr>
            <w:tcW w:w="0" w:type="dxa"/>
            <w:vAlign w:val="bottom"/>
          </w:tcPr>
          <w:p>
            <w:pPr>
              <w:spacing w:after="0"/>
              <w:rPr>
                <w:sz w:val="1"/>
                <w:szCs w:val="1"/>
                <w:color w:val="auto"/>
              </w:rPr>
            </w:pPr>
          </w:p>
        </w:tc>
      </w:tr>
      <w:tr>
        <w:trPr>
          <w:trHeight w:val="43"/>
        </w:trPr>
        <w:tc>
          <w:tcPr>
            <w:tcW w:w="340" w:type="dxa"/>
            <w:vAlign w:val="bottom"/>
            <w:vMerge w:val="restart"/>
          </w:tcPr>
          <w:p>
            <w:pPr>
              <w:spacing w:after="0"/>
              <w:rPr>
                <w:sz w:val="3"/>
                <w:szCs w:val="3"/>
                <w:color w:val="auto"/>
              </w:rPr>
            </w:pPr>
          </w:p>
        </w:tc>
        <w:tc>
          <w:tcPr>
            <w:tcW w:w="96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960" w:type="dxa"/>
            <w:vAlign w:val="bottom"/>
            <w:tcBorders>
              <w:bottom w:val="single" w:sz="8" w:color="auto"/>
            </w:tcBorders>
            <w:gridSpan w:val="3"/>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960" w:type="dxa"/>
            <w:vAlign w:val="bottom"/>
            <w:tcBorders>
              <w:left w:val="single" w:sz="8" w:color="auto"/>
            </w:tcBorders>
          </w:tcPr>
          <w:p>
            <w:pPr>
              <w:jc w:val="right"/>
              <w:ind w:right="182"/>
              <w:spacing w:after="0" w:line="201" w:lineRule="exact"/>
              <w:rPr>
                <w:sz w:val="20"/>
                <w:szCs w:val="20"/>
                <w:color w:val="auto"/>
              </w:rPr>
            </w:pPr>
            <w:r>
              <w:rPr>
                <w:rFonts w:ascii="Arial" w:cs="Arial" w:eastAsia="Arial" w:hAnsi="Arial"/>
                <w:sz w:val="22"/>
                <w:szCs w:val="22"/>
                <w:b w:val="1"/>
                <w:bCs w:val="1"/>
                <w:color w:val="auto"/>
              </w:rPr>
              <w:t>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700" w:type="dxa"/>
            <w:vAlign w:val="bottom"/>
            <w:tcBorders>
              <w:right w:val="single" w:sz="8" w:color="auto"/>
            </w:tcBorders>
            <w:gridSpan w:val="6"/>
          </w:tcPr>
          <w:p>
            <w:pPr>
              <w:ind w:left="2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0" w:type="dxa"/>
            <w:vAlign w:val="bottom"/>
            <w:tcBorders>
              <w:right w:val="single" w:sz="8" w:color="auto"/>
            </w:tcBorders>
            <w:gridSpan w:val="2"/>
          </w:tcPr>
          <w:p>
            <w:pPr>
              <w:ind w:left="32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60" w:type="dxa"/>
            <w:vAlign w:val="bottom"/>
            <w:tcBorders>
              <w:left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0" w:type="dxa"/>
            <w:vAlign w:val="bottom"/>
            <w:tcBorders>
              <w:bottom w:val="single" w:sz="8" w:color="auto"/>
              <w:right w:val="single" w:sz="8" w:color="auto"/>
            </w:tcBorders>
            <w:gridSpan w:val="2"/>
          </w:tcPr>
          <w:p>
            <w:pPr>
              <w:ind w:left="32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960" w:type="dxa"/>
            <w:vAlign w:val="bottom"/>
            <w:tcBorders>
              <w:left w:val="single" w:sz="8" w:color="auto"/>
            </w:tcBorders>
          </w:tcPr>
          <w:p>
            <w:pPr>
              <w:jc w:val="right"/>
              <w:ind w:right="182"/>
              <w:spacing w:after="0"/>
              <w:rPr>
                <w:sz w:val="20"/>
                <w:szCs w:val="20"/>
                <w:color w:val="auto"/>
              </w:rPr>
            </w:pPr>
            <w:r>
              <w:rPr>
                <w:rFonts w:ascii="Arial" w:cs="Arial" w:eastAsia="Arial" w:hAnsi="Arial"/>
                <w:sz w:val="22"/>
                <w:szCs w:val="22"/>
                <w:b w:val="1"/>
                <w:bCs w:val="1"/>
                <w:color w:val="auto"/>
              </w:rPr>
              <w:t>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4"/>
          </w:tcPr>
          <w:p>
            <w:pPr>
              <w:ind w:left="20"/>
              <w:spacing w:after="0"/>
              <w:rPr>
                <w:sz w:val="20"/>
                <w:szCs w:val="20"/>
                <w:color w:val="auto"/>
              </w:rPr>
            </w:pPr>
            <w:r>
              <w:rPr>
                <w:rFonts w:ascii="Arial" w:cs="Arial" w:eastAsia="Arial" w:hAnsi="Arial"/>
                <w:sz w:val="18"/>
                <w:szCs w:val="18"/>
                <w:color w:val="auto"/>
              </w:rPr>
              <w:t>SEC USE ONLY</w:t>
            </w:r>
          </w:p>
        </w:tc>
        <w:tc>
          <w:tcPr>
            <w:tcW w:w="476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40" w:type="dxa"/>
            <w:vAlign w:val="bottom"/>
            <w:vMerge w:val="restart"/>
          </w:tcPr>
          <w:p>
            <w:pPr>
              <w:spacing w:after="0"/>
              <w:rPr>
                <w:sz w:val="20"/>
                <w:szCs w:val="20"/>
                <w:color w:val="auto"/>
              </w:rPr>
            </w:pPr>
          </w:p>
        </w:tc>
        <w:tc>
          <w:tcPr>
            <w:tcW w:w="9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spacing w:after="0"/>
              <w:rPr>
                <w:sz w:val="20"/>
                <w:szCs w:val="20"/>
                <w:color w:val="auto"/>
              </w:rPr>
            </w:pPr>
          </w:p>
        </w:tc>
        <w:tc>
          <w:tcPr>
            <w:tcW w:w="5960" w:type="dxa"/>
            <w:vAlign w:val="bottom"/>
            <w:tcBorders>
              <w:bottom w:val="single" w:sz="8" w:color="auto"/>
            </w:tcBorders>
            <w:gridSpan w:val="3"/>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40" w:type="dxa"/>
            <w:vAlign w:val="bottom"/>
            <w:vMerge w:val="continue"/>
          </w:tcPr>
          <w:p>
            <w:pPr>
              <w:spacing w:after="0"/>
              <w:rPr>
                <w:sz w:val="23"/>
                <w:szCs w:val="23"/>
                <w:color w:val="auto"/>
              </w:rPr>
            </w:pPr>
          </w:p>
        </w:tc>
        <w:tc>
          <w:tcPr>
            <w:tcW w:w="960" w:type="dxa"/>
            <w:vAlign w:val="bottom"/>
            <w:tcBorders>
              <w:left w:val="single" w:sz="8" w:color="auto"/>
            </w:tcBorders>
          </w:tcPr>
          <w:p>
            <w:pPr>
              <w:jc w:val="right"/>
              <w:ind w:right="182"/>
              <w:spacing w:after="0"/>
              <w:rPr>
                <w:sz w:val="20"/>
                <w:szCs w:val="20"/>
                <w:color w:val="auto"/>
              </w:rPr>
            </w:pPr>
            <w:r>
              <w:rPr>
                <w:rFonts w:ascii="Arial" w:cs="Arial" w:eastAsia="Arial" w:hAnsi="Arial"/>
                <w:sz w:val="22"/>
                <w:szCs w:val="22"/>
                <w:b w:val="1"/>
                <w:bCs w:val="1"/>
                <w:color w:val="auto"/>
              </w:rPr>
              <w:t>4</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93"/>
        </w:trPr>
        <w:tc>
          <w:tcPr>
            <w:tcW w:w="340" w:type="dxa"/>
            <w:vAlign w:val="bottom"/>
          </w:tcPr>
          <w:p>
            <w:pPr>
              <w:spacing w:after="0"/>
              <w:rPr>
                <w:sz w:val="24"/>
                <w:szCs w:val="24"/>
                <w:color w:val="auto"/>
              </w:rPr>
            </w:pPr>
          </w:p>
        </w:tc>
        <w:tc>
          <w:tcPr>
            <w:tcW w:w="9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4"/>
          </w:tcPr>
          <w:p>
            <w:pPr>
              <w:ind w:left="20"/>
              <w:spacing w:after="0"/>
              <w:rPr>
                <w:sz w:val="20"/>
                <w:szCs w:val="20"/>
                <w:color w:val="auto"/>
              </w:rPr>
            </w:pPr>
            <w:r>
              <w:rPr>
                <w:rFonts w:ascii="Arial" w:cs="Arial" w:eastAsia="Arial" w:hAnsi="Arial"/>
                <w:sz w:val="18"/>
                <w:szCs w:val="18"/>
                <w:color w:val="auto"/>
                <w:w w:val="89"/>
              </w:rPr>
              <w:t>Invesco Ltd. - Bermuda</w:t>
            </w:r>
          </w:p>
        </w:tc>
        <w:tc>
          <w:tcPr>
            <w:tcW w:w="476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Invesco Institutional (N.A.), Inc. – US</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9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Invesco Global Asset Management (N.A.), Inc. – US</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Invesco Management S.A. - Luxembourg</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9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Invesco PowerShares Capital Management LLC – US</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Invesco PowerShares Capital Management Ireland Ltd – Ireland</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70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Stein Roe Investment Counsel, Inc. – US</w:t>
            </w:r>
          </w:p>
        </w:tc>
        <w:tc>
          <w:tcPr>
            <w:tcW w:w="0" w:type="dxa"/>
            <w:vAlign w:val="bottom"/>
          </w:tcPr>
          <w:p>
            <w:pPr>
              <w:spacing w:after="0"/>
              <w:rPr>
                <w:sz w:val="1"/>
                <w:szCs w:val="1"/>
                <w:color w:val="auto"/>
              </w:rPr>
            </w:pPr>
          </w:p>
        </w:tc>
      </w:tr>
      <w:tr>
        <w:trPr>
          <w:trHeight w:val="43"/>
        </w:trPr>
        <w:tc>
          <w:tcPr>
            <w:tcW w:w="340" w:type="dxa"/>
            <w:vAlign w:val="bottom"/>
          </w:tcPr>
          <w:p>
            <w:pPr>
              <w:spacing w:after="0"/>
              <w:rPr>
                <w:sz w:val="3"/>
                <w:szCs w:val="3"/>
                <w:color w:val="auto"/>
              </w:rPr>
            </w:pPr>
          </w:p>
        </w:tc>
        <w:tc>
          <w:tcPr>
            <w:tcW w:w="96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gridSpan w:val="2"/>
          </w:tcPr>
          <w:p>
            <w:pPr>
              <w:jc w:val="right"/>
              <w:ind w:right="612"/>
              <w:spacing w:after="0"/>
              <w:rPr>
                <w:sz w:val="20"/>
                <w:szCs w:val="20"/>
                <w:color w:val="auto"/>
              </w:rPr>
            </w:pPr>
            <w:r>
              <w:rPr>
                <w:rFonts w:ascii="Arial" w:cs="Arial" w:eastAsia="Arial" w:hAnsi="Arial"/>
                <w:sz w:val="22"/>
                <w:szCs w:val="22"/>
                <w:b w:val="1"/>
                <w:bCs w:val="1"/>
                <w:color w:val="auto"/>
              </w:rPr>
              <w:t>5</w:t>
            </w:r>
          </w:p>
        </w:tc>
        <w:tc>
          <w:tcPr>
            <w:tcW w:w="80" w:type="dxa"/>
            <w:vAlign w:val="bottom"/>
          </w:tcPr>
          <w:p>
            <w:pPr>
              <w:spacing w:after="0"/>
              <w:rPr>
                <w:sz w:val="23"/>
                <w:szCs w:val="23"/>
                <w:color w:val="auto"/>
              </w:rPr>
            </w:pPr>
          </w:p>
        </w:tc>
        <w:tc>
          <w:tcPr>
            <w:tcW w:w="70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3"/>
        </w:trPr>
        <w:tc>
          <w:tcPr>
            <w:tcW w:w="340" w:type="dxa"/>
            <w:vAlign w:val="bottom"/>
          </w:tcPr>
          <w:p>
            <w:pPr>
              <w:spacing w:after="0"/>
              <w:rPr>
                <w:sz w:val="24"/>
                <w:szCs w:val="24"/>
                <w:color w:val="auto"/>
              </w:rPr>
            </w:pPr>
          </w:p>
        </w:tc>
        <w:tc>
          <w:tcPr>
            <w:tcW w:w="1480" w:type="dxa"/>
            <w:vAlign w:val="bottom"/>
            <w:tcBorders>
              <w:left w:val="single" w:sz="8" w:color="auto"/>
              <w:right w:val="single" w:sz="8" w:color="auto"/>
            </w:tcBorders>
            <w:gridSpan w:val="6"/>
          </w:tcPr>
          <w:p>
            <w:pPr>
              <w:jc w:val="center"/>
              <w:spacing w:after="0"/>
              <w:rPr>
                <w:sz w:val="20"/>
                <w:szCs w:val="20"/>
                <w:color w:val="auto"/>
              </w:rPr>
            </w:pPr>
            <w:r>
              <w:rPr>
                <w:rFonts w:ascii="Arial" w:cs="Arial" w:eastAsia="Arial" w:hAnsi="Arial"/>
                <w:sz w:val="18"/>
                <w:szCs w:val="18"/>
                <w:color w:val="auto"/>
                <w:w w:val="94"/>
              </w:rPr>
              <w:t>NUMBER OF</w:t>
            </w:r>
          </w:p>
        </w:tc>
        <w:tc>
          <w:tcPr>
            <w:tcW w:w="3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Invesco Institutional (N.A.), Inc. – 2,385,427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00" w:type="dxa"/>
            <w:vAlign w:val="bottom"/>
            <w:tcBorders>
              <w:left w:val="single" w:sz="8" w:color="auto"/>
            </w:tcBorders>
            <w:gridSpan w:val="3"/>
          </w:tcPr>
          <w:p>
            <w:pPr>
              <w:jc w:val="center"/>
              <w:ind w:left="282"/>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Invesco Management S.A. – 2,100</w:t>
            </w:r>
          </w:p>
        </w:tc>
        <w:tc>
          <w:tcPr>
            <w:tcW w:w="0" w:type="dxa"/>
            <w:vAlign w:val="bottom"/>
          </w:tcPr>
          <w:p>
            <w:pPr>
              <w:spacing w:after="0"/>
              <w:rPr>
                <w:sz w:val="1"/>
                <w:szCs w:val="1"/>
                <w:color w:val="auto"/>
              </w:rPr>
            </w:pPr>
          </w:p>
        </w:tc>
      </w:tr>
      <w:tr>
        <w:trPr>
          <w:trHeight w:val="74"/>
        </w:trPr>
        <w:tc>
          <w:tcPr>
            <w:tcW w:w="340" w:type="dxa"/>
            <w:vAlign w:val="bottom"/>
          </w:tcPr>
          <w:p>
            <w:pPr>
              <w:spacing w:after="0"/>
              <w:rPr>
                <w:sz w:val="6"/>
                <w:szCs w:val="6"/>
                <w:color w:val="auto"/>
              </w:rPr>
            </w:pPr>
          </w:p>
        </w:tc>
        <w:tc>
          <w:tcPr>
            <w:tcW w:w="1480" w:type="dxa"/>
            <w:vAlign w:val="bottom"/>
            <w:tcBorders>
              <w:left w:val="single" w:sz="8" w:color="auto"/>
              <w:right w:val="single" w:sz="8" w:color="auto"/>
            </w:tcBorders>
            <w:gridSpan w:val="6"/>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36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480" w:type="dxa"/>
            <w:vAlign w:val="bottom"/>
            <w:tcBorders>
              <w:left w:val="single" w:sz="8" w:color="auto"/>
              <w:right w:val="single" w:sz="8" w:color="auto"/>
            </w:tcBorders>
            <w:gridSpan w:val="6"/>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Invesco PowerShares Capital Management LLC – 24,468</w:t>
            </w:r>
          </w:p>
        </w:tc>
        <w:tc>
          <w:tcPr>
            <w:tcW w:w="0" w:type="dxa"/>
            <w:vAlign w:val="bottom"/>
          </w:tcPr>
          <w:p>
            <w:pPr>
              <w:spacing w:after="0"/>
              <w:rPr>
                <w:sz w:val="1"/>
                <w:szCs w:val="1"/>
                <w:color w:val="auto"/>
              </w:rPr>
            </w:pPr>
          </w:p>
        </w:tc>
      </w:tr>
      <w:tr>
        <w:trPr>
          <w:trHeight w:val="128"/>
        </w:trPr>
        <w:tc>
          <w:tcPr>
            <w:tcW w:w="340" w:type="dxa"/>
            <w:vAlign w:val="bottom"/>
          </w:tcPr>
          <w:p>
            <w:pPr>
              <w:spacing w:after="0"/>
              <w:rPr>
                <w:sz w:val="11"/>
                <w:szCs w:val="11"/>
                <w:color w:val="auto"/>
              </w:rPr>
            </w:pPr>
          </w:p>
        </w:tc>
        <w:tc>
          <w:tcPr>
            <w:tcW w:w="1480" w:type="dxa"/>
            <w:vAlign w:val="bottom"/>
            <w:tcBorders>
              <w:left w:val="single" w:sz="8" w:color="auto"/>
              <w:right w:val="single" w:sz="8" w:color="auto"/>
            </w:tcBorders>
            <w:gridSpan w:val="6"/>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36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1480" w:type="dxa"/>
            <w:vAlign w:val="bottom"/>
            <w:tcBorders>
              <w:left w:val="single" w:sz="8" w:color="auto"/>
              <w:right w:val="single" w:sz="8" w:color="auto"/>
            </w:tcBorders>
            <w:gridSpan w:val="6"/>
            <w:vMerge w:val="continue"/>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0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Invesco PowerShares Capital Management Ireland Ltd – 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00" w:type="dxa"/>
            <w:vAlign w:val="bottom"/>
            <w:tcBorders>
              <w:left w:val="single" w:sz="8" w:color="auto"/>
            </w:tcBorders>
            <w:gridSpan w:val="3"/>
          </w:tcPr>
          <w:p>
            <w:pPr>
              <w:jc w:val="center"/>
              <w:ind w:left="282"/>
              <w:spacing w:after="0"/>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80" w:type="dxa"/>
            <w:vAlign w:val="bottom"/>
            <w:tcBorders>
              <w:left w:val="single" w:sz="8" w:color="auto"/>
              <w:right w:val="single" w:sz="8" w:color="auto"/>
            </w:tcBorders>
            <w:gridSpan w:val="6"/>
          </w:tcPr>
          <w:p>
            <w:pPr>
              <w:jc w:val="center"/>
              <w:spacing w:after="0"/>
              <w:rPr>
                <w:sz w:val="20"/>
                <w:szCs w:val="20"/>
                <w:color w:val="auto"/>
              </w:rPr>
            </w:pPr>
            <w:r>
              <w:rPr>
                <w:rFonts w:ascii="Arial" w:cs="Arial" w:eastAsia="Arial" w:hAnsi="Arial"/>
                <w:sz w:val="18"/>
                <w:szCs w:val="18"/>
                <w:color w:val="auto"/>
                <w:w w:val="91"/>
              </w:rPr>
              <w:t>REPORTING</w:t>
            </w:r>
          </w:p>
        </w:tc>
        <w:tc>
          <w:tcPr>
            <w:tcW w:w="36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Stein Roe Investment Counsel, Inc. – 1,000</w:t>
            </w:r>
          </w:p>
        </w:tc>
        <w:tc>
          <w:tcPr>
            <w:tcW w:w="0" w:type="dxa"/>
            <w:vAlign w:val="bottom"/>
          </w:tcPr>
          <w:p>
            <w:pPr>
              <w:spacing w:after="0"/>
              <w:rPr>
                <w:sz w:val="1"/>
                <w:szCs w:val="1"/>
                <w:color w:val="auto"/>
              </w:rPr>
            </w:pPr>
          </w:p>
        </w:tc>
      </w:tr>
      <w:tr>
        <w:trPr>
          <w:trHeight w:val="62"/>
        </w:trPr>
        <w:tc>
          <w:tcPr>
            <w:tcW w:w="340" w:type="dxa"/>
            <w:vAlign w:val="bottom"/>
          </w:tcPr>
          <w:p>
            <w:pPr>
              <w:spacing w:after="0"/>
              <w:rPr>
                <w:sz w:val="5"/>
                <w:szCs w:val="5"/>
                <w:color w:val="auto"/>
              </w:rPr>
            </w:pPr>
          </w:p>
        </w:tc>
        <w:tc>
          <w:tcPr>
            <w:tcW w:w="1100" w:type="dxa"/>
            <w:vAlign w:val="bottom"/>
            <w:tcBorders>
              <w:left w:val="single" w:sz="8" w:color="auto"/>
            </w:tcBorders>
            <w:gridSpan w:val="3"/>
            <w:vMerge w:val="restart"/>
          </w:tcPr>
          <w:p>
            <w:pPr>
              <w:jc w:val="center"/>
              <w:ind w:left="282"/>
              <w:spacing w:after="0"/>
              <w:rPr>
                <w:sz w:val="20"/>
                <w:szCs w:val="20"/>
                <w:color w:val="auto"/>
              </w:rPr>
            </w:pPr>
            <w:r>
              <w:rPr>
                <w:rFonts w:ascii="Arial" w:cs="Arial" w:eastAsia="Arial" w:hAnsi="Arial"/>
                <w:sz w:val="18"/>
                <w:szCs w:val="18"/>
                <w:color w:val="auto"/>
                <w:w w:val="89"/>
              </w:rPr>
              <w:t>PERSON</w:t>
            </w:r>
          </w:p>
        </w:tc>
        <w:tc>
          <w:tcPr>
            <w:tcW w:w="16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140" w:type="dxa"/>
            <w:vAlign w:val="bottom"/>
            <w:tcBorders>
              <w:right w:val="single" w:sz="8" w:color="auto"/>
            </w:tcBorders>
            <w:vMerge w:val="restart"/>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76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100" w:type="dxa"/>
            <w:vAlign w:val="bottom"/>
            <w:tcBorders>
              <w:left w:val="single" w:sz="8" w:color="auto"/>
            </w:tcBorders>
            <w:gridSpan w:val="3"/>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40" w:type="dxa"/>
            <w:vAlign w:val="bottom"/>
            <w:tcBorders>
              <w:right w:val="single" w:sz="8" w:color="auto"/>
            </w:tcBorders>
            <w:vMerge w:val="continue"/>
          </w:tcPr>
          <w:p>
            <w:pPr>
              <w:spacing w:after="0"/>
              <w:rPr>
                <w:sz w:val="13"/>
                <w:szCs w:val="13"/>
                <w:color w:val="auto"/>
              </w:rPr>
            </w:pPr>
          </w:p>
        </w:tc>
        <w:tc>
          <w:tcPr>
            <w:tcW w:w="1480" w:type="dxa"/>
            <w:vAlign w:val="bottom"/>
            <w:tcBorders>
              <w:right w:val="single" w:sz="8" w:color="auto"/>
            </w:tcBorders>
            <w:gridSpan w:val="2"/>
          </w:tcPr>
          <w:p>
            <w:pPr>
              <w:jc w:val="right"/>
              <w:ind w:right="612"/>
              <w:spacing w:after="0" w:line="156" w:lineRule="exact"/>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3"/>
                <w:szCs w:val="13"/>
                <w:color w:val="auto"/>
              </w:rPr>
            </w:pPr>
          </w:p>
        </w:tc>
        <w:tc>
          <w:tcPr>
            <w:tcW w:w="7000" w:type="dxa"/>
            <w:vAlign w:val="bottom"/>
            <w:tcBorders>
              <w:right w:val="single" w:sz="8" w:color="auto"/>
            </w:tcBorders>
            <w:gridSpan w:val="2"/>
          </w:tcPr>
          <w:p>
            <w:pPr>
              <w:ind w:left="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60" w:type="dxa"/>
            <w:vAlign w:val="bottom"/>
            <w:tcBorders>
              <w:left w:val="single" w:sz="8" w:color="auto"/>
            </w:tcBorders>
          </w:tcPr>
          <w:p>
            <w:pPr>
              <w:jc w:val="center"/>
              <w:ind w:left="402"/>
              <w:spacing w:after="0"/>
              <w:rPr>
                <w:sz w:val="20"/>
                <w:szCs w:val="20"/>
                <w:color w:val="auto"/>
              </w:rPr>
            </w:pPr>
            <w:r>
              <w:rPr>
                <w:rFonts w:ascii="Arial" w:cs="Arial" w:eastAsia="Arial" w:hAnsi="Arial"/>
                <w:sz w:val="18"/>
                <w:szCs w:val="18"/>
                <w:color w:val="auto"/>
                <w:w w:val="99"/>
              </w:rPr>
              <w:t>WITH</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340" w:type="dxa"/>
            <w:vAlign w:val="bottom"/>
          </w:tcPr>
          <w:p>
            <w:pPr>
              <w:spacing w:after="0"/>
              <w:rPr>
                <w:sz w:val="24"/>
                <w:szCs w:val="24"/>
                <w:color w:val="auto"/>
              </w:rPr>
            </w:pPr>
          </w:p>
        </w:tc>
        <w:tc>
          <w:tcPr>
            <w:tcW w:w="9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Invesco Institutional (N.A.), Inc. – 34,037</w:t>
            </w:r>
          </w:p>
        </w:tc>
        <w:tc>
          <w:tcPr>
            <w:tcW w:w="0" w:type="dxa"/>
            <w:vAlign w:val="bottom"/>
          </w:tcPr>
          <w:p>
            <w:pPr>
              <w:spacing w:after="0"/>
              <w:rPr>
                <w:sz w:val="1"/>
                <w:szCs w:val="1"/>
                <w:color w:val="auto"/>
              </w:rPr>
            </w:pPr>
          </w:p>
        </w:tc>
      </w:tr>
      <w:tr>
        <w:trPr>
          <w:trHeight w:val="56"/>
        </w:trPr>
        <w:tc>
          <w:tcPr>
            <w:tcW w:w="340" w:type="dxa"/>
            <w:vAlign w:val="bottom"/>
          </w:tcPr>
          <w:p>
            <w:pPr>
              <w:spacing w:after="0"/>
              <w:rPr>
                <w:sz w:val="4"/>
                <w:szCs w:val="4"/>
                <w:color w:val="auto"/>
              </w:rPr>
            </w:pPr>
          </w:p>
        </w:tc>
        <w:tc>
          <w:tcPr>
            <w:tcW w:w="960" w:type="dxa"/>
            <w:vAlign w:val="bottom"/>
            <w:tcBorders>
              <w:lef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140" w:type="dxa"/>
            <w:vAlign w:val="bottom"/>
            <w:tcBorders>
              <w:right w:val="single" w:sz="8" w:color="auto"/>
            </w:tcBorders>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80" w:type="dxa"/>
            <w:vAlign w:val="bottom"/>
            <w:vMerge w:val="continue"/>
          </w:tcPr>
          <w:p>
            <w:pPr>
              <w:spacing w:after="0"/>
              <w:rPr>
                <w:sz w:val="23"/>
                <w:szCs w:val="23"/>
                <w:color w:val="auto"/>
              </w:rPr>
            </w:pPr>
          </w:p>
        </w:tc>
        <w:tc>
          <w:tcPr>
            <w:tcW w:w="140" w:type="dxa"/>
            <w:vAlign w:val="bottom"/>
            <w:tcBorders>
              <w:right w:val="single" w:sz="8" w:color="auto"/>
            </w:tcBorders>
            <w:vMerge w:val="continue"/>
          </w:tcPr>
          <w:p>
            <w:pPr>
              <w:spacing w:after="0"/>
              <w:rPr>
                <w:sz w:val="23"/>
                <w:szCs w:val="23"/>
                <w:color w:val="auto"/>
              </w:rPr>
            </w:pPr>
          </w:p>
        </w:tc>
        <w:tc>
          <w:tcPr>
            <w:tcW w:w="1480" w:type="dxa"/>
            <w:vAlign w:val="bottom"/>
            <w:tcBorders>
              <w:right w:val="single" w:sz="8" w:color="auto"/>
            </w:tcBorders>
            <w:gridSpan w:val="2"/>
          </w:tcPr>
          <w:p>
            <w:pPr>
              <w:jc w:val="right"/>
              <w:ind w:right="612"/>
              <w:spacing w:after="0"/>
              <w:rPr>
                <w:sz w:val="20"/>
                <w:szCs w:val="20"/>
                <w:color w:val="auto"/>
              </w:rPr>
            </w:pPr>
            <w:r>
              <w:rPr>
                <w:rFonts w:ascii="Arial" w:cs="Arial" w:eastAsia="Arial" w:hAnsi="Arial"/>
                <w:sz w:val="22"/>
                <w:szCs w:val="22"/>
                <w:b w:val="1"/>
                <w:bCs w:val="1"/>
                <w:color w:val="auto"/>
              </w:rPr>
              <w:t>7</w:t>
            </w:r>
          </w:p>
        </w:tc>
        <w:tc>
          <w:tcPr>
            <w:tcW w:w="80" w:type="dxa"/>
            <w:vAlign w:val="bottom"/>
          </w:tcPr>
          <w:p>
            <w:pPr>
              <w:spacing w:after="0"/>
              <w:rPr>
                <w:sz w:val="23"/>
                <w:szCs w:val="23"/>
                <w:color w:val="auto"/>
              </w:rPr>
            </w:pPr>
          </w:p>
        </w:tc>
        <w:tc>
          <w:tcPr>
            <w:tcW w:w="70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47"/>
        </w:trPr>
        <w:tc>
          <w:tcPr>
            <w:tcW w:w="340" w:type="dxa"/>
            <w:vAlign w:val="bottom"/>
          </w:tcPr>
          <w:p>
            <w:pPr>
              <w:spacing w:after="0"/>
              <w:rPr>
                <w:sz w:val="24"/>
                <w:szCs w:val="24"/>
                <w:color w:val="auto"/>
              </w:rPr>
            </w:pPr>
          </w:p>
        </w:tc>
        <w:tc>
          <w:tcPr>
            <w:tcW w:w="9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Invesco Institutional (N.A.), Inc. – 3,113,188</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9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0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Invesco Management S.A. – 2,100</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0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Invesco Global Asset Management (N.A.), Inc. – 75,709</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9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0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Invesco PowerShares Capital Management LLC – 24,468</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0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Invesco PowerShares Capital Management Ireland Ltd – 47</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0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Stein Roe Investment Counsel, Inc. – 1,227</w:t>
            </w:r>
          </w:p>
        </w:tc>
        <w:tc>
          <w:tcPr>
            <w:tcW w:w="0" w:type="dxa"/>
            <w:vAlign w:val="bottom"/>
          </w:tcPr>
          <w:p>
            <w:pPr>
              <w:spacing w:after="0"/>
              <w:rPr>
                <w:sz w:val="1"/>
                <w:szCs w:val="1"/>
                <w:color w:val="auto"/>
              </w:rPr>
            </w:pPr>
          </w:p>
        </w:tc>
      </w:tr>
      <w:tr>
        <w:trPr>
          <w:trHeight w:val="43"/>
        </w:trPr>
        <w:tc>
          <w:tcPr>
            <w:tcW w:w="340" w:type="dxa"/>
            <w:vAlign w:val="bottom"/>
          </w:tcPr>
          <w:p>
            <w:pPr>
              <w:spacing w:after="0"/>
              <w:rPr>
                <w:sz w:val="3"/>
                <w:szCs w:val="3"/>
                <w:color w:val="auto"/>
              </w:rPr>
            </w:pPr>
          </w:p>
        </w:tc>
        <w:tc>
          <w:tcPr>
            <w:tcW w:w="960" w:type="dxa"/>
            <w:vAlign w:val="bottom"/>
            <w:tcBorders>
              <w:lef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140" w:type="dxa"/>
            <w:vAlign w:val="bottom"/>
            <w:tcBorders>
              <w:right w:val="single" w:sz="8" w:color="auto"/>
            </w:tcBorders>
            <w:vMerge w:val="restart"/>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340" w:type="dxa"/>
            <w:vAlign w:val="bottom"/>
          </w:tcPr>
          <w:p>
            <w:pPr>
              <w:spacing w:after="0"/>
              <w:rPr>
                <w:sz w:val="23"/>
                <w:szCs w:val="23"/>
                <w:color w:val="auto"/>
              </w:rPr>
            </w:pPr>
          </w:p>
        </w:tc>
        <w:tc>
          <w:tcPr>
            <w:tcW w:w="960" w:type="dxa"/>
            <w:vAlign w:val="bottom"/>
            <w:tcBorders>
              <w:lef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80" w:type="dxa"/>
            <w:vAlign w:val="bottom"/>
            <w:vMerge w:val="continue"/>
          </w:tcPr>
          <w:p>
            <w:pPr>
              <w:spacing w:after="0"/>
              <w:rPr>
                <w:sz w:val="23"/>
                <w:szCs w:val="23"/>
                <w:color w:val="auto"/>
              </w:rPr>
            </w:pPr>
          </w:p>
        </w:tc>
        <w:tc>
          <w:tcPr>
            <w:tcW w:w="140" w:type="dxa"/>
            <w:vAlign w:val="bottom"/>
            <w:tcBorders>
              <w:right w:val="single" w:sz="8" w:color="auto"/>
            </w:tcBorders>
            <w:vMerge w:val="continue"/>
          </w:tcPr>
          <w:p>
            <w:pPr>
              <w:spacing w:after="0"/>
              <w:rPr>
                <w:sz w:val="23"/>
                <w:szCs w:val="23"/>
                <w:color w:val="auto"/>
              </w:rPr>
            </w:pPr>
          </w:p>
        </w:tc>
        <w:tc>
          <w:tcPr>
            <w:tcW w:w="1480" w:type="dxa"/>
            <w:vAlign w:val="bottom"/>
            <w:tcBorders>
              <w:right w:val="single" w:sz="8" w:color="auto"/>
            </w:tcBorders>
            <w:gridSpan w:val="2"/>
          </w:tcPr>
          <w:p>
            <w:pPr>
              <w:jc w:val="right"/>
              <w:ind w:right="612"/>
              <w:spacing w:after="0"/>
              <w:rPr>
                <w:sz w:val="20"/>
                <w:szCs w:val="20"/>
                <w:color w:val="auto"/>
              </w:rPr>
            </w:pPr>
            <w:r>
              <w:rPr>
                <w:rFonts w:ascii="Arial" w:cs="Arial" w:eastAsia="Arial" w:hAnsi="Arial"/>
                <w:sz w:val="22"/>
                <w:szCs w:val="22"/>
                <w:b w:val="1"/>
                <w:bCs w:val="1"/>
                <w:color w:val="auto"/>
              </w:rPr>
              <w:t>8</w:t>
            </w:r>
          </w:p>
        </w:tc>
        <w:tc>
          <w:tcPr>
            <w:tcW w:w="80" w:type="dxa"/>
            <w:vAlign w:val="bottom"/>
          </w:tcPr>
          <w:p>
            <w:pPr>
              <w:spacing w:after="0"/>
              <w:rPr>
                <w:sz w:val="23"/>
                <w:szCs w:val="23"/>
                <w:color w:val="auto"/>
              </w:rPr>
            </w:pPr>
          </w:p>
        </w:tc>
        <w:tc>
          <w:tcPr>
            <w:tcW w:w="70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3"/>
        </w:trPr>
        <w:tc>
          <w:tcPr>
            <w:tcW w:w="340" w:type="dxa"/>
            <w:vAlign w:val="bottom"/>
          </w:tcPr>
          <w:p>
            <w:pPr>
              <w:spacing w:after="0"/>
              <w:rPr>
                <w:sz w:val="24"/>
                <w:szCs w:val="24"/>
                <w:color w:val="auto"/>
              </w:rPr>
            </w:pPr>
          </w:p>
        </w:tc>
        <w:tc>
          <w:tcPr>
            <w:tcW w:w="9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Invesco Institutional (N.A.), Inc. – 20,400</w:t>
            </w:r>
          </w:p>
        </w:tc>
        <w:tc>
          <w:tcPr>
            <w:tcW w:w="0" w:type="dxa"/>
            <w:vAlign w:val="bottom"/>
          </w:tcPr>
          <w:p>
            <w:pPr>
              <w:spacing w:after="0"/>
              <w:rPr>
                <w:sz w:val="1"/>
                <w:szCs w:val="1"/>
                <w:color w:val="auto"/>
              </w:rPr>
            </w:pPr>
          </w:p>
        </w:tc>
      </w:tr>
      <w:tr>
        <w:trPr>
          <w:trHeight w:val="56"/>
        </w:trPr>
        <w:tc>
          <w:tcPr>
            <w:tcW w:w="340" w:type="dxa"/>
            <w:vAlign w:val="bottom"/>
            <w:vMerge w:val="restart"/>
          </w:tcPr>
          <w:p>
            <w:pPr>
              <w:spacing w:after="0"/>
              <w:rPr>
                <w:sz w:val="4"/>
                <w:szCs w:val="4"/>
                <w:color w:val="auto"/>
              </w:rPr>
            </w:pPr>
          </w:p>
        </w:tc>
        <w:tc>
          <w:tcPr>
            <w:tcW w:w="960" w:type="dxa"/>
            <w:vAlign w:val="bottom"/>
            <w:tcBorders>
              <w:left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4840" w:type="dxa"/>
            <w:vAlign w:val="bottom"/>
            <w:tcBorders>
              <w:bottom w:val="single" w:sz="8" w:color="auto"/>
            </w:tcBorders>
            <w:gridSpan w:val="2"/>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340" w:type="dxa"/>
            <w:vAlign w:val="bottom"/>
            <w:vMerge w:val="continue"/>
          </w:tcPr>
          <w:p>
            <w:pPr>
              <w:spacing w:after="0"/>
              <w:rPr>
                <w:sz w:val="23"/>
                <w:szCs w:val="23"/>
                <w:color w:val="auto"/>
              </w:rPr>
            </w:pPr>
          </w:p>
        </w:tc>
        <w:tc>
          <w:tcPr>
            <w:tcW w:w="960" w:type="dxa"/>
            <w:vAlign w:val="bottom"/>
            <w:tcBorders>
              <w:lef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9</w:t>
            </w: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gridSpan w:val="5"/>
          </w:tcPr>
          <w:p>
            <w:pPr>
              <w:ind w:left="40"/>
              <w:spacing w:after="0"/>
              <w:rPr>
                <w:sz w:val="20"/>
                <w:szCs w:val="20"/>
                <w:color w:val="auto"/>
              </w:rPr>
            </w:pPr>
            <w:r>
              <w:rPr>
                <w:rFonts w:ascii="Arial" w:cs="Arial" w:eastAsia="Arial" w:hAnsi="Arial"/>
                <w:sz w:val="18"/>
                <w:szCs w:val="18"/>
                <w:color w:val="auto"/>
                <w:w w:val="90"/>
              </w:rPr>
              <w:t>AGGREGATE AMOUNT</w:t>
            </w:r>
          </w:p>
        </w:tc>
        <w:tc>
          <w:tcPr>
            <w:tcW w:w="70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393"/>
        </w:trPr>
        <w:tc>
          <w:tcPr>
            <w:tcW w:w="340" w:type="dxa"/>
            <w:vAlign w:val="bottom"/>
          </w:tcPr>
          <w:p>
            <w:pPr>
              <w:spacing w:after="0"/>
              <w:rPr>
                <w:sz w:val="24"/>
                <w:szCs w:val="24"/>
                <w:color w:val="auto"/>
              </w:rPr>
            </w:pPr>
          </w:p>
        </w:tc>
        <w:tc>
          <w:tcPr>
            <w:tcW w:w="9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gridSpan w:val="5"/>
          </w:tcPr>
          <w:p>
            <w:pPr>
              <w:ind w:left="40"/>
              <w:spacing w:after="0"/>
              <w:rPr>
                <w:sz w:val="20"/>
                <w:szCs w:val="20"/>
                <w:color w:val="auto"/>
              </w:rPr>
            </w:pPr>
            <w:r>
              <w:rPr>
                <w:rFonts w:ascii="Arial" w:cs="Arial" w:eastAsia="Arial" w:hAnsi="Arial"/>
                <w:sz w:val="18"/>
                <w:szCs w:val="18"/>
                <w:color w:val="auto"/>
              </w:rPr>
              <w:t>3,237,139</w:t>
            </w:r>
          </w:p>
        </w:tc>
        <w:tc>
          <w:tcPr>
            <w:tcW w:w="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340" w:type="dxa"/>
            <w:vAlign w:val="bottom"/>
            <w:vMerge w:val="restart"/>
          </w:tcPr>
          <w:p>
            <w:pPr>
              <w:spacing w:after="0"/>
              <w:rPr>
                <w:sz w:val="4"/>
                <w:szCs w:val="4"/>
                <w:color w:val="auto"/>
              </w:rPr>
            </w:pPr>
          </w:p>
        </w:tc>
        <w:tc>
          <w:tcPr>
            <w:tcW w:w="960" w:type="dxa"/>
            <w:vAlign w:val="bottom"/>
            <w:tcBorders>
              <w:left w:val="single" w:sz="8" w:color="auto"/>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840" w:type="dxa"/>
            <w:vAlign w:val="bottom"/>
            <w:tcBorders>
              <w:bottom w:val="single" w:sz="8" w:color="auto"/>
            </w:tcBorders>
            <w:gridSpan w:val="2"/>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340" w:type="dxa"/>
            <w:vAlign w:val="bottom"/>
            <w:vMerge w:val="continue"/>
          </w:tcPr>
          <w:p>
            <w:pPr>
              <w:spacing w:after="0"/>
              <w:rPr>
                <w:sz w:val="23"/>
                <w:szCs w:val="23"/>
                <w:color w:val="auto"/>
              </w:rPr>
            </w:pPr>
          </w:p>
        </w:tc>
        <w:tc>
          <w:tcPr>
            <w:tcW w:w="960" w:type="dxa"/>
            <w:vAlign w:val="bottom"/>
            <w:tcBorders>
              <w:lef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10</w:t>
            </w: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940" w:type="dxa"/>
            <w:vAlign w:val="bottom"/>
            <w:tcBorders>
              <w:right w:val="single" w:sz="8" w:color="auto"/>
            </w:tcBorders>
            <w:gridSpan w:val="8"/>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393"/>
        </w:trPr>
        <w:tc>
          <w:tcPr>
            <w:tcW w:w="340" w:type="dxa"/>
            <w:vAlign w:val="bottom"/>
          </w:tcPr>
          <w:p>
            <w:pPr>
              <w:spacing w:after="0"/>
              <w:rPr>
                <w:sz w:val="24"/>
                <w:szCs w:val="24"/>
                <w:color w:val="auto"/>
              </w:rPr>
            </w:pPr>
          </w:p>
        </w:tc>
        <w:tc>
          <w:tcPr>
            <w:tcW w:w="9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gridSpan w:val="6"/>
          </w:tcPr>
          <w:p>
            <w:pPr>
              <w:ind w:left="40"/>
              <w:spacing w:after="0"/>
              <w:rPr>
                <w:sz w:val="20"/>
                <w:szCs w:val="20"/>
                <w:color w:val="auto"/>
              </w:rPr>
            </w:pPr>
            <w:r>
              <w:rPr>
                <w:rFonts w:ascii="Arial" w:cs="Arial" w:eastAsia="Arial" w:hAnsi="Arial"/>
                <w:sz w:val="18"/>
                <w:szCs w:val="18"/>
                <w:color w:val="auto"/>
              </w:rPr>
              <w:t>N/A</w:t>
            </w:r>
          </w:p>
        </w:tc>
        <w:tc>
          <w:tcPr>
            <w:tcW w:w="476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340" w:type="dxa"/>
            <w:vAlign w:val="bottom"/>
            <w:vMerge w:val="restart"/>
          </w:tcPr>
          <w:p>
            <w:pPr>
              <w:spacing w:after="0"/>
              <w:rPr>
                <w:sz w:val="4"/>
                <w:szCs w:val="4"/>
                <w:color w:val="auto"/>
              </w:rPr>
            </w:pPr>
          </w:p>
        </w:tc>
        <w:tc>
          <w:tcPr>
            <w:tcW w:w="960" w:type="dxa"/>
            <w:vAlign w:val="bottom"/>
            <w:tcBorders>
              <w:left w:val="single" w:sz="8" w:color="auto"/>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840" w:type="dxa"/>
            <w:vAlign w:val="bottom"/>
            <w:tcBorders>
              <w:bottom w:val="single" w:sz="8" w:color="auto"/>
            </w:tcBorders>
            <w:gridSpan w:val="2"/>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340" w:type="dxa"/>
            <w:vAlign w:val="bottom"/>
            <w:vMerge w:val="continue"/>
          </w:tcPr>
          <w:p>
            <w:pPr>
              <w:spacing w:after="0"/>
              <w:rPr>
                <w:sz w:val="23"/>
                <w:szCs w:val="23"/>
                <w:color w:val="auto"/>
              </w:rPr>
            </w:pPr>
          </w:p>
        </w:tc>
        <w:tc>
          <w:tcPr>
            <w:tcW w:w="960" w:type="dxa"/>
            <w:vAlign w:val="bottom"/>
            <w:tcBorders>
              <w:lef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940" w:type="dxa"/>
            <w:vAlign w:val="bottom"/>
            <w:tcBorders>
              <w:right w:val="single" w:sz="8" w:color="auto"/>
            </w:tcBorders>
            <w:gridSpan w:val="8"/>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93"/>
        </w:trPr>
        <w:tc>
          <w:tcPr>
            <w:tcW w:w="340" w:type="dxa"/>
            <w:vAlign w:val="bottom"/>
          </w:tcPr>
          <w:p>
            <w:pPr>
              <w:spacing w:after="0"/>
              <w:rPr>
                <w:sz w:val="24"/>
                <w:szCs w:val="24"/>
                <w:color w:val="auto"/>
              </w:rPr>
            </w:pPr>
          </w:p>
        </w:tc>
        <w:tc>
          <w:tcPr>
            <w:tcW w:w="9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4"/>
          </w:tcPr>
          <w:p>
            <w:pPr>
              <w:ind w:left="40"/>
              <w:spacing w:after="0"/>
              <w:rPr>
                <w:sz w:val="20"/>
                <w:szCs w:val="20"/>
                <w:color w:val="auto"/>
              </w:rPr>
            </w:pPr>
            <w:r>
              <w:rPr>
                <w:rFonts w:ascii="Arial" w:cs="Arial" w:eastAsia="Arial" w:hAnsi="Arial"/>
                <w:sz w:val="18"/>
                <w:szCs w:val="18"/>
                <w:color w:val="auto"/>
              </w:rPr>
              <w:t>5.5%</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340" w:type="dxa"/>
            <w:vAlign w:val="bottom"/>
            <w:vMerge w:val="restart"/>
          </w:tcPr>
          <w:p>
            <w:pPr>
              <w:spacing w:after="0"/>
              <w:rPr>
                <w:sz w:val="5"/>
                <w:szCs w:val="5"/>
                <w:color w:val="auto"/>
              </w:rPr>
            </w:pPr>
          </w:p>
        </w:tc>
        <w:tc>
          <w:tcPr>
            <w:tcW w:w="96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840" w:type="dxa"/>
            <w:vAlign w:val="bottom"/>
            <w:tcBorders>
              <w:bottom w:val="single" w:sz="8" w:color="auto"/>
            </w:tcBorders>
            <w:gridSpan w:val="2"/>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40" w:type="dxa"/>
            <w:vAlign w:val="bottom"/>
            <w:vMerge w:val="continue"/>
          </w:tcPr>
          <w:p>
            <w:pPr>
              <w:spacing w:after="0"/>
              <w:rPr>
                <w:sz w:val="18"/>
                <w:szCs w:val="18"/>
                <w:color w:val="auto"/>
              </w:rPr>
            </w:pPr>
          </w:p>
        </w:tc>
        <w:tc>
          <w:tcPr>
            <w:tcW w:w="960" w:type="dxa"/>
            <w:vAlign w:val="bottom"/>
            <w:tcBorders>
              <w:left w:val="single" w:sz="8" w:color="auto"/>
            </w:tcBorders>
          </w:tcPr>
          <w:p>
            <w:pPr>
              <w:jc w:val="right"/>
              <w:ind w:right="362"/>
              <w:spacing w:after="0" w:line="208" w:lineRule="exact"/>
              <w:rPr>
                <w:sz w:val="20"/>
                <w:szCs w:val="20"/>
                <w:color w:val="auto"/>
              </w:rPr>
            </w:pPr>
            <w:r>
              <w:rPr>
                <w:rFonts w:ascii="Arial" w:cs="Arial" w:eastAsia="Arial" w:hAnsi="Arial"/>
                <w:sz w:val="22"/>
                <w:szCs w:val="22"/>
                <w:b w:val="1"/>
                <w:bCs w:val="1"/>
                <w:color w:val="auto"/>
              </w:rPr>
              <w:t>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700" w:type="dxa"/>
            <w:vAlign w:val="bottom"/>
            <w:tcBorders>
              <w:right w:val="single" w:sz="8" w:color="auto"/>
            </w:tcBorders>
            <w:gridSpan w:val="6"/>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0" w:type="dxa"/>
            <w:vAlign w:val="bottom"/>
            <w:tcBorders>
              <w:right w:val="single" w:sz="8" w:color="auto"/>
            </w:tcBorders>
            <w:gridSpan w:val="4"/>
          </w:tcPr>
          <w:p>
            <w:pPr>
              <w:ind w:left="280"/>
              <w:spacing w:after="0"/>
              <w:rPr>
                <w:sz w:val="20"/>
                <w:szCs w:val="20"/>
                <w:color w:val="auto"/>
              </w:rPr>
            </w:pPr>
            <w:r>
              <w:rPr>
                <w:rFonts w:ascii="Arial" w:cs="Arial" w:eastAsia="Arial" w:hAnsi="Arial"/>
                <w:sz w:val="18"/>
                <w:szCs w:val="18"/>
                <w:color w:val="auto"/>
              </w:rPr>
              <w:t>IA, HC. See Items 2 and 3 of this statement</w:t>
            </w:r>
          </w:p>
        </w:tc>
        <w:tc>
          <w:tcPr>
            <w:tcW w:w="0" w:type="dxa"/>
            <w:vAlign w:val="bottom"/>
          </w:tcPr>
          <w:p>
            <w:pPr>
              <w:spacing w:after="0"/>
              <w:rPr>
                <w:sz w:val="1"/>
                <w:szCs w:val="1"/>
                <w:color w:val="auto"/>
              </w:rPr>
            </w:pPr>
          </w:p>
        </w:tc>
      </w:tr>
      <w:tr>
        <w:trPr>
          <w:trHeight w:val="56"/>
        </w:trPr>
        <w:tc>
          <w:tcPr>
            <w:tcW w:w="340" w:type="dxa"/>
            <w:vAlign w:val="bottom"/>
          </w:tcPr>
          <w:p>
            <w:pPr>
              <w:spacing w:after="0"/>
              <w:rPr>
                <w:sz w:val="4"/>
                <w:szCs w:val="4"/>
                <w:color w:val="auto"/>
              </w:rPr>
            </w:pPr>
          </w:p>
        </w:tc>
        <w:tc>
          <w:tcPr>
            <w:tcW w:w="960" w:type="dxa"/>
            <w:vAlign w:val="bottom"/>
            <w:tcBorders>
              <w:left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340" w:type="dxa"/>
            <w:vAlign w:val="bottom"/>
            <w:tcBorders>
              <w:bottom w:val="single" w:sz="8" w:color="808080"/>
            </w:tcBorders>
          </w:tcPr>
          <w:p>
            <w:pPr>
              <w:spacing w:after="0"/>
              <w:rPr>
                <w:sz w:val="22"/>
                <w:szCs w:val="22"/>
                <w:color w:val="auto"/>
              </w:rPr>
            </w:pPr>
          </w:p>
        </w:tc>
        <w:tc>
          <w:tcPr>
            <w:tcW w:w="96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360" w:type="dxa"/>
            <w:vAlign w:val="bottom"/>
            <w:tcBorders>
              <w:bottom w:val="single" w:sz="8" w:color="808080"/>
            </w:tcBorders>
          </w:tcPr>
          <w:p>
            <w:pPr>
              <w:spacing w:after="0"/>
              <w:rPr>
                <w:sz w:val="22"/>
                <w:szCs w:val="22"/>
                <w:color w:val="auto"/>
              </w:rPr>
            </w:pPr>
          </w:p>
        </w:tc>
        <w:tc>
          <w:tcPr>
            <w:tcW w:w="112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4760" w:type="dxa"/>
            <w:vAlign w:val="bottom"/>
            <w:tcBorders>
              <w:bottom w:val="single" w:sz="8" w:color="808080"/>
            </w:tcBorders>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380"/>
          </w:cols>
          <w:pgMar w:left="240" w:top="108" w:right="1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 Rockville, MD 20852;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Securities and Exchange Commission Release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 34-39538 (January 12, 1998), this statement on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13G or amendment thereto is being filed by Invesco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a Bermuda Company, on behalf of itself and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listed in Item 4 of the cover of this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through such subsidiaries provides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services to institutional and individual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and directors of Invesco or 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subsidiaries may beneficially own shares of the securities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issuer to which this statement relates (the "Shares"),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Shares are not reported in this statement. Invesco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subsidiaries disclaim beneficial ownership of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beneficially owned by any of their executive officers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Each of Invesco’s direct and indirect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also disclaim beneficial ownership of Shares 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 Invesco and any other subsidiary</w:t>
      </w:r>
      <w:r>
        <w:rPr>
          <w:rFonts w:ascii="Arial" w:cs="Arial" w:eastAsia="Arial" w:hAnsi="Arial"/>
          <w:sz w:val="13"/>
          <w:szCs w:val="13"/>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 Address of Principal Business Office or, if none, residence of filing person: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1555 Peachtree Street NE; Atlanta, GA 30309;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Citizenship of filing person: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the response to Item 2(a) of this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Title of Classes of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REIT .01 par value per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CUSIP Numbers: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ss240.13d-1(b) 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240.13d-2(b) or (c), check whether the person filing is 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21"/>
          <w:szCs w:val="21"/>
          <w:color w:val="auto"/>
        </w:rPr>
        <w:t>x</w:t>
      </w:r>
      <w:r>
        <w:rPr>
          <w:rFonts w:ascii="Arial" w:cs="Arial" w:eastAsia="Arial" w:hAnsi="Arial"/>
          <w:sz w:val="18"/>
          <w:szCs w:val="18"/>
          <w:color w:val="auto"/>
        </w:rPr>
        <w:t xml:space="preserve"> An investment adviser in accordance with section 240.13d-1(b)(1)(ii)(E)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21"/>
          <w:szCs w:val="21"/>
          <w:color w:val="auto"/>
        </w:rPr>
        <w:t>x</w:t>
      </w:r>
      <w:r>
        <w:rPr>
          <w:rFonts w:ascii="Arial" w:cs="Arial" w:eastAsia="Arial" w:hAnsi="Arial"/>
          <w:sz w:val="18"/>
          <w:szCs w:val="18"/>
          <w:color w:val="auto"/>
        </w:rPr>
        <w:t xml:space="preserve"> A parent holding company or control person in accordance with section 240.13d-1(b)(1)(ii)(G)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noted in Item 2 above, Invesco is making this filing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behalf of its subsidiaries listed herein. Each of these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entities is either an investment adviser registered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 under Section 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Investment Advisers Act of 1940, as amended, or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similar laws of other jurisdictions. Invesco is a holding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Ownership: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Please see responses to Items 5-8 on the cover of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statement, which are incorporated herein by reference.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color w:val="auto"/>
        </w:rPr>
        <w:t>Ownership of Five Percent or Less of a Class:</w:t>
      </w:r>
    </w:p>
    <w:p>
      <w:pPr>
        <w:spacing w:after="0" w:line="258" w:lineRule="exact"/>
        <w:rPr>
          <w:sz w:val="20"/>
          <w:szCs w:val="20"/>
          <w:color w:val="auto"/>
        </w:rPr>
      </w:pPr>
    </w:p>
    <w:p>
      <w:pPr>
        <w:ind w:right="2199" w:firstLine="39"/>
        <w:spacing w:after="0" w:line="259"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 Ownership of More than Five Percent on Behalf of Another Person: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67" w:lineRule="exact"/>
        <w:rPr>
          <w:sz w:val="20"/>
          <w:szCs w:val="20"/>
          <w:color w:val="auto"/>
        </w:rPr>
      </w:pPr>
    </w:p>
    <w:p>
      <w:pPr>
        <w:ind w:right="3579"/>
        <w:spacing w:after="0" w:line="257"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Identification and Classification of the Subsidiary Which Acquired the Security Being</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on By the Parent Holding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Please see Item 3 of this statement, which is incorporated herein by reference.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color w:val="auto"/>
        </w:rPr>
        <w:t>Identification and Classification of Members of the Group: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color w:val="auto"/>
        </w:rPr>
        <w:t>Notice of Dissolution of a Group: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52"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color w:val="auto"/>
        </w:rPr>
        <w:t>Certification: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I certify that, to the best of my knowledge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belief, the securities referred to above were acquired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held in the ordinary course of business and were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acquired and are not held for the purpose of or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of changing or influencing the control of the issuer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were not acquired and are not held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or as a participant in any transaction having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purpose or effect.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belief, I certify that the information set forth in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is true, complete and correct.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02/09/2009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Lisa Brinkley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Lisa Brinkley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Compliance Director</w:t>
      </w:r>
    </w:p>
    <w:p>
      <w:pPr>
        <w:sectPr>
          <w:pgSz w:w="11900" w:h="16838" w:orient="portrait"/>
          <w:cols w:equalWidth="0" w:num="1">
            <w:col w:w="10219"/>
          </w:cols>
          <w:pgMar w:left="240" w:top="152"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JOINT FILING AGREEMENT</w:t>
      </w:r>
    </w:p>
    <w:p>
      <w:pPr>
        <w:spacing w:after="0" w:line="252" w:lineRule="exact"/>
        <w:rPr>
          <w:sz w:val="20"/>
          <w:szCs w:val="20"/>
          <w:color w:val="auto"/>
        </w:rPr>
      </w:pPr>
    </w:p>
    <w:p>
      <w:pPr>
        <w:ind w:right="4579"/>
        <w:spacing w:after="0" w:line="254" w:lineRule="auto"/>
        <w:rPr>
          <w:sz w:val="20"/>
          <w:szCs w:val="20"/>
          <w:color w:val="auto"/>
        </w:rPr>
      </w:pPr>
      <w:r>
        <w:rPr>
          <w:rFonts w:ascii="Arial" w:cs="Arial" w:eastAsia="Arial" w:hAnsi="Arial"/>
          <w:sz w:val="18"/>
          <w:szCs w:val="18"/>
          <w:color w:val="auto"/>
        </w:rPr>
        <w:t>In accordance with Rule 13d-1(k)(l)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Dated: 02/09/09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Lisa Brinkley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Lisa Brinkley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Global Compliance Director</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Invesco Aim Advisors,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Todd L. Spillane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Todd L. Spillane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Compliance Officer</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Invesco Aim Capital Management,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Todd L. Spillane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Todd L. Spillane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Compliance Officer</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Invesco Trimark Ltd.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Wayne Bolton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Wayne Bolton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Compliance &amp; Chief Compliance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Invesco Aim Private Asset Management,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Todd L. Spillane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Todd L. Spillane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Invesco National Trust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Kevin Lyman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Kevin Lyman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General Counsel</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Invesco Hong Kong Limited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Asha Balachandra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Asha Balachandra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Reg. Head of Legal AP</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Deutschland GmbH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Stephanie Ehrenfried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Stephanie Ehrenfried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Legal CE</w:t>
      </w:r>
    </w:p>
    <w:p>
      <w:pPr>
        <w:sectPr>
          <w:pgSz w:w="11900" w:h="16838" w:orient="portrait"/>
          <w:cols w:equalWidth="0" w:num="1">
            <w:col w:w="10219"/>
          </w:cols>
          <w:pgMar w:left="240" w:top="131" w:right="1440"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Invesco Asset Management Limited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Nick Styman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Nick Styman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of European Compliance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S.A.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Patrick Riviere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Patrick Riviere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Regional Officer</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Invesco Asset Management Oesterreich GmbH</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Thomas Kraus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Thomas Kraus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Sales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Invesco Global Asset Management (N.A.), Inc.</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Kupor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Jeffrey Kupor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Legal WW Institutional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476885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74"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Invesco GT Management Company S.A.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Nick Styman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Nick Styman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of European Compliance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Invesco Institutional (N.A.),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Kupor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Jeffrey Kupor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Legal WW Institutional</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Invesco Management S.A.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Alain Gerbaldi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Alain Gerbaldi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Head of Performance Measurement &amp; Risk Analysis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Invesco Maximum Income Management S.A.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Alain Gerbaldi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Alain Gerbaldi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Head of Performance Measurement &amp; Risk Analysis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Invesco Senior Secured Management,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Kupor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Jeffrey Kupor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Legal WW Institutional</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Invesco Taiwan Limited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Asha Balachandra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Asha Balachandra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Reg. Head of Legal, AP</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(Japan) Limited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Asha Balachandra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Asha Balachandra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Reg. Head of Legal, 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322580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Invesco Asset Management Ireland Limited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Alain Gerbaldi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Alain Gerbaldi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Head of Performance Measurement &amp; Risk Analysis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Invesco Kapitalanlagegesellschaft mbH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Stephanie Ehrenfried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Stephanie Ehrenfried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Legal 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Invesco PowerShares Capital Management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Kevin Gustafson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Kevin Gustafson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General Counsel, COO &amp; CCO</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Stein Roe Investment Counsel,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Greg Campbell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Greg Campbell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General Counsel</w:t>
      </w:r>
    </w:p>
    <w:sectPr>
      <w:pgSz w:w="11900" w:h="16838" w:orient="portrait"/>
      <w:cols w:equalWidth="0" w:num="1">
        <w:col w:w="10219"/>
      </w:cols>
      <w:pgMar w:left="240" w:top="3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2019-12-09T23:38:31Z</dcterms:created>
  <dcterms:modified xsi:type="dcterms:W3CDTF">2019-12-09T23:38:31Z</dcterms:modified>
</cp:coreProperties>
</file>