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23,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310"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Federal Realty Investment Trust (the “Trust”) has made a technical revision to Section 23 of its Amended and Restated 2001 Long-Term Incentive Plan (the “Plan”) to clarify that the Trust will not reprice options issued under the Plan without receiving the approval of the Trust’s shareholders. The Plan is subject to shareholder approval and is scheduled to be voted on by the shareholders at the Trust’s 2007 Annual Meeting of Shareholders on Wednesday, May 2, 2007. The Plan is described in detail in the Trust’s proxy statement filed with the Securities and Exchange Commission on March 26,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revised, Section 23 reads in its entirety as follows: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AMENDMENT AND TERMINATION OF THE PLAN</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Board may, at any time and from time to time, amend, suspend, or terminate the Plan as to any Shares as to which Awards have not been made;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Board shall not, without approval of the Trust’s shareholders, amend the Plan such that it does not comply with (or in a manner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does not comply with) the rules of any stock exchange or national quotation system on which securities of the Trust are listed for trading or quotation, applicable federal securities laws, or the Code (including requirements necessary to qualify Options as Incentive Share Options or qualify Awards as performance-based compensation under Code Section 162(m)). Except as permitted under this </w:t>
      </w:r>
      <w:r>
        <w:rPr>
          <w:rFonts w:ascii="Arial" w:cs="Arial" w:eastAsia="Arial" w:hAnsi="Arial"/>
          <w:sz w:val="16"/>
          <w:szCs w:val="16"/>
          <w:b w:val="1"/>
          <w:bCs w:val="1"/>
          <w:color w:val="auto"/>
        </w:rPr>
        <w:t>Section 23</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hereof, no amendment, suspension, or termination of the Plan shall, without the consent of the Grantee, alter or impair rights or obligations under any Award theretofore awarded under the Plan. Furthermore, except as permitted under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hereof, no adjustment to decrease the Option Price of an outstanding Option, whether by amending the Option Price or by canceling the outstanding Option and reissuing a replacement or substitute Option having a lower Option Price or any other Award, may be made without approval of the Trust’s shareholders.</w:t>
      </w:r>
    </w:p>
    <w:p>
      <w:pPr>
        <w:sectPr>
          <w:pgSz w:w="11900" w:h="16838" w:orient="portrait"/>
          <w:cols w:equalWidth="0" w:num="1">
            <w:col w:w="11300"/>
          </w:cols>
          <w:pgMar w:left="240" w:top="27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FEDERAL REALTY INVESTMENT TRUST</w:t>
            </w:r>
          </w:p>
        </w:tc>
      </w:tr>
      <w:tr>
        <w:trPr>
          <w:trHeight w:val="433"/>
        </w:trPr>
        <w:tc>
          <w:tcPr>
            <w:tcW w:w="6180" w:type="dxa"/>
            <w:vAlign w:val="bottom"/>
          </w:tcPr>
          <w:p>
            <w:pPr>
              <w:spacing w:after="0"/>
              <w:rPr>
                <w:sz w:val="20"/>
                <w:szCs w:val="20"/>
                <w:color w:val="auto"/>
              </w:rPr>
            </w:pPr>
            <w:r>
              <w:rPr>
                <w:rFonts w:ascii="Arial" w:cs="Arial" w:eastAsia="Arial" w:hAnsi="Arial"/>
                <w:sz w:val="18"/>
                <w:szCs w:val="18"/>
                <w:color w:val="auto"/>
              </w:rPr>
              <w:t>Date: April 23, 2007</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Dawn M. Becker</w:t>
            </w:r>
          </w:p>
        </w:tc>
      </w:tr>
      <w:tr>
        <w:trPr>
          <w:trHeight w:val="202"/>
        </w:trPr>
        <w:tc>
          <w:tcPr>
            <w:tcW w:w="6180" w:type="dxa"/>
            <w:vAlign w:val="bottom"/>
          </w:tcPr>
          <w:p>
            <w:pPr>
              <w:spacing w:after="0"/>
              <w:rPr>
                <w:sz w:val="17"/>
                <w:szCs w:val="17"/>
                <w:color w:val="auto"/>
              </w:rPr>
            </w:pPr>
          </w:p>
        </w:tc>
        <w:tc>
          <w:tcPr>
            <w:tcW w:w="5240" w:type="dxa"/>
            <w:vAlign w:val="bottom"/>
          </w:tcPr>
          <w:p>
            <w:pPr>
              <w:ind w:left="100"/>
              <w:spacing w:after="0" w:line="202" w:lineRule="exact"/>
              <w:rPr>
                <w:sz w:val="20"/>
                <w:szCs w:val="20"/>
                <w:color w:val="auto"/>
              </w:rPr>
            </w:pPr>
            <w:r>
              <w:rPr>
                <w:rFonts w:ascii="Arial" w:cs="Arial" w:eastAsia="Arial" w:hAnsi="Arial"/>
                <w:sz w:val="18"/>
                <w:szCs w:val="18"/>
                <w:color w:val="auto"/>
              </w:rPr>
              <w:t>Dawn M. Becker</w:t>
            </w:r>
          </w:p>
        </w:tc>
      </w:tr>
      <w:tr>
        <w:trPr>
          <w:trHeight w:val="216"/>
        </w:trPr>
        <w:tc>
          <w:tcPr>
            <w:tcW w:w="61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 and</w:t>
            </w:r>
          </w:p>
        </w:tc>
      </w:tr>
      <w:tr>
        <w:trPr>
          <w:trHeight w:val="222"/>
        </w:trPr>
        <w:tc>
          <w:tcPr>
            <w:tcW w:w="61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2019-12-11T16:57:39Z</dcterms:created>
  <dcterms:modified xsi:type="dcterms:W3CDTF">2019-12-11T16:57:39Z</dcterms:modified>
</cp:coreProperties>
</file>