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August 03,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560" w:type="dxa"/>
            <w:vAlign w:val="bottom"/>
            <w:gridSpan w:val="3"/>
          </w:tcPr>
          <w:p>
            <w:pPr>
              <w:jc w:val="center"/>
              <w:ind w:right="1164"/>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gridSpan w:val="2"/>
          </w:tcPr>
          <w:p>
            <w:pPr>
              <w:jc w:val="center"/>
              <w:ind w:left="19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tcPr>
          <w:p>
            <w:pPr>
              <w:jc w:val="center"/>
              <w:ind w:left="52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4560" w:type="dxa"/>
            <w:vAlign w:val="bottom"/>
            <w:gridSpan w:val="3"/>
          </w:tcPr>
          <w:p>
            <w:pPr>
              <w:jc w:val="center"/>
              <w:ind w:right="116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32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(Commission</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tcPr>
          <w:p>
            <w:pPr>
              <w:jc w:val="center"/>
              <w:ind w:left="5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560" w:type="dxa"/>
            <w:vAlign w:val="bottom"/>
            <w:gridSpan w:val="3"/>
          </w:tcPr>
          <w:p>
            <w:pPr>
              <w:jc w:val="center"/>
              <w:ind w:right="1164"/>
              <w:spacing w:after="0"/>
              <w:rPr>
                <w:sz w:val="20"/>
                <w:szCs w:val="20"/>
                <w:color w:val="auto"/>
              </w:rPr>
            </w:pPr>
            <w:r>
              <w:rPr>
                <w:rFonts w:ascii="Arial" w:cs="Arial" w:eastAsia="Arial" w:hAnsi="Arial"/>
                <w:sz w:val="13"/>
                <w:szCs w:val="13"/>
                <w:b w:val="1"/>
                <w:bCs w:val="1"/>
                <w:color w:val="auto"/>
                <w:w w:val="88"/>
              </w:rPr>
              <w:t>of incorporation)</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54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909 Rose Avenue, Suite 200</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North Bethesda,</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Maryland</w:t>
            </w:r>
          </w:p>
        </w:tc>
        <w:tc>
          <w:tcPr>
            <w:tcW w:w="2840" w:type="dxa"/>
            <w:vAlign w:val="bottom"/>
          </w:tcPr>
          <w:p>
            <w:pPr>
              <w:jc w:val="right"/>
              <w:ind w:right="158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0" w:type="dxa"/>
            <w:vAlign w:val="bottom"/>
            <w:gridSpan w:val="3"/>
          </w:tcPr>
          <w:p>
            <w:pPr>
              <w:ind w:left="880"/>
              <w:spacing w:after="0"/>
              <w:rPr>
                <w:sz w:val="20"/>
                <w:szCs w:val="20"/>
                <w:color w:val="auto"/>
              </w:rPr>
            </w:pPr>
            <w:r>
              <w:rPr>
                <w:rFonts w:ascii="Arial" w:cs="Arial" w:eastAsia="Arial" w:hAnsi="Arial"/>
                <w:sz w:val="13"/>
                <w:szCs w:val="13"/>
                <w:b w:val="1"/>
                <w:bCs w:val="1"/>
                <w:color w:val="auto"/>
                <w:w w:val="94"/>
              </w:rPr>
              <w:t>(Address of principal executive offices)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78"/>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spacing w:after="0"/>
              <w:rPr>
                <w:sz w:val="24"/>
                <w:szCs w:val="24"/>
                <w:color w:val="auto"/>
              </w:rPr>
            </w:pPr>
          </w:p>
        </w:tc>
        <w:tc>
          <w:tcPr>
            <w:tcW w:w="144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92"/>
              </w:rPr>
              <w:t>Trading Symbol</w:t>
            </w:r>
          </w:p>
        </w:tc>
        <w:tc>
          <w:tcPr>
            <w:tcW w:w="112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50"/>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FRT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4560" w:type="dxa"/>
            <w:vAlign w:val="bottom"/>
            <w:gridSpan w:val="3"/>
          </w:tcPr>
          <w:p>
            <w:pPr>
              <w:jc w:val="center"/>
              <w:ind w:right="18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060" w:type="dxa"/>
            <w:vAlign w:val="bottom"/>
            <w:gridSpan w:val="2"/>
          </w:tcPr>
          <w:p>
            <w:pPr>
              <w:jc w:val="center"/>
              <w:ind w:right="1684"/>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44"/>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0"/>
              </w:rPr>
              <w:t>Depositary Shares, each representing 1/1000 of a share</w:t>
            </w:r>
          </w:p>
        </w:tc>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FRT-C</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46"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5.02</w:t>
      </w:r>
      <w:r>
        <w:rPr>
          <w:rFonts w:ascii="Arial" w:cs="Arial" w:eastAsia="Arial" w:hAnsi="Arial"/>
          <w:sz w:val="20"/>
          <w:szCs w:val="20"/>
          <w:color w:val="auto"/>
        </w:rPr>
        <w:t>.</w:t>
      </w:r>
      <w:r>
        <w:rPr>
          <w:rFonts w:ascii="Arial" w:cs="Arial" w:eastAsia="Arial" w:hAnsi="Arial"/>
          <w:sz w:val="20"/>
          <w:szCs w:val="20"/>
          <w:b w:val="1"/>
          <w:bCs w:val="1"/>
          <w:color w:val="auto"/>
        </w:rPr>
        <w:t xml:space="preserve"> Departure of Directors or Principal Officers; Election of Directors; Appointment of Principal Officers.</w:t>
      </w:r>
    </w:p>
    <w:p>
      <w:pPr>
        <w:spacing w:after="0" w:line="235" w:lineRule="exact"/>
        <w:rPr>
          <w:sz w:val="20"/>
          <w:szCs w:val="20"/>
          <w:color w:val="auto"/>
        </w:rPr>
      </w:pPr>
    </w:p>
    <w:p>
      <w:pPr>
        <w:ind w:firstLine="648"/>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On August 3, 2021, the Compensation and Human Capital Management Committee of the Board of Trustees of Federal Realty Investment Trust awarded to Daniel Guglielmone, our Executive Vice President, Chief Financial Officer and Treasurer, an equity award in the amount of $1,000,000 which will vest in five equal annual installments beginning in August 2022. The award was made on the Form of Restricted Share Award Agreement for awards made under our Long-Term Incentive Award Program and Annual Incentive Bonus Plan for awards with annual vesting which was filed as </w:t>
      </w:r>
      <w:hyperlink r:id="rId9">
        <w:r>
          <w:rPr>
            <w:rFonts w:ascii="Arial" w:cs="Arial" w:eastAsia="Arial" w:hAnsi="Arial"/>
            <w:sz w:val="18"/>
            <w:szCs w:val="18"/>
            <w:u w:val="single" w:color="auto"/>
            <w:color w:val="0000FF"/>
          </w:rPr>
          <w:t>Exhibit 10.32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2020 Annual Report on Form 10K filed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7" w:lineRule="exact"/>
        <w:rPr>
          <w:sz w:val="20"/>
          <w:szCs w:val="20"/>
          <w:color w:val="auto"/>
        </w:rPr>
      </w:pPr>
    </w:p>
    <w:p>
      <w:pPr>
        <w:ind w:firstLine="1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5, 2021</w:t>
      </w:r>
      <w:r>
        <w:rPr>
          <w:sz w:val="20"/>
          <w:szCs w:val="20"/>
          <w:color w:val="auto"/>
        </w:rPr>
        <w:tab/>
      </w:r>
      <w:r>
        <w:rPr>
          <w:rFonts w:ascii="Arial" w:cs="Arial" w:eastAsia="Arial" w:hAnsi="Arial"/>
          <w:sz w:val="19"/>
          <w:szCs w:val="19"/>
          <w:u w:val="single" w:color="auto"/>
          <w:color w:val="auto"/>
        </w:rPr>
        <w:t>/s/ Dawn M. Becker</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Dawn M. Becker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1" w:right="379" w:bottom="1440" w:gutter="0" w:footer="0" w:header="0"/>
        </w:sectPr>
      </w:pPr>
    </w:p>
    <w:bookmarkStart w:id="3" w:name="page4"/>
    <w:bookmarkEnd w:id="3"/>
    <w:p>
      <w:pPr>
        <w:ind w:left="4780"/>
        <w:spacing w:after="0"/>
        <w:rPr>
          <w:sz w:val="20"/>
          <w:szCs w:val="20"/>
          <w:color w:val="auto"/>
        </w:rPr>
      </w:pPr>
      <w:r>
        <w:rPr>
          <w:rFonts w:ascii="Arial" w:cs="Arial" w:eastAsia="Arial" w:hAnsi="Arial"/>
          <w:sz w:val="22"/>
          <w:szCs w:val="22"/>
          <w:color w:val="auto"/>
        </w:rPr>
        <w:t>EXHIBIT INDEX</w:t>
      </w:r>
    </w:p>
    <w:p>
      <w:pPr>
        <w:sectPr>
          <w:pgSz w:w="11900" w:h="16838" w:orient="portrait"/>
          <w:cols w:equalWidth="0" w:num="1">
            <w:col w:w="10380"/>
          </w:cols>
          <w:pgMar w:left="360" w:top="901" w:right="1159" w:bottom="144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12" w:lineRule="exact"/>
        <w:rPr>
          <w:sz w:val="20"/>
          <w:szCs w:val="20"/>
          <w:color w:val="auto"/>
        </w:rPr>
      </w:pPr>
    </w:p>
    <w:p>
      <w:pPr>
        <w:sectPr>
          <w:pgSz w:w="11900" w:h="16838" w:orient="portrait"/>
          <w:cols w:equalWidth="0" w:num="2">
            <w:col w:w="1260" w:space="560"/>
            <w:col w:w="8560"/>
          </w:cols>
          <w:pgMar w:left="360" w:top="901" w:right="1159" w:bottom="1440" w:gutter="0" w:footer="0" w:header="0"/>
          <w:type w:val="continuous"/>
        </w:sect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20"/>
          <w:szCs w:val="20"/>
          <w:color w:val="auto"/>
        </w:rPr>
        <w:t>Cover Page Interactive Data File (the Cover Page Interactive Data File is embedded within the Inline XBRL document)</w:t>
      </w:r>
    </w:p>
    <w:sectPr>
      <w:pgSz w:w="11900" w:h="16838" w:orient="portrait"/>
      <w:cols w:equalWidth="0" w:num="2">
        <w:col w:w="1100" w:space="720"/>
        <w:col w:w="8560"/>
      </w:cols>
      <w:pgMar w:left="360" w:top="901" w:right="1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Archives/edgar/data/34903/000003490321000020/frt-12312020x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2021-08-05T08:08:26Z</dcterms:created>
  <dcterms:modified xsi:type="dcterms:W3CDTF">2021-08-05T08:08:26Z</dcterms:modified>
</cp:coreProperties>
</file>