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the Securities Exchange Act of 1934</w:t>
      </w:r>
    </w:p>
    <w:p>
      <w:pPr>
        <w:spacing w:after="0" w:line="15" w:lineRule="exact"/>
        <w:rPr>
          <w:sz w:val="24"/>
          <w:szCs w:val="24"/>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(Amendment No.</w:t>
        <w:tab/>
        <w:t>)*</w:t>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Federal Realty Investments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wp:posOffset>
            </wp:positionH>
            <wp:positionV relativeFrom="paragraph">
              <wp:posOffset>69215</wp:posOffset>
            </wp:positionV>
            <wp:extent cx="684784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wp:posOffset>
            </wp:positionH>
            <wp:positionV relativeFrom="paragraph">
              <wp:posOffset>69215</wp:posOffset>
            </wp:positionV>
            <wp:extent cx="68478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313747206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wp:posOffset>
            </wp:positionH>
            <wp:positionV relativeFrom="paragraph">
              <wp:posOffset>69215</wp:posOffset>
            </wp:positionV>
            <wp:extent cx="68478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Calendar Year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wp:posOffset>
            </wp:positionH>
            <wp:positionV relativeFrom="paragraph">
              <wp:posOffset>69215</wp:posOffset>
            </wp:positionV>
            <wp:extent cx="68478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1100" w:hanging="282"/>
        <w:spacing w:after="0"/>
        <w:tabs>
          <w:tab w:leader="none" w:pos="1100" w:val="left"/>
        </w:tabs>
        <w:numPr>
          <w:ilvl w:val="1"/>
          <w:numId w:val="1"/>
        </w:numPr>
        <w:rPr>
          <w:rFonts w:ascii="Arial" w:cs="Arial" w:eastAsia="Arial" w:hAnsi="Arial"/>
          <w:sz w:val="18"/>
          <w:szCs w:val="18"/>
          <w:color w:val="auto"/>
        </w:rPr>
      </w:pPr>
      <w:r>
        <w:rPr>
          <w:rFonts w:ascii="Arial" w:cs="Arial" w:eastAsia="Arial" w:hAnsi="Arial"/>
          <w:sz w:val="18"/>
          <w:szCs w:val="18"/>
          <w:color w:val="auto"/>
        </w:rPr>
        <w:t>] Rule 13d-1(b)</w:t>
      </w:r>
    </w:p>
    <w:p>
      <w:pPr>
        <w:spacing w:after="0" w:line="15" w:lineRule="exact"/>
        <w:rPr>
          <w:rFonts w:ascii="Arial" w:cs="Arial" w:eastAsia="Arial" w:hAnsi="Arial"/>
          <w:sz w:val="18"/>
          <w:szCs w:val="18"/>
          <w:color w:val="auto"/>
        </w:rPr>
      </w:pPr>
    </w:p>
    <w:p>
      <w:pPr>
        <w:ind w:left="920" w:hanging="102"/>
        <w:spacing w:after="0"/>
        <w:tabs>
          <w:tab w:leader="none" w:pos="920" w:val="left"/>
        </w:tabs>
        <w:numPr>
          <w:ilvl w:val="1"/>
          <w:numId w:val="1"/>
        </w:numPr>
        <w:rPr>
          <w:rFonts w:ascii="Arial" w:cs="Arial" w:eastAsia="Arial" w:hAnsi="Arial"/>
          <w:sz w:val="18"/>
          <w:szCs w:val="18"/>
          <w:color w:val="auto"/>
        </w:rPr>
      </w:pPr>
      <w:r>
        <w:rPr>
          <w:rFonts w:ascii="Arial" w:cs="Arial" w:eastAsia="Arial" w:hAnsi="Arial"/>
          <w:sz w:val="18"/>
          <w:szCs w:val="18"/>
          <w:color w:val="auto"/>
        </w:rPr>
        <w:t>X ] Rule 13d-1(c)</w:t>
      </w:r>
    </w:p>
    <w:p>
      <w:pPr>
        <w:spacing w:after="0" w:line="9" w:lineRule="exact"/>
        <w:rPr>
          <w:rFonts w:ascii="Arial" w:cs="Arial" w:eastAsia="Arial" w:hAnsi="Arial"/>
          <w:sz w:val="18"/>
          <w:szCs w:val="18"/>
          <w:color w:val="auto"/>
        </w:rPr>
      </w:pPr>
    </w:p>
    <w:p>
      <w:pPr>
        <w:ind w:left="1100" w:hanging="282"/>
        <w:spacing w:after="0"/>
        <w:tabs>
          <w:tab w:leader="none" w:pos="1100" w:val="left"/>
        </w:tabs>
        <w:numPr>
          <w:ilvl w:val="1"/>
          <w:numId w:val="1"/>
        </w:numPr>
        <w:rPr>
          <w:rFonts w:ascii="Arial" w:cs="Arial" w:eastAsia="Arial" w:hAnsi="Arial"/>
          <w:sz w:val="18"/>
          <w:szCs w:val="18"/>
          <w:color w:val="auto"/>
        </w:rPr>
      </w:pPr>
      <w:r>
        <w:rPr>
          <w:rFonts w:ascii="Arial" w:cs="Arial" w:eastAsia="Arial" w:hAnsi="Arial"/>
          <w:sz w:val="18"/>
          <w:szCs w:val="18"/>
          <w:color w:val="auto"/>
        </w:rPr>
        <w:t>] Rule 13d-1(d)</w:t>
      </w:r>
    </w:p>
    <w:p>
      <w:pPr>
        <w:spacing w:after="0" w:line="245" w:lineRule="exact"/>
        <w:rPr>
          <w:rFonts w:ascii="Arial" w:cs="Arial" w:eastAsia="Arial" w:hAnsi="Arial"/>
          <w:sz w:val="18"/>
          <w:szCs w:val="18"/>
          <w:color w:val="auto"/>
        </w:rPr>
      </w:pPr>
    </w:p>
    <w:p>
      <w:pPr>
        <w:spacing w:after="0" w:line="268" w:lineRule="auto"/>
        <w:rPr>
          <w:rFonts w:ascii="Arial" w:cs="Arial" w:eastAsia="Arial" w:hAnsi="Arial"/>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366395</wp:posOffset>
            </wp:positionV>
            <wp:extent cx="68821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821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SCHEDULE 13G</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No. 313747206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wp:posOffset>
            </wp:positionH>
            <wp:positionV relativeFrom="paragraph">
              <wp:posOffset>111760</wp:posOffset>
            </wp:positionV>
            <wp:extent cx="684784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spacing w:after="0" w:line="340" w:lineRule="exact"/>
        <w:rPr>
          <w:sz w:val="24"/>
          <w:szCs w:val="24"/>
          <w:color w:val="auto"/>
        </w:rPr>
      </w:pPr>
    </w:p>
    <w:p>
      <w:pPr>
        <w:jc w:val="both"/>
        <w:ind w:left="1600" w:right="7140" w:hanging="683"/>
        <w:spacing w:after="0" w:line="305" w:lineRule="auto"/>
        <w:tabs>
          <w:tab w:leader="none" w:pos="1600" w:val="left"/>
        </w:tabs>
        <w:numPr>
          <w:ilvl w:val="0"/>
          <w:numId w:val="2"/>
        </w:numPr>
        <w:rPr>
          <w:rFonts w:ascii="Arial" w:cs="Arial" w:eastAsia="Arial" w:hAnsi="Arial"/>
          <w:sz w:val="15"/>
          <w:szCs w:val="15"/>
          <w:color w:val="auto"/>
        </w:rPr>
      </w:pPr>
      <w:r>
        <w:rPr>
          <w:rFonts w:ascii="Arial" w:cs="Arial" w:eastAsia="Arial" w:hAnsi="Arial"/>
          <w:sz w:val="15"/>
          <w:szCs w:val="15"/>
          <w:color w:val="auto"/>
        </w:rPr>
        <w:t>Names of Reporting Persons. Stichting Pensioenfonds ABP</w:t>
      </w:r>
    </w:p>
    <w:p>
      <w:pPr>
        <w:ind w:left="1600"/>
        <w:spacing w:after="0"/>
        <w:rPr>
          <w:rFonts w:ascii="Arial" w:cs="Arial" w:eastAsia="Arial" w:hAnsi="Arial"/>
          <w:sz w:val="15"/>
          <w:szCs w:val="15"/>
          <w:color w:val="auto"/>
        </w:rPr>
      </w:pPr>
      <w:r>
        <w:rPr>
          <w:rFonts w:ascii="Arial" w:cs="Arial" w:eastAsia="Arial" w:hAnsi="Arial"/>
          <w:sz w:val="18"/>
          <w:szCs w:val="18"/>
          <w:color w:val="auto"/>
        </w:rPr>
        <w:t>I.R.S. Identification Nos. of above persons (entities only).</w:t>
      </w:r>
    </w:p>
    <w:p>
      <w:pPr>
        <w:spacing w:after="0" w:line="9" w:lineRule="exact"/>
        <w:rPr>
          <w:rFonts w:ascii="Arial" w:cs="Arial" w:eastAsia="Arial" w:hAnsi="Arial"/>
          <w:sz w:val="15"/>
          <w:szCs w:val="15"/>
          <w:color w:val="auto"/>
        </w:rPr>
      </w:pPr>
    </w:p>
    <w:p>
      <w:pPr>
        <w:ind w:left="1600"/>
        <w:spacing w:after="0"/>
        <w:rPr>
          <w:rFonts w:ascii="Arial" w:cs="Arial" w:eastAsia="Arial" w:hAnsi="Arial"/>
          <w:sz w:val="15"/>
          <w:szCs w:val="15"/>
          <w:color w:val="auto"/>
        </w:rPr>
      </w:pPr>
      <w:r>
        <w:rPr>
          <w:rFonts w:ascii="Arial" w:cs="Arial" w:eastAsia="Arial" w:hAnsi="Arial"/>
          <w:sz w:val="18"/>
          <w:szCs w:val="18"/>
          <w:color w:val="auto"/>
        </w:rPr>
        <w:t>98-0140331</w:t>
      </w:r>
    </w:p>
    <w:p>
      <w:pPr>
        <w:spacing w:after="0" w:line="353" w:lineRule="exact"/>
        <w:rPr>
          <w:rFonts w:ascii="Arial" w:cs="Arial" w:eastAsia="Arial" w:hAnsi="Arial"/>
          <w:sz w:val="15"/>
          <w:szCs w:val="15"/>
          <w:color w:val="auto"/>
        </w:rPr>
      </w:pPr>
    </w:p>
    <w:p>
      <w:pPr>
        <w:ind w:left="1600" w:hanging="683"/>
        <w:spacing w:after="0"/>
        <w:tabs>
          <w:tab w:leader="none" w:pos="1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wp:posOffset>
            </wp:positionH>
            <wp:positionV relativeFrom="paragraph">
              <wp:posOffset>-247650</wp:posOffset>
            </wp:positionV>
            <wp:extent cx="684784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(a) [</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8440" w:type="dxa"/>
            <w:vAlign w:val="bottom"/>
          </w:tcPr>
          <w:p>
            <w:pPr>
              <w:ind w:left="120"/>
              <w:spacing w:after="0"/>
              <w:rPr>
                <w:sz w:val="20"/>
                <w:szCs w:val="20"/>
                <w:color w:val="auto"/>
              </w:rPr>
            </w:pPr>
            <w:r>
              <w:rPr>
                <w:rFonts w:ascii="Arial" w:cs="Arial" w:eastAsia="Arial" w:hAnsi="Arial"/>
                <w:sz w:val="18"/>
                <w:szCs w:val="18"/>
                <w:color w:val="auto"/>
              </w:rPr>
              <w:t>(b) [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2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9200" w:type="dxa"/>
            <w:vAlign w:val="bottom"/>
            <w:tcBorders>
              <w:bottom w:val="single" w:sz="8" w:color="808080"/>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386"/>
        </w:trPr>
        <w:tc>
          <w:tcPr>
            <w:tcW w:w="1340" w:type="dxa"/>
            <w:vAlign w:val="bottom"/>
            <w:gridSpan w:val="2"/>
          </w:tcPr>
          <w:p>
            <w:pPr>
              <w:ind w:left="900"/>
              <w:spacing w:after="0"/>
              <w:rPr>
                <w:sz w:val="20"/>
                <w:szCs w:val="20"/>
                <w:color w:val="auto"/>
              </w:rPr>
            </w:pPr>
            <w:r>
              <w:rPr>
                <w:rFonts w:ascii="Arial" w:cs="Arial" w:eastAsia="Arial" w:hAnsi="Arial"/>
                <w:sz w:val="18"/>
                <w:szCs w:val="18"/>
                <w:color w:val="auto"/>
              </w:rPr>
              <w:t>3.</w:t>
            </w:r>
          </w:p>
        </w:tc>
        <w:tc>
          <w:tcPr>
            <w:tcW w:w="9440" w:type="dxa"/>
            <w:vAlign w:val="bottom"/>
            <w:gridSpan w:val="4"/>
          </w:tcPr>
          <w:p>
            <w:pPr>
              <w:ind w:left="24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32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9200" w:type="dxa"/>
            <w:vAlign w:val="bottom"/>
            <w:tcBorders>
              <w:bottom w:val="single" w:sz="8" w:color="808080"/>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367"/>
        </w:trPr>
        <w:tc>
          <w:tcPr>
            <w:tcW w:w="1340" w:type="dxa"/>
            <w:vAlign w:val="bottom"/>
            <w:gridSpan w:val="2"/>
          </w:tcPr>
          <w:p>
            <w:pPr>
              <w:ind w:left="900"/>
              <w:spacing w:after="0"/>
              <w:rPr>
                <w:sz w:val="20"/>
                <w:szCs w:val="20"/>
                <w:color w:val="auto"/>
              </w:rPr>
            </w:pPr>
            <w:r>
              <w:rPr>
                <w:rFonts w:ascii="Arial" w:cs="Arial" w:eastAsia="Arial" w:hAnsi="Arial"/>
                <w:sz w:val="18"/>
                <w:szCs w:val="18"/>
                <w:color w:val="auto"/>
              </w:rPr>
              <w:t>4.</w:t>
            </w:r>
          </w:p>
        </w:tc>
        <w:tc>
          <w:tcPr>
            <w:tcW w:w="9440" w:type="dxa"/>
            <w:vAlign w:val="bottom"/>
            <w:gridSpan w:val="4"/>
          </w:tcPr>
          <w:p>
            <w:pPr>
              <w:ind w:left="2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40" w:type="dxa"/>
            <w:vAlign w:val="bottom"/>
          </w:tcPr>
          <w:p>
            <w:pPr>
              <w:ind w:left="2680"/>
              <w:spacing w:after="0"/>
              <w:rPr>
                <w:sz w:val="20"/>
                <w:szCs w:val="20"/>
                <w:color w:val="auto"/>
              </w:rPr>
            </w:pPr>
            <w:r>
              <w:rPr>
                <w:rFonts w:ascii="Arial" w:cs="Arial" w:eastAsia="Arial" w:hAnsi="Arial"/>
                <w:sz w:val="18"/>
                <w:szCs w:val="18"/>
                <w:color w:val="auto"/>
              </w:rPr>
              <w:t>The Kingdom of the Netherlands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20" w:type="dxa"/>
            <w:vAlign w:val="bottom"/>
            <w:tcBorders>
              <w:bottom w:val="single" w:sz="8" w:color="808080"/>
            </w:tcBorders>
          </w:tcPr>
          <w:p>
            <w:pPr>
              <w:spacing w:after="0"/>
              <w:rPr>
                <w:sz w:val="15"/>
                <w:szCs w:val="15"/>
                <w:color w:val="auto"/>
              </w:rPr>
            </w:pPr>
          </w:p>
        </w:tc>
        <w:tc>
          <w:tcPr>
            <w:tcW w:w="240" w:type="dxa"/>
            <w:vAlign w:val="bottom"/>
            <w:tcBorders>
              <w:bottom w:val="single" w:sz="8" w:color="808080"/>
            </w:tcBorders>
          </w:tcPr>
          <w:p>
            <w:pPr>
              <w:spacing w:after="0"/>
              <w:rPr>
                <w:sz w:val="15"/>
                <w:szCs w:val="15"/>
                <w:color w:val="auto"/>
              </w:rPr>
            </w:pPr>
          </w:p>
        </w:tc>
        <w:tc>
          <w:tcPr>
            <w:tcW w:w="420" w:type="dxa"/>
            <w:vAlign w:val="bottom"/>
            <w:tcBorders>
              <w:bottom w:val="single" w:sz="8" w:color="808080"/>
            </w:tcBorders>
          </w:tcPr>
          <w:p>
            <w:pPr>
              <w:spacing w:after="0"/>
              <w:rPr>
                <w:sz w:val="15"/>
                <w:szCs w:val="15"/>
                <w:color w:val="auto"/>
              </w:rPr>
            </w:pPr>
          </w:p>
        </w:tc>
        <w:tc>
          <w:tcPr>
            <w:tcW w:w="8780" w:type="dxa"/>
            <w:vAlign w:val="bottom"/>
            <w:tcBorders>
              <w:bottom w:val="single" w:sz="8" w:color="808080"/>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1340" w:type="dxa"/>
            <w:vAlign w:val="bottom"/>
            <w:gridSpan w:val="2"/>
          </w:tcPr>
          <w:p>
            <w:pPr>
              <w:spacing w:after="0"/>
              <w:rPr>
                <w:sz w:val="20"/>
                <w:szCs w:val="20"/>
                <w:color w:val="auto"/>
              </w:rPr>
            </w:pPr>
            <w:r>
              <w:rPr>
                <w:rFonts w:ascii="Arial" w:cs="Arial" w:eastAsia="Arial" w:hAnsi="Arial"/>
                <w:sz w:val="18"/>
                <w:szCs w:val="18"/>
                <w:color w:val="auto"/>
              </w:rPr>
              <w:t>Number of</w:t>
            </w: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5.</w:t>
            </w:r>
          </w:p>
        </w:tc>
        <w:tc>
          <w:tcPr>
            <w:tcW w:w="8780" w:type="dxa"/>
            <w:vAlign w:val="bottom"/>
            <w:gridSpan w:val="2"/>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Shares</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780" w:type="dxa"/>
            <w:vAlign w:val="bottom"/>
            <w:gridSpan w:val="2"/>
          </w:tcPr>
          <w:p>
            <w:pPr>
              <w:ind w:left="120"/>
              <w:spacing w:after="0"/>
              <w:rPr>
                <w:sz w:val="20"/>
                <w:szCs w:val="20"/>
                <w:color w:val="auto"/>
              </w:rPr>
            </w:pPr>
            <w:r>
              <w:rPr>
                <w:rFonts w:ascii="Arial" w:cs="Arial" w:eastAsia="Arial" w:hAnsi="Arial"/>
                <w:sz w:val="18"/>
                <w:szCs w:val="18"/>
                <w:color w:val="auto"/>
              </w:rPr>
              <w:t>2,733,500</w:t>
            </w:r>
          </w:p>
        </w:tc>
        <w:tc>
          <w:tcPr>
            <w:tcW w:w="0" w:type="dxa"/>
            <w:vAlign w:val="bottom"/>
          </w:tcPr>
          <w:p>
            <w:pPr>
              <w:spacing w:after="0"/>
              <w:rPr>
                <w:sz w:val="1"/>
                <w:szCs w:val="1"/>
                <w:color w:val="auto"/>
              </w:rPr>
            </w:pPr>
          </w:p>
        </w:tc>
      </w:tr>
      <w:tr>
        <w:trPr>
          <w:trHeight w:val="181"/>
        </w:trPr>
        <w:tc>
          <w:tcPr>
            <w:tcW w:w="1340" w:type="dxa"/>
            <w:vAlign w:val="bottom"/>
            <w:gridSpan w:val="2"/>
          </w:tcPr>
          <w:p>
            <w:pPr>
              <w:spacing w:after="0" w:line="181" w:lineRule="exact"/>
              <w:rPr>
                <w:sz w:val="20"/>
                <w:szCs w:val="20"/>
                <w:color w:val="auto"/>
              </w:rPr>
            </w:pPr>
            <w:r>
              <w:rPr>
                <w:rFonts w:ascii="Arial" w:cs="Arial" w:eastAsia="Arial" w:hAnsi="Arial"/>
                <w:sz w:val="18"/>
                <w:szCs w:val="18"/>
                <w:color w:val="auto"/>
              </w:rPr>
              <w:t>Beneficially</w:t>
            </w:r>
          </w:p>
        </w:tc>
        <w:tc>
          <w:tcPr>
            <w:tcW w:w="240" w:type="dxa"/>
            <w:vAlign w:val="bottom"/>
          </w:tcPr>
          <w:p>
            <w:pPr>
              <w:spacing w:after="0"/>
              <w:rPr>
                <w:sz w:val="15"/>
                <w:szCs w:val="15"/>
                <w:color w:val="auto"/>
              </w:rPr>
            </w:pPr>
          </w:p>
        </w:tc>
        <w:tc>
          <w:tcPr>
            <w:tcW w:w="420" w:type="dxa"/>
            <w:vAlign w:val="bottom"/>
            <w:tcBorders>
              <w:bottom w:val="single" w:sz="8" w:color="808080"/>
            </w:tcBorders>
          </w:tcPr>
          <w:p>
            <w:pPr>
              <w:spacing w:after="0"/>
              <w:rPr>
                <w:sz w:val="15"/>
                <w:szCs w:val="15"/>
                <w:color w:val="auto"/>
              </w:rPr>
            </w:pPr>
          </w:p>
        </w:tc>
        <w:tc>
          <w:tcPr>
            <w:tcW w:w="340" w:type="dxa"/>
            <w:vAlign w:val="bottom"/>
            <w:tcBorders>
              <w:bottom w:val="single" w:sz="8" w:color="808080"/>
            </w:tcBorders>
          </w:tcPr>
          <w:p>
            <w:pPr>
              <w:spacing w:after="0"/>
              <w:rPr>
                <w:sz w:val="15"/>
                <w:szCs w:val="15"/>
                <w:color w:val="auto"/>
              </w:rPr>
            </w:pPr>
          </w:p>
        </w:tc>
        <w:tc>
          <w:tcPr>
            <w:tcW w:w="844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340" w:type="dxa"/>
            <w:vAlign w:val="bottom"/>
            <w:gridSpan w:val="2"/>
          </w:tcPr>
          <w:p>
            <w:pPr>
              <w:spacing w:after="0"/>
              <w:rPr>
                <w:sz w:val="20"/>
                <w:szCs w:val="20"/>
                <w:color w:val="auto"/>
              </w:rPr>
            </w:pPr>
            <w:r>
              <w:rPr>
                <w:rFonts w:ascii="Arial" w:cs="Arial" w:eastAsia="Arial" w:hAnsi="Arial"/>
                <w:sz w:val="18"/>
                <w:szCs w:val="18"/>
                <w:color w:val="auto"/>
              </w:rPr>
              <w:t>Owned by</w:t>
            </w:r>
          </w:p>
        </w:tc>
        <w:tc>
          <w:tcPr>
            <w:tcW w:w="660" w:type="dxa"/>
            <w:vAlign w:val="bottom"/>
            <w:gridSpan w:val="2"/>
            <w:vMerge w:val="restart"/>
          </w:tcPr>
          <w:p>
            <w:pPr>
              <w:ind w:left="240"/>
              <w:spacing w:after="0"/>
              <w:rPr>
                <w:sz w:val="20"/>
                <w:szCs w:val="20"/>
                <w:color w:val="auto"/>
              </w:rPr>
            </w:pPr>
            <w:r>
              <w:rPr>
                <w:rFonts w:ascii="Arial" w:cs="Arial" w:eastAsia="Arial" w:hAnsi="Arial"/>
                <w:sz w:val="18"/>
                <w:szCs w:val="18"/>
                <w:color w:val="auto"/>
              </w:rPr>
              <w:t>6.</w:t>
            </w:r>
          </w:p>
        </w:tc>
        <w:tc>
          <w:tcPr>
            <w:tcW w:w="8780" w:type="dxa"/>
            <w:vAlign w:val="bottom"/>
            <w:gridSpan w:val="2"/>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5"/>
        </w:trPr>
        <w:tc>
          <w:tcPr>
            <w:tcW w:w="1340" w:type="dxa"/>
            <w:vAlign w:val="bottom"/>
            <w:gridSpan w:val="2"/>
            <w:vMerge w:val="restart"/>
          </w:tcPr>
          <w:p>
            <w:pPr>
              <w:spacing w:after="0"/>
              <w:rPr>
                <w:sz w:val="20"/>
                <w:szCs w:val="20"/>
                <w:color w:val="auto"/>
              </w:rPr>
            </w:pPr>
            <w:r>
              <w:rPr>
                <w:rFonts w:ascii="Arial" w:cs="Arial" w:eastAsia="Arial" w:hAnsi="Arial"/>
                <w:sz w:val="18"/>
                <w:szCs w:val="18"/>
                <w:color w:val="auto"/>
              </w:rPr>
              <w:t>Each Reporting</w:t>
            </w:r>
          </w:p>
        </w:tc>
        <w:tc>
          <w:tcPr>
            <w:tcW w:w="660" w:type="dxa"/>
            <w:vAlign w:val="bottom"/>
            <w:gridSpan w:val="2"/>
            <w:vMerge w:val="continue"/>
          </w:tcPr>
          <w:p>
            <w:pPr>
              <w:spacing w:after="0"/>
              <w:rPr>
                <w:sz w:val="11"/>
                <w:szCs w:val="11"/>
                <w:color w:val="auto"/>
              </w:rPr>
            </w:pPr>
          </w:p>
        </w:tc>
        <w:tc>
          <w:tcPr>
            <w:tcW w:w="8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34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vMerge w:val="restart"/>
          </w:tcPr>
          <w:p>
            <w:pPr>
              <w:ind w:left="120"/>
              <w:spacing w:after="0"/>
              <w:rPr>
                <w:sz w:val="20"/>
                <w:szCs w:val="20"/>
                <w:color w:val="auto"/>
              </w:rPr>
            </w:pPr>
            <w:r>
              <w:rPr>
                <w:rFonts w:ascii="Arial" w:cs="Arial" w:eastAsia="Arial" w:hAnsi="Arial"/>
                <w:sz w:val="18"/>
                <w:szCs w:val="18"/>
                <w:color w:val="auto"/>
              </w:rPr>
              <w:t>0</w:t>
            </w:r>
          </w:p>
        </w:tc>
        <w:tc>
          <w:tcPr>
            <w:tcW w:w="8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1340" w:type="dxa"/>
            <w:vAlign w:val="bottom"/>
            <w:gridSpan w:val="2"/>
            <w:vMerge w:val="restart"/>
          </w:tcPr>
          <w:p>
            <w:pPr>
              <w:spacing w:after="0"/>
              <w:rPr>
                <w:sz w:val="20"/>
                <w:szCs w:val="20"/>
                <w:color w:val="auto"/>
              </w:rPr>
            </w:pPr>
            <w:r>
              <w:rPr>
                <w:rFonts w:ascii="Arial" w:cs="Arial" w:eastAsia="Arial" w:hAnsi="Arial"/>
                <w:sz w:val="18"/>
                <w:szCs w:val="18"/>
                <w:color w:val="auto"/>
              </w:rPr>
              <w:t>Person With:</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8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34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78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7.</w:t>
            </w:r>
          </w:p>
        </w:tc>
        <w:tc>
          <w:tcPr>
            <w:tcW w:w="8780" w:type="dxa"/>
            <w:vAlign w:val="bottom"/>
            <w:gridSpan w:val="2"/>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780" w:type="dxa"/>
            <w:vAlign w:val="bottom"/>
            <w:gridSpan w:val="2"/>
          </w:tcPr>
          <w:p>
            <w:pPr>
              <w:ind w:left="120"/>
              <w:spacing w:after="0"/>
              <w:rPr>
                <w:sz w:val="20"/>
                <w:szCs w:val="20"/>
                <w:color w:val="auto"/>
              </w:rPr>
            </w:pPr>
            <w:r>
              <w:rPr>
                <w:rFonts w:ascii="Arial" w:cs="Arial" w:eastAsia="Arial" w:hAnsi="Arial"/>
                <w:sz w:val="18"/>
                <w:szCs w:val="18"/>
                <w:color w:val="auto"/>
              </w:rPr>
              <w:t>2,733,500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6853555</wp:posOffset>
            </wp:positionH>
            <wp:positionV relativeFrom="paragraph">
              <wp:posOffset>-2258060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-2258060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6853555</wp:posOffset>
            </wp:positionH>
            <wp:positionV relativeFrom="paragraph">
              <wp:posOffset>-1880235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-1880235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6853555</wp:posOffset>
            </wp:positionH>
            <wp:positionV relativeFrom="paragraph">
              <wp:posOffset>-1383030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-1383030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6853555</wp:posOffset>
            </wp:positionH>
            <wp:positionV relativeFrom="paragraph">
              <wp:posOffset>-885825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1013460</wp:posOffset>
            </wp:positionH>
            <wp:positionV relativeFrom="paragraph">
              <wp:posOffset>-885825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6853555</wp:posOffset>
            </wp:positionH>
            <wp:positionV relativeFrom="paragraph">
              <wp:posOffset>-387985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1013460</wp:posOffset>
            </wp:positionH>
            <wp:positionV relativeFrom="paragraph">
              <wp:posOffset>-387985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9" w:orient="portrait"/>
          <w:cols w:equalWidth="0" w:num="1">
            <w:col w:w="10820"/>
          </w:cols>
          <w:pgMar w:left="540" w:top="307" w:right="539" w:bottom="0" w:gutter="0" w:footer="0" w:header="0"/>
        </w:sectPr>
      </w:pPr>
    </w:p>
    <w:bookmarkStart w:id="1" w:name="page2"/>
    <w:bookmarkEnd w:id="1"/>
    <w:p>
      <w:pPr>
        <w:ind w:left="2120" w:right="6840" w:hanging="548"/>
        <w:spacing w:after="0" w:line="268" w:lineRule="auto"/>
        <w:tabs>
          <w:tab w:leader="none" w:pos="2120" w:val="left"/>
        </w:tabs>
        <w:numPr>
          <w:ilvl w:val="1"/>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1356360</wp:posOffset>
            </wp:positionH>
            <wp:positionV relativeFrom="page">
              <wp:posOffset>189865</wp:posOffset>
            </wp:positionV>
            <wp:extent cx="585279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52795" cy="21590"/>
                    </a:xfrm>
                    <a:prstGeom prst="rect">
                      <a:avLst/>
                    </a:prstGeom>
                    <a:noFill/>
                  </pic:spPr>
                </pic:pic>
              </a:graphicData>
            </a:graphic>
          </wp:anchor>
        </w:drawing>
        <w:t>Shared Dispositive Power 0</w:t>
      </w:r>
    </w:p>
    <w:p>
      <w:pPr>
        <w:spacing w:after="0" w:line="321" w:lineRule="exact"/>
        <w:rPr>
          <w:rFonts w:ascii="Arial" w:cs="Arial" w:eastAsia="Arial" w:hAnsi="Arial"/>
          <w:sz w:val="18"/>
          <w:szCs w:val="18"/>
          <w:color w:val="auto"/>
        </w:rPr>
      </w:pPr>
    </w:p>
    <w:p>
      <w:pPr>
        <w:ind w:left="1580" w:right="4520" w:hanging="683"/>
        <w:spacing w:after="0" w:line="268" w:lineRule="auto"/>
        <w:tabs>
          <w:tab w:leader="none" w:pos="1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2,733,500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-409575</wp:posOffset>
            </wp:positionV>
            <wp:extent cx="684784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47840" cy="215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86995</wp:posOffset>
            </wp:positionV>
            <wp:extent cx="684784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spacing w:after="0" w:line="301" w:lineRule="exact"/>
        <w:rPr>
          <w:sz w:val="20"/>
          <w:szCs w:val="20"/>
          <w:color w:val="auto"/>
        </w:rPr>
      </w:pPr>
    </w:p>
    <w:p>
      <w:pPr>
        <w:ind w:left="900"/>
        <w:spacing w:after="0"/>
        <w:tabs>
          <w:tab w:leader="none" w:pos="1560" w:val="left"/>
          <w:tab w:leader="none" w:pos="7980" w:val="left"/>
        </w:tabs>
        <w:rPr>
          <w:sz w:val="20"/>
          <w:szCs w:val="20"/>
          <w:color w:val="auto"/>
        </w:rPr>
      </w:pPr>
      <w:r>
        <w:rPr>
          <w:rFonts w:ascii="Arial" w:cs="Arial" w:eastAsia="Arial" w:hAnsi="Arial"/>
          <w:sz w:val="16"/>
          <w:szCs w:val="16"/>
          <w:color w:val="auto"/>
        </w:rPr>
        <w:t>10.</w:t>
      </w:r>
      <w:r>
        <w:rPr>
          <w:sz w:val="20"/>
          <w:szCs w:val="20"/>
          <w:color w:val="auto"/>
        </w:rPr>
        <w:tab/>
      </w:r>
      <w:r>
        <w:rPr>
          <w:rFonts w:ascii="Arial" w:cs="Arial" w:eastAsia="Arial" w:hAnsi="Arial"/>
          <w:sz w:val="16"/>
          <w:szCs w:val="16"/>
          <w:color w:val="auto"/>
        </w:rPr>
        <w:t>Check if the Aggregate Amount in Row (9) Excludes Certain Shares (See Instructions)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128905</wp:posOffset>
            </wp:positionV>
            <wp:extent cx="684784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spacing w:after="0" w:line="367" w:lineRule="exact"/>
        <w:rPr>
          <w:sz w:val="20"/>
          <w:szCs w:val="20"/>
          <w:color w:val="auto"/>
        </w:rPr>
      </w:pPr>
    </w:p>
    <w:p>
      <w:pPr>
        <w:ind w:left="1580" w:hanging="683"/>
        <w:spacing w:after="0"/>
        <w:tabs>
          <w:tab w:leader="none" w:pos="1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5.18%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107950</wp:posOffset>
            </wp:positionV>
            <wp:extent cx="684784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spacing w:after="0" w:line="334" w:lineRule="exact"/>
        <w:rPr>
          <w:sz w:val="20"/>
          <w:szCs w:val="20"/>
          <w:color w:val="auto"/>
        </w:rPr>
      </w:pPr>
    </w:p>
    <w:p>
      <w:pPr>
        <w:ind w:left="1580" w:hanging="683"/>
        <w:spacing w:after="0"/>
        <w:tabs>
          <w:tab w:leader="none" w:pos="1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146050</wp:posOffset>
            </wp:positionV>
            <wp:extent cx="684784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4784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260" w:type="dxa"/>
            <w:vAlign w:val="bottom"/>
          </w:tcPr>
          <w:p>
            <w:pPr>
              <w:spacing w:after="0"/>
              <w:rPr>
                <w:sz w:val="19"/>
                <w:szCs w:val="19"/>
                <w:color w:val="auto"/>
              </w:rPr>
            </w:pPr>
          </w:p>
        </w:tc>
        <w:tc>
          <w:tcPr>
            <w:tcW w:w="9760" w:type="dxa"/>
            <w:vAlign w:val="bottom"/>
          </w:tcPr>
          <w:p>
            <w:pPr>
              <w:spacing w:after="0"/>
              <w:rPr>
                <w:sz w:val="19"/>
                <w:szCs w:val="19"/>
                <w:color w:val="auto"/>
              </w:rPr>
            </w:pPr>
          </w:p>
        </w:tc>
      </w:tr>
      <w:tr>
        <w:trPr>
          <w:trHeight w:val="270"/>
        </w:trPr>
        <w:tc>
          <w:tcPr>
            <w:tcW w:w="760" w:type="dxa"/>
            <w:vAlign w:val="bottom"/>
          </w:tcPr>
          <w:p>
            <w:pPr>
              <w:ind w:left="460"/>
              <w:spacing w:after="0"/>
              <w:rPr>
                <w:sz w:val="20"/>
                <w:szCs w:val="20"/>
                <w:color w:val="auto"/>
              </w:rPr>
            </w:pPr>
            <w:r>
              <w:rPr>
                <w:rFonts w:ascii="Arial" w:cs="Arial" w:eastAsia="Arial" w:hAnsi="Arial"/>
                <w:sz w:val="18"/>
                <w:szCs w:val="18"/>
                <w:color w:val="auto"/>
              </w:rPr>
              <w:t>(a)</w:t>
            </w:r>
          </w:p>
        </w:tc>
        <w:tc>
          <w:tcPr>
            <w:tcW w:w="10020" w:type="dxa"/>
            <w:vAlign w:val="bottom"/>
            <w:gridSpan w:val="2"/>
          </w:tcPr>
          <w:p>
            <w:pPr>
              <w:ind w:left="120"/>
              <w:spacing w:after="0"/>
              <w:rPr>
                <w:sz w:val="20"/>
                <w:szCs w:val="20"/>
                <w:color w:val="auto"/>
              </w:rPr>
            </w:pPr>
            <w:r>
              <w:rPr>
                <w:rFonts w:ascii="Arial" w:cs="Arial" w:eastAsia="Arial" w:hAnsi="Arial"/>
                <w:sz w:val="18"/>
                <w:szCs w:val="18"/>
                <w:color w:val="auto"/>
              </w:rPr>
              <w:t>Name of Issuer</w:t>
            </w:r>
          </w:p>
        </w:tc>
      </w:tr>
      <w:tr>
        <w:trPr>
          <w:trHeight w:val="432"/>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rPr>
              <w:t>Federal Realty Investments Trust</w:t>
            </w:r>
          </w:p>
        </w:tc>
      </w:tr>
      <w:tr>
        <w:trPr>
          <w:trHeight w:val="270"/>
        </w:trPr>
        <w:tc>
          <w:tcPr>
            <w:tcW w:w="760" w:type="dxa"/>
            <w:vAlign w:val="bottom"/>
          </w:tcPr>
          <w:p>
            <w:pPr>
              <w:ind w:left="460"/>
              <w:spacing w:after="0"/>
              <w:rPr>
                <w:sz w:val="20"/>
                <w:szCs w:val="20"/>
                <w:color w:val="auto"/>
              </w:rPr>
            </w:pPr>
            <w:r>
              <w:rPr>
                <w:rFonts w:ascii="Arial" w:cs="Arial" w:eastAsia="Arial" w:hAnsi="Arial"/>
                <w:sz w:val="18"/>
                <w:szCs w:val="18"/>
                <w:color w:val="auto"/>
              </w:rPr>
              <w:t>(b)</w:t>
            </w:r>
          </w:p>
        </w:tc>
        <w:tc>
          <w:tcPr>
            <w:tcW w:w="10020" w:type="dxa"/>
            <w:vAlign w:val="bottom"/>
            <w:gridSpan w:val="2"/>
          </w:tcPr>
          <w:p>
            <w:pPr>
              <w:ind w:left="120"/>
              <w:spacing w:after="0"/>
              <w:rPr>
                <w:sz w:val="20"/>
                <w:szCs w:val="20"/>
                <w:color w:val="auto"/>
              </w:rPr>
            </w:pPr>
            <w:r>
              <w:rPr>
                <w:rFonts w:ascii="Arial" w:cs="Arial" w:eastAsia="Arial" w:hAnsi="Arial"/>
                <w:sz w:val="18"/>
                <w:szCs w:val="18"/>
                <w:color w:val="auto"/>
              </w:rPr>
              <w:t>Address of Issuer's Principal Executive Offices</w:t>
            </w:r>
          </w:p>
        </w:tc>
      </w:tr>
      <w:tr>
        <w:trPr>
          <w:trHeight w:val="426"/>
        </w:trPr>
        <w:tc>
          <w:tcPr>
            <w:tcW w:w="760" w:type="dxa"/>
            <w:vAlign w:val="bottom"/>
          </w:tcPr>
          <w:p>
            <w:pPr>
              <w:spacing w:after="0"/>
              <w:rPr>
                <w:sz w:val="24"/>
                <w:szCs w:val="24"/>
                <w:color w:val="auto"/>
              </w:rPr>
            </w:pPr>
          </w:p>
        </w:tc>
        <w:tc>
          <w:tcPr>
            <w:tcW w:w="10020" w:type="dxa"/>
            <w:vAlign w:val="bottom"/>
            <w:gridSpan w:val="2"/>
          </w:tcPr>
          <w:p>
            <w:pPr>
              <w:ind w:left="120"/>
              <w:spacing w:after="0"/>
              <w:rPr>
                <w:sz w:val="20"/>
                <w:szCs w:val="20"/>
                <w:color w:val="auto"/>
              </w:rPr>
            </w:pPr>
            <w:r>
              <w:rPr>
                <w:rFonts w:ascii="Arial" w:cs="Arial" w:eastAsia="Arial" w:hAnsi="Arial"/>
                <w:sz w:val="18"/>
                <w:szCs w:val="18"/>
                <w:color w:val="auto"/>
              </w:rPr>
              <w:t>1625 East Jefferson Street</w:t>
            </w:r>
          </w:p>
        </w:tc>
      </w:tr>
      <w:tr>
        <w:trPr>
          <w:trHeight w:val="222"/>
        </w:trPr>
        <w:tc>
          <w:tcPr>
            <w:tcW w:w="760" w:type="dxa"/>
            <w:vAlign w:val="bottom"/>
          </w:tcPr>
          <w:p>
            <w:pPr>
              <w:spacing w:after="0"/>
              <w:rPr>
                <w:sz w:val="19"/>
                <w:szCs w:val="19"/>
                <w:color w:val="auto"/>
              </w:rPr>
            </w:pPr>
          </w:p>
        </w:tc>
        <w:tc>
          <w:tcPr>
            <w:tcW w:w="10020" w:type="dxa"/>
            <w:vAlign w:val="bottom"/>
            <w:gridSpan w:val="2"/>
          </w:tcPr>
          <w:p>
            <w:pPr>
              <w:ind w:left="120"/>
              <w:spacing w:after="0"/>
              <w:rPr>
                <w:sz w:val="20"/>
                <w:szCs w:val="20"/>
                <w:color w:val="auto"/>
              </w:rPr>
            </w:pPr>
            <w:r>
              <w:rPr>
                <w:rFonts w:ascii="Arial" w:cs="Arial" w:eastAsia="Arial" w:hAnsi="Arial"/>
                <w:sz w:val="18"/>
                <w:szCs w:val="18"/>
                <w:color w:val="auto"/>
              </w:rPr>
              <w:t>Rockville MD 20852-4041</w:t>
            </w:r>
          </w:p>
        </w:tc>
      </w:tr>
      <w:tr>
        <w:trPr>
          <w:trHeight w:val="567"/>
        </w:trPr>
        <w:tc>
          <w:tcPr>
            <w:tcW w:w="7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260" w:type="dxa"/>
            <w:vAlign w:val="bottom"/>
          </w:tcPr>
          <w:p>
            <w:pPr>
              <w:spacing w:after="0"/>
              <w:rPr>
                <w:sz w:val="24"/>
                <w:szCs w:val="24"/>
                <w:color w:val="auto"/>
              </w:rPr>
            </w:pPr>
          </w:p>
        </w:tc>
        <w:tc>
          <w:tcPr>
            <w:tcW w:w="9760" w:type="dxa"/>
            <w:vAlign w:val="bottom"/>
          </w:tcPr>
          <w:p>
            <w:pPr>
              <w:spacing w:after="0"/>
              <w:rPr>
                <w:sz w:val="24"/>
                <w:szCs w:val="24"/>
                <w:color w:val="auto"/>
              </w:rPr>
            </w:pPr>
          </w:p>
        </w:tc>
      </w:tr>
      <w:tr>
        <w:trPr>
          <w:trHeight w:val="270"/>
        </w:trPr>
        <w:tc>
          <w:tcPr>
            <w:tcW w:w="760" w:type="dxa"/>
            <w:vAlign w:val="bottom"/>
          </w:tcPr>
          <w:p>
            <w:pPr>
              <w:ind w:left="460"/>
              <w:spacing w:after="0"/>
              <w:rPr>
                <w:sz w:val="20"/>
                <w:szCs w:val="20"/>
                <w:color w:val="auto"/>
              </w:rPr>
            </w:pPr>
            <w:r>
              <w:rPr>
                <w:rFonts w:ascii="Arial" w:cs="Arial" w:eastAsia="Arial" w:hAnsi="Arial"/>
                <w:sz w:val="18"/>
                <w:szCs w:val="18"/>
                <w:color w:val="auto"/>
              </w:rPr>
              <w:t>(a)</w:t>
            </w:r>
          </w:p>
        </w:tc>
        <w:tc>
          <w:tcPr>
            <w:tcW w:w="10020" w:type="dxa"/>
            <w:vAlign w:val="bottom"/>
            <w:gridSpan w:val="2"/>
          </w:tcPr>
          <w:p>
            <w:pPr>
              <w:ind w:left="120"/>
              <w:spacing w:after="0"/>
              <w:rPr>
                <w:sz w:val="20"/>
                <w:szCs w:val="20"/>
                <w:color w:val="auto"/>
              </w:rPr>
            </w:pPr>
            <w:r>
              <w:rPr>
                <w:rFonts w:ascii="Arial" w:cs="Arial" w:eastAsia="Arial" w:hAnsi="Arial"/>
                <w:sz w:val="18"/>
                <w:szCs w:val="18"/>
                <w:color w:val="auto"/>
              </w:rPr>
              <w:t>Name of Person Filing</w:t>
            </w:r>
          </w:p>
        </w:tc>
      </w:tr>
      <w:tr>
        <w:trPr>
          <w:trHeight w:val="432"/>
        </w:trPr>
        <w:tc>
          <w:tcPr>
            <w:tcW w:w="760" w:type="dxa"/>
            <w:vAlign w:val="bottom"/>
          </w:tcPr>
          <w:p>
            <w:pPr>
              <w:spacing w:after="0"/>
              <w:rPr>
                <w:sz w:val="24"/>
                <w:szCs w:val="24"/>
                <w:color w:val="auto"/>
              </w:rPr>
            </w:pPr>
          </w:p>
        </w:tc>
        <w:tc>
          <w:tcPr>
            <w:tcW w:w="10020" w:type="dxa"/>
            <w:vAlign w:val="bottom"/>
            <w:gridSpan w:val="2"/>
          </w:tcPr>
          <w:p>
            <w:pPr>
              <w:ind w:left="120"/>
              <w:spacing w:after="0"/>
              <w:rPr>
                <w:sz w:val="20"/>
                <w:szCs w:val="20"/>
                <w:color w:val="auto"/>
              </w:rPr>
            </w:pPr>
            <w:r>
              <w:rPr>
                <w:rFonts w:ascii="Arial" w:cs="Arial" w:eastAsia="Arial" w:hAnsi="Arial"/>
                <w:sz w:val="18"/>
                <w:szCs w:val="18"/>
                <w:color w:val="auto"/>
              </w:rPr>
              <w:t>Stichting Pensioenfonds ABP</w:t>
            </w:r>
          </w:p>
        </w:tc>
      </w:tr>
      <w:tr>
        <w:trPr>
          <w:trHeight w:val="270"/>
        </w:trPr>
        <w:tc>
          <w:tcPr>
            <w:tcW w:w="760" w:type="dxa"/>
            <w:vAlign w:val="bottom"/>
          </w:tcPr>
          <w:p>
            <w:pPr>
              <w:ind w:left="460"/>
              <w:spacing w:after="0"/>
              <w:rPr>
                <w:sz w:val="20"/>
                <w:szCs w:val="20"/>
                <w:color w:val="auto"/>
              </w:rPr>
            </w:pPr>
            <w:r>
              <w:rPr>
                <w:rFonts w:ascii="Arial" w:cs="Arial" w:eastAsia="Arial" w:hAnsi="Arial"/>
                <w:sz w:val="18"/>
                <w:szCs w:val="18"/>
                <w:color w:val="auto"/>
              </w:rPr>
              <w:t>(b)</w:t>
            </w:r>
          </w:p>
        </w:tc>
        <w:tc>
          <w:tcPr>
            <w:tcW w:w="10020" w:type="dxa"/>
            <w:vAlign w:val="bottom"/>
            <w:gridSpan w:val="2"/>
          </w:tcPr>
          <w:p>
            <w:pPr>
              <w:ind w:left="120"/>
              <w:spacing w:after="0"/>
              <w:rPr>
                <w:sz w:val="20"/>
                <w:szCs w:val="20"/>
                <w:color w:val="auto"/>
              </w:rPr>
            </w:pPr>
            <w:r>
              <w:rPr>
                <w:rFonts w:ascii="Arial" w:cs="Arial" w:eastAsia="Arial" w:hAnsi="Arial"/>
                <w:sz w:val="18"/>
                <w:szCs w:val="18"/>
                <w:color w:val="auto"/>
              </w:rPr>
              <w:t>Address of Principal Business Office or, if none, Residence</w:t>
            </w:r>
          </w:p>
        </w:tc>
      </w:tr>
      <w:tr>
        <w:trPr>
          <w:trHeight w:val="426"/>
        </w:trPr>
        <w:tc>
          <w:tcPr>
            <w:tcW w:w="760" w:type="dxa"/>
            <w:vAlign w:val="bottom"/>
          </w:tcPr>
          <w:p>
            <w:pPr>
              <w:spacing w:after="0"/>
              <w:rPr>
                <w:sz w:val="24"/>
                <w:szCs w:val="24"/>
                <w:color w:val="auto"/>
              </w:rPr>
            </w:pPr>
          </w:p>
        </w:tc>
        <w:tc>
          <w:tcPr>
            <w:tcW w:w="10020" w:type="dxa"/>
            <w:vAlign w:val="bottom"/>
            <w:gridSpan w:val="2"/>
          </w:tcPr>
          <w:p>
            <w:pPr>
              <w:ind w:left="120"/>
              <w:spacing w:after="0"/>
              <w:rPr>
                <w:sz w:val="20"/>
                <w:szCs w:val="20"/>
                <w:color w:val="auto"/>
              </w:rPr>
            </w:pPr>
            <w:r>
              <w:rPr>
                <w:rFonts w:ascii="Arial" w:cs="Arial" w:eastAsia="Arial" w:hAnsi="Arial"/>
                <w:sz w:val="18"/>
                <w:szCs w:val="18"/>
                <w:color w:val="auto"/>
              </w:rPr>
              <w:t>The address of the principal business office of the person filing is:</w:t>
            </w:r>
          </w:p>
        </w:tc>
      </w:tr>
      <w:tr>
        <w:trPr>
          <w:trHeight w:val="222"/>
        </w:trPr>
        <w:tc>
          <w:tcPr>
            <w:tcW w:w="760" w:type="dxa"/>
            <w:vAlign w:val="bottom"/>
          </w:tcPr>
          <w:p>
            <w:pPr>
              <w:spacing w:after="0"/>
              <w:rPr>
                <w:sz w:val="19"/>
                <w:szCs w:val="19"/>
                <w:color w:val="auto"/>
              </w:rPr>
            </w:pPr>
          </w:p>
        </w:tc>
        <w:tc>
          <w:tcPr>
            <w:tcW w:w="10020" w:type="dxa"/>
            <w:vAlign w:val="bottom"/>
            <w:gridSpan w:val="2"/>
          </w:tcPr>
          <w:p>
            <w:pPr>
              <w:ind w:left="120"/>
              <w:spacing w:after="0"/>
              <w:rPr>
                <w:sz w:val="20"/>
                <w:szCs w:val="20"/>
                <w:color w:val="auto"/>
              </w:rPr>
            </w:pPr>
            <w:r>
              <w:rPr>
                <w:rFonts w:ascii="Arial" w:cs="Arial" w:eastAsia="Arial" w:hAnsi="Arial"/>
                <w:sz w:val="18"/>
                <w:szCs w:val="18"/>
                <w:color w:val="auto"/>
              </w:rPr>
              <w:t>Oude Lindestraat 70, Postbus 2889, 6401 DL Heerlen, The Kingdom of the Netherlands</w:t>
            </w:r>
          </w:p>
        </w:tc>
      </w:tr>
      <w:tr>
        <w:trPr>
          <w:trHeight w:val="270"/>
        </w:trPr>
        <w:tc>
          <w:tcPr>
            <w:tcW w:w="760" w:type="dxa"/>
            <w:vAlign w:val="bottom"/>
          </w:tcPr>
          <w:p>
            <w:pPr>
              <w:ind w:left="460"/>
              <w:spacing w:after="0"/>
              <w:rPr>
                <w:sz w:val="20"/>
                <w:szCs w:val="20"/>
                <w:color w:val="auto"/>
              </w:rPr>
            </w:pPr>
            <w:r>
              <w:rPr>
                <w:rFonts w:ascii="Arial" w:cs="Arial" w:eastAsia="Arial" w:hAnsi="Arial"/>
                <w:sz w:val="18"/>
                <w:szCs w:val="18"/>
                <w:color w:val="auto"/>
              </w:rPr>
              <w:t>(c)</w:t>
            </w:r>
          </w:p>
        </w:tc>
        <w:tc>
          <w:tcPr>
            <w:tcW w:w="10020" w:type="dxa"/>
            <w:vAlign w:val="bottom"/>
            <w:gridSpan w:val="2"/>
          </w:tcPr>
          <w:p>
            <w:pPr>
              <w:ind w:left="120"/>
              <w:spacing w:after="0"/>
              <w:rPr>
                <w:sz w:val="20"/>
                <w:szCs w:val="20"/>
                <w:color w:val="auto"/>
              </w:rPr>
            </w:pPr>
            <w:r>
              <w:rPr>
                <w:rFonts w:ascii="Arial" w:cs="Arial" w:eastAsia="Arial" w:hAnsi="Arial"/>
                <w:sz w:val="18"/>
                <w:szCs w:val="18"/>
                <w:color w:val="auto"/>
              </w:rPr>
              <w:t>Citizenship</w:t>
            </w:r>
          </w:p>
        </w:tc>
      </w:tr>
      <w:tr>
        <w:trPr>
          <w:trHeight w:val="432"/>
        </w:trPr>
        <w:tc>
          <w:tcPr>
            <w:tcW w:w="760" w:type="dxa"/>
            <w:vAlign w:val="bottom"/>
          </w:tcPr>
          <w:p>
            <w:pPr>
              <w:spacing w:after="0"/>
              <w:rPr>
                <w:sz w:val="24"/>
                <w:szCs w:val="24"/>
                <w:color w:val="auto"/>
              </w:rPr>
            </w:pPr>
          </w:p>
        </w:tc>
        <w:tc>
          <w:tcPr>
            <w:tcW w:w="10020" w:type="dxa"/>
            <w:vAlign w:val="bottom"/>
            <w:gridSpan w:val="2"/>
          </w:tcPr>
          <w:p>
            <w:pPr>
              <w:ind w:left="120"/>
              <w:spacing w:after="0"/>
              <w:rPr>
                <w:sz w:val="20"/>
                <w:szCs w:val="20"/>
                <w:color w:val="auto"/>
              </w:rPr>
            </w:pPr>
            <w:r>
              <w:rPr>
                <w:rFonts w:ascii="Arial" w:cs="Arial" w:eastAsia="Arial" w:hAnsi="Arial"/>
                <w:sz w:val="18"/>
                <w:szCs w:val="18"/>
                <w:color w:val="auto"/>
              </w:rPr>
              <w:t>The person filing is an entity established under the laws of The Kingdom of the Netherlands.</w:t>
            </w:r>
          </w:p>
        </w:tc>
      </w:tr>
      <w:tr>
        <w:trPr>
          <w:trHeight w:val="270"/>
        </w:trPr>
        <w:tc>
          <w:tcPr>
            <w:tcW w:w="760" w:type="dxa"/>
            <w:vAlign w:val="bottom"/>
          </w:tcPr>
          <w:p>
            <w:pPr>
              <w:ind w:left="460"/>
              <w:spacing w:after="0"/>
              <w:rPr>
                <w:sz w:val="20"/>
                <w:szCs w:val="20"/>
                <w:color w:val="auto"/>
              </w:rPr>
            </w:pPr>
            <w:r>
              <w:rPr>
                <w:rFonts w:ascii="Arial" w:cs="Arial" w:eastAsia="Arial" w:hAnsi="Arial"/>
                <w:sz w:val="18"/>
                <w:szCs w:val="18"/>
                <w:color w:val="auto"/>
              </w:rPr>
              <w:t>(d)</w:t>
            </w:r>
          </w:p>
        </w:tc>
        <w:tc>
          <w:tcPr>
            <w:tcW w:w="10020" w:type="dxa"/>
            <w:vAlign w:val="bottom"/>
            <w:gridSpan w:val="2"/>
          </w:tcPr>
          <w:p>
            <w:pPr>
              <w:ind w:left="120"/>
              <w:spacing w:after="0"/>
              <w:rPr>
                <w:sz w:val="20"/>
                <w:szCs w:val="20"/>
                <w:color w:val="auto"/>
              </w:rPr>
            </w:pPr>
            <w:r>
              <w:rPr>
                <w:rFonts w:ascii="Arial" w:cs="Arial" w:eastAsia="Arial" w:hAnsi="Arial"/>
                <w:sz w:val="18"/>
                <w:szCs w:val="18"/>
                <w:color w:val="auto"/>
              </w:rPr>
              <w:t>Title of Class of Securities</w:t>
            </w:r>
          </w:p>
        </w:tc>
      </w:tr>
      <w:tr>
        <w:trPr>
          <w:trHeight w:val="432"/>
        </w:trPr>
        <w:tc>
          <w:tcPr>
            <w:tcW w:w="760" w:type="dxa"/>
            <w:vAlign w:val="bottom"/>
          </w:tcPr>
          <w:p>
            <w:pPr>
              <w:spacing w:after="0"/>
              <w:rPr>
                <w:sz w:val="24"/>
                <w:szCs w:val="24"/>
                <w:color w:val="auto"/>
              </w:rPr>
            </w:pPr>
          </w:p>
        </w:tc>
        <w:tc>
          <w:tcPr>
            <w:tcW w:w="10020" w:type="dxa"/>
            <w:vAlign w:val="bottom"/>
            <w:gridSpan w:val="2"/>
          </w:tcPr>
          <w:p>
            <w:pPr>
              <w:ind w:left="120"/>
              <w:spacing w:after="0"/>
              <w:rPr>
                <w:sz w:val="20"/>
                <w:szCs w:val="20"/>
                <w:color w:val="auto"/>
              </w:rPr>
            </w:pPr>
            <w:r>
              <w:rPr>
                <w:rFonts w:ascii="Arial" w:cs="Arial" w:eastAsia="Arial" w:hAnsi="Arial"/>
                <w:sz w:val="18"/>
                <w:szCs w:val="18"/>
                <w:color w:val="auto"/>
              </w:rPr>
              <w:t>Common Stock, par value $0.01 per share.</w:t>
            </w:r>
          </w:p>
        </w:tc>
      </w:tr>
      <w:tr>
        <w:trPr>
          <w:trHeight w:val="270"/>
        </w:trPr>
        <w:tc>
          <w:tcPr>
            <w:tcW w:w="760" w:type="dxa"/>
            <w:vAlign w:val="bottom"/>
          </w:tcPr>
          <w:p>
            <w:pPr>
              <w:ind w:left="460"/>
              <w:spacing w:after="0"/>
              <w:rPr>
                <w:sz w:val="20"/>
                <w:szCs w:val="20"/>
                <w:color w:val="auto"/>
              </w:rPr>
            </w:pPr>
            <w:r>
              <w:rPr>
                <w:rFonts w:ascii="Arial" w:cs="Arial" w:eastAsia="Arial" w:hAnsi="Arial"/>
                <w:sz w:val="18"/>
                <w:szCs w:val="18"/>
                <w:color w:val="auto"/>
              </w:rPr>
              <w:t>(e)</w:t>
            </w:r>
          </w:p>
        </w:tc>
        <w:tc>
          <w:tcPr>
            <w:tcW w:w="10020" w:type="dxa"/>
            <w:vAlign w:val="bottom"/>
            <w:gridSpan w:val="2"/>
          </w:tcPr>
          <w:p>
            <w:pPr>
              <w:ind w:left="120"/>
              <w:spacing w:after="0"/>
              <w:rPr>
                <w:sz w:val="20"/>
                <w:szCs w:val="20"/>
                <w:color w:val="auto"/>
              </w:rPr>
            </w:pPr>
            <w:r>
              <w:rPr>
                <w:rFonts w:ascii="Arial" w:cs="Arial" w:eastAsia="Arial" w:hAnsi="Arial"/>
                <w:sz w:val="18"/>
                <w:szCs w:val="18"/>
                <w:color w:val="auto"/>
              </w:rPr>
              <w:t>CUSIP Number</w:t>
            </w:r>
          </w:p>
        </w:tc>
      </w:tr>
      <w:tr>
        <w:trPr>
          <w:trHeight w:val="432"/>
        </w:trPr>
        <w:tc>
          <w:tcPr>
            <w:tcW w:w="760" w:type="dxa"/>
            <w:vAlign w:val="bottom"/>
          </w:tcPr>
          <w:p>
            <w:pPr>
              <w:spacing w:after="0"/>
              <w:rPr>
                <w:sz w:val="24"/>
                <w:szCs w:val="24"/>
                <w:color w:val="auto"/>
              </w:rPr>
            </w:pPr>
          </w:p>
        </w:tc>
        <w:tc>
          <w:tcPr>
            <w:tcW w:w="10020" w:type="dxa"/>
            <w:vAlign w:val="bottom"/>
            <w:gridSpan w:val="2"/>
          </w:tcPr>
          <w:p>
            <w:pPr>
              <w:ind w:left="120"/>
              <w:spacing w:after="0"/>
              <w:rPr>
                <w:sz w:val="20"/>
                <w:szCs w:val="20"/>
                <w:color w:val="auto"/>
              </w:rPr>
            </w:pPr>
            <w:r>
              <w:rPr>
                <w:rFonts w:ascii="Arial" w:cs="Arial" w:eastAsia="Arial" w:hAnsi="Arial"/>
                <w:sz w:val="18"/>
                <w:szCs w:val="18"/>
                <w:color w:val="auto"/>
              </w:rPr>
              <w:t>313747206</w:t>
            </w:r>
          </w:p>
        </w:tc>
      </w:tr>
      <w:tr>
        <w:trPr>
          <w:trHeight w:val="567"/>
        </w:trPr>
        <w:tc>
          <w:tcPr>
            <w:tcW w:w="7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020" w:type="dxa"/>
            <w:vAlign w:val="bottom"/>
            <w:gridSpan w:val="2"/>
          </w:tcPr>
          <w:p>
            <w:pPr>
              <w:ind w:left="120"/>
              <w:spacing w:after="0"/>
              <w:rPr>
                <w:sz w:val="20"/>
                <w:szCs w:val="20"/>
                <w:color w:val="auto"/>
              </w:rPr>
            </w:pPr>
            <w:r>
              <w:rPr>
                <w:rFonts w:ascii="Arial" w:cs="Arial" w:eastAsia="Arial" w:hAnsi="Arial"/>
                <w:sz w:val="18"/>
                <w:szCs w:val="18"/>
                <w:b w:val="1"/>
                <w:bCs w:val="1"/>
                <w:color w:val="auto"/>
              </w:rPr>
              <w:t>If this statement is filed pursuant to §§240.13d-1(b) or 240.13d-2(b) or (c), check whether the person filing is a:</w:t>
            </w:r>
          </w:p>
        </w:tc>
      </w:tr>
      <w:tr>
        <w:trPr>
          <w:trHeight w:val="270"/>
        </w:trPr>
        <w:tc>
          <w:tcPr>
            <w:tcW w:w="760" w:type="dxa"/>
            <w:vAlign w:val="bottom"/>
          </w:tcPr>
          <w:p>
            <w:pPr>
              <w:ind w:left="460"/>
              <w:spacing w:after="0"/>
              <w:rPr>
                <w:sz w:val="20"/>
                <w:szCs w:val="20"/>
                <w:color w:val="auto"/>
              </w:rPr>
            </w:pPr>
            <w:r>
              <w:rPr>
                <w:rFonts w:ascii="Arial" w:cs="Arial" w:eastAsia="Arial" w:hAnsi="Arial"/>
                <w:sz w:val="18"/>
                <w:szCs w:val="18"/>
                <w:color w:val="auto"/>
              </w:rPr>
              <w:t>(a)</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760" w:type="dxa"/>
            <w:vAlign w:val="bottom"/>
          </w:tcPr>
          <w:p>
            <w:pPr>
              <w:ind w:left="100"/>
              <w:spacing w:after="0"/>
              <w:rPr>
                <w:sz w:val="20"/>
                <w:szCs w:val="20"/>
                <w:color w:val="auto"/>
              </w:rPr>
            </w:pPr>
            <w:r>
              <w:rPr>
                <w:rFonts w:ascii="Arial" w:cs="Arial" w:eastAsia="Arial" w:hAnsi="Arial"/>
                <w:sz w:val="18"/>
                <w:szCs w:val="18"/>
                <w:color w:val="auto"/>
              </w:rPr>
              <w:t>]  Broker or dealer registered under section 15 of the Act (15 U.S.C. 78o).</w:t>
            </w:r>
          </w:p>
        </w:tc>
      </w:tr>
      <w:tr>
        <w:trPr>
          <w:trHeight w:val="270"/>
        </w:trPr>
        <w:tc>
          <w:tcPr>
            <w:tcW w:w="760" w:type="dxa"/>
            <w:vAlign w:val="bottom"/>
          </w:tcPr>
          <w:p>
            <w:pPr>
              <w:ind w:left="460"/>
              <w:spacing w:after="0"/>
              <w:rPr>
                <w:sz w:val="20"/>
                <w:szCs w:val="20"/>
                <w:color w:val="auto"/>
              </w:rPr>
            </w:pPr>
            <w:r>
              <w:rPr>
                <w:rFonts w:ascii="Arial" w:cs="Arial" w:eastAsia="Arial" w:hAnsi="Arial"/>
                <w:sz w:val="18"/>
                <w:szCs w:val="18"/>
                <w:color w:val="auto"/>
              </w:rPr>
              <w:t>(b)</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760" w:type="dxa"/>
            <w:vAlign w:val="bottom"/>
          </w:tcPr>
          <w:p>
            <w:pPr>
              <w:ind w:left="100"/>
              <w:spacing w:after="0"/>
              <w:rPr>
                <w:sz w:val="20"/>
                <w:szCs w:val="20"/>
                <w:color w:val="auto"/>
              </w:rPr>
            </w:pPr>
            <w:r>
              <w:rPr>
                <w:rFonts w:ascii="Arial" w:cs="Arial" w:eastAsia="Arial" w:hAnsi="Arial"/>
                <w:sz w:val="18"/>
                <w:szCs w:val="18"/>
                <w:color w:val="auto"/>
              </w:rPr>
              <w:t>]  Bank as defined in section 3(a)(6) of the Act (15 U.S.C. 78c).</w:t>
            </w:r>
          </w:p>
        </w:tc>
      </w:tr>
      <w:tr>
        <w:trPr>
          <w:trHeight w:val="270"/>
        </w:trPr>
        <w:tc>
          <w:tcPr>
            <w:tcW w:w="760" w:type="dxa"/>
            <w:vAlign w:val="bottom"/>
          </w:tcPr>
          <w:p>
            <w:pPr>
              <w:ind w:left="460"/>
              <w:spacing w:after="0"/>
              <w:rPr>
                <w:sz w:val="20"/>
                <w:szCs w:val="20"/>
                <w:color w:val="auto"/>
              </w:rPr>
            </w:pPr>
            <w:r>
              <w:rPr>
                <w:rFonts w:ascii="Arial" w:cs="Arial" w:eastAsia="Arial" w:hAnsi="Arial"/>
                <w:sz w:val="18"/>
                <w:szCs w:val="18"/>
                <w:color w:val="auto"/>
              </w:rPr>
              <w:t>(c)</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760" w:type="dxa"/>
            <w:vAlign w:val="bottom"/>
          </w:tcPr>
          <w:p>
            <w:pPr>
              <w:ind w:left="100"/>
              <w:spacing w:after="0"/>
              <w:rPr>
                <w:sz w:val="20"/>
                <w:szCs w:val="20"/>
                <w:color w:val="auto"/>
              </w:rPr>
            </w:pPr>
            <w:r>
              <w:rPr>
                <w:rFonts w:ascii="Arial" w:cs="Arial" w:eastAsia="Arial" w:hAnsi="Arial"/>
                <w:sz w:val="18"/>
                <w:szCs w:val="18"/>
                <w:color w:val="auto"/>
              </w:rPr>
              <w:t>]  Insurance company as defined in section 3(a)(19) of the Act (15 U.S.C. 78c).</w:t>
            </w:r>
          </w:p>
        </w:tc>
      </w:tr>
      <w:tr>
        <w:trPr>
          <w:trHeight w:val="270"/>
        </w:trPr>
        <w:tc>
          <w:tcPr>
            <w:tcW w:w="760" w:type="dxa"/>
            <w:vAlign w:val="bottom"/>
          </w:tcPr>
          <w:p>
            <w:pPr>
              <w:ind w:left="460"/>
              <w:spacing w:after="0"/>
              <w:rPr>
                <w:sz w:val="20"/>
                <w:szCs w:val="20"/>
                <w:color w:val="auto"/>
              </w:rPr>
            </w:pPr>
            <w:r>
              <w:rPr>
                <w:rFonts w:ascii="Arial" w:cs="Arial" w:eastAsia="Arial" w:hAnsi="Arial"/>
                <w:sz w:val="18"/>
                <w:szCs w:val="18"/>
                <w:color w:val="auto"/>
              </w:rPr>
              <w:t>(d)</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760" w:type="dxa"/>
            <w:vAlign w:val="bottom"/>
          </w:tcPr>
          <w:p>
            <w:pPr>
              <w:ind w:left="100"/>
              <w:spacing w:after="0"/>
              <w:rPr>
                <w:sz w:val="20"/>
                <w:szCs w:val="20"/>
                <w:color w:val="auto"/>
              </w:rPr>
            </w:pPr>
            <w:r>
              <w:rPr>
                <w:rFonts w:ascii="Arial" w:cs="Arial" w:eastAsia="Arial" w:hAnsi="Arial"/>
                <w:sz w:val="18"/>
                <w:szCs w:val="18"/>
                <w:color w:val="auto"/>
              </w:rPr>
              <w:t>]  Investment company registered under section 8 of the Investment Company Act of 1940 (15 U.S.C 80a-8).</w:t>
            </w:r>
          </w:p>
        </w:tc>
      </w:tr>
      <w:tr>
        <w:trPr>
          <w:trHeight w:val="270"/>
        </w:trPr>
        <w:tc>
          <w:tcPr>
            <w:tcW w:w="760" w:type="dxa"/>
            <w:vAlign w:val="bottom"/>
          </w:tcPr>
          <w:p>
            <w:pPr>
              <w:ind w:left="460"/>
              <w:spacing w:after="0"/>
              <w:rPr>
                <w:sz w:val="20"/>
                <w:szCs w:val="20"/>
                <w:color w:val="auto"/>
              </w:rPr>
            </w:pPr>
            <w:r>
              <w:rPr>
                <w:rFonts w:ascii="Arial" w:cs="Arial" w:eastAsia="Arial" w:hAnsi="Arial"/>
                <w:sz w:val="18"/>
                <w:szCs w:val="18"/>
                <w:color w:val="auto"/>
              </w:rPr>
              <w:t>(e)</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760" w:type="dxa"/>
            <w:vAlign w:val="bottom"/>
          </w:tcPr>
          <w:p>
            <w:pPr>
              <w:ind w:left="100"/>
              <w:spacing w:after="0"/>
              <w:rPr>
                <w:sz w:val="20"/>
                <w:szCs w:val="20"/>
                <w:color w:val="auto"/>
              </w:rPr>
            </w:pPr>
            <w:r>
              <w:rPr>
                <w:rFonts w:ascii="Arial" w:cs="Arial" w:eastAsia="Arial" w:hAnsi="Arial"/>
                <w:sz w:val="18"/>
                <w:szCs w:val="18"/>
                <w:color w:val="auto"/>
              </w:rPr>
              <w:t>]  An investment adviser in accordance with §240.13d-1(b)(1)(ii)(E);</w:t>
            </w:r>
          </w:p>
        </w:tc>
      </w:tr>
      <w:tr>
        <w:trPr>
          <w:trHeight w:val="270"/>
        </w:trPr>
        <w:tc>
          <w:tcPr>
            <w:tcW w:w="760" w:type="dxa"/>
            <w:vAlign w:val="bottom"/>
          </w:tcPr>
          <w:p>
            <w:pPr>
              <w:ind w:left="460"/>
              <w:spacing w:after="0"/>
              <w:rPr>
                <w:sz w:val="20"/>
                <w:szCs w:val="20"/>
                <w:color w:val="auto"/>
              </w:rPr>
            </w:pPr>
            <w:r>
              <w:rPr>
                <w:rFonts w:ascii="Arial" w:cs="Arial" w:eastAsia="Arial" w:hAnsi="Arial"/>
                <w:sz w:val="18"/>
                <w:szCs w:val="18"/>
                <w:color w:val="auto"/>
              </w:rPr>
              <w:t>(f)</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760" w:type="dxa"/>
            <w:vAlign w:val="bottom"/>
          </w:tcPr>
          <w:p>
            <w:pPr>
              <w:ind w:left="100"/>
              <w:spacing w:after="0"/>
              <w:rPr>
                <w:sz w:val="20"/>
                <w:szCs w:val="20"/>
                <w:color w:val="auto"/>
              </w:rPr>
            </w:pPr>
            <w:r>
              <w:rPr>
                <w:rFonts w:ascii="Arial" w:cs="Arial" w:eastAsia="Arial" w:hAnsi="Arial"/>
                <w:sz w:val="18"/>
                <w:szCs w:val="18"/>
                <w:color w:val="auto"/>
              </w:rPr>
              <w:t>]  An employee benefit plan or endowment fund in accordance with §240.13d-1(b)(1)(ii)(F);</w:t>
            </w:r>
          </w:p>
        </w:tc>
      </w:tr>
      <w:tr>
        <w:trPr>
          <w:trHeight w:val="270"/>
        </w:trPr>
        <w:tc>
          <w:tcPr>
            <w:tcW w:w="760" w:type="dxa"/>
            <w:vAlign w:val="bottom"/>
          </w:tcPr>
          <w:p>
            <w:pPr>
              <w:ind w:left="460"/>
              <w:spacing w:after="0"/>
              <w:rPr>
                <w:sz w:val="20"/>
                <w:szCs w:val="20"/>
                <w:color w:val="auto"/>
              </w:rPr>
            </w:pPr>
            <w:r>
              <w:rPr>
                <w:rFonts w:ascii="Arial" w:cs="Arial" w:eastAsia="Arial" w:hAnsi="Arial"/>
                <w:sz w:val="18"/>
                <w:szCs w:val="18"/>
                <w:color w:val="auto"/>
              </w:rPr>
              <w:t>(g)</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760" w:type="dxa"/>
            <w:vAlign w:val="bottom"/>
          </w:tcPr>
          <w:p>
            <w:pPr>
              <w:ind w:left="100"/>
              <w:spacing w:after="0"/>
              <w:rPr>
                <w:sz w:val="20"/>
                <w:szCs w:val="20"/>
                <w:color w:val="auto"/>
              </w:rPr>
            </w:pPr>
            <w:r>
              <w:rPr>
                <w:rFonts w:ascii="Arial" w:cs="Arial" w:eastAsia="Arial" w:hAnsi="Arial"/>
                <w:sz w:val="18"/>
                <w:szCs w:val="18"/>
                <w:color w:val="auto"/>
              </w:rPr>
              <w:t>]  A parent holding company or control person in accordance with § 240.13d-1(b)(1)(ii)(G);</w:t>
            </w:r>
          </w:p>
        </w:tc>
      </w:tr>
      <w:tr>
        <w:trPr>
          <w:trHeight w:val="270"/>
        </w:trPr>
        <w:tc>
          <w:tcPr>
            <w:tcW w:w="760" w:type="dxa"/>
            <w:vAlign w:val="bottom"/>
          </w:tcPr>
          <w:p>
            <w:pPr>
              <w:ind w:left="460"/>
              <w:spacing w:after="0"/>
              <w:rPr>
                <w:sz w:val="20"/>
                <w:szCs w:val="20"/>
                <w:color w:val="auto"/>
              </w:rPr>
            </w:pPr>
            <w:r>
              <w:rPr>
                <w:rFonts w:ascii="Arial" w:cs="Arial" w:eastAsia="Arial" w:hAnsi="Arial"/>
                <w:sz w:val="18"/>
                <w:szCs w:val="18"/>
                <w:color w:val="auto"/>
              </w:rPr>
              <w:t>(h)</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760" w:type="dxa"/>
            <w:vAlign w:val="bottom"/>
          </w:tcPr>
          <w:p>
            <w:pPr>
              <w:ind w:left="100"/>
              <w:spacing w:after="0"/>
              <w:rPr>
                <w:sz w:val="20"/>
                <w:szCs w:val="20"/>
                <w:color w:val="auto"/>
              </w:rPr>
            </w:pPr>
            <w:r>
              <w:rPr>
                <w:rFonts w:ascii="Arial" w:cs="Arial" w:eastAsia="Arial" w:hAnsi="Arial"/>
                <w:sz w:val="18"/>
                <w:szCs w:val="18"/>
                <w:color w:val="auto"/>
              </w:rPr>
              <w:t>]  A savings associations as defined in Section 3(b) of the Federal Deposit Insurance Act (12 U.S.C. 1813);</w:t>
            </w:r>
          </w:p>
        </w:tc>
      </w:tr>
      <w:tr>
        <w:trPr>
          <w:trHeight w:val="264"/>
        </w:trPr>
        <w:tc>
          <w:tcPr>
            <w:tcW w:w="760" w:type="dxa"/>
            <w:vAlign w:val="bottom"/>
          </w:tcPr>
          <w:p>
            <w:pPr>
              <w:ind w:left="460"/>
              <w:spacing w:after="0"/>
              <w:rPr>
                <w:sz w:val="20"/>
                <w:szCs w:val="20"/>
                <w:color w:val="auto"/>
              </w:rPr>
            </w:pPr>
            <w:r>
              <w:rPr>
                <w:rFonts w:ascii="Arial" w:cs="Arial" w:eastAsia="Arial" w:hAnsi="Arial"/>
                <w:sz w:val="18"/>
                <w:szCs w:val="18"/>
                <w:color w:val="auto"/>
              </w:rPr>
              <w:t>(i)</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760" w:type="dxa"/>
            <w:vAlign w:val="bottom"/>
          </w:tcPr>
          <w:p>
            <w:pPr>
              <w:ind w:left="100"/>
              <w:spacing w:after="0"/>
              <w:rPr>
                <w:sz w:val="20"/>
                <w:szCs w:val="20"/>
                <w:color w:val="auto"/>
              </w:rPr>
            </w:pPr>
            <w:r>
              <w:rPr>
                <w:rFonts w:ascii="Arial" w:cs="Arial" w:eastAsia="Arial" w:hAnsi="Arial"/>
                <w:sz w:val="18"/>
                <w:szCs w:val="18"/>
                <w:color w:val="auto"/>
                <w:w w:val="91"/>
              </w:rPr>
              <w:t>]  A church plan that is excluded from the definition of an investment company under section 3(c)(14) of the Investment Company Act</w:t>
            </w:r>
          </w:p>
        </w:tc>
      </w:tr>
      <w:tr>
        <w:trPr>
          <w:trHeight w:val="222"/>
        </w:trPr>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rPr>
              <w:t>of 1940 (15 U.S.C. 80a-3);</w:t>
            </w:r>
          </w:p>
        </w:tc>
      </w:tr>
      <w:tr>
        <w:trPr>
          <w:trHeight w:val="270"/>
        </w:trPr>
        <w:tc>
          <w:tcPr>
            <w:tcW w:w="760" w:type="dxa"/>
            <w:vAlign w:val="bottom"/>
          </w:tcPr>
          <w:p>
            <w:pPr>
              <w:ind w:left="460"/>
              <w:spacing w:after="0"/>
              <w:rPr>
                <w:sz w:val="20"/>
                <w:szCs w:val="20"/>
                <w:color w:val="auto"/>
              </w:rPr>
            </w:pPr>
            <w:r>
              <w:rPr>
                <w:rFonts w:ascii="Arial" w:cs="Arial" w:eastAsia="Arial" w:hAnsi="Arial"/>
                <w:sz w:val="18"/>
                <w:szCs w:val="18"/>
                <w:color w:val="auto"/>
              </w:rPr>
              <w:t>(j)</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760" w:type="dxa"/>
            <w:vAlign w:val="bottom"/>
          </w:tcPr>
          <w:p>
            <w:pPr>
              <w:ind w:left="100"/>
              <w:spacing w:after="0"/>
              <w:rPr>
                <w:sz w:val="20"/>
                <w:szCs w:val="20"/>
                <w:color w:val="auto"/>
              </w:rPr>
            </w:pPr>
            <w:r>
              <w:rPr>
                <w:rFonts w:ascii="Arial" w:cs="Arial" w:eastAsia="Arial" w:hAnsi="Arial"/>
                <w:sz w:val="18"/>
                <w:szCs w:val="18"/>
                <w:color w:val="auto"/>
              </w:rPr>
              <w:t>]  Group, in accordance with §240.13d-1(b)(1)(ii)(J).</w:t>
            </w:r>
          </w:p>
        </w:tc>
      </w:tr>
    </w:tbl>
    <w:p>
      <w:pPr>
        <w:spacing w:after="0" w:line="200" w:lineRule="exact"/>
        <w:rPr>
          <w:sz w:val="20"/>
          <w:szCs w:val="20"/>
          <w:color w:val="auto"/>
        </w:rPr>
      </w:pPr>
    </w:p>
    <w:p>
      <w:pPr>
        <w:sectPr>
          <w:pgSz w:w="11900" w:h="16838" w:orient="portrait"/>
          <w:cols w:equalWidth="0" w:num="1">
            <w:col w:w="10780"/>
          </w:cols>
          <w:pgMar w:left="560" w:top="482" w:right="559" w:bottom="0" w:gutter="0" w:footer="0" w:header="0"/>
        </w:sectPr>
      </w:pPr>
    </w:p>
    <w:p>
      <w:pPr>
        <w:spacing w:after="0" w:line="13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ectPr>
          <w:pgSz w:w="11900" w:h="16838" w:orient="portrait"/>
          <w:cols w:equalWidth="0" w:num="1">
            <w:col w:w="10780"/>
          </w:cols>
          <w:pgMar w:left="560" w:top="482" w:right="559" w:bottom="0" w:gutter="0" w:footer="0" w:header="0"/>
          <w:type w:val="continuous"/>
        </w:sectPr>
      </w:pPr>
    </w:p>
    <w:bookmarkStart w:id="2" w:name="page3"/>
    <w:bookmarkEnd w:id="2"/>
    <w:p>
      <w:pPr>
        <w:ind w:left="880" w:hanging="429"/>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2,733,500</w:t>
      </w:r>
    </w:p>
    <w:p>
      <w:pPr>
        <w:spacing w:after="0" w:line="63" w:lineRule="exact"/>
        <w:rPr>
          <w:sz w:val="20"/>
          <w:szCs w:val="20"/>
          <w:color w:val="auto"/>
        </w:rPr>
      </w:pPr>
    </w:p>
    <w:p>
      <w:pPr>
        <w:ind w:left="880" w:hanging="429"/>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5.18%</w:t>
      </w:r>
    </w:p>
    <w:p>
      <w:pPr>
        <w:spacing w:after="0" w:line="63" w:lineRule="exact"/>
        <w:rPr>
          <w:sz w:val="20"/>
          <w:szCs w:val="20"/>
          <w:color w:val="auto"/>
        </w:rPr>
      </w:pPr>
    </w:p>
    <w:p>
      <w:pPr>
        <w:ind w:left="880" w:hanging="429"/>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63" w:lineRule="exact"/>
        <w:rPr>
          <w:rFonts w:ascii="Arial" w:cs="Arial" w:eastAsia="Arial" w:hAnsi="Arial"/>
          <w:sz w:val="18"/>
          <w:szCs w:val="18"/>
          <w:color w:val="auto"/>
        </w:rPr>
      </w:pPr>
    </w:p>
    <w:p>
      <w:pPr>
        <w:ind w:left="1320" w:hanging="437"/>
        <w:spacing w:after="0"/>
        <w:tabs>
          <w:tab w:leader="none" w:pos="13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2,733,500</w:t>
      </w:r>
    </w:p>
    <w:p>
      <w:pPr>
        <w:spacing w:after="0" w:line="63" w:lineRule="exact"/>
        <w:rPr>
          <w:sz w:val="20"/>
          <w:szCs w:val="20"/>
          <w:color w:val="auto"/>
        </w:rPr>
      </w:pPr>
    </w:p>
    <w:p>
      <w:pPr>
        <w:ind w:left="1320" w:hanging="437"/>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0</w:t>
      </w:r>
    </w:p>
    <w:p>
      <w:pPr>
        <w:spacing w:after="0" w:line="63" w:lineRule="exact"/>
        <w:rPr>
          <w:sz w:val="20"/>
          <w:szCs w:val="20"/>
          <w:color w:val="auto"/>
        </w:rPr>
      </w:pPr>
    </w:p>
    <w:p>
      <w:pPr>
        <w:ind w:left="880"/>
        <w:spacing w:after="0"/>
        <w:tabs>
          <w:tab w:leader="none" w:pos="130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5"/>
          <w:szCs w:val="15"/>
          <w:color w:val="auto"/>
        </w:rPr>
        <w:t>Sole power to dispose or to direct the disposition of</w:t>
      </w:r>
    </w:p>
    <w:p>
      <w:pPr>
        <w:spacing w:after="0" w:line="2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2,733,500</w:t>
      </w:r>
    </w:p>
    <w:p>
      <w:pPr>
        <w:spacing w:after="0" w:line="63" w:lineRule="exact"/>
        <w:rPr>
          <w:sz w:val="20"/>
          <w:szCs w:val="20"/>
          <w:color w:val="auto"/>
        </w:rPr>
      </w:pPr>
    </w:p>
    <w:p>
      <w:pPr>
        <w:ind w:left="1720" w:right="5660" w:hanging="837"/>
        <w:spacing w:after="0" w:line="519" w:lineRule="auto"/>
        <w:tabs>
          <w:tab w:leader="none" w:pos="132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9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69" w:lineRule="exact"/>
        <w:rPr>
          <w:sz w:val="20"/>
          <w:szCs w:val="20"/>
          <w:color w:val="auto"/>
        </w:rPr>
      </w:pPr>
    </w:p>
    <w:p>
      <w:pPr>
        <w:jc w:val="both"/>
        <w:ind w:firstLine="493"/>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880" w:hanging="877"/>
        <w:spacing w:after="0" w:line="275" w:lineRule="auto"/>
        <w:tabs>
          <w:tab w:leader="none" w:pos="8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37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Certifications</w:t>
      </w:r>
    </w:p>
    <w:p>
      <w:pPr>
        <w:spacing w:after="0" w:line="69" w:lineRule="exact"/>
        <w:rPr>
          <w:sz w:val="20"/>
          <w:szCs w:val="20"/>
          <w:color w:val="auto"/>
        </w:rPr>
      </w:pPr>
    </w:p>
    <w:p>
      <w:pPr>
        <w:jc w:val="both"/>
        <w:ind w:firstLine="928"/>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85" w:lineRule="exact"/>
        <w:rPr>
          <w:sz w:val="20"/>
          <w:szCs w:val="20"/>
          <w:color w:val="auto"/>
        </w:rPr>
      </w:pPr>
    </w:p>
    <w:p>
      <w:pPr>
        <w:jc w:val="both"/>
        <w:ind w:firstLine="392"/>
        <w:spacing w:after="0" w:line="26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2006</w:t>
      </w:r>
    </w:p>
    <w:p>
      <w:pPr>
        <w:spacing w:after="0" w:line="3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Stichting Pensioenfonds ABP</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Leo Palmen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3815080</wp:posOffset>
            </wp:positionH>
            <wp:positionV relativeFrom="paragraph">
              <wp:posOffset>58420</wp:posOffset>
            </wp:positionV>
            <wp:extent cx="3048635"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048635" cy="34290"/>
                    </a:xfrm>
                    <a:prstGeom prst="rect">
                      <a:avLst/>
                    </a:prstGeom>
                    <a:noFill/>
                  </pic:spPr>
                </pic:pic>
              </a:graphicData>
            </a:graphic>
          </wp:anchor>
        </w:drawing>
      </w:r>
    </w:p>
    <w:p>
      <w:pPr>
        <w:spacing w:after="0" w:line="178"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Leo Palmen</w:t>
      </w:r>
    </w:p>
    <w:p>
      <w:pPr>
        <w:spacing w:after="0" w:line="36" w:lineRule="exact"/>
        <w:rPr>
          <w:sz w:val="20"/>
          <w:szCs w:val="20"/>
          <w:color w:val="auto"/>
        </w:rPr>
      </w:pPr>
    </w:p>
    <w:p>
      <w:pPr>
        <w:ind w:left="5720"/>
        <w:spacing w:after="0"/>
        <w:tabs>
          <w:tab w:leader="none" w:pos="6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w:t>
      </w:r>
    </w:p>
    <w:p>
      <w:pPr>
        <w:sectPr>
          <w:pgSz w:w="11900" w:h="16838" w:orient="portrait"/>
          <w:cols w:equalWidth="0" w:num="1">
            <w:col w:w="10780"/>
          </w:cols>
          <w:pgMar w:left="560" w:top="131" w:right="559" w:bottom="2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175260</wp:posOffset>
            </wp:positionV>
            <wp:extent cx="684784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47840" cy="29845"/>
                    </a:xfrm>
                    <a:prstGeom prst="rect">
                      <a:avLst/>
                    </a:prstGeom>
                    <a:noFill/>
                  </pic:spPr>
                </pic:pic>
              </a:graphicData>
            </a:graphic>
          </wp:anchor>
        </w:drawing>
      </w:r>
    </w:p>
    <w:sectPr>
      <w:pgSz w:w="11900" w:h="16838" w:orient="portrait"/>
      <w:cols w:equalWidth="0" w:num="1">
        <w:col w:w="10780"/>
      </w:cols>
      <w:pgMar w:left="560" w:top="131" w:right="559" w:bottom="23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1"/>
    </w:lvl>
    <w:lvl w:ilvl="1">
      <w:lvlJc w:val="left"/>
      <w:lvlText w:val="%2."/>
      <w:numFmt w:val="decimal"/>
      <w:start w:val="8"/>
    </w:lvl>
  </w:abstractNum>
  <w:abstractNum w:abstractNumId="3">
    <w:nsid w:val="79E2A9E3"/>
    <w:multiLevelType w:val="hybridMultilevel"/>
    <w:lvl w:ilvl="0">
      <w:lvlJc w:val="left"/>
      <w:lvlText w:val="%1."/>
      <w:numFmt w:val="decimal"/>
      <w:start w:val="9"/>
    </w:lvl>
    <w:lvl w:ilvl="1">
      <w:lvlJc w:val="left"/>
      <w:lvlText w:val="%2"/>
      <w:numFmt w:val="decimal"/>
      <w:start w:val="1"/>
    </w:lvl>
  </w:abstractNum>
  <w:abstractNum w:abstractNumId="4">
    <w:nsid w:val="7545E146"/>
    <w:multiLevelType w:val="hybridMultilevel"/>
    <w:lvl w:ilvl="0">
      <w:lvlJc w:val="left"/>
      <w:lvlText w:val="%1."/>
      <w:numFmt w:val="decimal"/>
      <w:start w:val="11"/>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2"/>
    </w:lvl>
  </w:abstractNum>
  <w:abstractNum w:abstractNumId="8">
    <w:nsid w:val="4DB127F8"/>
    <w:multiLevelType w:val="hybridMultilevel"/>
    <w:lvl w:ilvl="0">
      <w:lvlJc w:val="left"/>
      <w:lvlText w:val="(%1)"/>
      <w:numFmt w:val="lowerLetter"/>
      <w:start w:val="3"/>
    </w:lvl>
    <w:lvl w:ilvl="1">
      <w:lvlJc w:val="left"/>
      <w:lvlText w:val="(%2)"/>
      <w:numFmt w:val="lowerLetter"/>
      <w:start w:val="9"/>
    </w:lvl>
  </w:abstractNum>
  <w:abstractNum w:abstractNumId="9">
    <w:nsid w:val="216231B"/>
    <w:multiLevelType w:val="hybridMultilevel"/>
    <w:lvl w:ilvl="0">
      <w:lvlJc w:val="left"/>
      <w:lvlText w:val="(%1)"/>
      <w:numFmt w:val="lowerRoman"/>
      <w:start w:val="2"/>
    </w:lvl>
  </w:abstractNum>
  <w:abstractNum w:abstractNumId="10">
    <w:nsid w:val="1F16E9E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2019-12-13T00:52:50Z</dcterms:created>
  <dcterms:modified xsi:type="dcterms:W3CDTF">2019-12-13T00:52:50Z</dcterms:modified>
</cp:coreProperties>
</file>