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6.00% Notes due 2012</w:t>
      </w:r>
    </w:p>
    <w:p>
      <w:pPr>
        <w:spacing w:after="0" w:line="123" w:lineRule="exact"/>
        <w:rPr>
          <w:sz w:val="24"/>
          <w:szCs w:val="24"/>
          <w:color w:val="auto"/>
        </w:rPr>
      </w:pPr>
    </w:p>
    <w:p>
      <w:pPr>
        <w:spacing w:after="0"/>
        <w:rPr>
          <w:sz w:val="20"/>
          <w:szCs w:val="20"/>
          <w:color w:val="auto"/>
        </w:rPr>
      </w:pPr>
      <w:r>
        <w:rPr>
          <w:rFonts w:ascii="Arial" w:cs="Arial" w:eastAsia="Arial" w:hAnsi="Arial"/>
          <w:sz w:val="15"/>
          <w:szCs w:val="15"/>
          <w:color w:val="auto"/>
        </w:rPr>
        <w:t>Term sheet dated September 25, 2006</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4"/>
          <w:szCs w:val="24"/>
          <w:color w:val="auto"/>
        </w:rPr>
      </w:pPr>
    </w:p>
    <w:p>
      <w:pPr>
        <w:ind w:right="340"/>
        <w:spacing w:after="0" w:line="306" w:lineRule="auto"/>
        <w:rPr>
          <w:sz w:val="20"/>
          <w:szCs w:val="20"/>
          <w:color w:val="auto"/>
        </w:rPr>
      </w:pPr>
      <w:r>
        <w:rPr>
          <w:rFonts w:ascii="Arial" w:cs="Arial" w:eastAsia="Arial" w:hAnsi="Arial"/>
          <w:sz w:val="16"/>
          <w:szCs w:val="16"/>
          <w:color w:val="auto"/>
        </w:rPr>
        <w:t>Aggregate Principal Amount of 6.00% Notes due 2012 Outstanding (after giving effect to this Offering):</w:t>
      </w:r>
    </w:p>
    <w:p>
      <w:pPr>
        <w:spacing w:after="0" w:line="66" w:lineRule="exact"/>
        <w:rPr>
          <w:sz w:val="24"/>
          <w:szCs w:val="24"/>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Yield and Price:</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First Payment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Record Dates: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Aggregate Price to Public: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Underwriting Discount</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September 25, 2006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333-135159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Supplementing Prospectus Supplement Dated September 25, 2006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June 20, 2006</w:t>
      </w:r>
    </w:p>
    <w:p>
      <w:pPr>
        <w:spacing w:after="0" w:line="227"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Federal Realty Investment Trust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$55,000,000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$175,000,000</w:t>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8"/>
          <w:szCs w:val="18"/>
          <w:color w:val="auto"/>
        </w:rPr>
        <w:t>6.00% per year</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5.421%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+92 basis points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4.375% UST due August 15, 2012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4.501%; 99-11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January 15 and July 15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January 15, 2007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July 15, 2012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102.838% of principal amount, plus accrued interest from July 17, 2006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T+3; September 28, 2006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December 31 and June 30</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$57,211,733.33 (including accrued interest from July 17, 2006)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0.6125%</w:t>
      </w:r>
    </w:p>
    <w:p>
      <w:pPr>
        <w:sectPr>
          <w:pgSz w:w="11900" w:h="16838" w:orient="portrait"/>
          <w:cols w:equalWidth="0" w:num="2">
            <w:col w:w="3060" w:space="720"/>
            <w:col w:w="7640"/>
          </w:cols>
          <w:pgMar w:left="240" w:top="23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Net Proceeds to the Company</w:t>
            </w:r>
          </w:p>
        </w:tc>
        <w:tc>
          <w:tcPr>
            <w:tcW w:w="6000" w:type="dxa"/>
            <w:vAlign w:val="bottom"/>
          </w:tcPr>
          <w:p>
            <w:pPr>
              <w:ind w:left="580"/>
              <w:spacing w:after="0"/>
              <w:rPr>
                <w:sz w:val="20"/>
                <w:szCs w:val="20"/>
                <w:color w:val="auto"/>
              </w:rPr>
            </w:pPr>
            <w:r>
              <w:rPr>
                <w:rFonts w:ascii="Arial" w:cs="Arial" w:eastAsia="Arial" w:hAnsi="Arial"/>
                <w:sz w:val="18"/>
                <w:szCs w:val="18"/>
                <w:color w:val="auto"/>
              </w:rPr>
              <w:t>$56,874,858.33 (including accrued</w:t>
            </w:r>
          </w:p>
        </w:tc>
        <w:tc>
          <w:tcPr>
            <w:tcW w:w="18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before Expenses:</w:t>
            </w:r>
          </w:p>
        </w:tc>
        <w:tc>
          <w:tcPr>
            <w:tcW w:w="6000" w:type="dxa"/>
            <w:vAlign w:val="bottom"/>
          </w:tcPr>
          <w:p>
            <w:pPr>
              <w:ind w:left="580"/>
              <w:spacing w:after="0"/>
              <w:rPr>
                <w:sz w:val="20"/>
                <w:szCs w:val="20"/>
                <w:color w:val="auto"/>
              </w:rPr>
            </w:pPr>
            <w:r>
              <w:rPr>
                <w:rFonts w:ascii="Arial" w:cs="Arial" w:eastAsia="Arial" w:hAnsi="Arial"/>
                <w:sz w:val="18"/>
                <w:szCs w:val="18"/>
                <w:color w:val="auto"/>
              </w:rPr>
              <w:t>interest from July 17, 2006)</w:t>
            </w: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338"/>
        </w:trPr>
        <w:tc>
          <w:tcPr>
            <w:tcW w:w="2720" w:type="dxa"/>
            <w:vAlign w:val="bottom"/>
          </w:tcPr>
          <w:p>
            <w:pPr>
              <w:spacing w:after="0"/>
              <w:rPr>
                <w:sz w:val="20"/>
                <w:szCs w:val="20"/>
                <w:color w:val="auto"/>
              </w:rPr>
            </w:pPr>
            <w:r>
              <w:rPr>
                <w:rFonts w:ascii="Arial" w:cs="Arial" w:eastAsia="Arial" w:hAnsi="Arial"/>
                <w:sz w:val="18"/>
                <w:szCs w:val="18"/>
                <w:color w:val="auto"/>
              </w:rPr>
              <w:t>Dealer Concession:</w:t>
            </w:r>
          </w:p>
        </w:tc>
        <w:tc>
          <w:tcPr>
            <w:tcW w:w="6000" w:type="dxa"/>
            <w:vAlign w:val="bottom"/>
          </w:tcPr>
          <w:p>
            <w:pPr>
              <w:ind w:left="580"/>
              <w:spacing w:after="0"/>
              <w:rPr>
                <w:sz w:val="20"/>
                <w:szCs w:val="20"/>
                <w:color w:val="auto"/>
              </w:rPr>
            </w:pPr>
            <w:r>
              <w:rPr>
                <w:rFonts w:ascii="Arial" w:cs="Arial" w:eastAsia="Arial" w:hAnsi="Arial"/>
                <w:sz w:val="18"/>
                <w:szCs w:val="18"/>
                <w:color w:val="auto"/>
              </w:rPr>
              <w:t>0.350%</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Reallowance:</w:t>
            </w:r>
          </w:p>
        </w:tc>
        <w:tc>
          <w:tcPr>
            <w:tcW w:w="6000" w:type="dxa"/>
            <w:vAlign w:val="bottom"/>
          </w:tcPr>
          <w:p>
            <w:pPr>
              <w:ind w:left="580"/>
              <w:spacing w:after="0"/>
              <w:rPr>
                <w:sz w:val="20"/>
                <w:szCs w:val="20"/>
                <w:color w:val="auto"/>
              </w:rPr>
            </w:pPr>
            <w:r>
              <w:rPr>
                <w:rFonts w:ascii="Arial" w:cs="Arial" w:eastAsia="Arial" w:hAnsi="Arial"/>
                <w:sz w:val="18"/>
                <w:szCs w:val="18"/>
                <w:color w:val="auto"/>
              </w:rPr>
              <w:t>0.250%</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CUSIP:</w:t>
            </w:r>
          </w:p>
        </w:tc>
        <w:tc>
          <w:tcPr>
            <w:tcW w:w="6000" w:type="dxa"/>
            <w:vAlign w:val="bottom"/>
          </w:tcPr>
          <w:p>
            <w:pPr>
              <w:ind w:left="580"/>
              <w:spacing w:after="0"/>
              <w:rPr>
                <w:sz w:val="20"/>
                <w:szCs w:val="20"/>
                <w:color w:val="auto"/>
              </w:rPr>
            </w:pPr>
            <w:r>
              <w:rPr>
                <w:rFonts w:ascii="Arial" w:cs="Arial" w:eastAsia="Arial" w:hAnsi="Arial"/>
                <w:sz w:val="18"/>
                <w:szCs w:val="18"/>
                <w:color w:val="auto"/>
              </w:rPr>
              <w:t>313747AM9</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Sole Book-Running Manager:</w:t>
            </w:r>
          </w:p>
        </w:tc>
        <w:tc>
          <w:tcPr>
            <w:tcW w:w="6000" w:type="dxa"/>
            <w:vAlign w:val="bottom"/>
          </w:tcPr>
          <w:p>
            <w:pPr>
              <w:ind w:left="580"/>
              <w:spacing w:after="0"/>
              <w:rPr>
                <w:sz w:val="20"/>
                <w:szCs w:val="20"/>
                <w:color w:val="auto"/>
              </w:rPr>
            </w:pPr>
            <w:r>
              <w:rPr>
                <w:rFonts w:ascii="Arial" w:cs="Arial" w:eastAsia="Arial" w:hAnsi="Arial"/>
                <w:sz w:val="18"/>
                <w:szCs w:val="18"/>
                <w:color w:val="auto"/>
              </w:rPr>
              <w:t>Wachovia Capital Markets, LLC</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33,000,000</w:t>
            </w:r>
          </w:p>
        </w:tc>
      </w:tr>
      <w:tr>
        <w:trPr>
          <w:trHeight w:val="318"/>
        </w:trPr>
        <w:tc>
          <w:tcPr>
            <w:tcW w:w="2720" w:type="dxa"/>
            <w:vAlign w:val="bottom"/>
          </w:tcPr>
          <w:p>
            <w:pPr>
              <w:spacing w:after="0"/>
              <w:rPr>
                <w:sz w:val="20"/>
                <w:szCs w:val="20"/>
                <w:color w:val="auto"/>
              </w:rPr>
            </w:pPr>
            <w:r>
              <w:rPr>
                <w:rFonts w:ascii="Arial" w:cs="Arial" w:eastAsia="Arial" w:hAnsi="Arial"/>
                <w:sz w:val="18"/>
                <w:szCs w:val="18"/>
                <w:color w:val="auto"/>
              </w:rPr>
              <w:t>Co-Managers:</w:t>
            </w:r>
          </w:p>
        </w:tc>
        <w:tc>
          <w:tcPr>
            <w:tcW w:w="6000" w:type="dxa"/>
            <w:vAlign w:val="bottom"/>
          </w:tcPr>
          <w:p>
            <w:pPr>
              <w:ind w:left="580"/>
              <w:spacing w:after="0"/>
              <w:rPr>
                <w:sz w:val="20"/>
                <w:szCs w:val="20"/>
                <w:color w:val="auto"/>
              </w:rPr>
            </w:pPr>
            <w:r>
              <w:rPr>
                <w:rFonts w:ascii="Arial" w:cs="Arial" w:eastAsia="Arial" w:hAnsi="Arial"/>
                <w:sz w:val="18"/>
                <w:szCs w:val="18"/>
                <w:color w:val="auto"/>
              </w:rPr>
              <w:t>Bear, Stearns &amp; Co. Inc</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5,500,000</w:t>
            </w:r>
          </w:p>
        </w:tc>
      </w:tr>
      <w:tr>
        <w:trPr>
          <w:trHeight w:val="216"/>
        </w:trPr>
        <w:tc>
          <w:tcPr>
            <w:tcW w:w="2720" w:type="dxa"/>
            <w:vAlign w:val="bottom"/>
          </w:tcPr>
          <w:p>
            <w:pPr>
              <w:spacing w:after="0"/>
              <w:rPr>
                <w:sz w:val="18"/>
                <w:szCs w:val="18"/>
                <w:color w:val="auto"/>
              </w:rPr>
            </w:pPr>
          </w:p>
        </w:tc>
        <w:tc>
          <w:tcPr>
            <w:tcW w:w="6000" w:type="dxa"/>
            <w:vAlign w:val="bottom"/>
          </w:tcPr>
          <w:p>
            <w:pPr>
              <w:ind w:left="580"/>
              <w:spacing w:after="0"/>
              <w:rPr>
                <w:sz w:val="20"/>
                <w:szCs w:val="20"/>
                <w:color w:val="auto"/>
              </w:rPr>
            </w:pPr>
            <w:r>
              <w:rPr>
                <w:rFonts w:ascii="Arial" w:cs="Arial" w:eastAsia="Arial" w:hAnsi="Arial"/>
                <w:sz w:val="18"/>
                <w:szCs w:val="18"/>
                <w:color w:val="auto"/>
              </w:rPr>
              <w:t>Citigroup Global Markets Inc</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5,500,000</w:t>
            </w:r>
          </w:p>
        </w:tc>
      </w:tr>
      <w:tr>
        <w:trPr>
          <w:trHeight w:val="216"/>
        </w:trPr>
        <w:tc>
          <w:tcPr>
            <w:tcW w:w="2720" w:type="dxa"/>
            <w:vAlign w:val="bottom"/>
          </w:tcPr>
          <w:p>
            <w:pPr>
              <w:spacing w:after="0"/>
              <w:rPr>
                <w:sz w:val="18"/>
                <w:szCs w:val="18"/>
                <w:color w:val="auto"/>
              </w:rPr>
            </w:pPr>
          </w:p>
        </w:tc>
        <w:tc>
          <w:tcPr>
            <w:tcW w:w="6000" w:type="dxa"/>
            <w:vAlign w:val="bottom"/>
          </w:tcPr>
          <w:p>
            <w:pPr>
              <w:ind w:left="580"/>
              <w:spacing w:after="0"/>
              <w:rPr>
                <w:sz w:val="20"/>
                <w:szCs w:val="20"/>
                <w:color w:val="auto"/>
              </w:rPr>
            </w:pPr>
            <w:r>
              <w:rPr>
                <w:rFonts w:ascii="Arial" w:cs="Arial" w:eastAsia="Arial" w:hAnsi="Arial"/>
                <w:sz w:val="18"/>
                <w:szCs w:val="18"/>
                <w:color w:val="auto"/>
              </w:rPr>
              <w:t>Merrill Lynch, Pierce, Fenner &amp; Smith Incorporated</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5,500,000</w:t>
            </w:r>
          </w:p>
        </w:tc>
      </w:tr>
      <w:tr>
        <w:trPr>
          <w:trHeight w:val="222"/>
        </w:trPr>
        <w:tc>
          <w:tcPr>
            <w:tcW w:w="2720" w:type="dxa"/>
            <w:vAlign w:val="bottom"/>
          </w:tcPr>
          <w:p>
            <w:pPr>
              <w:spacing w:after="0"/>
              <w:rPr>
                <w:sz w:val="19"/>
                <w:szCs w:val="19"/>
                <w:color w:val="auto"/>
              </w:rPr>
            </w:pPr>
          </w:p>
        </w:tc>
        <w:tc>
          <w:tcPr>
            <w:tcW w:w="6000" w:type="dxa"/>
            <w:vAlign w:val="bottom"/>
          </w:tcPr>
          <w:p>
            <w:pPr>
              <w:ind w:left="580"/>
              <w:spacing w:after="0"/>
              <w:rPr>
                <w:sz w:val="20"/>
                <w:szCs w:val="20"/>
                <w:color w:val="auto"/>
              </w:rPr>
            </w:pPr>
            <w:r>
              <w:rPr>
                <w:rFonts w:ascii="Arial" w:cs="Arial" w:eastAsia="Arial" w:hAnsi="Arial"/>
                <w:sz w:val="18"/>
                <w:szCs w:val="18"/>
                <w:color w:val="auto"/>
              </w:rPr>
              <w:t>RBC Capital Markets Corporation</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5,500,000</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80"/>
        <w:spacing w:after="0" w:line="332" w:lineRule="auto"/>
        <w:rPr>
          <w:sz w:val="20"/>
          <w:szCs w:val="20"/>
          <w:color w:val="auto"/>
        </w:rPr>
      </w:pPr>
      <w:r>
        <w:rPr>
          <w:rFonts w:ascii="Arial" w:cs="Arial" w:eastAsia="Arial" w:hAnsi="Arial"/>
          <w:sz w:val="16"/>
          <w:szCs w:val="16"/>
          <w:color w:val="auto"/>
        </w:rPr>
        <w:t>This issuance of the 6.00% Notes due 2012 constitutes a reopening of, and will be fully fungible with, will rank equally with and will form a single issue and series with, the Company’s 6.00% Notes due 2012, originally issued on July 17, 2006 in the principal amount of $120,000,000.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20"/>
                <w:szCs w:val="20"/>
                <w:color w:val="auto"/>
              </w:rPr>
            </w:pPr>
            <w:r>
              <w:rPr>
                <w:rFonts w:ascii="Arial" w:cs="Arial" w:eastAsia="Arial" w:hAnsi="Arial"/>
                <w:sz w:val="18"/>
                <w:szCs w:val="18"/>
                <w:b w:val="1"/>
                <w:bCs w:val="1"/>
                <w:color w:val="auto"/>
              </w:rPr>
              <w:t>6.20% Notes due 2017</w:t>
            </w:r>
          </w:p>
        </w:tc>
        <w:tc>
          <w:tcPr>
            <w:tcW w:w="29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Term sheet dated September 25, 2006</w:t>
            </w:r>
          </w:p>
        </w:tc>
        <w:tc>
          <w:tcPr>
            <w:tcW w:w="29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Principal Amount:</w:t>
            </w:r>
          </w:p>
        </w:tc>
        <w:tc>
          <w:tcPr>
            <w:tcW w:w="2980" w:type="dxa"/>
            <w:vAlign w:val="bottom"/>
          </w:tcPr>
          <w:p>
            <w:pPr>
              <w:ind w:left="160"/>
              <w:spacing w:after="0"/>
              <w:rPr>
                <w:sz w:val="20"/>
                <w:szCs w:val="20"/>
                <w:color w:val="auto"/>
              </w:rPr>
            </w:pPr>
            <w:r>
              <w:rPr>
                <w:rFonts w:ascii="Arial" w:cs="Arial" w:eastAsia="Arial" w:hAnsi="Arial"/>
                <w:sz w:val="18"/>
                <w:szCs w:val="18"/>
                <w:color w:val="auto"/>
              </w:rPr>
              <w:t>$70,000,000</w:t>
            </w:r>
          </w:p>
        </w:tc>
        <w:tc>
          <w:tcPr>
            <w:tcW w:w="2240" w:type="dxa"/>
            <w:vAlign w:val="bottom"/>
          </w:tcPr>
          <w:p>
            <w:pPr>
              <w:spacing w:after="0"/>
              <w:rPr>
                <w:sz w:val="24"/>
                <w:szCs w:val="24"/>
                <w:color w:val="auto"/>
              </w:rPr>
            </w:pPr>
          </w:p>
        </w:tc>
      </w:tr>
      <w:tr>
        <w:trPr>
          <w:trHeight w:val="318"/>
        </w:trPr>
        <w:tc>
          <w:tcPr>
            <w:tcW w:w="3620" w:type="dxa"/>
            <w:vAlign w:val="bottom"/>
          </w:tcPr>
          <w:p>
            <w:pPr>
              <w:spacing w:after="0"/>
              <w:rPr>
                <w:sz w:val="20"/>
                <w:szCs w:val="20"/>
                <w:color w:val="auto"/>
              </w:rPr>
            </w:pPr>
            <w:r>
              <w:rPr>
                <w:rFonts w:ascii="Arial" w:cs="Arial" w:eastAsia="Arial" w:hAnsi="Arial"/>
                <w:sz w:val="18"/>
                <w:szCs w:val="18"/>
                <w:color w:val="auto"/>
                <w:w w:val="92"/>
              </w:rPr>
              <w:t>Aggregate Principal Amount of 6.20% Notes due</w:t>
            </w:r>
          </w:p>
        </w:tc>
        <w:tc>
          <w:tcPr>
            <w:tcW w:w="2980" w:type="dxa"/>
            <w:vAlign w:val="bottom"/>
          </w:tcPr>
          <w:p>
            <w:pPr>
              <w:ind w:left="160"/>
              <w:spacing w:after="0"/>
              <w:rPr>
                <w:sz w:val="20"/>
                <w:szCs w:val="20"/>
                <w:color w:val="auto"/>
              </w:rPr>
            </w:pPr>
            <w:r>
              <w:rPr>
                <w:rFonts w:ascii="Arial" w:cs="Arial" w:eastAsia="Arial" w:hAnsi="Arial"/>
                <w:sz w:val="18"/>
                <w:szCs w:val="18"/>
                <w:color w:val="auto"/>
              </w:rPr>
              <w:t>$200,000,000</w:t>
            </w:r>
          </w:p>
        </w:tc>
        <w:tc>
          <w:tcPr>
            <w:tcW w:w="2240" w:type="dxa"/>
            <w:vAlign w:val="bottom"/>
          </w:tcPr>
          <w:p>
            <w:pPr>
              <w:spacing w:after="0"/>
              <w:rPr>
                <w:sz w:val="24"/>
                <w:szCs w:val="24"/>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2017 Outstanding (after giving effect to this</w:t>
            </w: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Offering):</w:t>
            </w:r>
          </w:p>
        </w:tc>
        <w:tc>
          <w:tcPr>
            <w:tcW w:w="29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Coupon (Interest Rate):</w:t>
            </w:r>
          </w:p>
        </w:tc>
        <w:tc>
          <w:tcPr>
            <w:tcW w:w="2980" w:type="dxa"/>
            <w:vAlign w:val="bottom"/>
          </w:tcPr>
          <w:p>
            <w:pPr>
              <w:ind w:left="160"/>
              <w:spacing w:after="0"/>
              <w:rPr>
                <w:sz w:val="20"/>
                <w:szCs w:val="20"/>
                <w:color w:val="auto"/>
              </w:rPr>
            </w:pPr>
            <w:r>
              <w:rPr>
                <w:rFonts w:ascii="Arial" w:cs="Arial" w:eastAsia="Arial" w:hAnsi="Arial"/>
                <w:sz w:val="18"/>
                <w:szCs w:val="18"/>
                <w:color w:val="auto"/>
              </w:rPr>
              <w:t>6.20% per year</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Yield to Maturity:</w:t>
            </w:r>
          </w:p>
        </w:tc>
        <w:tc>
          <w:tcPr>
            <w:tcW w:w="2980" w:type="dxa"/>
            <w:vAlign w:val="bottom"/>
          </w:tcPr>
          <w:p>
            <w:pPr>
              <w:ind w:left="160"/>
              <w:spacing w:after="0"/>
              <w:rPr>
                <w:sz w:val="20"/>
                <w:szCs w:val="20"/>
                <w:color w:val="auto"/>
              </w:rPr>
            </w:pPr>
            <w:r>
              <w:rPr>
                <w:rFonts w:ascii="Arial" w:cs="Arial" w:eastAsia="Arial" w:hAnsi="Arial"/>
                <w:sz w:val="18"/>
                <w:szCs w:val="18"/>
                <w:color w:val="auto"/>
              </w:rPr>
              <w:t>5.674%</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2980" w:type="dxa"/>
            <w:vAlign w:val="bottom"/>
          </w:tcPr>
          <w:p>
            <w:pPr>
              <w:ind w:left="160"/>
              <w:spacing w:after="0"/>
              <w:rPr>
                <w:sz w:val="20"/>
                <w:szCs w:val="20"/>
                <w:color w:val="auto"/>
              </w:rPr>
            </w:pPr>
            <w:r>
              <w:rPr>
                <w:rFonts w:ascii="Arial" w:cs="Arial" w:eastAsia="Arial" w:hAnsi="Arial"/>
                <w:sz w:val="18"/>
                <w:szCs w:val="18"/>
                <w:color w:val="auto"/>
              </w:rPr>
              <w:t>+112 basis points</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Benchmark Treasury:</w:t>
            </w:r>
          </w:p>
        </w:tc>
        <w:tc>
          <w:tcPr>
            <w:tcW w:w="2980" w:type="dxa"/>
            <w:vAlign w:val="bottom"/>
          </w:tcPr>
          <w:p>
            <w:pPr>
              <w:ind w:left="160"/>
              <w:spacing w:after="0"/>
              <w:rPr>
                <w:sz w:val="20"/>
                <w:szCs w:val="20"/>
                <w:color w:val="auto"/>
              </w:rPr>
            </w:pPr>
            <w:r>
              <w:rPr>
                <w:rFonts w:ascii="Arial" w:cs="Arial" w:eastAsia="Arial" w:hAnsi="Arial"/>
                <w:sz w:val="18"/>
                <w:szCs w:val="18"/>
                <w:color w:val="auto"/>
              </w:rPr>
              <w:t>4.875% UST due August 15, 2016</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Benchmark Treasury Yield and Price:</w:t>
            </w:r>
          </w:p>
        </w:tc>
        <w:tc>
          <w:tcPr>
            <w:tcW w:w="2980" w:type="dxa"/>
            <w:vAlign w:val="bottom"/>
          </w:tcPr>
          <w:p>
            <w:pPr>
              <w:ind w:left="160"/>
              <w:spacing w:after="0"/>
              <w:rPr>
                <w:sz w:val="20"/>
                <w:szCs w:val="20"/>
                <w:color w:val="auto"/>
              </w:rPr>
            </w:pPr>
            <w:r>
              <w:rPr>
                <w:rFonts w:ascii="Arial" w:cs="Arial" w:eastAsia="Arial" w:hAnsi="Arial"/>
                <w:sz w:val="18"/>
                <w:szCs w:val="18"/>
                <w:color w:val="auto"/>
              </w:rPr>
              <w:t>4.554%; 102-17</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2980" w:type="dxa"/>
            <w:vAlign w:val="bottom"/>
          </w:tcPr>
          <w:p>
            <w:pPr>
              <w:ind w:left="160"/>
              <w:spacing w:after="0"/>
              <w:rPr>
                <w:sz w:val="20"/>
                <w:szCs w:val="20"/>
                <w:color w:val="auto"/>
              </w:rPr>
            </w:pPr>
            <w:r>
              <w:rPr>
                <w:rFonts w:ascii="Arial" w:cs="Arial" w:eastAsia="Arial" w:hAnsi="Arial"/>
                <w:sz w:val="18"/>
                <w:szCs w:val="18"/>
                <w:color w:val="auto"/>
              </w:rPr>
              <w:t>January 15 and July 15</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First Payment Date:</w:t>
            </w:r>
          </w:p>
        </w:tc>
        <w:tc>
          <w:tcPr>
            <w:tcW w:w="2980" w:type="dxa"/>
            <w:vAlign w:val="bottom"/>
          </w:tcPr>
          <w:p>
            <w:pPr>
              <w:ind w:left="160"/>
              <w:spacing w:after="0"/>
              <w:rPr>
                <w:sz w:val="20"/>
                <w:szCs w:val="20"/>
                <w:color w:val="auto"/>
              </w:rPr>
            </w:pPr>
            <w:r>
              <w:rPr>
                <w:rFonts w:ascii="Arial" w:cs="Arial" w:eastAsia="Arial" w:hAnsi="Arial"/>
                <w:sz w:val="18"/>
                <w:szCs w:val="18"/>
                <w:color w:val="auto"/>
              </w:rPr>
              <w:t>January 15, 2007</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Maturity Date:</w:t>
            </w:r>
          </w:p>
        </w:tc>
        <w:tc>
          <w:tcPr>
            <w:tcW w:w="2980" w:type="dxa"/>
            <w:vAlign w:val="bottom"/>
          </w:tcPr>
          <w:p>
            <w:pPr>
              <w:ind w:left="160"/>
              <w:spacing w:after="0"/>
              <w:rPr>
                <w:sz w:val="20"/>
                <w:szCs w:val="20"/>
                <w:color w:val="auto"/>
              </w:rPr>
            </w:pPr>
            <w:r>
              <w:rPr>
                <w:rFonts w:ascii="Arial" w:cs="Arial" w:eastAsia="Arial" w:hAnsi="Arial"/>
                <w:sz w:val="18"/>
                <w:szCs w:val="18"/>
                <w:color w:val="auto"/>
              </w:rPr>
              <w:t>January 15, 2017</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Price to Public:</w:t>
            </w: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w w:val="88"/>
              </w:rPr>
              <w:t>104.049% of principal amount, plus accrued interest from July 17, 2006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Settlement Date:</w:t>
            </w:r>
          </w:p>
        </w:tc>
        <w:tc>
          <w:tcPr>
            <w:tcW w:w="2980" w:type="dxa"/>
            <w:vAlign w:val="bottom"/>
          </w:tcPr>
          <w:p>
            <w:pPr>
              <w:ind w:left="160"/>
              <w:spacing w:after="0"/>
              <w:rPr>
                <w:sz w:val="20"/>
                <w:szCs w:val="20"/>
                <w:color w:val="auto"/>
              </w:rPr>
            </w:pPr>
            <w:r>
              <w:rPr>
                <w:rFonts w:ascii="Arial" w:cs="Arial" w:eastAsia="Arial" w:hAnsi="Arial"/>
                <w:sz w:val="18"/>
                <w:szCs w:val="18"/>
                <w:color w:val="auto"/>
              </w:rPr>
              <w:t>T+3; September 28, 2006</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Record Dates:</w:t>
            </w:r>
          </w:p>
        </w:tc>
        <w:tc>
          <w:tcPr>
            <w:tcW w:w="2980" w:type="dxa"/>
            <w:vAlign w:val="bottom"/>
          </w:tcPr>
          <w:p>
            <w:pPr>
              <w:ind w:left="160"/>
              <w:spacing w:after="0"/>
              <w:rPr>
                <w:sz w:val="20"/>
                <w:szCs w:val="20"/>
                <w:color w:val="auto"/>
              </w:rPr>
            </w:pPr>
            <w:r>
              <w:rPr>
                <w:rFonts w:ascii="Arial" w:cs="Arial" w:eastAsia="Arial" w:hAnsi="Arial"/>
                <w:sz w:val="18"/>
                <w:szCs w:val="18"/>
                <w:color w:val="auto"/>
              </w:rPr>
              <w:t>December 31 and June 30</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Aggregate Price to Public:</w:t>
            </w:r>
          </w:p>
        </w:tc>
        <w:tc>
          <w:tcPr>
            <w:tcW w:w="5220" w:type="dxa"/>
            <w:vAlign w:val="bottom"/>
            <w:gridSpan w:val="2"/>
          </w:tcPr>
          <w:p>
            <w:pPr>
              <w:ind w:left="160"/>
              <w:spacing w:after="0"/>
              <w:rPr>
                <w:sz w:val="20"/>
                <w:szCs w:val="20"/>
                <w:color w:val="auto"/>
              </w:rPr>
            </w:pPr>
            <w:r>
              <w:rPr>
                <w:rFonts w:ascii="Arial" w:cs="Arial" w:eastAsia="Arial" w:hAnsi="Arial"/>
                <w:sz w:val="18"/>
                <w:szCs w:val="18"/>
                <w:color w:val="auto"/>
              </w:rPr>
              <w:t>$73,690,244.44 (including accrued interest from July 17, 2006)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Underwriting Discount</w:t>
            </w:r>
          </w:p>
        </w:tc>
        <w:tc>
          <w:tcPr>
            <w:tcW w:w="2980" w:type="dxa"/>
            <w:vAlign w:val="bottom"/>
          </w:tcPr>
          <w:p>
            <w:pPr>
              <w:ind w:left="160"/>
              <w:spacing w:after="0"/>
              <w:rPr>
                <w:sz w:val="20"/>
                <w:szCs w:val="20"/>
                <w:color w:val="auto"/>
              </w:rPr>
            </w:pPr>
            <w:r>
              <w:rPr>
                <w:rFonts w:ascii="Arial" w:cs="Arial" w:eastAsia="Arial" w:hAnsi="Arial"/>
                <w:sz w:val="18"/>
                <w:szCs w:val="18"/>
                <w:color w:val="auto"/>
              </w:rPr>
              <w:t>0.650%</w:t>
            </w:r>
          </w:p>
        </w:tc>
        <w:tc>
          <w:tcPr>
            <w:tcW w:w="2240" w:type="dxa"/>
            <w:vAlign w:val="bottom"/>
          </w:tcPr>
          <w:p>
            <w:pPr>
              <w:spacing w:after="0"/>
              <w:rPr>
                <w:sz w:val="24"/>
                <w:szCs w:val="24"/>
                <w:color w:val="auto"/>
              </w:rPr>
            </w:pPr>
          </w:p>
        </w:tc>
      </w:tr>
      <w:tr>
        <w:trPr>
          <w:trHeight w:val="318"/>
        </w:trPr>
        <w:tc>
          <w:tcPr>
            <w:tcW w:w="3620" w:type="dxa"/>
            <w:vAlign w:val="bottom"/>
          </w:tcPr>
          <w:p>
            <w:pPr>
              <w:spacing w:after="0"/>
              <w:rPr>
                <w:sz w:val="20"/>
                <w:szCs w:val="20"/>
                <w:color w:val="auto"/>
              </w:rPr>
            </w:pPr>
            <w:r>
              <w:rPr>
                <w:rFonts w:ascii="Arial" w:cs="Arial" w:eastAsia="Arial" w:hAnsi="Arial"/>
                <w:sz w:val="18"/>
                <w:szCs w:val="18"/>
                <w:color w:val="auto"/>
              </w:rPr>
              <w:t>Net Proceeds to the Company</w:t>
            </w:r>
          </w:p>
        </w:tc>
        <w:tc>
          <w:tcPr>
            <w:tcW w:w="2980" w:type="dxa"/>
            <w:vAlign w:val="bottom"/>
          </w:tcPr>
          <w:p>
            <w:pPr>
              <w:ind w:left="160"/>
              <w:spacing w:after="0"/>
              <w:rPr>
                <w:sz w:val="20"/>
                <w:szCs w:val="20"/>
                <w:color w:val="auto"/>
              </w:rPr>
            </w:pPr>
            <w:r>
              <w:rPr>
                <w:rFonts w:ascii="Arial" w:cs="Arial" w:eastAsia="Arial" w:hAnsi="Arial"/>
                <w:sz w:val="18"/>
                <w:szCs w:val="18"/>
                <w:color w:val="auto"/>
              </w:rPr>
              <w:t>$73,235,244.44 (including accrued</w:t>
            </w:r>
          </w:p>
        </w:tc>
        <w:tc>
          <w:tcPr>
            <w:tcW w:w="2240" w:type="dxa"/>
            <w:vAlign w:val="bottom"/>
          </w:tcPr>
          <w:p>
            <w:pPr>
              <w:spacing w:after="0"/>
              <w:rPr>
                <w:sz w:val="24"/>
                <w:szCs w:val="24"/>
                <w:color w:val="auto"/>
              </w:rPr>
            </w:pP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before Expenses:</w:t>
            </w:r>
          </w:p>
        </w:tc>
        <w:tc>
          <w:tcPr>
            <w:tcW w:w="2980" w:type="dxa"/>
            <w:vAlign w:val="bottom"/>
          </w:tcPr>
          <w:p>
            <w:pPr>
              <w:ind w:left="160"/>
              <w:spacing w:after="0"/>
              <w:rPr>
                <w:sz w:val="20"/>
                <w:szCs w:val="20"/>
                <w:color w:val="auto"/>
              </w:rPr>
            </w:pPr>
            <w:r>
              <w:rPr>
                <w:rFonts w:ascii="Arial" w:cs="Arial" w:eastAsia="Arial" w:hAnsi="Arial"/>
                <w:sz w:val="18"/>
                <w:szCs w:val="18"/>
                <w:color w:val="auto"/>
              </w:rPr>
              <w:t>interest from July 17, 2006)</w:t>
            </w:r>
          </w:p>
        </w:tc>
        <w:tc>
          <w:tcPr>
            <w:tcW w:w="2240" w:type="dxa"/>
            <w:vAlign w:val="bottom"/>
          </w:tcPr>
          <w:p>
            <w:pPr>
              <w:spacing w:after="0"/>
              <w:rPr>
                <w:sz w:val="19"/>
                <w:szCs w:val="19"/>
                <w:color w:val="auto"/>
              </w:rPr>
            </w:pPr>
          </w:p>
        </w:tc>
      </w:tr>
      <w:tr>
        <w:trPr>
          <w:trHeight w:val="338"/>
        </w:trPr>
        <w:tc>
          <w:tcPr>
            <w:tcW w:w="3620" w:type="dxa"/>
            <w:vAlign w:val="bottom"/>
          </w:tcPr>
          <w:p>
            <w:pPr>
              <w:spacing w:after="0"/>
              <w:rPr>
                <w:sz w:val="20"/>
                <w:szCs w:val="20"/>
                <w:color w:val="auto"/>
              </w:rPr>
            </w:pPr>
            <w:r>
              <w:rPr>
                <w:rFonts w:ascii="Arial" w:cs="Arial" w:eastAsia="Arial" w:hAnsi="Arial"/>
                <w:sz w:val="18"/>
                <w:szCs w:val="18"/>
                <w:color w:val="auto"/>
              </w:rPr>
              <w:t>Dealer Concession:</w:t>
            </w:r>
          </w:p>
        </w:tc>
        <w:tc>
          <w:tcPr>
            <w:tcW w:w="2980" w:type="dxa"/>
            <w:vAlign w:val="bottom"/>
          </w:tcPr>
          <w:p>
            <w:pPr>
              <w:ind w:left="160"/>
              <w:spacing w:after="0"/>
              <w:rPr>
                <w:sz w:val="20"/>
                <w:szCs w:val="20"/>
                <w:color w:val="auto"/>
              </w:rPr>
            </w:pPr>
            <w:r>
              <w:rPr>
                <w:rFonts w:ascii="Arial" w:cs="Arial" w:eastAsia="Arial" w:hAnsi="Arial"/>
                <w:sz w:val="18"/>
                <w:szCs w:val="18"/>
                <w:color w:val="auto"/>
              </w:rPr>
              <w:t>0.400%</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Reallowance:</w:t>
            </w:r>
          </w:p>
        </w:tc>
        <w:tc>
          <w:tcPr>
            <w:tcW w:w="2980" w:type="dxa"/>
            <w:vAlign w:val="bottom"/>
          </w:tcPr>
          <w:p>
            <w:pPr>
              <w:ind w:left="160"/>
              <w:spacing w:after="0"/>
              <w:rPr>
                <w:sz w:val="20"/>
                <w:szCs w:val="20"/>
                <w:color w:val="auto"/>
              </w:rPr>
            </w:pPr>
            <w:r>
              <w:rPr>
                <w:rFonts w:ascii="Arial" w:cs="Arial" w:eastAsia="Arial" w:hAnsi="Arial"/>
                <w:sz w:val="18"/>
                <w:szCs w:val="18"/>
                <w:color w:val="auto"/>
              </w:rPr>
              <w:t>0.250%</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CUSIP:</w:t>
            </w:r>
          </w:p>
        </w:tc>
        <w:tc>
          <w:tcPr>
            <w:tcW w:w="2980" w:type="dxa"/>
            <w:vAlign w:val="bottom"/>
          </w:tcPr>
          <w:p>
            <w:pPr>
              <w:ind w:left="160"/>
              <w:spacing w:after="0"/>
              <w:rPr>
                <w:sz w:val="20"/>
                <w:szCs w:val="20"/>
                <w:color w:val="auto"/>
              </w:rPr>
            </w:pPr>
            <w:r>
              <w:rPr>
                <w:rFonts w:ascii="Arial" w:cs="Arial" w:eastAsia="Arial" w:hAnsi="Arial"/>
                <w:sz w:val="18"/>
                <w:szCs w:val="18"/>
                <w:color w:val="auto"/>
              </w:rPr>
              <w:t>313747AN7</w:t>
            </w:r>
          </w:p>
        </w:tc>
        <w:tc>
          <w:tcPr>
            <w:tcW w:w="2240" w:type="dxa"/>
            <w:vAlign w:val="bottom"/>
          </w:tcPr>
          <w:p>
            <w:pPr>
              <w:spacing w:after="0"/>
              <w:rPr>
                <w:sz w:val="24"/>
                <w:szCs w:val="24"/>
                <w:color w:val="auto"/>
              </w:rPr>
            </w:pP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Sole Book-Running Manager:</w:t>
            </w:r>
          </w:p>
        </w:tc>
        <w:tc>
          <w:tcPr>
            <w:tcW w:w="2980" w:type="dxa"/>
            <w:vAlign w:val="bottom"/>
          </w:tcPr>
          <w:p>
            <w:pPr>
              <w:ind w:left="160"/>
              <w:spacing w:after="0"/>
              <w:rPr>
                <w:sz w:val="20"/>
                <w:szCs w:val="20"/>
                <w:color w:val="auto"/>
              </w:rPr>
            </w:pPr>
            <w:r>
              <w:rPr>
                <w:rFonts w:ascii="Arial" w:cs="Arial" w:eastAsia="Arial" w:hAnsi="Arial"/>
                <w:sz w:val="18"/>
                <w:szCs w:val="18"/>
                <w:color w:val="auto"/>
              </w:rPr>
              <w:t>Wachovia Capital Markets, LLC</w:t>
            </w:r>
          </w:p>
        </w:tc>
        <w:tc>
          <w:tcPr>
            <w:tcW w:w="2240" w:type="dxa"/>
            <w:vAlign w:val="bottom"/>
          </w:tcPr>
          <w:p>
            <w:pPr>
              <w:jc w:val="right"/>
              <w:ind w:right="892"/>
              <w:spacing w:after="0"/>
              <w:rPr>
                <w:sz w:val="20"/>
                <w:szCs w:val="20"/>
                <w:color w:val="auto"/>
              </w:rPr>
            </w:pPr>
            <w:r>
              <w:rPr>
                <w:rFonts w:ascii="Arial" w:cs="Arial" w:eastAsia="Arial" w:hAnsi="Arial"/>
                <w:sz w:val="18"/>
                <w:szCs w:val="18"/>
                <w:color w:val="auto"/>
              </w:rPr>
              <w:t>$42,000,000</w:t>
            </w:r>
          </w:p>
        </w:tc>
      </w:tr>
      <w:tr>
        <w:trPr>
          <w:trHeight w:val="527"/>
        </w:trPr>
        <w:tc>
          <w:tcPr>
            <w:tcW w:w="3620" w:type="dxa"/>
            <w:vAlign w:val="bottom"/>
          </w:tcPr>
          <w:p>
            <w:pPr>
              <w:spacing w:after="0"/>
              <w:rPr>
                <w:sz w:val="24"/>
                <w:szCs w:val="24"/>
                <w:color w:val="auto"/>
              </w:rPr>
            </w:pPr>
          </w:p>
        </w:tc>
        <w:tc>
          <w:tcPr>
            <w:tcW w:w="2980" w:type="dxa"/>
            <w:vAlign w:val="bottom"/>
          </w:tcPr>
          <w:p>
            <w:pPr>
              <w:ind w:left="2060"/>
              <w:spacing w:after="0"/>
              <w:rPr>
                <w:sz w:val="20"/>
                <w:szCs w:val="20"/>
                <w:color w:val="auto"/>
              </w:rPr>
            </w:pPr>
            <w:r>
              <w:rPr>
                <w:rFonts w:ascii="Arial" w:cs="Arial" w:eastAsia="Arial" w:hAnsi="Arial"/>
                <w:sz w:val="18"/>
                <w:szCs w:val="18"/>
                <w:color w:val="auto"/>
              </w:rPr>
              <w:t>3</w:t>
            </w:r>
          </w:p>
        </w:tc>
        <w:tc>
          <w:tcPr>
            <w:tcW w:w="2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Co-Managers:</w:t>
            </w:r>
          </w:p>
        </w:tc>
        <w:tc>
          <w:tcPr>
            <w:tcW w:w="5820" w:type="dxa"/>
            <w:vAlign w:val="bottom"/>
          </w:tcPr>
          <w:p>
            <w:pPr>
              <w:ind w:left="560"/>
              <w:spacing w:after="0"/>
              <w:rPr>
                <w:sz w:val="20"/>
                <w:szCs w:val="20"/>
                <w:color w:val="auto"/>
              </w:rPr>
            </w:pPr>
            <w:r>
              <w:rPr>
                <w:rFonts w:ascii="Arial" w:cs="Arial" w:eastAsia="Arial" w:hAnsi="Arial"/>
                <w:sz w:val="18"/>
                <w:szCs w:val="18"/>
                <w:color w:val="auto"/>
              </w:rPr>
              <w:t>Bear, Stearns &amp; Co. Inc</w:t>
            </w:r>
          </w:p>
        </w:tc>
        <w:tc>
          <w:tcPr>
            <w:tcW w:w="2420" w:type="dxa"/>
            <w:vAlign w:val="bottom"/>
          </w:tcPr>
          <w:p>
            <w:pPr>
              <w:jc w:val="right"/>
              <w:spacing w:after="0"/>
              <w:rPr>
                <w:sz w:val="20"/>
                <w:szCs w:val="20"/>
                <w:color w:val="auto"/>
              </w:rPr>
            </w:pPr>
            <w:r>
              <w:rPr>
                <w:rFonts w:ascii="Arial" w:cs="Arial" w:eastAsia="Arial" w:hAnsi="Arial"/>
                <w:sz w:val="18"/>
                <w:szCs w:val="18"/>
                <w:color w:val="auto"/>
              </w:rPr>
              <w:t>$ 7,000,000</w:t>
            </w:r>
          </w:p>
        </w:tc>
      </w:tr>
      <w:tr>
        <w:trPr>
          <w:trHeight w:val="216"/>
        </w:trPr>
        <w:tc>
          <w:tcPr>
            <w:tcW w:w="3180" w:type="dxa"/>
            <w:vAlign w:val="bottom"/>
          </w:tcPr>
          <w:p>
            <w:pPr>
              <w:spacing w:after="0"/>
              <w:rPr>
                <w:sz w:val="18"/>
                <w:szCs w:val="18"/>
                <w:color w:val="auto"/>
              </w:rPr>
            </w:pPr>
          </w:p>
        </w:tc>
        <w:tc>
          <w:tcPr>
            <w:tcW w:w="5820" w:type="dxa"/>
            <w:vAlign w:val="bottom"/>
          </w:tcPr>
          <w:p>
            <w:pPr>
              <w:ind w:left="560"/>
              <w:spacing w:after="0"/>
              <w:rPr>
                <w:sz w:val="20"/>
                <w:szCs w:val="20"/>
                <w:color w:val="auto"/>
              </w:rPr>
            </w:pPr>
            <w:r>
              <w:rPr>
                <w:rFonts w:ascii="Arial" w:cs="Arial" w:eastAsia="Arial" w:hAnsi="Arial"/>
                <w:sz w:val="18"/>
                <w:szCs w:val="18"/>
                <w:color w:val="auto"/>
              </w:rPr>
              <w:t>Citigroup Global Markets Inc.</w:t>
            </w:r>
          </w:p>
        </w:tc>
        <w:tc>
          <w:tcPr>
            <w:tcW w:w="2420" w:type="dxa"/>
            <w:vAlign w:val="bottom"/>
          </w:tcPr>
          <w:p>
            <w:pPr>
              <w:jc w:val="right"/>
              <w:spacing w:after="0"/>
              <w:rPr>
                <w:sz w:val="20"/>
                <w:szCs w:val="20"/>
                <w:color w:val="auto"/>
              </w:rPr>
            </w:pPr>
            <w:r>
              <w:rPr>
                <w:rFonts w:ascii="Arial" w:cs="Arial" w:eastAsia="Arial" w:hAnsi="Arial"/>
                <w:sz w:val="18"/>
                <w:szCs w:val="18"/>
                <w:color w:val="auto"/>
              </w:rPr>
              <w:t>$ 7,000,000</w:t>
            </w:r>
          </w:p>
        </w:tc>
      </w:tr>
      <w:tr>
        <w:trPr>
          <w:trHeight w:val="216"/>
        </w:trPr>
        <w:tc>
          <w:tcPr>
            <w:tcW w:w="3180" w:type="dxa"/>
            <w:vAlign w:val="bottom"/>
          </w:tcPr>
          <w:p>
            <w:pPr>
              <w:spacing w:after="0"/>
              <w:rPr>
                <w:sz w:val="18"/>
                <w:szCs w:val="18"/>
                <w:color w:val="auto"/>
              </w:rPr>
            </w:pPr>
          </w:p>
        </w:tc>
        <w:tc>
          <w:tcPr>
            <w:tcW w:w="5820" w:type="dxa"/>
            <w:vAlign w:val="bottom"/>
          </w:tcPr>
          <w:p>
            <w:pPr>
              <w:ind w:left="560"/>
              <w:spacing w:after="0"/>
              <w:rPr>
                <w:sz w:val="20"/>
                <w:szCs w:val="20"/>
                <w:color w:val="auto"/>
              </w:rPr>
            </w:pPr>
            <w:r>
              <w:rPr>
                <w:rFonts w:ascii="Arial" w:cs="Arial" w:eastAsia="Arial" w:hAnsi="Arial"/>
                <w:sz w:val="18"/>
                <w:szCs w:val="18"/>
                <w:color w:val="auto"/>
              </w:rPr>
              <w:t>Merrill Lynch, Pierce, Fenner &amp; Smith Incorporated</w:t>
            </w:r>
          </w:p>
        </w:tc>
        <w:tc>
          <w:tcPr>
            <w:tcW w:w="2420" w:type="dxa"/>
            <w:vAlign w:val="bottom"/>
          </w:tcPr>
          <w:p>
            <w:pPr>
              <w:jc w:val="right"/>
              <w:spacing w:after="0"/>
              <w:rPr>
                <w:sz w:val="20"/>
                <w:szCs w:val="20"/>
                <w:color w:val="auto"/>
              </w:rPr>
            </w:pPr>
            <w:r>
              <w:rPr>
                <w:rFonts w:ascii="Arial" w:cs="Arial" w:eastAsia="Arial" w:hAnsi="Arial"/>
                <w:sz w:val="18"/>
                <w:szCs w:val="18"/>
                <w:color w:val="auto"/>
              </w:rPr>
              <w:t>$ 7,000,000</w:t>
            </w:r>
          </w:p>
        </w:tc>
      </w:tr>
      <w:tr>
        <w:trPr>
          <w:trHeight w:val="222"/>
        </w:trPr>
        <w:tc>
          <w:tcPr>
            <w:tcW w:w="3180" w:type="dxa"/>
            <w:vAlign w:val="bottom"/>
          </w:tcPr>
          <w:p>
            <w:pPr>
              <w:spacing w:after="0"/>
              <w:rPr>
                <w:sz w:val="19"/>
                <w:szCs w:val="19"/>
                <w:color w:val="auto"/>
              </w:rPr>
            </w:pPr>
          </w:p>
        </w:tc>
        <w:tc>
          <w:tcPr>
            <w:tcW w:w="5820" w:type="dxa"/>
            <w:vAlign w:val="bottom"/>
          </w:tcPr>
          <w:p>
            <w:pPr>
              <w:ind w:left="560"/>
              <w:spacing w:after="0"/>
              <w:rPr>
                <w:sz w:val="20"/>
                <w:szCs w:val="20"/>
                <w:color w:val="auto"/>
              </w:rPr>
            </w:pPr>
            <w:r>
              <w:rPr>
                <w:rFonts w:ascii="Arial" w:cs="Arial" w:eastAsia="Arial" w:hAnsi="Arial"/>
                <w:sz w:val="18"/>
                <w:szCs w:val="18"/>
                <w:color w:val="auto"/>
              </w:rPr>
              <w:t>RBC Capital Markets Corporation</w:t>
            </w:r>
          </w:p>
        </w:tc>
        <w:tc>
          <w:tcPr>
            <w:tcW w:w="2420" w:type="dxa"/>
            <w:vAlign w:val="bottom"/>
          </w:tcPr>
          <w:p>
            <w:pPr>
              <w:jc w:val="right"/>
              <w:spacing w:after="0"/>
              <w:rPr>
                <w:sz w:val="20"/>
                <w:szCs w:val="20"/>
                <w:color w:val="auto"/>
              </w:rPr>
            </w:pPr>
            <w:r>
              <w:rPr>
                <w:rFonts w:ascii="Arial" w:cs="Arial" w:eastAsia="Arial" w:hAnsi="Arial"/>
                <w:sz w:val="18"/>
                <w:szCs w:val="18"/>
                <w:color w:val="auto"/>
              </w:rPr>
              <w:t>$ 7,000,000</w:t>
            </w:r>
          </w:p>
        </w:tc>
      </w:tr>
      <w:tr>
        <w:trPr>
          <w:trHeight w:val="318"/>
        </w:trPr>
        <w:tc>
          <w:tcPr>
            <w:tcW w:w="3180" w:type="dxa"/>
            <w:vAlign w:val="bottom"/>
          </w:tcPr>
          <w:p>
            <w:pPr>
              <w:spacing w:after="0"/>
              <w:rPr>
                <w:sz w:val="20"/>
                <w:szCs w:val="20"/>
                <w:color w:val="auto"/>
              </w:rPr>
            </w:pPr>
            <w:r>
              <w:rPr>
                <w:rFonts w:ascii="Arial" w:cs="Arial" w:eastAsia="Arial" w:hAnsi="Arial"/>
                <w:sz w:val="18"/>
                <w:szCs w:val="18"/>
                <w:color w:val="auto"/>
              </w:rPr>
              <w:t>Estimated Expenses of the Company</w:t>
            </w:r>
          </w:p>
        </w:tc>
        <w:tc>
          <w:tcPr>
            <w:tcW w:w="58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6"/>
        </w:trPr>
        <w:tc>
          <w:tcPr>
            <w:tcW w:w="3180" w:type="dxa"/>
            <w:vAlign w:val="bottom"/>
          </w:tcPr>
          <w:p>
            <w:pPr>
              <w:spacing w:after="0"/>
              <w:rPr>
                <w:sz w:val="20"/>
                <w:szCs w:val="20"/>
                <w:color w:val="auto"/>
              </w:rPr>
            </w:pPr>
            <w:r>
              <w:rPr>
                <w:rFonts w:ascii="Arial" w:cs="Arial" w:eastAsia="Arial" w:hAnsi="Arial"/>
                <w:sz w:val="18"/>
                <w:szCs w:val="18"/>
                <w:color w:val="auto"/>
              </w:rPr>
              <w:t>Excluding Underwriting Discount:</w:t>
            </w:r>
          </w:p>
        </w:tc>
        <w:tc>
          <w:tcPr>
            <w:tcW w:w="5820" w:type="dxa"/>
            <w:vAlign w:val="bottom"/>
          </w:tcPr>
          <w:p>
            <w:pPr>
              <w:ind w:left="560"/>
              <w:spacing w:after="0"/>
              <w:rPr>
                <w:sz w:val="20"/>
                <w:szCs w:val="20"/>
                <w:color w:val="auto"/>
              </w:rPr>
            </w:pPr>
            <w:r>
              <w:rPr>
                <w:rFonts w:ascii="Arial" w:cs="Arial" w:eastAsia="Arial" w:hAnsi="Arial"/>
                <w:sz w:val="18"/>
                <w:szCs w:val="18"/>
                <w:color w:val="auto"/>
              </w:rPr>
              <w:t>$250,000</w:t>
            </w:r>
          </w:p>
        </w:tc>
        <w:tc>
          <w:tcPr>
            <w:tcW w:w="2420" w:type="dxa"/>
            <w:vAlign w:val="bottom"/>
          </w:tcPr>
          <w:p>
            <w:pPr>
              <w:spacing w:after="0"/>
              <w:rPr>
                <w:sz w:val="20"/>
                <w:szCs w:val="20"/>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80"/>
        <w:spacing w:after="0" w:line="332" w:lineRule="auto"/>
        <w:rPr>
          <w:sz w:val="20"/>
          <w:szCs w:val="20"/>
          <w:color w:val="auto"/>
        </w:rPr>
      </w:pPr>
      <w:r>
        <w:rPr>
          <w:rFonts w:ascii="Arial" w:cs="Arial" w:eastAsia="Arial" w:hAnsi="Arial"/>
          <w:sz w:val="16"/>
          <w:szCs w:val="16"/>
          <w:color w:val="auto"/>
        </w:rPr>
        <w:t>This issuance of the 6.20% Notes due 2017 constitutes a reopening of, and will be fully fungible with, will rank equally with and will form a single issue and series with, the Company’s 6.20% Notes due 2017, originally issued on July 17, 2006 in the principal amount of $130,000,000.</w:t>
      </w:r>
    </w:p>
    <w:p>
      <w:pPr>
        <w:spacing w:after="0" w:line="7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Wachovia Capital Markets, LLC toll-free at 1-800-326-5897.</w:t>
      </w:r>
    </w:p>
    <w:p>
      <w:pPr>
        <w:spacing w:after="0" w:line="139"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3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2019-12-13T00:55:05Z</dcterms:created>
  <dcterms:modified xsi:type="dcterms:W3CDTF">2019-12-13T00:55:05Z</dcterms:modified>
</cp:coreProperties>
</file>