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697"/>
        <w:spacing w:after="0"/>
        <w:tabs>
          <w:tab w:leader="none" w:pos="160" w:val="left"/>
        </w:tabs>
        <w:rPr>
          <w:sz w:val="20"/>
          <w:szCs w:val="20"/>
          <w:color w:val="auto"/>
        </w:rPr>
      </w:pPr>
      <w:r>
        <w:rPr>
          <w:rFonts w:ascii="Courier New" w:cs="Courier New" w:eastAsia="Courier New" w:hAnsi="Courier New"/>
          <w:sz w:val="16"/>
          <w:szCs w:val="16"/>
          <w:color w:val="auto"/>
        </w:rPr>
        <w:t>Washington, D.C.</w:t>
        <w:tab/>
        <w:t>20549</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Form 10-Q</w:t>
      </w:r>
    </w:p>
    <w:p>
      <w:pPr>
        <w:spacing w:after="0" w:line="369"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69" w:lineRule="exact"/>
        <w:rPr>
          <w:sz w:val="24"/>
          <w:szCs w:val="24"/>
          <w:color w:val="auto"/>
        </w:rPr>
      </w:pPr>
    </w:p>
    <w:p>
      <w:pPr>
        <w:ind w:left="2002"/>
        <w:spacing w:after="0"/>
        <w:tabs>
          <w:tab w:leader="none" w:pos="4262"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5"/>
          <w:szCs w:val="15"/>
          <w:color w:val="auto"/>
        </w:rPr>
        <w:t>March 31, 1997</w:t>
      </w:r>
    </w:p>
    <w:p>
      <w:pPr>
        <w:spacing w:after="0" w:line="2"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Commission File No. 17533</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FEDERAL REALTY INVESTMENT TRUST</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69" w:lineRule="exact"/>
        <w:rPr>
          <w:sz w:val="24"/>
          <w:szCs w:val="24"/>
          <w:color w:val="auto"/>
        </w:rPr>
      </w:pPr>
    </w:p>
    <w:p>
      <w:pPr>
        <w:ind w:left="1142"/>
        <w:spacing w:after="0"/>
        <w:tabs>
          <w:tab w:leader="none" w:pos="5322"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5"/>
          <w:szCs w:val="15"/>
          <w:color w:val="auto"/>
        </w:rPr>
        <w:t>52-0782497</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582" w:right="3459"/>
        <w:spacing w:after="0" w:line="239"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373" w:lineRule="exact"/>
        <w:rPr>
          <w:sz w:val="24"/>
          <w:szCs w:val="24"/>
          <w:color w:val="auto"/>
        </w:rPr>
      </w:pPr>
    </w:p>
    <w:p>
      <w:pPr>
        <w:jc w:val="both"/>
        <w:ind w:left="962" w:right="3639"/>
        <w:spacing w:after="0"/>
        <w:rPr>
          <w:sz w:val="20"/>
          <w:szCs w:val="20"/>
          <w:color w:val="auto"/>
        </w:rPr>
      </w:pPr>
      <w:r>
        <w:rPr>
          <w:rFonts w:ascii="Courier New" w:cs="Courier New" w:eastAsia="Courier New" w:hAnsi="Courier New"/>
          <w:sz w:val="16"/>
          <w:szCs w:val="16"/>
          <w:color w:val="auto"/>
        </w:rPr>
        <w:t>1626 East Jefferson Street, Rockville, Maryland 20852-4041 ----------------------------------------------------------- (Address of principal executive offices) (Zip Code)</w:t>
      </w:r>
    </w:p>
    <w:p>
      <w:pPr>
        <w:spacing w:after="0" w:line="370" w:lineRule="exact"/>
        <w:rPr>
          <w:sz w:val="24"/>
          <w:szCs w:val="24"/>
          <w:color w:val="auto"/>
        </w:rPr>
      </w:pPr>
    </w:p>
    <w:p>
      <w:pPr>
        <w:ind w:left="3622" w:hanging="570"/>
        <w:spacing w:after="0"/>
        <w:tabs>
          <w:tab w:leader="none" w:pos="362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w:t>
      </w:r>
    </w:p>
    <w:p>
      <w:pPr>
        <w:spacing w:after="0" w:line="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2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188" w:lineRule="exact"/>
        <w:rPr>
          <w:sz w:val="24"/>
          <w:szCs w:val="24"/>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1"/>
          </w:cols>
          <w:pgMar w:left="238" w:top="603" w:right="1440" w:bottom="1440" w:gutter="0" w:footer="0" w:header="0"/>
        </w:sectPr>
      </w:pPr>
    </w:p>
    <w:p>
      <w:pPr>
        <w:spacing w:after="0" w:line="190" w:lineRule="exact"/>
        <w:rPr>
          <w:sz w:val="24"/>
          <w:szCs w:val="24"/>
          <w:color w:val="auto"/>
        </w:rPr>
      </w:pPr>
    </w:p>
    <w:p>
      <w:pPr>
        <w:ind w:left="482"/>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14" w:lineRule="exact"/>
        <w:rPr>
          <w:sz w:val="24"/>
          <w:szCs w:val="24"/>
          <w:color w:val="auto"/>
        </w:rPr>
      </w:pPr>
    </w:p>
    <w:p>
      <w:pPr>
        <w:sectPr>
          <w:pgSz w:w="11900" w:h="16838" w:orient="portrait"/>
          <w:cols w:equalWidth="0" w:num="6">
            <w:col w:w="762" w:space="100"/>
            <w:col w:w="480" w:space="0"/>
            <w:col w:w="220" w:space="720"/>
            <w:col w:w="200" w:space="0"/>
            <w:col w:w="480" w:space="0"/>
            <w:col w:w="7259"/>
          </w:cols>
          <w:pgMar w:left="238" w:top="603" w:right="1440" w:bottom="1440" w:gutter="0" w:footer="0" w:header="0"/>
          <w:type w:val="continuous"/>
        </w:sectPr>
      </w:pPr>
    </w:p>
    <w:p>
      <w:pPr>
        <w:ind w:left="2" w:right="2779" w:firstLine="477"/>
        <w:spacing w:after="0" w:line="239"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21"/>
          </w:cols>
          <w:pgMar w:left="238" w:top="603" w:right="1440" w:bottom="1440" w:gutter="0" w:footer="0" w:header="0"/>
          <w:type w:val="continuous"/>
        </w:sectPr>
      </w:pPr>
    </w:p>
    <w:p>
      <w:pPr>
        <w:spacing w:after="0" w:line="370"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5, 1997</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1520"/>
        <w:spacing w:after="0"/>
        <w:rPr>
          <w:sz w:val="20"/>
          <w:szCs w:val="20"/>
          <w:color w:val="auto"/>
        </w:rPr>
      </w:pPr>
      <w:r>
        <w:rPr>
          <w:rFonts w:ascii="Courier New" w:cs="Courier New" w:eastAsia="Courier New" w:hAnsi="Courier New"/>
          <w:sz w:val="16"/>
          <w:szCs w:val="16"/>
          <w:color w:val="auto"/>
        </w:rPr>
        <w:t>39,037,235</w:t>
      </w:r>
    </w:p>
    <w:p>
      <w:pPr>
        <w:spacing w:after="0" w:line="200" w:lineRule="exact"/>
        <w:rPr>
          <w:sz w:val="24"/>
          <w:szCs w:val="24"/>
          <w:color w:val="auto"/>
        </w:rPr>
      </w:pPr>
    </w:p>
    <w:p>
      <w:pPr>
        <w:sectPr>
          <w:pgSz w:w="11900" w:h="16838" w:orient="portrait"/>
          <w:cols w:equalWidth="0" w:num="2">
            <w:col w:w="3622" w:space="100"/>
            <w:col w:w="6499"/>
          </w:cols>
          <w:pgMar w:left="238" w:top="603" w:right="1440" w:bottom="1440" w:gutter="0" w:footer="0" w:header="0"/>
          <w:type w:val="continuous"/>
        </w:sectPr>
      </w:pPr>
    </w:p>
    <w:p>
      <w:pPr>
        <w:spacing w:after="0" w:line="172"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This report contains 20 pages.</w:t>
      </w:r>
    </w:p>
    <w:p>
      <w:pPr>
        <w:sectPr>
          <w:pgSz w:w="11900" w:h="16838" w:orient="portrait"/>
          <w:cols w:equalWidth="0" w:num="1">
            <w:col w:w="10221"/>
          </w:cols>
          <w:pgMar w:left="238" w:top="603" w:right="1440" w:bottom="1440"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 FORM 10-Q</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March 31, 1997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60" w:type="dxa"/>
            <w:vAlign w:val="bottom"/>
          </w:tcPr>
          <w:p>
            <w:pPr>
              <w:ind w:left="1100"/>
              <w:spacing w:after="0"/>
              <w:rPr>
                <w:sz w:val="20"/>
                <w:szCs w:val="20"/>
                <w:color w:val="auto"/>
              </w:rPr>
            </w:pPr>
            <w:r>
              <w:rPr>
                <w:rFonts w:ascii="Courier New" w:cs="Courier New" w:eastAsia="Courier New" w:hAnsi="Courier New"/>
                <w:sz w:val="16"/>
                <w:szCs w:val="16"/>
                <w:color w:val="auto"/>
              </w:rPr>
              <w:t>I N D E X</w:t>
            </w:r>
          </w:p>
        </w:tc>
        <w:tc>
          <w:tcPr>
            <w:tcW w:w="1320" w:type="dxa"/>
            <w:vAlign w:val="bottom"/>
          </w:tcPr>
          <w:p>
            <w:pPr>
              <w:spacing w:after="0"/>
              <w:rPr>
                <w:sz w:val="15"/>
                <w:szCs w:val="15"/>
                <w:color w:val="auto"/>
              </w:rPr>
            </w:pPr>
          </w:p>
        </w:tc>
      </w:tr>
      <w:tr>
        <w:trPr>
          <w:trHeight w:val="917"/>
        </w:trPr>
        <w:tc>
          <w:tcPr>
            <w:tcW w:w="9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FINANCIAL INFORMATION</w:t>
            </w:r>
          </w:p>
        </w:tc>
        <w:tc>
          <w:tcPr>
            <w:tcW w:w="1320" w:type="dxa"/>
            <w:vAlign w:val="bottom"/>
          </w:tcPr>
          <w:p>
            <w:pPr>
              <w:ind w:left="560"/>
              <w:spacing w:after="0"/>
              <w:rPr>
                <w:sz w:val="20"/>
                <w:szCs w:val="20"/>
                <w:color w:val="auto"/>
              </w:rPr>
            </w:pPr>
            <w:r>
              <w:rPr>
                <w:rFonts w:ascii="Courier New" w:cs="Courier New" w:eastAsia="Courier New" w:hAnsi="Courier New"/>
                <w:sz w:val="16"/>
                <w:szCs w:val="16"/>
                <w:color w:val="auto"/>
                <w:w w:val="96"/>
              </w:rPr>
              <w:t>PAGE NO.</w:t>
            </w:r>
          </w:p>
        </w:tc>
      </w:tr>
      <w:tr>
        <w:trPr>
          <w:trHeight w:val="550"/>
        </w:trPr>
        <w:tc>
          <w:tcPr>
            <w:tcW w:w="9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Accountants'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Report</w:t>
            </w: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4</w:t>
            </w:r>
          </w:p>
        </w:tc>
      </w:tr>
      <w:tr>
        <w:trPr>
          <w:trHeight w:val="367"/>
        </w:trPr>
        <w:tc>
          <w:tcPr>
            <w:tcW w:w="9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Consolidated</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Balance Sheets</w:t>
            </w: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5</w:t>
            </w:r>
          </w:p>
        </w:tc>
      </w:tr>
      <w:tr>
        <w:trPr>
          <w:trHeight w:val="183"/>
        </w:trPr>
        <w:tc>
          <w:tcPr>
            <w:tcW w:w="900" w:type="dxa"/>
            <w:vAlign w:val="bottom"/>
          </w:tcPr>
          <w:p>
            <w:pPr>
              <w:spacing w:after="0"/>
              <w:rPr>
                <w:sz w:val="15"/>
                <w:szCs w:val="15"/>
                <w:color w:val="auto"/>
              </w:rPr>
            </w:pPr>
          </w:p>
        </w:tc>
        <w:tc>
          <w:tcPr>
            <w:tcW w:w="5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March 31, 1997 (unaudited) and</w:t>
            </w:r>
          </w:p>
        </w:tc>
        <w:tc>
          <w:tcPr>
            <w:tcW w:w="13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December 31,</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1996 (audited)</w:t>
            </w:r>
          </w:p>
        </w:tc>
        <w:tc>
          <w:tcPr>
            <w:tcW w:w="1320" w:type="dxa"/>
            <w:vAlign w:val="bottom"/>
          </w:tcPr>
          <w:p>
            <w:pPr>
              <w:spacing w:after="0"/>
              <w:rPr>
                <w:sz w:val="15"/>
                <w:szCs w:val="15"/>
                <w:color w:val="auto"/>
              </w:rPr>
            </w:pPr>
          </w:p>
        </w:tc>
      </w:tr>
      <w:tr>
        <w:trPr>
          <w:trHeight w:val="367"/>
        </w:trPr>
        <w:tc>
          <w:tcPr>
            <w:tcW w:w="9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Consolidated</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Statements of Operations (unaudited)</w:t>
            </w: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6</w:t>
            </w:r>
          </w:p>
        </w:tc>
      </w:tr>
      <w:tr>
        <w:trPr>
          <w:trHeight w:val="183"/>
        </w:trPr>
        <w:tc>
          <w:tcPr>
            <w:tcW w:w="90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Three months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ended March 31, 1997 and 1996</w:t>
            </w:r>
          </w:p>
        </w:tc>
        <w:tc>
          <w:tcPr>
            <w:tcW w:w="1320" w:type="dxa"/>
            <w:vAlign w:val="bottom"/>
          </w:tcPr>
          <w:p>
            <w:pPr>
              <w:spacing w:after="0"/>
              <w:rPr>
                <w:sz w:val="15"/>
                <w:szCs w:val="15"/>
                <w:color w:val="auto"/>
              </w:rPr>
            </w:pPr>
          </w:p>
        </w:tc>
      </w:tr>
      <w:tr>
        <w:trPr>
          <w:trHeight w:val="367"/>
        </w:trPr>
        <w:tc>
          <w:tcPr>
            <w:tcW w:w="9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Consolidated</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Statements</w:t>
            </w: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7</w:t>
            </w:r>
          </w:p>
        </w:tc>
      </w:tr>
      <w:tr>
        <w:trPr>
          <w:trHeight w:val="183"/>
        </w:trPr>
        <w:tc>
          <w:tcPr>
            <w:tcW w:w="900" w:type="dxa"/>
            <w:vAlign w:val="bottom"/>
          </w:tcPr>
          <w:p>
            <w:pPr>
              <w:spacing w:after="0"/>
              <w:rPr>
                <w:sz w:val="15"/>
                <w:szCs w:val="15"/>
                <w:color w:val="auto"/>
              </w:rPr>
            </w:pPr>
          </w:p>
        </w:tc>
        <w:tc>
          <w:tcPr>
            <w:tcW w:w="5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of Shareholders' Equity (unaudited)</w:t>
            </w:r>
          </w:p>
        </w:tc>
        <w:tc>
          <w:tcPr>
            <w:tcW w:w="13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Three months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ended March 31, 1997 and 1996</w:t>
            </w:r>
          </w:p>
        </w:tc>
        <w:tc>
          <w:tcPr>
            <w:tcW w:w="1320" w:type="dxa"/>
            <w:vAlign w:val="bottom"/>
          </w:tcPr>
          <w:p>
            <w:pPr>
              <w:spacing w:after="0"/>
              <w:rPr>
                <w:sz w:val="15"/>
                <w:szCs w:val="15"/>
                <w:color w:val="auto"/>
              </w:rPr>
            </w:pPr>
          </w:p>
        </w:tc>
      </w:tr>
      <w:tr>
        <w:trPr>
          <w:trHeight w:val="367"/>
        </w:trPr>
        <w:tc>
          <w:tcPr>
            <w:tcW w:w="9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Consolidated</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Statements of Cash Flows (unaudited)</w:t>
            </w: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8</w:t>
            </w:r>
          </w:p>
        </w:tc>
      </w:tr>
      <w:tr>
        <w:trPr>
          <w:trHeight w:val="183"/>
        </w:trPr>
        <w:tc>
          <w:tcPr>
            <w:tcW w:w="900" w:type="dxa"/>
            <w:vAlign w:val="bottom"/>
          </w:tcPr>
          <w:p>
            <w:pPr>
              <w:spacing w:after="0"/>
              <w:rPr>
                <w:sz w:val="15"/>
                <w:szCs w:val="15"/>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Three months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ended March 31, 1997 and 1996</w:t>
            </w:r>
          </w:p>
        </w:tc>
        <w:tc>
          <w:tcPr>
            <w:tcW w:w="1320" w:type="dxa"/>
            <w:vAlign w:val="bottom"/>
          </w:tcPr>
          <w:p>
            <w:pPr>
              <w:spacing w:after="0"/>
              <w:rPr>
                <w:sz w:val="15"/>
                <w:szCs w:val="15"/>
                <w:color w:val="auto"/>
              </w:rPr>
            </w:pPr>
          </w:p>
        </w:tc>
      </w:tr>
      <w:tr>
        <w:trPr>
          <w:trHeight w:val="550"/>
        </w:trPr>
        <w:tc>
          <w:tcPr>
            <w:tcW w:w="900" w:type="dxa"/>
            <w:vAlign w:val="bottom"/>
          </w:tcPr>
          <w:p>
            <w:pPr>
              <w:spacing w:after="0"/>
              <w:rPr>
                <w:sz w:val="24"/>
                <w:szCs w:val="24"/>
                <w:color w:val="auto"/>
              </w:rPr>
            </w:pPr>
          </w:p>
        </w:tc>
        <w:tc>
          <w:tcPr>
            <w:tcW w:w="5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Notes to Financial Statements</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9-12</w:t>
            </w:r>
          </w:p>
        </w:tc>
      </w:tr>
      <w:tr>
        <w:trPr>
          <w:trHeight w:val="367"/>
        </w:trPr>
        <w:tc>
          <w:tcPr>
            <w:tcW w:w="9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Management's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Discussion and Analysis of</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13-18</w:t>
            </w:r>
          </w:p>
        </w:tc>
      </w:tr>
      <w:tr>
        <w:trPr>
          <w:trHeight w:val="183"/>
        </w:trPr>
        <w:tc>
          <w:tcPr>
            <w:tcW w:w="900" w:type="dxa"/>
            <w:vAlign w:val="bottom"/>
          </w:tcPr>
          <w:p>
            <w:pPr>
              <w:spacing w:after="0"/>
              <w:rPr>
                <w:sz w:val="15"/>
                <w:szCs w:val="15"/>
                <w:color w:val="auto"/>
              </w:rPr>
            </w:pPr>
          </w:p>
        </w:tc>
        <w:tc>
          <w:tcPr>
            <w:tcW w:w="5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1320" w:type="dxa"/>
            <w:vAlign w:val="bottom"/>
          </w:tcPr>
          <w:p>
            <w:pPr>
              <w:spacing w:after="0"/>
              <w:rPr>
                <w:sz w:val="15"/>
                <w:szCs w:val="15"/>
                <w:color w:val="auto"/>
              </w:rPr>
            </w:pPr>
          </w:p>
        </w:tc>
      </w:tr>
      <w:tr>
        <w:trPr>
          <w:trHeight w:val="367"/>
        </w:trPr>
        <w:tc>
          <w:tcPr>
            <w:tcW w:w="9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1320" w:type="dxa"/>
            <w:vAlign w:val="bottom"/>
          </w:tcPr>
          <w:p>
            <w:pPr>
              <w:ind w:left="940"/>
              <w:spacing w:after="0"/>
              <w:rPr>
                <w:sz w:val="20"/>
                <w:szCs w:val="20"/>
                <w:color w:val="auto"/>
              </w:rPr>
            </w:pPr>
            <w:r>
              <w:rPr>
                <w:rFonts w:ascii="Courier New" w:cs="Courier New" w:eastAsia="Courier New" w:hAnsi="Courier New"/>
                <w:sz w:val="16"/>
                <w:szCs w:val="16"/>
                <w:color w:val="auto"/>
              </w:rPr>
              <w:t>19</w:t>
            </w:r>
          </w:p>
        </w:tc>
      </w:tr>
      <w:tr>
        <w:trPr>
          <w:trHeight w:val="550"/>
        </w:trPr>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60" w:type="dxa"/>
            <w:vAlign w:val="bottom"/>
          </w:tcPr>
          <w:p>
            <w:pPr>
              <w:ind w:left="1480"/>
              <w:spacing w:after="0"/>
              <w:rPr>
                <w:sz w:val="20"/>
                <w:szCs w:val="20"/>
                <w:color w:val="auto"/>
              </w:rPr>
            </w:pPr>
            <w:r>
              <w:rPr>
                <w:rFonts w:ascii="Courier New" w:cs="Courier New" w:eastAsia="Courier New" w:hAnsi="Courier New"/>
                <w:sz w:val="16"/>
                <w:szCs w:val="16"/>
                <w:color w:val="auto"/>
              </w:rPr>
              <w:t>2</w:t>
            </w:r>
          </w:p>
        </w:tc>
        <w:tc>
          <w:tcPr>
            <w:tcW w:w="132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S.E.C. FORM 10-Q</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March 31, 1997</w:t>
      </w:r>
    </w:p>
    <w:p>
      <w:pPr>
        <w:spacing w:after="0" w:line="200" w:lineRule="exact"/>
        <w:rPr>
          <w:sz w:val="20"/>
          <w:szCs w:val="20"/>
          <w:color w:val="auto"/>
        </w:rPr>
      </w:pPr>
    </w:p>
    <w:p>
      <w:pPr>
        <w:spacing w:after="0" w:line="35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8" w:lineRule="exact"/>
        <w:rPr>
          <w:sz w:val="20"/>
          <w:szCs w:val="20"/>
          <w:color w:val="auto"/>
        </w:rPr>
      </w:pPr>
    </w:p>
    <w:p>
      <w:pPr>
        <w:ind w:left="960" w:right="2779" w:firstLine="477"/>
        <w:spacing w:after="0" w:line="242" w:lineRule="auto"/>
        <w:rPr>
          <w:sz w:val="20"/>
          <w:szCs w:val="20"/>
          <w:color w:val="auto"/>
        </w:rPr>
      </w:pPr>
      <w:r>
        <w:rPr>
          <w:rFonts w:ascii="Courier New" w:cs="Courier New" w:eastAsia="Courier New" w:hAnsi="Courier New"/>
          <w:sz w:val="16"/>
          <w:szCs w:val="16"/>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72" w:lineRule="exact"/>
        <w:rPr>
          <w:sz w:val="20"/>
          <w:szCs w:val="20"/>
          <w:color w:val="auto"/>
        </w:rPr>
      </w:pPr>
    </w:p>
    <w:p>
      <w:pPr>
        <w:ind w:left="960" w:right="2599" w:firstLine="477"/>
        <w:spacing w:after="0" w:line="242" w:lineRule="auto"/>
        <w:rPr>
          <w:sz w:val="20"/>
          <w:szCs w:val="20"/>
          <w:color w:val="auto"/>
        </w:rPr>
      </w:pPr>
      <w:r>
        <w:rPr>
          <w:rFonts w:ascii="Courier New" w:cs="Courier New" w:eastAsia="Courier New" w:hAnsi="Courier New"/>
          <w:sz w:val="16"/>
          <w:szCs w:val="16"/>
          <w:color w:val="auto"/>
        </w:rPr>
        <w:t>The balance sheet as of December 31, 1996 was audited by Grant Thornton LLP, independent public accountants, who expressed an unqualified opinion on it in their report dated February 5, 1997. All other financial information presented is unaudited but has been reviewed as of March 31, 1997 and for each of the three month periods ended March 31, 1997 and 1996 by Grant Thornton LLP whose report thereon appears on Page 4. All adjustments and disclosures proposed by them have been reflected in the data presented.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Accountants' Review Report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March 31, 1997 and the related consolidated statements of operations, shareholders' equity and cash flows for the three month periods ended March 31, 1997 and 1996. These financial statements are the responsibility of the Trust's management.</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89"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financial statements for them to be in conformity with generally accepted accounting principles.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as of December 31, 1996 and the related consolidated statements of operations, shareholders' equity and cash flows for the year then ended (not presented herein); and in our report dated February 5, 1997, we expressed an unqualified opinion on those consolidated financial statements. In our opinion, the information set forth in the accompanying condensed consolidated balance sheet as of December 31, 1996 is stated fairly, in all material respects, in relation to the consolidated balance sheet from which it has been derived.</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Grant Thornton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 1997</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40" w:type="dxa"/>
            <w:vAlign w:val="bottom"/>
          </w:tcPr>
          <w:p>
            <w:pPr>
              <w:spacing w:after="0"/>
              <w:rPr>
                <w:sz w:val="15"/>
                <w:szCs w:val="15"/>
                <w:color w:val="auto"/>
              </w:rPr>
            </w:pP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March 31,</w:t>
            </w:r>
          </w:p>
        </w:tc>
        <w:tc>
          <w:tcPr>
            <w:tcW w:w="2580" w:type="dxa"/>
            <w:vAlign w:val="bottom"/>
          </w:tcPr>
          <w:p>
            <w:pPr>
              <w:spacing w:after="0"/>
              <w:rPr>
                <w:sz w:val="15"/>
                <w:szCs w:val="15"/>
                <w:color w:val="auto"/>
              </w:rPr>
            </w:pPr>
          </w:p>
        </w:tc>
      </w:tr>
      <w:tr>
        <w:trPr>
          <w:trHeight w:val="183"/>
        </w:trPr>
        <w:tc>
          <w:tcPr>
            <w:tcW w:w="734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c>
          <w:tcPr>
            <w:tcW w:w="2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2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7"/>
        </w:trPr>
        <w:tc>
          <w:tcPr>
            <w:tcW w:w="7340" w:type="dxa"/>
            <w:vAlign w:val="bottom"/>
          </w:tcPr>
          <w:p>
            <w:pPr>
              <w:ind w:left="1420"/>
              <w:spacing w:after="0"/>
              <w:rPr>
                <w:sz w:val="20"/>
                <w:szCs w:val="20"/>
                <w:color w:val="auto"/>
              </w:rPr>
            </w:pPr>
            <w:r>
              <w:rPr>
                <w:rFonts w:ascii="Courier New" w:cs="Courier New" w:eastAsia="Courier New" w:hAnsi="Courier New"/>
                <w:sz w:val="16"/>
                <w:szCs w:val="16"/>
                <w:color w:val="auto"/>
              </w:rPr>
              <w:t>ASSETS</w:t>
            </w:r>
          </w:p>
        </w:tc>
        <w:tc>
          <w:tcPr>
            <w:tcW w:w="1520" w:type="dxa"/>
            <w:vAlign w:val="bottom"/>
          </w:tcPr>
          <w:p>
            <w:pPr>
              <w:spacing w:after="0"/>
              <w:rPr>
                <w:sz w:val="24"/>
                <w:szCs w:val="24"/>
                <w:color w:val="auto"/>
              </w:rPr>
            </w:pPr>
          </w:p>
        </w:tc>
        <w:tc>
          <w:tcPr>
            <w:tcW w:w="258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98"/>
              </w:rPr>
              <w:t>(in thousands)</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Real estate, at cost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$1,251,867</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$1,147,865</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(232,487)</w:t>
            </w:r>
          </w:p>
        </w:tc>
        <w:tc>
          <w:tcPr>
            <w:tcW w:w="2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(223,553)</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1,019,380</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924,312</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Mortgage notes receivable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37,406</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27,913</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1,056,786</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952,225</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11,762</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11,041</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Notes receivable - officers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1,235</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1,183</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14,897</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16,111</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 and other assets, principally</w:t>
            </w:r>
          </w:p>
        </w:tc>
        <w:tc>
          <w:tcPr>
            <w:tcW w:w="15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property taxes and lease commissions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27,217</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51,374</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Debt issue costs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3,192</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3,372</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$1,115,089</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$1,035,306</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340" w:type="dxa"/>
            <w:vAlign w:val="bottom"/>
          </w:tcPr>
          <w:p>
            <w:pPr>
              <w:ind w:left="580"/>
              <w:spacing w:after="0"/>
              <w:rPr>
                <w:sz w:val="20"/>
                <w:szCs w:val="20"/>
                <w:color w:val="auto"/>
              </w:rPr>
            </w:pPr>
            <w:r>
              <w:rPr>
                <w:rFonts w:ascii="Courier New" w:cs="Courier New" w:eastAsia="Courier New" w:hAnsi="Courier New"/>
                <w:sz w:val="16"/>
                <w:szCs w:val="16"/>
                <w:color w:val="auto"/>
              </w:rPr>
              <w:t>LIABILITIES AND SHAREHOLDERS' EQUITY</w:t>
            </w: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Obligations under capital leases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$126,553</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$130,613</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Mortgages payable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98,228</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98,576</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Notes payable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70,832</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66,106</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Accrued expenses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17,182</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20,405</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6,621</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6,783</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Dividends payable</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16,382</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15,072</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Security deposits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3,626</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3,515</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Prepaid rents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3,365</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3,801</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Senior notes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215,000</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215,000</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75,289</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75,289</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13,473</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11,261</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Common shares of beneficial interest, no par</w:t>
            </w:r>
          </w:p>
        </w:tc>
        <w:tc>
          <w:tcPr>
            <w:tcW w:w="15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or stated value, unlimited authorization,</w:t>
            </w:r>
          </w:p>
        </w:tc>
        <w:tc>
          <w:tcPr>
            <w:tcW w:w="15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issued 39,071,542 and 35,948,044 shares,</w:t>
            </w:r>
          </w:p>
        </w:tc>
        <w:tc>
          <w:tcPr>
            <w:tcW w:w="152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respectively</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684,853</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597,917</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(207,771)</w:t>
            </w:r>
          </w:p>
        </w:tc>
        <w:tc>
          <w:tcPr>
            <w:tcW w:w="2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(200,700)</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477,082</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397,217</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Less 62,386 and 61,328 common shares in treasury - at cost, respectively,</w:t>
            </w:r>
          </w:p>
        </w:tc>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deferred compensation and subscriptions receivable</w:t>
            </w:r>
          </w:p>
        </w:tc>
        <w:tc>
          <w:tcPr>
            <w:tcW w:w="1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(8,544)</w:t>
            </w:r>
          </w:p>
        </w:tc>
        <w:tc>
          <w:tcPr>
            <w:tcW w:w="2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(8,332)</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468,538</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388,885</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$1,115,089</w:t>
            </w:r>
          </w:p>
        </w:tc>
        <w:tc>
          <w:tcPr>
            <w:tcW w:w="25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$1,035,306</w:t>
            </w:r>
          </w:p>
        </w:tc>
      </w:tr>
      <w:tr>
        <w:trPr>
          <w:trHeight w:val="183"/>
        </w:trPr>
        <w:tc>
          <w:tcPr>
            <w:tcW w:w="7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440"/>
          </w:cols>
          <w:pgMar w:left="240" w:top="481" w:right="2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ind w:left="2580"/>
              <w:spacing w:after="0"/>
              <w:rPr>
                <w:sz w:val="20"/>
                <w:szCs w:val="20"/>
                <w:color w:val="auto"/>
              </w:rPr>
            </w:pPr>
            <w:r>
              <w:rPr>
                <w:rFonts w:ascii="Courier New" w:cs="Courier New" w:eastAsia="Courier New" w:hAnsi="Courier New"/>
                <w:sz w:val="16"/>
                <w:szCs w:val="16"/>
                <w:color w:val="auto"/>
              </w:rPr>
              <w:t>(unaudited)</w:t>
            </w:r>
          </w:p>
        </w:tc>
        <w:tc>
          <w:tcPr>
            <w:tcW w:w="3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734"/>
        </w:trPr>
        <w:tc>
          <w:tcPr>
            <w:tcW w:w="5240" w:type="dxa"/>
            <w:vAlign w:val="bottom"/>
          </w:tcPr>
          <w:p>
            <w:pPr>
              <w:spacing w:after="0"/>
              <w:rPr>
                <w:sz w:val="24"/>
                <w:szCs w:val="24"/>
                <w:color w:val="auto"/>
              </w:rPr>
            </w:pPr>
          </w:p>
        </w:tc>
        <w:tc>
          <w:tcPr>
            <w:tcW w:w="49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1997</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Rental income</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$43,920</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$40,747</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1,500</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863</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Other income</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3,227</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2,162</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48,647</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43,772</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Rental</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10,216</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11,793</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Real estate taxes</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4,574</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3,924</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11,989</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11,149</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Administrative</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2,101</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1,686</w:t>
            </w: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10,124</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9,332</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39,004</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37,884</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3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of operations</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9,643</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5,888</w:t>
            </w:r>
          </w:p>
        </w:tc>
      </w:tr>
      <w:tr>
        <w:trPr>
          <w:trHeight w:val="367"/>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Investors' share of operations</w:t>
            </w:r>
          </w:p>
        </w:tc>
        <w:tc>
          <w:tcPr>
            <w:tcW w:w="3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(332)</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$9,311</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$6,026</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38,033</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32,265</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50"/>
        </w:trPr>
        <w:tc>
          <w:tcPr>
            <w:tcW w:w="52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$0.24</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$0.19</w:t>
            </w:r>
          </w:p>
        </w:tc>
      </w:tr>
      <w:tr>
        <w:trPr>
          <w:trHeight w:val="183"/>
        </w:trPr>
        <w:tc>
          <w:tcPr>
            <w:tcW w:w="5240" w:type="dxa"/>
            <w:vAlign w:val="bottom"/>
          </w:tcPr>
          <w:p>
            <w:pPr>
              <w:spacing w:after="0"/>
              <w:rPr>
                <w:sz w:val="15"/>
                <w:szCs w:val="15"/>
                <w:color w:val="auto"/>
              </w:rPr>
            </w:pPr>
          </w:p>
        </w:tc>
        <w:tc>
          <w:tcPr>
            <w:tcW w:w="3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ind w:left="2280"/>
              <w:spacing w:after="0"/>
              <w:rPr>
                <w:sz w:val="20"/>
                <w:szCs w:val="20"/>
                <w:color w:val="auto"/>
              </w:rPr>
            </w:pPr>
            <w:r>
              <w:rPr>
                <w:rFonts w:ascii="Courier New" w:cs="Courier New" w:eastAsia="Courier New" w:hAnsi="Courier New"/>
                <w:sz w:val="16"/>
                <w:szCs w:val="16"/>
                <w:color w:val="auto"/>
              </w:rPr>
              <w:t>(unaudited)</w:t>
            </w:r>
          </w:p>
        </w:tc>
        <w:tc>
          <w:tcPr>
            <w:tcW w:w="1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34"/>
        </w:trPr>
        <w:tc>
          <w:tcPr>
            <w:tcW w:w="4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Three months ended March 31,</w:t>
            </w:r>
          </w:p>
        </w:tc>
        <w:tc>
          <w:tcPr>
            <w:tcW w:w="1400" w:type="dxa"/>
            <w:vAlign w:val="bottom"/>
          </w:tcPr>
          <w:p>
            <w:pPr>
              <w:spacing w:after="0"/>
              <w:rPr>
                <w:sz w:val="24"/>
                <w:szCs w:val="24"/>
                <w:color w:val="auto"/>
              </w:rPr>
            </w:pPr>
          </w:p>
        </w:tc>
      </w:tr>
      <w:tr>
        <w:trPr>
          <w:trHeight w:val="183"/>
        </w:trPr>
        <w:tc>
          <w:tcPr>
            <w:tcW w:w="4760" w:type="dxa"/>
            <w:vAlign w:val="bottom"/>
          </w:tcPr>
          <w:p>
            <w:pPr>
              <w:spacing w:after="0"/>
              <w:rPr>
                <w:sz w:val="15"/>
                <w:szCs w:val="15"/>
                <w:color w:val="auto"/>
              </w:rPr>
            </w:pPr>
          </w:p>
        </w:tc>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1997</w:t>
            </w:r>
          </w:p>
        </w:tc>
        <w:tc>
          <w:tcPr>
            <w:tcW w:w="1820" w:type="dxa"/>
            <w:vAlign w:val="bottom"/>
          </w:tcPr>
          <w:p>
            <w:pPr>
              <w:spacing w:after="0"/>
              <w:rPr>
                <w:sz w:val="15"/>
                <w:szCs w:val="15"/>
                <w:color w:val="auto"/>
              </w:rPr>
            </w:pPr>
          </w:p>
        </w:tc>
        <w:tc>
          <w:tcPr>
            <w:tcW w:w="17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1996</w:t>
            </w:r>
          </w:p>
        </w:tc>
        <w:tc>
          <w:tcPr>
            <w:tcW w:w="1400" w:type="dxa"/>
            <w:vAlign w:val="bottom"/>
          </w:tcPr>
          <w:p>
            <w:pPr>
              <w:spacing w:after="0"/>
              <w:rPr>
                <w:sz w:val="15"/>
                <w:szCs w:val="15"/>
                <w:color w:val="auto"/>
              </w:rPr>
            </w:pPr>
          </w:p>
        </w:tc>
      </w:tr>
      <w:tr>
        <w:trPr>
          <w:trHeight w:val="183"/>
        </w:trPr>
        <w:tc>
          <w:tcPr>
            <w:tcW w:w="4760" w:type="dxa"/>
            <w:vAlign w:val="bottom"/>
          </w:tcPr>
          <w:p>
            <w:pPr>
              <w:spacing w:after="0"/>
              <w:rPr>
                <w:sz w:val="15"/>
                <w:szCs w:val="15"/>
                <w:color w:val="auto"/>
              </w:rPr>
            </w:pP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5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Shares</w:t>
            </w:r>
          </w:p>
        </w:tc>
        <w:tc>
          <w:tcPr>
            <w:tcW w:w="18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Amount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Amount</w:t>
            </w:r>
          </w:p>
        </w:tc>
      </w:tr>
      <w:tr>
        <w:trPr>
          <w:trHeight w:val="367"/>
        </w:trPr>
        <w:tc>
          <w:tcPr>
            <w:tcW w:w="476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35,948,044</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$597,917</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32,221,670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$508,870</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Net proceeds from sale of shares</w:t>
            </w: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3,000,000</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83,925</w:t>
            </w:r>
          </w:p>
        </w:tc>
        <w:tc>
          <w:tcPr>
            <w:tcW w:w="17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Exercise of stock options</w:t>
            </w: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64,501</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1,360</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20,667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36,997</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1,030</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46,481</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1,033</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Shares granted under bonus plan</w:t>
            </w: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22,000</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621</w:t>
            </w:r>
          </w:p>
        </w:tc>
        <w:tc>
          <w:tcPr>
            <w:tcW w:w="17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4760" w:type="dxa"/>
            <w:vAlign w:val="bottom"/>
          </w:tcPr>
          <w:p>
            <w:pPr>
              <w:spacing w:after="0"/>
              <w:rPr>
                <w:sz w:val="15"/>
                <w:szCs w:val="15"/>
                <w:color w:val="auto"/>
              </w:rPr>
            </w:pP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39,071,542</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$684,853</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32,288,818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$510,313</w:t>
            </w:r>
          </w:p>
        </w:tc>
      </w:tr>
      <w:tr>
        <w:trPr>
          <w:trHeight w:val="183"/>
        </w:trPr>
        <w:tc>
          <w:tcPr>
            <w:tcW w:w="4760" w:type="dxa"/>
            <w:vAlign w:val="bottom"/>
          </w:tcPr>
          <w:p>
            <w:pPr>
              <w:spacing w:after="0"/>
              <w:rPr>
                <w:sz w:val="15"/>
                <w:szCs w:val="15"/>
                <w:color w:val="auto"/>
              </w:rPr>
            </w:pPr>
          </w:p>
        </w:tc>
        <w:tc>
          <w:tcPr>
            <w:tcW w:w="1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4760" w:type="dxa"/>
            <w:vAlign w:val="bottom"/>
          </w:tcPr>
          <w:p>
            <w:pPr>
              <w:ind w:left="380"/>
              <w:spacing w:after="0"/>
              <w:rPr>
                <w:sz w:val="20"/>
                <w:szCs w:val="20"/>
                <w:color w:val="auto"/>
              </w:rPr>
            </w:pPr>
            <w:r>
              <w:rPr>
                <w:rFonts w:ascii="Courier New" w:cs="Courier New" w:eastAsia="Courier New" w:hAnsi="Courier New"/>
                <w:sz w:val="16"/>
                <w:szCs w:val="16"/>
                <w:color w:val="auto"/>
              </w:rPr>
              <w:t>in Treasury, Deferred Compensation and</w:t>
            </w:r>
          </w:p>
        </w:tc>
        <w:tc>
          <w:tcPr>
            <w:tcW w:w="1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4760" w:type="dxa"/>
            <w:vAlign w:val="bottom"/>
          </w:tcPr>
          <w:p>
            <w:pPr>
              <w:ind w:left="380"/>
              <w:spacing w:after="0"/>
              <w:rPr>
                <w:sz w:val="20"/>
                <w:szCs w:val="20"/>
                <w:color w:val="auto"/>
              </w:rPr>
            </w:pPr>
            <w:r>
              <w:rPr>
                <w:rFonts w:ascii="Courier New" w:cs="Courier New" w:eastAsia="Courier New" w:hAnsi="Courier New"/>
                <w:sz w:val="16"/>
                <w:szCs w:val="16"/>
                <w:color w:val="auto"/>
              </w:rPr>
              <w:t>Subscriptions Receivable</w:t>
            </w:r>
          </w:p>
        </w:tc>
        <w:tc>
          <w:tcPr>
            <w:tcW w:w="1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(480,948)</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($8,332)</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(500,095)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($8,567)</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deferred compensation</w:t>
            </w:r>
          </w:p>
        </w:tc>
        <w:tc>
          <w:tcPr>
            <w:tcW w:w="17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30,125</w:t>
            </w:r>
          </w:p>
        </w:tc>
        <w:tc>
          <w:tcPr>
            <w:tcW w:w="1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480</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30,250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482</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Deferred compensation under bonus plan</w:t>
            </w:r>
          </w:p>
        </w:tc>
        <w:tc>
          <w:tcPr>
            <w:tcW w:w="1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(22,000)</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w:t>
            </w: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Purchase of shares under share purchase plan</w:t>
            </w:r>
          </w:p>
        </w:tc>
        <w:tc>
          <w:tcPr>
            <w:tcW w:w="17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13,856</w:t>
            </w:r>
          </w:p>
        </w:tc>
        <w:tc>
          <w:tcPr>
            <w:tcW w:w="1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193</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1,250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Purchase of treasury shares</w:t>
            </w:r>
          </w:p>
        </w:tc>
        <w:tc>
          <w:tcPr>
            <w:tcW w:w="17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Increase in stock option loans</w:t>
            </w:r>
          </w:p>
        </w:tc>
        <w:tc>
          <w:tcPr>
            <w:tcW w:w="1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(12,500)</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3"/>
        </w:trPr>
        <w:tc>
          <w:tcPr>
            <w:tcW w:w="4760" w:type="dxa"/>
            <w:vAlign w:val="bottom"/>
          </w:tcPr>
          <w:p>
            <w:pPr>
              <w:spacing w:after="0"/>
              <w:rPr>
                <w:sz w:val="15"/>
                <w:szCs w:val="15"/>
                <w:color w:val="auto"/>
              </w:rPr>
            </w:pPr>
          </w:p>
        </w:tc>
        <w:tc>
          <w:tcPr>
            <w:tcW w:w="17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476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7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(471,467)</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($8,544)</w:t>
            </w:r>
          </w:p>
        </w:tc>
        <w:tc>
          <w:tcPr>
            <w:tcW w:w="1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(488,653)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($8,465)</w:t>
            </w:r>
          </w:p>
        </w:tc>
      </w:tr>
      <w:tr>
        <w:trPr>
          <w:trHeight w:val="183"/>
        </w:trPr>
        <w:tc>
          <w:tcPr>
            <w:tcW w:w="4760" w:type="dxa"/>
            <w:vAlign w:val="bottom"/>
          </w:tcPr>
          <w:p>
            <w:pPr>
              <w:spacing w:after="0"/>
              <w:rPr>
                <w:sz w:val="15"/>
                <w:szCs w:val="15"/>
                <w:color w:val="auto"/>
              </w:rPr>
            </w:pPr>
          </w:p>
        </w:tc>
        <w:tc>
          <w:tcPr>
            <w:tcW w:w="17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32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324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($200,700)</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($172,835)</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324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9,311</w:t>
            </w:r>
          </w:p>
        </w:tc>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6,026</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to shareholders</w:t>
            </w:r>
          </w:p>
        </w:tc>
        <w:tc>
          <w:tcPr>
            <w:tcW w:w="324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(16,382)</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(13,213)</w:t>
            </w:r>
          </w:p>
        </w:tc>
      </w:tr>
      <w:tr>
        <w:trPr>
          <w:trHeight w:val="183"/>
        </w:trPr>
        <w:tc>
          <w:tcPr>
            <w:tcW w:w="5820" w:type="dxa"/>
            <w:vAlign w:val="bottom"/>
          </w:tcPr>
          <w:p>
            <w:pPr>
              <w:spacing w:after="0"/>
              <w:rPr>
                <w:sz w:val="15"/>
                <w:szCs w:val="15"/>
                <w:color w:val="auto"/>
              </w:rPr>
            </w:pPr>
          </w:p>
        </w:tc>
        <w:tc>
          <w:tcPr>
            <w:tcW w:w="324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324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($207,771)</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($180,022)</w:t>
            </w:r>
          </w:p>
        </w:tc>
      </w:tr>
      <w:tr>
        <w:trPr>
          <w:trHeight w:val="183"/>
        </w:trPr>
        <w:tc>
          <w:tcPr>
            <w:tcW w:w="5820" w:type="dxa"/>
            <w:vAlign w:val="bottom"/>
          </w:tcPr>
          <w:p>
            <w:pPr>
              <w:spacing w:after="0"/>
              <w:rPr>
                <w:sz w:val="15"/>
                <w:szCs w:val="15"/>
                <w:color w:val="auto"/>
              </w:rPr>
            </w:pPr>
          </w:p>
        </w:tc>
        <w:tc>
          <w:tcPr>
            <w:tcW w:w="324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340"/>
          </w:cols>
          <w:pgMar w:left="240" w:top="665" w:right="3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ind w:left="860"/>
              <w:spacing w:after="0"/>
              <w:rPr>
                <w:sz w:val="20"/>
                <w:szCs w:val="20"/>
                <w:color w:val="auto"/>
              </w:rPr>
            </w:pPr>
            <w:r>
              <w:rPr>
                <w:rFonts w:ascii="Courier New" w:cs="Courier New" w:eastAsia="Courier New" w:hAnsi="Courier New"/>
                <w:sz w:val="16"/>
                <w:szCs w:val="16"/>
                <w:color w:val="auto"/>
              </w:rPr>
              <w:t>(unaudited)</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550"/>
        </w:trPr>
        <w:tc>
          <w:tcPr>
            <w:tcW w:w="5820" w:type="dxa"/>
            <w:vAlign w:val="bottom"/>
          </w:tcPr>
          <w:p>
            <w:pPr>
              <w:spacing w:after="0"/>
              <w:rPr>
                <w:sz w:val="24"/>
                <w:szCs w:val="24"/>
                <w:color w:val="auto"/>
              </w:rPr>
            </w:pPr>
          </w:p>
        </w:tc>
        <w:tc>
          <w:tcPr>
            <w:tcW w:w="41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Three months ended March 31,</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24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1997</w:t>
            </w:r>
          </w:p>
        </w:tc>
        <w:tc>
          <w:tcPr>
            <w:tcW w:w="16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820" w:type="dxa"/>
            <w:vAlign w:val="bottom"/>
          </w:tcPr>
          <w:p>
            <w:pPr>
              <w:spacing w:after="0"/>
              <w:rPr>
                <w:sz w:val="15"/>
                <w:szCs w:val="15"/>
                <w:color w:val="auto"/>
              </w:rPr>
            </w:pP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67"/>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$9,311</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$6,026</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provided by operations</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10,124</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9,332</w:t>
            </w: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Rent abatements in lieu of leasehold improvements,</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net of tenant improvements retired</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Imputed interest and amortization of debt cost</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165</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w:t>
            </w: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Amortization of deferred compensation and</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forgiveness of officers' notes</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172</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Changes in assets and liabilities</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(Increase) decrease in accounts receivable</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1,214</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(722)</w:t>
            </w: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Increase in prepaid expenses and other</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assets before depreciation and amortization</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(1,228)</w:t>
            </w: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Decrease in operating accounts payable,</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security deposits and prepaid rent</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(686)</w:t>
            </w:r>
          </w:p>
        </w:tc>
      </w:tr>
      <w:tr>
        <w:trPr>
          <w:trHeight w:val="183"/>
        </w:trPr>
        <w:tc>
          <w:tcPr>
            <w:tcW w:w="5820" w:type="dxa"/>
            <w:vAlign w:val="bottom"/>
          </w:tcPr>
          <w:p>
            <w:pPr>
              <w:ind w:left="480"/>
              <w:spacing w:after="0"/>
              <w:rPr>
                <w:sz w:val="20"/>
                <w:szCs w:val="20"/>
                <w:color w:val="auto"/>
              </w:rPr>
            </w:pPr>
            <w:r>
              <w:rPr>
                <w:rFonts w:ascii="Courier New" w:cs="Courier New" w:eastAsia="Courier New" w:hAnsi="Courier New"/>
                <w:sz w:val="16"/>
                <w:szCs w:val="16"/>
                <w:color w:val="auto"/>
              </w:rPr>
              <w:t>Decrease in accrued expenses</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(2,900)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(766)</w:t>
            </w:r>
          </w:p>
        </w:tc>
      </w:tr>
      <w:tr>
        <w:trPr>
          <w:trHeight w:val="183"/>
        </w:trPr>
        <w:tc>
          <w:tcPr>
            <w:tcW w:w="582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17,208</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12,120</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Acquisition of real estate</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(96,550)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(6,799)</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(9,369)</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(10,337)</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Application of deposit on real estate</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23,447</w:t>
            </w:r>
          </w:p>
        </w:tc>
        <w:tc>
          <w:tcPr>
            <w:tcW w:w="1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Net increase in notes receivable</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(9,545)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(704)</w:t>
            </w:r>
          </w:p>
        </w:tc>
      </w:tr>
      <w:tr>
        <w:trPr>
          <w:trHeight w:val="183"/>
        </w:trPr>
        <w:tc>
          <w:tcPr>
            <w:tcW w:w="582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Net cash used in investing activities</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(92,017)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(17,840)</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Regular payments on mortgages, capital leases, and</w:t>
            </w: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5820" w:type="dxa"/>
            <w:vAlign w:val="bottom"/>
          </w:tcPr>
          <w:p>
            <w:pPr>
              <w:ind w:left="380"/>
              <w:spacing w:after="0"/>
              <w:rPr>
                <w:sz w:val="20"/>
                <w:szCs w:val="20"/>
                <w:color w:val="auto"/>
              </w:rPr>
            </w:pPr>
            <w:r>
              <w:rPr>
                <w:rFonts w:ascii="Courier New" w:cs="Courier New" w:eastAsia="Courier New" w:hAnsi="Courier New"/>
                <w:sz w:val="16"/>
                <w:szCs w:val="16"/>
                <w:color w:val="auto"/>
              </w:rPr>
              <w:t>notes payable</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(654)</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(718)</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Borrowing of short-term debt, net</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4,845</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16,455</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2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(14,403)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(12,546)</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Issuance of shares of beneficial interest</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85,575</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418</w:t>
            </w:r>
          </w:p>
        </w:tc>
      </w:tr>
      <w:tr>
        <w:trPr>
          <w:trHeight w:val="183"/>
        </w:trPr>
        <w:tc>
          <w:tcPr>
            <w:tcW w:w="5820" w:type="dxa"/>
            <w:vAlign w:val="bottom"/>
          </w:tcPr>
          <w:p>
            <w:pPr>
              <w:ind w:left="100"/>
              <w:spacing w:after="0"/>
              <w:rPr>
                <w:sz w:val="20"/>
                <w:szCs w:val="20"/>
                <w:color w:val="auto"/>
              </w:rPr>
            </w:pPr>
            <w:r>
              <w:rPr>
                <w:rFonts w:ascii="Courier New" w:cs="Courier New" w:eastAsia="Courier New" w:hAnsi="Courier New"/>
                <w:sz w:val="16"/>
                <w:szCs w:val="16"/>
                <w:color w:val="auto"/>
              </w:rPr>
              <w:t>Increase (decrease) in minority interest</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r>
      <w:tr>
        <w:trPr>
          <w:trHeight w:val="183"/>
        </w:trPr>
        <w:tc>
          <w:tcPr>
            <w:tcW w:w="582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75,530</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3,451</w:t>
            </w:r>
          </w:p>
        </w:tc>
      </w:tr>
      <w:tr>
        <w:trPr>
          <w:trHeight w:val="183"/>
        </w:trPr>
        <w:tc>
          <w:tcPr>
            <w:tcW w:w="582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Increase (decrease) in cash</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721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(2,269)</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11,041</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10,521</w:t>
            </w:r>
          </w:p>
        </w:tc>
      </w:tr>
      <w:tr>
        <w:trPr>
          <w:trHeight w:val="183"/>
        </w:trPr>
        <w:tc>
          <w:tcPr>
            <w:tcW w:w="582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2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$11,762</w:t>
            </w: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$8,252</w:t>
            </w:r>
          </w:p>
        </w:tc>
      </w:tr>
      <w:tr>
        <w:trPr>
          <w:trHeight w:val="183"/>
        </w:trPr>
        <w:tc>
          <w:tcPr>
            <w:tcW w:w="582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5" w:right="1440" w:bottom="1440" w:gutter="0" w:footer="0" w:header="0"/>
        </w:sectPr>
      </w:pPr>
    </w:p>
    <w:bookmarkStart w:id="8" w:name="page9"/>
    <w:bookmarkEnd w:id="8"/>
    <w:p>
      <w:pPr>
        <w:ind w:left="228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March 31, 1997</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accountants' review report)</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(unaudited)</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Reference should be made to the notes to financial statements included in the Annual Report to shareholders for the year ended December 31, 1996 which contain the Trust's accounting policies and other data.</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Financial Accounting Standards Board has issued SFAS 128, "Earnings Per Share" which will be effective for financial statements issued for periods ending after December 15, 1997. SFAS 128 requires that public companies present basic and diluted earnings per share, which are computed differently than the currently used primary and fully diluted earnings per share. The most significant difference in the computation for the Trust is the exclusion of the effect of dilutive stock options from the computation of basic earnings per share. Basic earnings per share for the quarters ended March 31, 1997 and 1996 would be $.25 and $.19, respectively. Diluted earnings per share for the quarters ended March 31, 1997 and 1996 would be $.24 and $.19,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DIVIDENDS PAYABLE</w:t>
      </w:r>
    </w:p>
    <w:p>
      <w:pPr>
        <w:spacing w:after="0" w:line="188" w:lineRule="exact"/>
        <w:rPr>
          <w:sz w:val="20"/>
          <w:szCs w:val="20"/>
          <w:color w:val="auto"/>
        </w:rPr>
      </w:pPr>
    </w:p>
    <w:p>
      <w:pPr>
        <w:ind w:right="3059" w:firstLine="477"/>
        <w:spacing w:after="0" w:line="271" w:lineRule="auto"/>
        <w:rPr>
          <w:sz w:val="20"/>
          <w:szCs w:val="20"/>
          <w:color w:val="auto"/>
        </w:rPr>
      </w:pPr>
      <w:r>
        <w:rPr>
          <w:rFonts w:ascii="Courier New" w:cs="Courier New" w:eastAsia="Courier New" w:hAnsi="Courier New"/>
          <w:sz w:val="15"/>
          <w:szCs w:val="15"/>
          <w:color w:val="auto"/>
        </w:rPr>
        <w:t>On February 19, 1997 the Trustees declared a cash dividend of $.42 per share, payable April 15, 1997 to shareholders of record March 25,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REAL ESTATE</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On January 6, 1997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in January 1997 the Trust lent the seller $8.8 million at 8% which is due in June 1998. The Trust had previously held these properties under a capital lease.</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On February 24, 1997 the Trust purchased a 16 acre tract of land underlying part of the Shops at Willow Lawn for $4.6 million in cash.</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5" w:right="1440" w:bottom="1440" w:gutter="0" w:footer="0" w:header="0"/>
        </w:sectPr>
      </w:pPr>
    </w:p>
    <w:bookmarkStart w:id="9" w:name="page10"/>
    <w:bookmarkEnd w:id="9"/>
    <w:p>
      <w:pPr>
        <w:ind w:right="2599" w:firstLine="477"/>
        <w:spacing w:after="0" w:line="242" w:lineRule="auto"/>
        <w:rPr>
          <w:sz w:val="20"/>
          <w:szCs w:val="20"/>
          <w:color w:val="auto"/>
        </w:rPr>
      </w:pPr>
      <w:r>
        <w:rPr>
          <w:rFonts w:ascii="Courier New" w:cs="Courier New" w:eastAsia="Courier New" w:hAnsi="Courier New"/>
          <w:sz w:val="16"/>
          <w:szCs w:val="16"/>
          <w:color w:val="auto"/>
        </w:rPr>
        <w:t>The Trust purchased three retail buildings and two shopping centers during the first quarter of 1997.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In accordance with the provisions of the partnership agreements, the Trust contributed 90% of the cost of the buildings to the partnerships with the other 10% being contributed by the minority interests.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NOTES PAYABLE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Trust has $135 million of unsecured medium term revolving credit facilities with four banks. The facilities, which bear interest at LIBOR plus 75 basis points, require fees and have covenants requiring a minimum shareholders' equity and a maximum ratio of debt to net worth. At March 31, 1997 there was $64.2 million borrowed under these credit facilities. The maximum drawn during the first quarter of 1997 was $68.9 million. The weighted average interest rate on borrowings for the quarter ended March 31, 1997 was 6.3%.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SHAREHOLDERS' EQUITY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February 4, 1997 the Trust sold 3.0 million shares to an institutional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for $28 per share, netting $83.9 million. During the first three months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1997, 64,501 shares were issued at prices ranging from $20.50 a share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$24.125 a share from the exercise of stock options. The Trust accepted notes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$264,000 from certain of its officers and employees in connection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12,500 of these shares.</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On January 31, 1997, 22,000 restricted shares were granted to an officer and two employees of the Trust. The shares vest over three years.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7" w:right="1440" w:bottom="1440" w:gutter="0" w:footer="0" w:header="0"/>
        </w:sectPr>
      </w:pPr>
    </w:p>
    <w:bookmarkStart w:id="10" w:name="page11"/>
    <w:bookmarkEnd w:id="10"/>
    <w:p>
      <w:pPr>
        <w:ind w:right="2679" w:firstLine="477"/>
        <w:spacing w:after="0" w:line="239" w:lineRule="auto"/>
        <w:rPr>
          <w:sz w:val="20"/>
          <w:szCs w:val="20"/>
          <w:color w:val="auto"/>
        </w:rPr>
      </w:pPr>
      <w:r>
        <w:rPr>
          <w:rFonts w:ascii="Courier New" w:cs="Courier New" w:eastAsia="Courier New" w:hAnsi="Courier New"/>
          <w:sz w:val="16"/>
          <w:szCs w:val="16"/>
          <w:color w:val="auto"/>
        </w:rPr>
        <w:t>During March 1997, 770,000 options at prices ranging from $26.69 per share to $26.875 per share were granted to certain officers.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INTEREST EXPENSE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The Trust incurred interest expense totaling $12.4 million during the first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of 1997 and $11.4 million during the first quarter of 1996, of which</w:t>
      </w:r>
    </w:p>
    <w:p>
      <w:pPr>
        <w:spacing w:after="0" w:line="2"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6"/>
          <w:szCs w:val="16"/>
          <w:color w:val="auto"/>
        </w:rPr>
        <w:t>$368,000 and $302,000, respectively, were capitalized.</w:t>
      </w:r>
      <w:r>
        <w:rPr>
          <w:sz w:val="20"/>
          <w:szCs w:val="20"/>
          <w:color w:val="auto"/>
        </w:rPr>
        <w:tab/>
      </w:r>
      <w:r>
        <w:rPr>
          <w:rFonts w:ascii="Courier New" w:cs="Courier New" w:eastAsia="Courier New" w:hAnsi="Courier New"/>
          <w:sz w:val="15"/>
          <w:szCs w:val="15"/>
          <w:color w:val="auto"/>
        </w:rPr>
        <w:t>Interest paid was $13.0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in the first quarter of 1997 and $11.5 million in the first quarter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COMMITMENTS AND CONTINGENCIES</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Pursuant to the provisions of the respective partnership agreements, in the event of the exercise of put options by the other partners, the Trust would be required to purchase the 99% limited partnership interest at Loehmann's Plaza at its then fair</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7" w:right="1440" w:bottom="1440" w:gutter="0" w:footer="0" w:header="0"/>
        </w:sectPr>
      </w:pPr>
    </w:p>
    <w:bookmarkStart w:id="11" w:name="page12"/>
    <w:bookmarkEnd w:id="11"/>
    <w:p>
      <w:pPr>
        <w:ind w:right="2599"/>
        <w:spacing w:after="0" w:line="239" w:lineRule="auto"/>
        <w:rPr>
          <w:sz w:val="20"/>
          <w:szCs w:val="20"/>
          <w:color w:val="auto"/>
        </w:rPr>
      </w:pPr>
      <w:r>
        <w:rPr>
          <w:rFonts w:ascii="Courier New" w:cs="Courier New" w:eastAsia="Courier New" w:hAnsi="Courier New"/>
          <w:sz w:val="16"/>
          <w:szCs w:val="16"/>
          <w:color w:val="auto"/>
        </w:rPr>
        <w:t>market value and a 22.5% interest at Congressional Plaza at its then fair market value.</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Under the terms of the CIM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 March 31, 1997 in connection with certain redevelopment projects and tenant improvements, the Trust is contractually obligated on contracts of approximately $7.0 million. At March 31, 1997 the Trust is also obligated under leases with tenants to provide up to an additional $7.5 million for improvements.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COMPONENTS OF RENTAL INCOME</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components of rental income for the three months ended March 31 are as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1996</w:t>
            </w:r>
          </w:p>
        </w:tc>
      </w:tr>
      <w:tr>
        <w:trPr>
          <w:trHeight w:val="367"/>
        </w:trPr>
        <w:tc>
          <w:tcPr>
            <w:tcW w:w="2380" w:type="dxa"/>
            <w:vAlign w:val="bottom"/>
          </w:tcPr>
          <w:p>
            <w:pPr>
              <w:spacing w:after="0"/>
              <w:rPr>
                <w:sz w:val="24"/>
                <w:szCs w:val="24"/>
                <w:color w:val="auto"/>
              </w:rPr>
            </w:pPr>
          </w:p>
        </w:tc>
        <w:tc>
          <w:tcPr>
            <w:tcW w:w="23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(in thousands)</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Retail properties</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Minimum rents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$34,470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$31,334</w:t>
            </w:r>
          </w:p>
        </w:tc>
      </w:tr>
      <w:tr>
        <w:trPr>
          <w:trHeight w:val="183"/>
        </w:trPr>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Cost reimbursements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7,619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7,471</w:t>
            </w:r>
          </w:p>
        </w:tc>
      </w:tr>
      <w:tr>
        <w:trPr>
          <w:trHeight w:val="183"/>
        </w:trPr>
        <w:tc>
          <w:tcPr>
            <w:tcW w:w="2380" w:type="dxa"/>
            <w:vAlign w:val="bottom"/>
          </w:tcPr>
          <w:p>
            <w:pPr>
              <w:ind w:left="280"/>
              <w:spacing w:after="0"/>
              <w:rPr>
                <w:sz w:val="20"/>
                <w:szCs w:val="20"/>
                <w:color w:val="auto"/>
              </w:rPr>
            </w:pPr>
            <w:r>
              <w:rPr>
                <w:rFonts w:ascii="Courier New" w:cs="Courier New" w:eastAsia="Courier New" w:hAnsi="Courier New"/>
                <w:sz w:val="16"/>
                <w:szCs w:val="16"/>
                <w:color w:val="auto"/>
              </w:rPr>
              <w:t>Percentage rents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1,334</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Apartments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r>
      <w:tr>
        <w:trPr>
          <w:trHeight w:val="183"/>
        </w:trPr>
        <w:tc>
          <w:tcPr>
            <w:tcW w:w="238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$43,920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$40,747</w:t>
            </w:r>
          </w:p>
        </w:tc>
      </w:tr>
      <w:tr>
        <w:trPr>
          <w:trHeight w:val="183"/>
        </w:trPr>
        <w:tc>
          <w:tcPr>
            <w:tcW w:w="238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SUBSEQUENT EVENTS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April 17, 1997 a partnership organized in December 1996 exercised its purchase option on a retail building in Santa Monica, California for $6.9 million in cash. In accordance with the provisions of the partnership agreement, the Trust contributed 90% of the cost to the partnership and the minority interests contributed the other 10%. Also, on April 17, 1997 the Trust loaned the minority partners in this partnership $3.9 million. The loan is secured by property in Santa Monica, earns interest at 10% and participates in any profits or appreciation of the property.</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12" w:name="page13"/>
    <w:bookmarkEnd w:id="12"/>
    <w:p>
      <w:pPr>
        <w:ind w:right="2879" w:firstLine="572"/>
        <w:spacing w:after="0" w:line="265" w:lineRule="auto"/>
        <w:rPr>
          <w:sz w:val="20"/>
          <w:szCs w:val="20"/>
          <w:color w:val="auto"/>
        </w:rPr>
      </w:pPr>
      <w:r>
        <w:rPr>
          <w:rFonts w:ascii="Courier New" w:cs="Courier New" w:eastAsia="Courier New" w:hAnsi="Courier New"/>
          <w:sz w:val="15"/>
          <w:szCs w:val="15"/>
          <w:color w:val="auto"/>
        </w:rPr>
        <w:t>On April 24, 1997 the Trust purchased Terranomics Retail Services, a property management and brokerage company, for approximately $2.0 million, to provide it with leasing and property management services on the west coast.</w:t>
      </w: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7" w:right="1440" w:bottom="1440" w:gutter="0" w:footer="0" w:header="0"/>
        </w:sectPr>
      </w:pPr>
    </w:p>
    <w:bookmarkStart w:id="13" w:name="page14"/>
    <w:bookmarkEnd w:id="13"/>
    <w:p>
      <w:pPr>
        <w:jc w:val="center"/>
        <w:ind w:right="267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MARCH 31, 1997</w:t>
      </w:r>
    </w:p>
    <w:p>
      <w:pPr>
        <w:spacing w:after="0" w:line="369"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Net cash provided by operating activities increased from $12.1 million during the first quarter of 1996 to $17.2 million during the first quarter of 1997. The $5.1 million increase resulted primarily from the cash effects of a $3.3 million increase in net income, a $792,000 increase in depreciation and amortization, and a $1.0 million decrease in cash used for operating activities such as accounts receivable, accounts payable and accrued expenses. Dividends paid in cash were $14.4 million in 1997 and $12.5 million in 1996.</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the first quarter of 1997, the Trust spent $96.6 million in cash to acquire real estate assets, $9.4 million to improve its properties and $9.5 million in mortgage notes receivable. On January 6, 1997 the Trust purchased the fee interest in Shillington, Troy and Feasterville Shopping Centers for $1.9 million, $5.7 million and $2.2 million, respectively. In connection with the purchase agreement for Lawrence Park, in January 1997 the Trust lent the seller $8.8 million at 8% which is due in June 1998. The Trust had previously held these properties under capital leases. On February 24, 1997 the Trust purchased a 16 acre tract of land underlying part of the Shops at Willow Lawn for $4.6 million in cash.</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Trust purchased three retail buildings and two shopping centers during the first quarter of 1997.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In accordance with the provisions of the partnership agreements, the Trust contributed 90% of the cost of</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4" w:right="1440" w:bottom="1440" w:gutter="0" w:footer="0" w:header="0"/>
        </w:sectPr>
      </w:pPr>
    </w:p>
    <w:bookmarkStart w:id="14" w:name="page15"/>
    <w:bookmarkEnd w:id="14"/>
    <w:p>
      <w:pPr>
        <w:ind w:right="2679"/>
        <w:spacing w:after="0" w:line="239" w:lineRule="auto"/>
        <w:rPr>
          <w:sz w:val="20"/>
          <w:szCs w:val="20"/>
          <w:color w:val="auto"/>
        </w:rPr>
      </w:pPr>
      <w:r>
        <w:rPr>
          <w:rFonts w:ascii="Courier New" w:cs="Courier New" w:eastAsia="Courier New" w:hAnsi="Courier New"/>
          <w:sz w:val="16"/>
          <w:szCs w:val="16"/>
          <w:color w:val="auto"/>
        </w:rPr>
        <w:t>these buildings to the partnerships with the other 10% being contributed by the minority interests.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91"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Improvements to Trust properties during the first quarter of 1997 included $1.5 million for the second phase of the redevelopment of Brick Plaza, $771,000 to begin the redevelopment of Wynnewood Shopping Center, $301,000 on the redevelopment of Troy Shopping Center and $3.2 million of tenant work.</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April 17, 1997 a partnership organized in December 1996 exercised its purchase option on a retail building in Santa Monica, California for $6.9 million in cash. In accordance with the provisions of the partnership agreement, the Trust contributed 90% of the cost to the partnership and the minority interests contributed the other 10%. Also, on April 17, 1997 the Trust loaned the minority partners in this partnership $3.9 million. The loan is secured by property in Santa Monica, earns interest at 10% and participates in any profits or appreciation of the property.</w:t>
      </w:r>
    </w:p>
    <w:p>
      <w:pPr>
        <w:spacing w:after="0" w:line="189" w:lineRule="exact"/>
        <w:rPr>
          <w:sz w:val="20"/>
          <w:szCs w:val="20"/>
          <w:color w:val="auto"/>
        </w:rPr>
      </w:pPr>
    </w:p>
    <w:p>
      <w:pPr>
        <w:ind w:right="2979" w:firstLine="477"/>
        <w:spacing w:after="0" w:line="265" w:lineRule="auto"/>
        <w:rPr>
          <w:sz w:val="20"/>
          <w:szCs w:val="20"/>
          <w:color w:val="auto"/>
        </w:rPr>
      </w:pPr>
      <w:r>
        <w:rPr>
          <w:rFonts w:ascii="Courier New" w:cs="Courier New" w:eastAsia="Courier New" w:hAnsi="Courier New"/>
          <w:sz w:val="15"/>
          <w:szCs w:val="15"/>
          <w:color w:val="auto"/>
        </w:rPr>
        <w:t>On April 24, 1997 the Trust purchased Terranomics Retail Services, a property management and brokerage company for approximately $2.0 million, to provide it with leasing and property management services on the west coast.</w:t>
      </w:r>
    </w:p>
    <w:p>
      <w:pPr>
        <w:spacing w:after="0" w:line="16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Trust has $135.0 million of unsecured medium-term revolving credit</w:t>
      </w:r>
    </w:p>
    <w:p>
      <w:pPr>
        <w:spacing w:after="0" w:line="2"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6"/>
          <w:szCs w:val="16"/>
          <w:color w:val="auto"/>
        </w:rPr>
        <w:t>facilities with four banks.</w:t>
      </w:r>
      <w:r>
        <w:rPr>
          <w:sz w:val="20"/>
          <w:szCs w:val="20"/>
          <w:color w:val="auto"/>
        </w:rPr>
        <w:tab/>
      </w:r>
      <w:r>
        <w:rPr>
          <w:rFonts w:ascii="Courier New" w:cs="Courier New" w:eastAsia="Courier New" w:hAnsi="Courier New"/>
          <w:sz w:val="15"/>
          <w:szCs w:val="15"/>
          <w:color w:val="auto"/>
        </w:rPr>
        <w:t>The facilities, which require fees and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 requiring a minimum shareholders' equity and a maximum ratio of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net worth, are used to fund acquisitions and other cash requirements until</w:t>
      </w:r>
    </w:p>
    <w:p>
      <w:pPr>
        <w:spacing w:after="0" w:line="2" w:lineRule="exact"/>
        <w:rPr>
          <w:sz w:val="20"/>
          <w:szCs w:val="20"/>
          <w:color w:val="auto"/>
        </w:rPr>
      </w:pPr>
    </w:p>
    <w:p>
      <w:pPr>
        <w:spacing w:after="0"/>
        <w:tabs>
          <w:tab w:leader="none" w:pos="6080" w:val="left"/>
        </w:tabs>
        <w:rPr>
          <w:sz w:val="20"/>
          <w:szCs w:val="20"/>
          <w:color w:val="auto"/>
        </w:rPr>
      </w:pPr>
      <w:r>
        <w:rPr>
          <w:rFonts w:ascii="Courier New" w:cs="Courier New" w:eastAsia="Courier New" w:hAnsi="Courier New"/>
          <w:sz w:val="16"/>
          <w:szCs w:val="16"/>
          <w:color w:val="auto"/>
        </w:rPr>
        <w:t>conditions are favorable for issuing equity or long term debt.</w:t>
      </w:r>
      <w:r>
        <w:rPr>
          <w:sz w:val="20"/>
          <w:szCs w:val="20"/>
          <w:color w:val="auto"/>
        </w:rPr>
        <w:tab/>
      </w:r>
      <w:r>
        <w:rPr>
          <w:rFonts w:ascii="Courier New" w:cs="Courier New" w:eastAsia="Courier New" w:hAnsi="Courier New"/>
          <w:sz w:val="15"/>
          <w:szCs w:val="15"/>
          <w:color w:val="auto"/>
        </w:rPr>
        <w:t>At March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the Trust had borrowed $64.2 million under these facilities; the maximum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borrowed under these facilities during the first quarter of 1997 was</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$68.9 million.</w:t>
      </w:r>
      <w:r>
        <w:rPr>
          <w:sz w:val="20"/>
          <w:szCs w:val="20"/>
          <w:color w:val="auto"/>
        </w:rPr>
        <w:tab/>
      </w:r>
      <w:r>
        <w:rPr>
          <w:rFonts w:ascii="Courier New" w:cs="Courier New" w:eastAsia="Courier New" w:hAnsi="Courier New"/>
          <w:sz w:val="15"/>
          <w:szCs w:val="15"/>
          <w:color w:val="auto"/>
        </w:rPr>
        <w:t>Amounts advanced under these facilities bear interest at LIBOR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plus 75 basis points; the weighted average interest rate on borrowings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quarter was 6.3%.</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On February 4, 1997 the Trust sold 3.0 million shares to an institutional investor for $28 per share, netting $83.9 million.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7" w:right="1440" w:bottom="1440" w:gutter="0" w:footer="0" w:header="0"/>
        </w:sectPr>
      </w:pPr>
    </w:p>
    <w:bookmarkStart w:id="15" w:name="page16"/>
    <w:bookmarkEnd w:id="15"/>
    <w:p>
      <w:pPr>
        <w:ind w:right="3159"/>
        <w:spacing w:after="0" w:line="239" w:lineRule="auto"/>
        <w:rPr>
          <w:sz w:val="20"/>
          <w:szCs w:val="20"/>
          <w:color w:val="auto"/>
        </w:rPr>
      </w:pPr>
      <w:r>
        <w:rPr>
          <w:rFonts w:ascii="Courier New" w:cs="Courier New" w:eastAsia="Courier New" w:hAnsi="Courier New"/>
          <w:sz w:val="16"/>
          <w:szCs w:val="16"/>
          <w:color w:val="auto"/>
        </w:rPr>
        <w:t>Proceeds from this offering were used primarily to repay borrowings on the revolving credit facilities.</w:t>
      </w:r>
    </w:p>
    <w:p>
      <w:pPr>
        <w:spacing w:after="0" w:line="18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Trust is contractually obligated on contracts of approximately $7.0 million for redevelopment and tenant improvements and is committed under leases for up to an additional $7.5 million in tenant work and general improvements to its properties. In addition to these committed amounts, the Trust has budgeted an additional $19 million for the remainder of 1997 for improvements to its properties. These committed and budgeted improvements include the second phase of the redevelopment and expansion of Brick Plaza, the renovation and retenanting of Troy Shopping Center, the renovation of Feasterville Shopping Center and the completion of the renovation and expansion of a portion of Bethesda Row. These expenditures will be funded with the revolving credit facilities pending their long term financing with either equity or debt.</w:t>
      </w:r>
    </w:p>
    <w:p>
      <w:pPr>
        <w:spacing w:after="0" w:line="17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Trust plans additional acquisitions of retail properties,</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both shopping center and main street retail buildings during the remainder of 1997. In addition, the Trust has identified a limited number of sites in its core markets for the development of new shopping centers.</w:t>
      </w:r>
    </w:p>
    <w:p>
      <w:pPr>
        <w:spacing w:after="0" w:line="190"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The Trust will need additional capital in order to fund these acquisitions, expansions and refinancings. Sources of this funding may be additional debt, additional equity or proceeds from the sale of existing properties. The timing and choice 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7" w:right="1440" w:bottom="1440" w:gutter="0" w:footer="0" w:header="0"/>
        </w:sectPr>
      </w:pPr>
    </w:p>
    <w:bookmarkStart w:id="16" w:name="page17"/>
    <w:bookmarkEnd w:id="16"/>
    <w:p>
      <w:pPr>
        <w:ind w:right="2599" w:firstLine="477"/>
        <w:spacing w:after="0" w:line="241" w:lineRule="auto"/>
        <w:rPr>
          <w:sz w:val="20"/>
          <w:szCs w:val="20"/>
          <w:color w:val="auto"/>
        </w:rPr>
      </w:pPr>
      <w:r>
        <w:rPr>
          <w:rFonts w:ascii="Courier New" w:cs="Courier New" w:eastAsia="Courier New" w:hAnsi="Courier New"/>
          <w:sz w:val="16"/>
          <w:szCs w:val="16"/>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Under the terms of the CIM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MARCH 31, 1997 AND 1996</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7" w:right="1440" w:bottom="1440" w:gutter="0" w:footer="0" w:header="0"/>
        </w:sectPr>
      </w:pPr>
    </w:p>
    <w:bookmarkStart w:id="17" w:name="page18"/>
    <w:bookmarkEnd w:id="17"/>
    <w:p>
      <w:pPr>
        <w:ind w:right="2599"/>
        <w:spacing w:after="0" w:line="242" w:lineRule="auto"/>
        <w:rPr>
          <w:sz w:val="20"/>
          <w:szCs w:val="20"/>
          <w:color w:val="auto"/>
        </w:rPr>
      </w:pPr>
      <w:r>
        <w:rPr>
          <w:rFonts w:ascii="Courier New" w:cs="Courier New" w:eastAsia="Courier New" w:hAnsi="Courier New"/>
          <w:sz w:val="16"/>
          <w:szCs w:val="16"/>
          <w:color w:val="auto"/>
        </w:rPr>
        <w:t>than over time. Funds from operations is defined by The National Association of Real Estate Investment Trusts ("NAREIT") in a white paper issued during 1995, as follows: income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reconciliation of net income to funds from operations for the three months ended March 31 is as follows: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3620" w:type="dxa"/>
            <w:vAlign w:val="bottom"/>
          </w:tcPr>
          <w:p>
            <w:pPr>
              <w:spacing w:after="0"/>
              <w:rPr>
                <w:sz w:val="15"/>
                <w:szCs w:val="15"/>
                <w:color w:val="auto"/>
              </w:rPr>
            </w:pPr>
          </w:p>
        </w:tc>
        <w:tc>
          <w:tcPr>
            <w:tcW w:w="23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(in thousands)</w:t>
            </w:r>
          </w:p>
        </w:tc>
      </w:tr>
      <w:tr>
        <w:trPr>
          <w:trHeight w:val="367"/>
        </w:trPr>
        <w:tc>
          <w:tcPr>
            <w:tcW w:w="36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$ 9,311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$ 6,026</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Plus: depreciation and amortization</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620" w:type="dxa"/>
            <w:vAlign w:val="bottom"/>
          </w:tcPr>
          <w:p>
            <w:pPr>
              <w:ind w:left="660"/>
              <w:spacing w:after="0"/>
              <w:rPr>
                <w:sz w:val="20"/>
                <w:szCs w:val="20"/>
                <w:color w:val="auto"/>
              </w:rPr>
            </w:pPr>
            <w:r>
              <w:rPr>
                <w:rFonts w:ascii="Courier New" w:cs="Courier New" w:eastAsia="Courier New" w:hAnsi="Courier New"/>
                <w:sz w:val="16"/>
                <w:szCs w:val="16"/>
                <w:color w:val="auto"/>
              </w:rPr>
              <w:t>of real estate assets</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9,064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8,342</w:t>
            </w:r>
          </w:p>
        </w:tc>
      </w:tr>
      <w:tr>
        <w:trPr>
          <w:trHeight w:val="183"/>
        </w:trPr>
        <w:tc>
          <w:tcPr>
            <w:tcW w:w="3620" w:type="dxa"/>
            <w:vAlign w:val="bottom"/>
          </w:tcPr>
          <w:p>
            <w:pPr>
              <w:ind w:left="580"/>
              <w:spacing w:after="0"/>
              <w:rPr>
                <w:sz w:val="20"/>
                <w:szCs w:val="20"/>
                <w:color w:val="auto"/>
              </w:rPr>
            </w:pPr>
            <w:r>
              <w:rPr>
                <w:rFonts w:ascii="Courier New" w:cs="Courier New" w:eastAsia="Courier New" w:hAnsi="Courier New"/>
                <w:sz w:val="16"/>
                <w:szCs w:val="16"/>
                <w:color w:val="auto"/>
              </w:rPr>
              <w:t>amortization of initial direct</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3620" w:type="dxa"/>
            <w:vAlign w:val="bottom"/>
          </w:tcPr>
          <w:p>
            <w:pPr>
              <w:ind w:left="660"/>
              <w:spacing w:after="0"/>
              <w:rPr>
                <w:sz w:val="20"/>
                <w:szCs w:val="20"/>
                <w:color w:val="auto"/>
              </w:rPr>
            </w:pPr>
            <w:r>
              <w:rPr>
                <w:rFonts w:ascii="Courier New" w:cs="Courier New" w:eastAsia="Courier New" w:hAnsi="Courier New"/>
                <w:sz w:val="16"/>
                <w:szCs w:val="16"/>
                <w:color w:val="auto"/>
              </w:rPr>
              <w:t>costs of leases</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593</w:t>
            </w:r>
          </w:p>
        </w:tc>
      </w:tr>
      <w:tr>
        <w:trPr>
          <w:trHeight w:val="183"/>
        </w:trPr>
        <w:tc>
          <w:tcPr>
            <w:tcW w:w="362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Funds from operations</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$18,959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$14,961</w:t>
            </w:r>
          </w:p>
        </w:tc>
      </w:tr>
      <w:tr>
        <w:trPr>
          <w:trHeight w:val="183"/>
        </w:trPr>
        <w:tc>
          <w:tcPr>
            <w:tcW w:w="362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Funds from operations increased 27% to $19.0 million in the first quarter of 1997 from $15.0 million in the first quarter of 1996.</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Rental income, which consists of minimum rent, percentage rent and cost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recoveries, increased 8% from $40.7 million in the first quarter of 1996 to</w:t>
      </w:r>
    </w:p>
    <w:p>
      <w:pPr>
        <w:spacing w:after="0" w:line="2"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6"/>
          <w:szCs w:val="16"/>
          <w:color w:val="auto"/>
        </w:rPr>
        <w:t>$43.9 million in the first quarter of 1997.</w:t>
      </w:r>
      <w:r>
        <w:rPr>
          <w:sz w:val="20"/>
          <w:szCs w:val="20"/>
          <w:color w:val="auto"/>
        </w:rPr>
        <w:tab/>
      </w:r>
      <w:r>
        <w:rPr>
          <w:rFonts w:ascii="Courier New" w:cs="Courier New" w:eastAsia="Courier New" w:hAnsi="Courier New"/>
          <w:sz w:val="15"/>
          <w:szCs w:val="15"/>
          <w:color w:val="auto"/>
        </w:rPr>
        <w:t>If properties purchased and sold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and 1997 are excluded, rental income increased 1%.</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Minimum rent increased 10% from $31.9 million in the first quarter of 1996 to $35.1 million in the first quarter of 1997. Excluding properties purchased and sold in 1996 and 1997, minimum rent increased 2.5%.</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Cost reimbursements consist of tenant reimbursements of real estate taxes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 estate tax recovery) and common area maintenance expenses (CAM recovery).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reimbursements increased 2% from $7.5 million during the first quarter of</w:t>
      </w:r>
    </w:p>
    <w:p>
      <w:pPr>
        <w:spacing w:after="0" w:line="2"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6"/>
          <w:szCs w:val="16"/>
          <w:color w:val="auto"/>
        </w:rPr>
        <w:t>1996 to $7.6 million during the first quarter of 1997.</w:t>
      </w:r>
      <w:r>
        <w:rPr>
          <w:sz w:val="20"/>
          <w:szCs w:val="20"/>
          <w:color w:val="auto"/>
        </w:rPr>
        <w:tab/>
      </w:r>
      <w:r>
        <w:rPr>
          <w:rFonts w:ascii="Courier New" w:cs="Courier New" w:eastAsia="Courier New" w:hAnsi="Courier New"/>
          <w:sz w:val="15"/>
          <w:szCs w:val="15"/>
          <w:color w:val="auto"/>
        </w:rPr>
        <w:t>Excluding properties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and sold in 1996 and 1997, cost reimbursements decreased from $7.4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$7.1 million. Real estate tax recovery on the core portfolio</w:t>
      </w:r>
    </w:p>
    <w:p>
      <w:pPr>
        <w:spacing w:after="0" w:line="2"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6"/>
          <w:szCs w:val="16"/>
          <w:color w:val="auto"/>
        </w:rPr>
        <w:t>increased $161,000 as real estate taxes increased,</w:t>
      </w:r>
      <w:r>
        <w:rPr>
          <w:sz w:val="20"/>
          <w:szCs w:val="20"/>
          <w:color w:val="auto"/>
        </w:rPr>
        <w:tab/>
      </w:r>
      <w:r>
        <w:rPr>
          <w:rFonts w:ascii="Courier New" w:cs="Courier New" w:eastAsia="Courier New" w:hAnsi="Courier New"/>
          <w:sz w:val="15"/>
          <w:szCs w:val="15"/>
          <w:color w:val="auto"/>
        </w:rPr>
        <w:t>CAM recovery decreased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$478,000 on the core portfolio as CAM expenses, mainly snow removal decreased.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7" w:right="1440" w:bottom="1440" w:gutter="0" w:footer="0" w:header="0"/>
        </w:sectPr>
      </w:pPr>
    </w:p>
    <w:bookmarkStart w:id="18" w:name="page19"/>
    <w:bookmarkEnd w:id="18"/>
    <w:p>
      <w:pPr>
        <w:ind w:right="2599" w:firstLine="572"/>
        <w:spacing w:after="0" w:line="242" w:lineRule="auto"/>
        <w:rPr>
          <w:sz w:val="20"/>
          <w:szCs w:val="20"/>
          <w:color w:val="auto"/>
        </w:rPr>
      </w:pPr>
      <w:r>
        <w:rPr>
          <w:rFonts w:ascii="Courier New" w:cs="Courier New" w:eastAsia="Courier New" w:hAnsi="Courier New"/>
          <w:sz w:val="16"/>
          <w:szCs w:val="16"/>
          <w:color w:val="auto"/>
        </w:rPr>
        <w:t>Other property income includes items which tend to fluctuate from period to period, such as utility reimbursements, telephone income, merchant association dues, lease termination fees, late fees and temporary tenant income. Other property income increased from $2.2 million during the first quarter of 1996 to $3.2 million during the first quarter of 1997, primarily due to an increase of $1.1 million in lease termination fees.</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Rental expenses have decreased 13% in the first quarter of 1997 from the first quarter of 1996, to $10.2 million from $11.8 million. If centers acquired and sold during 1996 and 1997 are excluded, rental expenses decreased 18%, primarily due to decreased snow removal costs on the east coast in 1997 as compared to 1996.</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Real estate taxes have increased from $3.9 million during the first quarter of 1996 to $4.6 million during the first quarter of 1997; $352,000 of the increase was due to taxes on the 1996 and 1997 acquisitions. Depreciation and amortization in the first quarter of 1997 was 8% greater than in the first quarter of 1996. Excluding the effect from the 1996 and 1997 acquisitions, depreciation and amortization increased 5% due to depreciation on recent tenant work and property improvements.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Interest expense increased from $11.1 million during the first quarter of 1996 to $12.0 million during the first quarter of 1997, primarily due to interest expense on the $50 million of 7.48% Debentures issued in August 1996. The ratio of earnings to fixed charges was 1.72x for the first quarter of 1997 and 1.47x for the comparable period in 1996. The ratio of funds from operations to fixed charges was 2.48x for the first quarter of 1997 and 2.25x for the first quarter of 1996.</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Administrative expenses have increased from $1.7 million during the first quarter of 1996 to $2.1 million during the first quarter of 1997, primarily due to increased personnel costs as the Trust is expanding and increased state income taxes.</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As a result of the foregoing items, net income increased from $6.0 million during the first quarter of 1996 to $9.3 million during the first quarter of 1997.</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Recently there have been a number of retailer consolidations. These consolidations and a weakening of the retail environment could adversely impact the Trust, by increasing vacancies and by decreasing rents. In past weak retail and real estate environments, the Trust has been able to replace tenants who leave or go bankrupt with stronger tenants. Management believes that due to the quality of the Trust's properties there will be continued demand for its retail space.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7" w:right="1440" w:bottom="1440" w:gutter="0" w:footer="0" w:header="0"/>
        </w:sectPr>
      </w:pPr>
    </w:p>
    <w:bookmarkStart w:id="19" w:name="page20"/>
    <w:bookmarkEnd w:id="19"/>
    <w:p>
      <w:pPr>
        <w:ind w:left="2"/>
        <w:spacing w:after="0"/>
        <w:rPr>
          <w:sz w:val="20"/>
          <w:szCs w:val="20"/>
          <w:color w:val="auto"/>
        </w:rPr>
      </w:pPr>
      <w:r>
        <w:rPr>
          <w:rFonts w:ascii="Courier New" w:cs="Courier New" w:eastAsia="Courier New" w:hAnsi="Courier New"/>
          <w:sz w:val="16"/>
          <w:szCs w:val="16"/>
          <w:color w:val="auto"/>
        </w:rPr>
        <w:t>PART II - OTHER INFORMATION</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2" w:lineRule="exact"/>
        <w:rPr>
          <w:sz w:val="20"/>
          <w:szCs w:val="20"/>
          <w:color w:val="auto"/>
        </w:rPr>
      </w:pPr>
    </w:p>
    <w:p>
      <w:pPr>
        <w:ind w:left="382" w:hanging="382"/>
        <w:spacing w:after="0"/>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2" w:lineRule="exact"/>
        <w:rPr>
          <w:rFonts w:ascii="Courier New" w:cs="Courier New" w:eastAsia="Courier New" w:hAnsi="Courier New"/>
          <w:sz w:val="16"/>
          <w:szCs w:val="16"/>
          <w:color w:val="auto"/>
        </w:rPr>
      </w:pPr>
    </w:p>
    <w:p>
      <w:pPr>
        <w:ind w:left="1242" w:hanging="479"/>
        <w:spacing w:after="0"/>
        <w:tabs>
          <w:tab w:leader="none" w:pos="124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Schedule.......................Edgar filing only</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5" w:lineRule="exact"/>
        <w:rPr>
          <w:rFonts w:ascii="Courier New" w:cs="Courier New" w:eastAsia="Courier New" w:hAnsi="Courier New"/>
          <w:sz w:val="16"/>
          <w:szCs w:val="16"/>
          <w:color w:val="auto"/>
        </w:rPr>
      </w:pPr>
    </w:p>
    <w:p>
      <w:pPr>
        <w:ind w:left="382" w:right="30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 Form 8-K, dated January 29, 1997, was filed in response to Item 7.(a) A Form 8-K, dated February 3, 1997, was filed in response to Item 5.</w:t>
      </w:r>
    </w:p>
    <w:p>
      <w:pPr>
        <w:ind w:left="382"/>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A Form 8-K, dated February 24, 1997, was filed in response to Item 7.(c).</w:t>
      </w:r>
    </w:p>
    <w:p>
      <w:pPr>
        <w:spacing w:after="0" w:line="19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8" w:top="665" w:right="1440" w:bottom="1440" w:gutter="0" w:footer="0" w:header="0"/>
        </w:sectPr>
      </w:pPr>
    </w:p>
    <w:bookmarkStart w:id="20" w:name="page21"/>
    <w:bookmarkEnd w:id="20"/>
    <w:p>
      <w:pPr>
        <w:ind w:right="287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FEDERAL REALTY INVESTMENT TRUST</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6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7, 1997</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960" w:space="720"/>
            <w:col w:w="5539"/>
          </w:cols>
          <w:pgMar w:left="240" w:top="667"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7, 1997</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188" w:lineRule="exact"/>
        <w:rPr>
          <w:sz w:val="20"/>
          <w:szCs w:val="20"/>
          <w:color w:val="auto"/>
        </w:rPr>
      </w:pPr>
    </w:p>
    <w:p>
      <w:pPr>
        <w:sectPr>
          <w:pgSz w:w="11900" w:h="16838" w:orient="portrait"/>
          <w:cols w:equalWidth="0" w:num="2">
            <w:col w:w="3960" w:space="720"/>
            <w:col w:w="5539"/>
          </w:cols>
          <w:pgMar w:left="240" w:top="667"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67" w:right="1440" w:bottom="1440" w:gutter="0" w:footer="0" w:header="0"/>
          <w:type w:val="continuous"/>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0" w:right="2759" w:firstLine="382"/>
        <w:spacing w:after="0" w:line="24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OF FEDERAL REALTY INVESTMENT TRUST AS OF MARCH 31, 1997 AND THE RELATED CONSOLIDATED STATEMENT OF OPERATIONS FOR THE THREE MONTHS ENDED MARCH 31, 1997 AND IS QUALIFIED IN ITS ENTIRETY BY REFERENCE TO SUCH FINANCIAL STATEMENTS.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3-MOS</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DEC-31-1997</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MAR-31-1997</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11,762</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16,132</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1,251,867</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(232,487)</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1,115,089</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585,902</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684,853</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(216,315)</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1,115,089</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47,147</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14,790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11,989</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9,311</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9,311</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.24</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0</w:t>
      </w:r>
    </w:p>
    <w:p>
      <w:pPr>
        <w:spacing w:after="0" w:line="372"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Current assets and current liabilities are not listed since Federal Realty does not prepare a classified balance sheet.</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301"/>
    </w:lvl>
  </w:abstractNum>
  <w:abstractNum w:abstractNumId="1">
    <w:nsid w:val="66334873"/>
    <w:multiLevelType w:val="hybridMultilevel"/>
    <w:lvl w:ilvl="0">
      <w:lvlJc w:val="left"/>
      <w:lvlText w:val="(%1)"/>
      <w:numFmt w:val="upperLetter"/>
      <w:start w:val="1"/>
    </w:lvl>
    <w:lvl w:ilvl="1">
      <w:lvlJc w:val="left"/>
      <w:lvlText w:val="(%2)"/>
      <w:numFmt w:val="decimal"/>
      <w:start w:val="2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2019-12-13T01:00:21Z</dcterms:created>
  <dcterms:modified xsi:type="dcterms:W3CDTF">2019-12-13T01:00:21Z</dcterms:modified>
</cp:coreProperties>
</file>