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May 8, 2012, Federal Realty Investment Trust (the “Company”) entered into a new Equity Distribution Agreement (the “New Agreement”) with Wells Fargo Securities, LLC (“Wells Fargo”), under which the Company may issue and sell, from time to time, up to $300,000,000 aggregate offering price of its common shares of beneficial interest, par value $0.01 per share (“Shares”), through Wells Fargo, acting as agent and/or principal. The New Agreement replaces the existing Equity Distribution Agreement dated February 24, 2011 (the “Initial Agreement”) with Wells Fargo, and no further issuances or sales may be made under the Initial Agreement. The Company issued and sold approximately $163,000,000 aggregate offering price of Shares of the $300,000,000 approved under the Initial Agreement. Accordingly, the New Agreement reflects an incremental increase of approximately $163,000,000 aggregate offering price of Shares over what remained under the Initial Agreement.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of Shares, if any, will be made in negotiated transactions or transactions that are deemed to be “at the market” offerings, including sales made directly on the New York Stock Exchange or sales made to or through a market maker other than on an exchange. The Company will pay Wells Fargo compensation for sales of Shares at a mutually agreed rate that will not exceed, but may be lower than, 2.0% of the gross sales price of the Shares. Under the New Agreement, the Company may also sell Shares to Wells Fargo for its own account.</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New Agreement was executed in connection with the Company’s filing with the Securities and Exchange Commission of a new automatic shelf registration statement and a prospectus supplement, dated May 8, 2012.</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Agreement is filed as Exhibit 1.1 to this Current Report on Form 8-K and is incorporated herein by reference. The foregoing description of the material terms of the Agreement is qualified in its entirety by reference to such exhibit.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326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340" w:type="dxa"/>
            <w:vAlign w:val="bottom"/>
            <w:gridSpan w:val="3"/>
          </w:tcPr>
          <w:p>
            <w:pPr>
              <w:ind w:left="460"/>
              <w:spacing w:after="0"/>
              <w:rPr>
                <w:sz w:val="20"/>
                <w:szCs w:val="20"/>
                <w:color w:val="auto"/>
              </w:rPr>
            </w:pPr>
            <w:r>
              <w:rPr>
                <w:rFonts w:ascii="Arial" w:cs="Arial" w:eastAsia="Arial" w:hAnsi="Arial"/>
                <w:sz w:val="18"/>
                <w:szCs w:val="18"/>
                <w:color w:val="auto"/>
                <w:w w:val="89"/>
              </w:rPr>
              <w:t>Equity Distribution Agreement, dated May 8, 2012 between Federal Realty Investment Trust and Wells Fargo Securities, LLC</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34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relating to legality of the Shares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8.1</w:t>
            </w:r>
          </w:p>
        </w:tc>
        <w:tc>
          <w:tcPr>
            <w:tcW w:w="934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relating to certain tax matters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23.1</w:t>
            </w:r>
          </w:p>
        </w:tc>
        <w:tc>
          <w:tcPr>
            <w:tcW w:w="9340" w:type="dxa"/>
            <w:vAlign w:val="bottom"/>
            <w:gridSpan w:val="3"/>
          </w:tcPr>
          <w:p>
            <w:pPr>
              <w:ind w:left="460"/>
              <w:spacing w:after="0"/>
              <w:rPr>
                <w:sz w:val="20"/>
                <w:szCs w:val="20"/>
                <w:color w:val="auto"/>
              </w:rPr>
            </w:pPr>
            <w:r>
              <w:rPr>
                <w:rFonts w:ascii="Arial" w:cs="Arial" w:eastAsia="Arial" w:hAnsi="Arial"/>
                <w:sz w:val="18"/>
                <w:szCs w:val="18"/>
                <w:color w:val="auto"/>
                <w:w w:val="98"/>
              </w:rPr>
              <w:t>Consents of Pillsbury Winthrop Shaw Pittman LLP (contained in the opinions filed as Exhibits 5.1 and 8.1 hereto)</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80" w:type="dxa"/>
            <w:vAlign w:val="bottom"/>
            <w:gridSpan w:val="3"/>
          </w:tcPr>
          <w:p>
            <w:pPr>
              <w:ind w:left="4600"/>
              <w:spacing w:after="0"/>
              <w:rPr>
                <w:sz w:val="20"/>
                <w:szCs w:val="20"/>
                <w:color w:val="auto"/>
              </w:rPr>
            </w:pPr>
            <w:r>
              <w:rPr>
                <w:rFonts w:ascii="Arial" w:cs="Arial" w:eastAsia="Arial" w:hAnsi="Arial"/>
                <w:sz w:val="18"/>
                <w:szCs w:val="18"/>
                <w:color w:val="auto"/>
              </w:rPr>
              <w:t>EXHIBIT INDEX</w:t>
            </w:r>
          </w:p>
        </w:tc>
      </w:tr>
      <w:tr>
        <w:trPr>
          <w:trHeight w:val="340"/>
        </w:trPr>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3300" w:type="dxa"/>
            <w:vAlign w:val="bottom"/>
          </w:tcPr>
          <w:p>
            <w:pPr>
              <w:spacing w:after="0"/>
              <w:rPr>
                <w:sz w:val="14"/>
                <w:szCs w:val="14"/>
                <w:color w:val="auto"/>
              </w:rPr>
            </w:pPr>
          </w:p>
        </w:tc>
      </w:tr>
      <w:tr>
        <w:trPr>
          <w:trHeight w:val="316"/>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w w:val="89"/>
              </w:rPr>
              <w:t>Equity Distribution Agreement, dated May 8, 2012, between Federal Realty Investment Trust and Wells Fargo Securities, LLC</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relating to legality of the Shares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8.1</w:t>
            </w: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relating to certain tax matters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23.1</w:t>
            </w: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w w:val="99"/>
              </w:rPr>
              <w:t>Consents of Pillsbury Winthrop Shaw Pittman LLP (contained in the opinions filed as Exhibits 5.1 and 8.1 hereto)</w:t>
            </w:r>
          </w:p>
        </w:tc>
      </w:tr>
    </w:tbl>
    <w:p>
      <w:pPr>
        <w:ind w:left="46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28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7"/>
                <w:szCs w:val="17"/>
                <w:color w:val="auto"/>
              </w:rPr>
            </w:pPr>
          </w:p>
        </w:tc>
      </w:tr>
      <w:tr>
        <w:trPr>
          <w:trHeight w:val="372"/>
        </w:trPr>
        <w:tc>
          <w:tcPr>
            <w:tcW w:w="1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180" w:type="dxa"/>
            <w:vAlign w:val="bottom"/>
          </w:tcPr>
          <w:p>
            <w:pPr>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Description of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Placements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Sale of Placement Securities by Wells Fargo</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Suspension of Sales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Sale and Delivery to Wells Fargo; Settlement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7.</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Covenants of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8.</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Payment of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9.</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Conditions of Wells Fargo’s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10.</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Contribution</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Representations, Warranties and Agreements to Survive Delivery</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Termination of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14.</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15.</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Parties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16.</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Adjustments for Stock Splits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17.</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Governing Law and Time</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18.</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Effect of 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19.</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20.</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Permitted Free Writing Prospectuses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21.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Absence of Fiduciary Relationship</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80" w:type="dxa"/>
            <w:vAlign w:val="bottom"/>
            <w:gridSpan w:val="2"/>
          </w:tcPr>
          <w:p>
            <w:pPr>
              <w:jc w:val="center"/>
              <w:ind w:right="4400"/>
              <w:spacing w:after="0"/>
              <w:rPr>
                <w:sz w:val="20"/>
                <w:szCs w:val="20"/>
                <w:color w:val="auto"/>
              </w:rPr>
            </w:pPr>
            <w:r>
              <w:rPr>
                <w:rFonts w:ascii="Arial" w:cs="Arial" w:eastAsia="Arial" w:hAnsi="Arial"/>
                <w:sz w:val="18"/>
                <w:szCs w:val="18"/>
                <w:color w:val="auto"/>
                <w:w w:val="99"/>
              </w:rPr>
              <w:t>-i-</w:t>
            </w:r>
          </w:p>
        </w:tc>
        <w:tc>
          <w:tcPr>
            <w:tcW w:w="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r>
      <w:tr>
        <w:trPr>
          <w:trHeight w:val="235"/>
        </w:trPr>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(Continued)</w:t>
            </w:r>
          </w:p>
        </w:tc>
      </w:tr>
      <w:tr>
        <w:trPr>
          <w:trHeight w:val="365"/>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5680" w:type="dxa"/>
            <w:vAlign w:val="bottom"/>
            <w:gridSpan w:val="3"/>
          </w:tcPr>
          <w:p>
            <w:pPr>
              <w:ind w:left="140"/>
              <w:spacing w:after="0"/>
              <w:rPr>
                <w:sz w:val="20"/>
                <w:szCs w:val="20"/>
                <w:color w:val="auto"/>
              </w:rPr>
            </w:pPr>
            <w:r>
              <w:rPr>
                <w:rFonts w:ascii="Arial" w:cs="Arial" w:eastAsia="Arial" w:hAnsi="Arial"/>
                <w:sz w:val="18"/>
                <w:szCs w:val="18"/>
                <w:color w:val="auto"/>
              </w:rPr>
              <w:t>–   Form of Placement Notice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5680" w:type="dxa"/>
            <w:vAlign w:val="bottom"/>
            <w:gridSpan w:val="3"/>
          </w:tcPr>
          <w:p>
            <w:pPr>
              <w:ind w:left="14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C</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D-1</w:t>
            </w:r>
          </w:p>
        </w:tc>
        <w:tc>
          <w:tcPr>
            <w:tcW w:w="5680" w:type="dxa"/>
            <w:vAlign w:val="bottom"/>
            <w:gridSpan w:val="3"/>
          </w:tcPr>
          <w:p>
            <w:pPr>
              <w:ind w:left="140"/>
              <w:spacing w:after="0"/>
              <w:rPr>
                <w:sz w:val="20"/>
                <w:szCs w:val="20"/>
                <w:color w:val="auto"/>
              </w:rPr>
            </w:pPr>
            <w:r>
              <w:rPr>
                <w:rFonts w:ascii="Arial" w:cs="Arial" w:eastAsia="Arial" w:hAnsi="Arial"/>
                <w:sz w:val="18"/>
                <w:szCs w:val="18"/>
                <w:color w:val="auto"/>
                <w:w w:val="96"/>
              </w:rPr>
              <w:t>–   Form of Opinion of Pillsbury Winthrop Shaw Pittman LLP (Corporate)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D-2</w:t>
            </w:r>
          </w:p>
        </w:tc>
        <w:tc>
          <w:tcPr>
            <w:tcW w:w="5680" w:type="dxa"/>
            <w:vAlign w:val="bottom"/>
            <w:gridSpan w:val="3"/>
          </w:tcPr>
          <w:p>
            <w:pPr>
              <w:ind w:left="14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E</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Exhibit F</w:t>
            </w:r>
          </w:p>
        </w:tc>
        <w:tc>
          <w:tcPr>
            <w:tcW w:w="5680" w:type="dxa"/>
            <w:vAlign w:val="bottom"/>
            <w:gridSpan w:val="3"/>
          </w:tcPr>
          <w:p>
            <w:pPr>
              <w:ind w:left="140"/>
              <w:spacing w:after="0"/>
              <w:rPr>
                <w:sz w:val="20"/>
                <w:szCs w:val="20"/>
                <w:color w:val="auto"/>
              </w:rPr>
            </w:pPr>
            <w:r>
              <w:rPr>
                <w:rFonts w:ascii="Arial" w:cs="Arial" w:eastAsia="Arial" w:hAnsi="Arial"/>
                <w:sz w:val="18"/>
                <w:szCs w:val="18"/>
                <w:color w:val="auto"/>
              </w:rPr>
              <w:t>–   Permitted Free Writing Prospectuses</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Description of Securities</w:t>
      </w:r>
      <w:r>
        <w:rPr>
          <w:rFonts w:ascii="Arial" w:cs="Arial" w:eastAsia="Arial" w:hAnsi="Arial"/>
          <w:sz w:val="16"/>
          <w:szCs w:val="16"/>
          <w:color w:val="auto"/>
        </w:rPr>
        <w:t>. The Company agrees that, from time to time during the term of this Agreement, on the terms and subject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conditions set forth herein, the Company may issue and sell through Wells Fargo, acting as agent and/or principal, its common shares of beneficial interest,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$.01 per share (the “</w:t>
      </w:r>
      <w:r>
        <w:rPr>
          <w:rFonts w:ascii="Arial" w:cs="Arial" w:eastAsia="Arial" w:hAnsi="Arial"/>
          <w:sz w:val="16"/>
          <w:szCs w:val="16"/>
          <w:u w:val="single" w:color="auto"/>
          <w:color w:val="auto"/>
        </w:rPr>
        <w:t>Common Shares</w:t>
      </w:r>
      <w:r>
        <w:rPr>
          <w:rFonts w:ascii="Arial" w:cs="Arial" w:eastAsia="Arial" w:hAnsi="Arial"/>
          <w:sz w:val="16"/>
          <w:szCs w:val="16"/>
          <w:color w:val="auto"/>
        </w:rPr>
        <w:t>”), having an aggregate offering price of up to $300,000,000 (the “</w:t>
      </w:r>
      <w:r>
        <w:rPr>
          <w:rFonts w:ascii="Arial" w:cs="Arial" w:eastAsia="Arial" w:hAnsi="Arial"/>
          <w:sz w:val="16"/>
          <w:szCs w:val="16"/>
          <w:u w:val="single" w:color="auto"/>
          <w:color w:val="auto"/>
        </w:rPr>
        <w:t>Maximum Amount</w:t>
      </w:r>
      <w:r>
        <w:rPr>
          <w:rFonts w:ascii="Arial" w:cs="Arial" w:eastAsia="Arial" w:hAnsi="Arial"/>
          <w:sz w:val="16"/>
          <w:szCs w:val="16"/>
          <w:color w:val="auto"/>
        </w:rPr>
        <w:t>”). The Common Shares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Agreement, up to the Maximum Amount, shall be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Notwithstanding anything to the contrary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the parties hereto agree that compliance with the limitations set forth in this Section 1 regarding the aggregate offering price of the Securities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under this Agreement shall be the sole responsibility of the Company, and Wells Fargo shall have no obligation in connection with such compliance.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and sale of the Securities through Wells Fargo will be effected pursuant to the Registration Statement (as defined below) that was filed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became effective upon filing under Rule 462(e) of the Securities Act of 1933, as amended, and the rules and regulations thereunder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w:t>
      </w:r>
      <w:r>
        <w:rPr>
          <w:rFonts w:ascii="Arial" w:cs="Arial" w:eastAsia="Arial" w:hAnsi="Arial"/>
          <w:sz w:val="16"/>
          <w:szCs w:val="16"/>
          <w:u w:val="single" w:color="auto"/>
          <w:color w:val="auto"/>
        </w:rPr>
        <w:t>Rule 462(e)</w:t>
      </w:r>
      <w:r>
        <w:rPr>
          <w:rFonts w:ascii="Arial" w:cs="Arial" w:eastAsia="Arial" w:hAnsi="Arial"/>
          <w:sz w:val="16"/>
          <w:szCs w:val="16"/>
          <w:color w:val="auto"/>
        </w:rPr>
        <w:t>”), although nothing in this Agreement shall be construed as requiring the Company to use the Registration Statement to issue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has filed, in accordance with the provisions of the Securities Act,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(File No. 333-181236),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8" w:name="page9"/>
    <w:bookmarkEnd w:id="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xml:space="preserve">”), (b) the time period during which sales are requested to be made, (c) 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(any reference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contained herein shall refer to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may be amended from time to time).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Wells Fargo wishes to accept such proposed terms included in the Placement Notice (which it may decline to do for any reason in its sole discretion) or, following discussion with the Company, wishes to accept amended terms, Wells Fargo will, prior to 4:30 p.m. (New York City 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Wells Fargo</w:t>
      </w:r>
      <w:r>
        <w:rPr>
          <w:rFonts w:ascii="Arial" w:cs="Arial" w:eastAsia="Arial" w:hAnsi="Arial"/>
          <w:sz w:val="16"/>
          <w:szCs w:val="16"/>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Wells Fargo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on any other existing trading market for the Common Shares or to or through a market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0" w:name="page11"/>
    <w:bookmarkEnd w:id="1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maker. Subject to the terms of the Placement Notice (as amended by the corresponding Acceptance, if applicable), Wells Fargo may also sell Placement Securities by any other method permitted by law, including but not limited to sales in privately negotiated transactions. For the purposes hereof, “</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Common Shares are purchased and sold on the principal market on which the Common Shares are listed or quoted.</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suspend any sale of Placement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suspension shall not affect or impair either party’s obligations with respect to any Placement Securities sold hereunder prior to the receipt of such notice.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notice is made by telephone. Each party shall acknowledge any notice received pursuant to this Section 4 as promptly as possible.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9"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59" w:lineRule="exact"/>
        <w:rPr>
          <w:rFonts w:ascii="Arial" w:cs="Arial" w:eastAsia="Arial" w:hAnsi="Arial"/>
          <w:sz w:val="18"/>
          <w:szCs w:val="18"/>
          <w:color w:val="auto"/>
        </w:rPr>
      </w:pPr>
    </w:p>
    <w:p>
      <w:pPr>
        <w:ind w:left="460" w:firstLine="443"/>
        <w:spacing w:after="0" w:line="288" w:lineRule="auto"/>
        <w:tabs>
          <w:tab w:leader="none" w:pos="114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Status as a Well-Known Seasoned Issuer; Registration Statement Effective; Conform to Securities Act; No Misleading Statements; Conformity with EDGAR filings</w:t>
      </w:r>
      <w:r>
        <w:rPr>
          <w:rFonts w:ascii="Arial" w:cs="Arial" w:eastAsia="Arial" w:hAnsi="Arial"/>
          <w:sz w:val="16"/>
          <w:szCs w:val="16"/>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 w:name="page12"/>
    <w:bookmarkEnd w:id="11"/>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39"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The Original Registration Statement became effective upon filing under Rule 462(e) on May 8, 2012,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Wells Fargo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32"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35"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62"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Each Issuer Free Writing Prospectus, as of its issue date and as of the relevant Applicable Time and Settlement Date, or until any earlier date that the issuer notified or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62"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Wells Fargo expressly for use therein.</w:t>
      </w:r>
    </w:p>
    <w:p>
      <w:pPr>
        <w:spacing w:after="0" w:line="59" w:lineRule="exact"/>
        <w:rPr>
          <w:sz w:val="20"/>
          <w:szCs w:val="20"/>
          <w:color w:val="auto"/>
        </w:rPr>
      </w:pPr>
    </w:p>
    <w:p>
      <w:pPr>
        <w:ind w:firstLine="443"/>
        <w:spacing w:after="0" w:line="306"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firstLine="443"/>
        <w:spacing w:after="0" w:line="285"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and Significant Subsidiaries</w:t>
      </w:r>
      <w:r>
        <w:rPr>
          <w:rFonts w:ascii="Arial" w:cs="Arial" w:eastAsia="Arial" w:hAnsi="Arial"/>
          <w:sz w:val="16"/>
          <w:szCs w:val="16"/>
          <w:color w:val="auto"/>
        </w:rPr>
        <w:t>. 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3" w:name="page14"/>
    <w:bookmarkEnd w:id="13"/>
    <w:p>
      <w:pPr>
        <w:ind w:firstLine="443"/>
        <w:spacing w:after="0" w:line="301" w:lineRule="auto"/>
        <w:tabs>
          <w:tab w:leader="none" w:pos="687" w:val="left"/>
        </w:tabs>
        <w:numPr>
          <w:ilvl w:val="1"/>
          <w:numId w:val="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w:t>
      </w:r>
      <w:r>
        <w:rPr>
          <w:rFonts w:ascii="Arial" w:cs="Arial" w:eastAsia="Arial" w:hAnsi="Arial"/>
          <w:sz w:val="15"/>
          <w:szCs w:val="15"/>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w:t>
      </w:r>
    </w:p>
    <w:p>
      <w:pPr>
        <w:spacing w:after="0" w:line="3" w:lineRule="exact"/>
        <w:rPr>
          <w:rFonts w:ascii="Arial" w:cs="Arial" w:eastAsia="Arial" w:hAnsi="Arial"/>
          <w:sz w:val="15"/>
          <w:szCs w:val="15"/>
          <w:color w:val="auto"/>
        </w:rPr>
      </w:pPr>
    </w:p>
    <w:p>
      <w:pPr>
        <w:ind w:right="120" w:firstLine="4"/>
        <w:spacing w:after="0" w:line="29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35" w:lineRule="exact"/>
        <w:rPr>
          <w:rFonts w:ascii="Arial" w:cs="Arial" w:eastAsia="Arial" w:hAnsi="Arial"/>
          <w:sz w:val="16"/>
          <w:szCs w:val="16"/>
          <w:color w:val="auto"/>
        </w:rPr>
      </w:pPr>
    </w:p>
    <w:p>
      <w:pPr>
        <w:ind w:right="60" w:firstLine="443"/>
        <w:spacing w:after="0" w:line="298" w:lineRule="auto"/>
        <w:tabs>
          <w:tab w:leader="none" w:pos="68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31" w:lineRule="exact"/>
        <w:rPr>
          <w:rFonts w:ascii="Arial" w:cs="Arial" w:eastAsia="Arial" w:hAnsi="Arial"/>
          <w:sz w:val="16"/>
          <w:szCs w:val="16"/>
          <w:color w:val="auto"/>
        </w:rPr>
      </w:pPr>
    </w:p>
    <w:p>
      <w:pPr>
        <w:ind w:right="180" w:firstLine="443"/>
        <w:spacing w:after="0" w:line="268" w:lineRule="auto"/>
        <w:tabs>
          <w:tab w:leader="none" w:pos="68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14" w:name="page15"/>
    <w:bookmarkEnd w:id="14"/>
    <w:p>
      <w:pPr>
        <w:ind w:right="200" w:firstLine="443"/>
        <w:spacing w:after="0" w:line="291" w:lineRule="auto"/>
        <w:tabs>
          <w:tab w:leader="none" w:pos="687"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No Violations</w:t>
      </w:r>
      <w:r>
        <w:rPr>
          <w:rFonts w:ascii="Arial" w:cs="Arial" w:eastAsia="Arial" w:hAnsi="Arial"/>
          <w:sz w:val="16"/>
          <w:szCs w:val="16"/>
          <w:color w:val="auto"/>
        </w:rPr>
        <w:t>. (i) Neither the Company nor any of its Subsidiaries is in violation of its charter or by-laws or similar organizational documents;</w:t>
      </w:r>
    </w:p>
    <w:p>
      <w:pPr>
        <w:spacing w:after="0" w:line="38" w:lineRule="exact"/>
        <w:rPr>
          <w:rFonts w:ascii="Arial" w:cs="Arial" w:eastAsia="Arial" w:hAnsi="Arial"/>
          <w:sz w:val="16"/>
          <w:szCs w:val="16"/>
          <w:color w:val="auto"/>
        </w:rPr>
      </w:pPr>
    </w:p>
    <w:p>
      <w:pPr>
        <w:ind w:firstLine="4"/>
        <w:spacing w:after="0" w:line="287"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43" w:lineRule="exact"/>
        <w:rPr>
          <w:rFonts w:ascii="Arial" w:cs="Arial" w:eastAsia="Arial" w:hAnsi="Arial"/>
          <w:sz w:val="16"/>
          <w:szCs w:val="16"/>
          <w:color w:val="auto"/>
        </w:rPr>
      </w:pPr>
    </w:p>
    <w:p>
      <w:pPr>
        <w:ind w:right="40" w:firstLine="443"/>
        <w:spacing w:after="0" w:line="286" w:lineRule="auto"/>
        <w:tabs>
          <w:tab w:leader="none" w:pos="687"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5" w:name="page16"/>
    <w:bookmarkEnd w:id="15"/>
    <w:p>
      <w:pPr>
        <w:ind w:right="160" w:firstLine="443"/>
        <w:spacing w:after="0" w:line="294" w:lineRule="auto"/>
        <w:tabs>
          <w:tab w:leader="none" w:pos="7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Proceedings</w:t>
      </w:r>
      <w:r>
        <w:rPr>
          <w:rFonts w:ascii="Arial" w:cs="Arial" w:eastAsia="Arial" w:hAnsi="Arial"/>
          <w:sz w:val="16"/>
          <w:szCs w:val="16"/>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94" w:lineRule="auto"/>
        <w:tabs>
          <w:tab w:leader="none" w:pos="76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throughout the periods involved, and all adjustments necessary for a fair presentation of results for such periods have been made.</w:t>
      </w:r>
    </w:p>
    <w:p>
      <w:pPr>
        <w:spacing w:after="0" w:line="34" w:lineRule="exact"/>
        <w:rPr>
          <w:rFonts w:ascii="Arial" w:cs="Arial" w:eastAsia="Arial" w:hAnsi="Arial"/>
          <w:sz w:val="16"/>
          <w:szCs w:val="16"/>
          <w:color w:val="auto"/>
        </w:rPr>
      </w:pPr>
    </w:p>
    <w:p>
      <w:pPr>
        <w:ind w:right="60" w:firstLine="443"/>
        <w:spacing w:after="0" w:line="256"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firstLine="443"/>
        <w:spacing w:after="0" w:line="255"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61" w:lineRule="exact"/>
        <w:rPr>
          <w:rFonts w:ascii="Arial" w:cs="Arial" w:eastAsia="Arial" w:hAnsi="Arial"/>
          <w:sz w:val="18"/>
          <w:szCs w:val="18"/>
          <w:color w:val="auto"/>
        </w:rPr>
      </w:pPr>
    </w:p>
    <w:p>
      <w:pPr>
        <w:ind w:right="40" w:firstLine="443"/>
        <w:spacing w:after="0" w:line="306" w:lineRule="auto"/>
        <w:tabs>
          <w:tab w:leader="none" w:pos="7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25" w:lineRule="exact"/>
        <w:rPr>
          <w:rFonts w:ascii="Arial" w:cs="Arial" w:eastAsia="Arial" w:hAnsi="Arial"/>
          <w:sz w:val="16"/>
          <w:szCs w:val="16"/>
          <w:color w:val="auto"/>
        </w:rPr>
      </w:pPr>
    </w:p>
    <w:p>
      <w:pPr>
        <w:ind w:right="100" w:firstLine="443"/>
        <w:spacing w:after="0" w:line="259"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6" w:name="page17"/>
    <w:bookmarkEnd w:id="16"/>
    <w:p>
      <w:pPr>
        <w:ind w:firstLine="443"/>
        <w:spacing w:after="0" w:line="285"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47" w:lineRule="exact"/>
        <w:rPr>
          <w:rFonts w:ascii="Arial" w:cs="Arial" w:eastAsia="Arial" w:hAnsi="Arial"/>
          <w:sz w:val="16"/>
          <w:szCs w:val="16"/>
          <w:color w:val="auto"/>
        </w:rPr>
      </w:pPr>
    </w:p>
    <w:p>
      <w:pPr>
        <w:ind w:right="240" w:firstLine="443"/>
        <w:spacing w:after="0" w:line="268"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50" w:lineRule="exact"/>
        <w:rPr>
          <w:rFonts w:ascii="Arial" w:cs="Arial" w:eastAsia="Arial" w:hAnsi="Arial"/>
          <w:sz w:val="18"/>
          <w:szCs w:val="18"/>
          <w:color w:val="auto"/>
        </w:rPr>
      </w:pPr>
    </w:p>
    <w:p>
      <w:pPr>
        <w:ind w:right="180" w:firstLine="443"/>
        <w:spacing w:after="0" w:line="290"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Although the Company is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7" w:name="page18"/>
    <w:bookmarkEnd w:id="17"/>
    <w:p>
      <w:pPr>
        <w:ind w:firstLine="443"/>
        <w:spacing w:after="0" w:line="294" w:lineRule="auto"/>
        <w:tabs>
          <w:tab w:leader="none" w:pos="77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Investment Company Act</w:t>
      </w:r>
      <w:r>
        <w:rPr>
          <w:rFonts w:ascii="Arial" w:cs="Arial" w:eastAsia="Arial" w:hAnsi="Arial"/>
          <w:sz w:val="16"/>
          <w:szCs w:val="16"/>
          <w:color w:val="auto"/>
        </w:rPr>
        <w:t>. 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firstLine="443"/>
        <w:spacing w:after="0" w:line="253" w:lineRule="auto"/>
        <w:tabs>
          <w:tab w:leader="none" w:pos="7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66" w:lineRule="exact"/>
        <w:rPr>
          <w:rFonts w:ascii="Arial" w:cs="Arial" w:eastAsia="Arial" w:hAnsi="Arial"/>
          <w:sz w:val="18"/>
          <w:szCs w:val="18"/>
          <w:color w:val="auto"/>
        </w:rPr>
      </w:pPr>
    </w:p>
    <w:p>
      <w:pPr>
        <w:ind w:right="80" w:firstLine="443"/>
        <w:spacing w:after="0" w:line="294" w:lineRule="auto"/>
        <w:tabs>
          <w:tab w:leader="none" w:pos="77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34" w:lineRule="exact"/>
        <w:rPr>
          <w:rFonts w:ascii="Arial" w:cs="Arial" w:eastAsia="Arial" w:hAnsi="Arial"/>
          <w:sz w:val="16"/>
          <w:szCs w:val="16"/>
          <w:color w:val="auto"/>
        </w:rPr>
      </w:pPr>
    </w:p>
    <w:p>
      <w:pPr>
        <w:ind w:right="100" w:firstLine="443"/>
        <w:spacing w:after="0" w:line="291" w:lineRule="auto"/>
        <w:tabs>
          <w:tab w:leader="none" w:pos="77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Anti-Money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39" w:lineRule="exact"/>
        <w:rPr>
          <w:rFonts w:ascii="Arial" w:cs="Arial" w:eastAsia="Arial" w:hAnsi="Arial"/>
          <w:sz w:val="16"/>
          <w:szCs w:val="16"/>
          <w:color w:val="auto"/>
        </w:rPr>
      </w:pPr>
    </w:p>
    <w:p>
      <w:pPr>
        <w:ind w:right="200" w:firstLine="443"/>
        <w:spacing w:after="0" w:line="259" w:lineRule="auto"/>
        <w:tabs>
          <w:tab w:leader="none" w:pos="7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8" w:name="page19"/>
    <w:bookmarkEnd w:id="1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59" w:lineRule="exact"/>
        <w:rPr>
          <w:sz w:val="20"/>
          <w:szCs w:val="20"/>
          <w:color w:val="auto"/>
        </w:rPr>
      </w:pPr>
    </w:p>
    <w:p>
      <w:pPr>
        <w:ind w:right="60" w:firstLine="443"/>
        <w:spacing w:after="0" w:line="286" w:lineRule="auto"/>
        <w:tabs>
          <w:tab w:leader="none" w:pos="77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NYSE</w:t>
      </w:r>
      <w:r>
        <w:rPr>
          <w:rFonts w:ascii="Arial" w:cs="Arial" w:eastAsia="Arial" w:hAnsi="Arial"/>
          <w:sz w:val="16"/>
          <w:szCs w:val="16"/>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3" w:lineRule="exact"/>
        <w:rPr>
          <w:rFonts w:ascii="Arial" w:cs="Arial" w:eastAsia="Arial" w:hAnsi="Arial"/>
          <w:sz w:val="16"/>
          <w:szCs w:val="16"/>
          <w:color w:val="auto"/>
        </w:rPr>
      </w:pPr>
    </w:p>
    <w:p>
      <w:pPr>
        <w:ind w:right="20" w:firstLine="443"/>
        <w:spacing w:after="0" w:line="259"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59" w:lineRule="exact"/>
        <w:rPr>
          <w:rFonts w:ascii="Arial" w:cs="Arial" w:eastAsia="Arial" w:hAnsi="Arial"/>
          <w:sz w:val="18"/>
          <w:szCs w:val="18"/>
          <w:color w:val="auto"/>
        </w:rPr>
      </w:pPr>
    </w:p>
    <w:p>
      <w:pPr>
        <w:ind w:right="260" w:firstLine="443"/>
        <w:spacing w:after="0" w:line="268"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50" w:lineRule="exact"/>
        <w:rPr>
          <w:rFonts w:ascii="Arial" w:cs="Arial" w:eastAsia="Arial" w:hAnsi="Arial"/>
          <w:sz w:val="18"/>
          <w:szCs w:val="18"/>
          <w:color w:val="auto"/>
        </w:rPr>
      </w:pPr>
    </w:p>
    <w:p>
      <w:pPr>
        <w:ind w:right="140" w:firstLine="443"/>
        <w:spacing w:after="0" w:line="256"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62" w:lineRule="exact"/>
        <w:rPr>
          <w:rFonts w:ascii="Arial" w:cs="Arial" w:eastAsia="Arial" w:hAnsi="Arial"/>
          <w:sz w:val="18"/>
          <w:szCs w:val="18"/>
          <w:color w:val="auto"/>
        </w:rPr>
      </w:pPr>
    </w:p>
    <w:p>
      <w:pPr>
        <w:ind w:firstLine="443"/>
        <w:spacing w:after="0" w:line="290" w:lineRule="auto"/>
        <w:tabs>
          <w:tab w:leader="none" w:pos="77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Proprietary Trading by Wells Fargo</w:t>
      </w:r>
      <w:r>
        <w:rPr>
          <w:rFonts w:ascii="Arial" w:cs="Arial" w:eastAsia="Arial" w:hAnsi="Arial"/>
          <w:sz w:val="16"/>
          <w:szCs w:val="16"/>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Wells Fargo in the applicable Placement Notice (as amended by the corresponding Acceptance, if applicable); provided, that no such purchase or sale shall take place while a Placement Notice is in effect (except (i) as agreed to by Wells Fargo in the Placement Notice (as amended by the corresponding Acceptance, if applicable) or (ii) to the extent Wells Fargo may engage in sales of Placement Securities purchased or deemed purchased from the Company as a “riskless principal” or in a similar capacity).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9" w:name="page20"/>
    <w:bookmarkEnd w:id="19"/>
    <w:p>
      <w:pPr>
        <w:ind w:left="-20" w:right="580" w:firstLine="464"/>
        <w:spacing w:after="0" w:line="268"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Certificates. </w:t>
      </w:r>
      <w:r>
        <w:rPr>
          <w:rFonts w:ascii="Arial" w:cs="Arial" w:eastAsia="Arial" w:hAnsi="Arial"/>
          <w:sz w:val="18"/>
          <w:szCs w:val="18"/>
          <w:color w:val="auto"/>
        </w:rPr>
        <w:t>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Wells Fargo; Settlement</w:t>
      </w:r>
      <w:r>
        <w:rPr>
          <w:rFonts w:ascii="Arial" w:cs="Arial" w:eastAsia="Arial" w:hAnsi="Arial"/>
          <w:sz w:val="18"/>
          <w:szCs w:val="18"/>
          <w:color w:val="auto"/>
        </w:rPr>
        <w:t>.</w:t>
      </w:r>
    </w:p>
    <w:p>
      <w:pPr>
        <w:spacing w:after="0" w:line="171" w:lineRule="exact"/>
        <w:rPr>
          <w:sz w:val="20"/>
          <w:szCs w:val="20"/>
          <w:color w:val="auto"/>
        </w:rPr>
      </w:pPr>
    </w:p>
    <w:p>
      <w:pPr>
        <w:ind w:left="-20" w:right="20" w:firstLine="464"/>
        <w:spacing w:after="0" w:line="286" w:lineRule="auto"/>
        <w:tabs>
          <w:tab w:leader="none" w:pos="67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Sale of Placement Securities. </w:t>
      </w:r>
      <w:r>
        <w:rPr>
          <w:rFonts w:ascii="Arial" w:cs="Arial" w:eastAsia="Arial" w:hAnsi="Arial"/>
          <w:sz w:val="16"/>
          <w:szCs w:val="16"/>
          <w:color w:val="auto"/>
        </w:rPr>
        <w:t>On the basis of the representations and warranties herein contained and subject to the terms and conditions herein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upon Wells Fargo’s 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 such Placement Securities as required under this Section 6 and (iii) Wells Fargo shall be under no obligation to purchase Securities on a principal basis pursuant to this Agreement, except as otherwise agreed by Wells Fargo in the Placement Notice (as amended by the corresponding Acceptance, if applicable).</w:t>
      </w:r>
    </w:p>
    <w:p>
      <w:pPr>
        <w:spacing w:after="0" w:line="127" w:lineRule="exact"/>
        <w:rPr>
          <w:rFonts w:ascii="Arial" w:cs="Arial" w:eastAsia="Arial" w:hAnsi="Arial"/>
          <w:sz w:val="16"/>
          <w:szCs w:val="16"/>
          <w:color w:val="auto"/>
        </w:rPr>
      </w:pPr>
    </w:p>
    <w:p>
      <w:pPr>
        <w:ind w:left="-20" w:right="240" w:firstLine="464"/>
        <w:spacing w:after="0" w:line="290" w:lineRule="auto"/>
        <w:tabs>
          <w:tab w:leader="none" w:pos="68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0"/>
          <w:szCs w:val="10"/>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 (iii) any transaction fees imposed by any governmental or self-regulatory organization in respect of such sales.</w:t>
      </w:r>
    </w:p>
    <w:p>
      <w:pPr>
        <w:spacing w:after="0" w:line="118" w:lineRule="exact"/>
        <w:rPr>
          <w:rFonts w:ascii="Arial" w:cs="Arial" w:eastAsia="Arial" w:hAnsi="Arial"/>
          <w:sz w:val="16"/>
          <w:szCs w:val="16"/>
          <w:color w:val="auto"/>
        </w:rPr>
      </w:pPr>
    </w:p>
    <w:p>
      <w:pPr>
        <w:ind w:left="-20" w:firstLine="464"/>
        <w:spacing w:after="0" w:line="291" w:lineRule="auto"/>
        <w:tabs>
          <w:tab w:leader="none" w:pos="67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Wells Fargo’s or its designee’s account (provided Wells Fargo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 the Company, or its transfer agent (if applicable), defaults in its obligation to deliver Placement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20" w:name="page21"/>
    <w:bookmarkEnd w:id="2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13" w:lineRule="exact"/>
        <w:rPr>
          <w:sz w:val="20"/>
          <w:szCs w:val="20"/>
          <w:color w:val="auto"/>
        </w:rPr>
      </w:pPr>
    </w:p>
    <w:p>
      <w:pPr>
        <w:ind w:firstLine="464"/>
        <w:spacing w:after="0" w:line="259"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Wells Fargo may request in writing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one full business day before the Settlement Date. The Company shall deliver the Securities, if any, through the facilities of DTC unless Wells Fargo shall otherwise instruct.</w:t>
      </w:r>
    </w:p>
    <w:p>
      <w:pPr>
        <w:spacing w:after="0" w:line="140" w:lineRule="exact"/>
        <w:rPr>
          <w:rFonts w:ascii="Arial" w:cs="Arial" w:eastAsia="Arial" w:hAnsi="Arial"/>
          <w:sz w:val="18"/>
          <w:szCs w:val="18"/>
          <w:color w:val="auto"/>
        </w:rPr>
      </w:pPr>
    </w:p>
    <w:p>
      <w:pPr>
        <w:ind w:right="60" w:firstLine="464"/>
        <w:spacing w:after="0" w:line="305" w:lineRule="auto"/>
        <w:tabs>
          <w:tab w:leader="none" w:pos="695" w:val="left"/>
        </w:tabs>
        <w:numPr>
          <w:ilvl w:val="1"/>
          <w:numId w:val="14"/>
        </w:numPr>
        <w:rPr>
          <w:rFonts w:ascii="Arial" w:cs="Arial" w:eastAsia="Arial" w:hAnsi="Arial"/>
          <w:sz w:val="15"/>
          <w:szCs w:val="15"/>
          <w:color w:val="auto"/>
        </w:rPr>
      </w:pPr>
      <w:r>
        <w:rPr>
          <w:rFonts w:ascii="Arial" w:cs="Arial" w:eastAsia="Arial" w:hAnsi="Arial"/>
          <w:sz w:val="15"/>
          <w:szCs w:val="15"/>
          <w:i w:val="1"/>
          <w:iCs w:val="1"/>
          <w:color w:val="auto"/>
        </w:rPr>
        <w:t>Limitations on Offering Size</w:t>
      </w:r>
      <w:r>
        <w:rPr>
          <w:rFonts w:ascii="Arial" w:cs="Arial" w:eastAsia="Arial" w:hAnsi="Arial"/>
          <w:sz w:val="15"/>
          <w:szCs w:val="15"/>
          <w:color w:val="auto"/>
        </w:rPr>
        <w:t>. Under no circumstances shall the Company cause or request the offer or sale of any Securities, if after giving effect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sale of such Securities, the aggregate offering price of the Securities sold pursuant to this Agreement would exceed the lesser of (A) the Maximum Amount and</w:t>
      </w:r>
    </w:p>
    <w:p>
      <w:pPr>
        <w:ind w:right="220" w:firstLine="8"/>
        <w:spacing w:after="0" w:line="253" w:lineRule="auto"/>
        <w:tabs>
          <w:tab w:leader="none" w:pos="2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authorized from time to time to be issued and sold under this Agreement by the Company and notified to Wells Fargo in writing. Under no circumstances shall the Company cause or request the offer or sale of any Securities pursuant to this Agreement at a price lower than the minimum price authorized from time to time by the Company and notified to Wells Fargo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45" w:lineRule="exact"/>
        <w:rPr>
          <w:rFonts w:ascii="Arial" w:cs="Arial" w:eastAsia="Arial" w:hAnsi="Arial"/>
          <w:sz w:val="18"/>
          <w:szCs w:val="18"/>
          <w:color w:val="auto"/>
        </w:rPr>
      </w:pPr>
    </w:p>
    <w:p>
      <w:pPr>
        <w:ind w:right="60" w:firstLine="464"/>
        <w:spacing w:after="0" w:line="302" w:lineRule="auto"/>
        <w:tabs>
          <w:tab w:leader="none" w:pos="676" w:val="left"/>
        </w:tabs>
        <w:numPr>
          <w:ilvl w:val="1"/>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Agent. </w:t>
      </w:r>
      <w:r>
        <w:rPr>
          <w:rFonts w:ascii="Arial" w:cs="Arial" w:eastAsia="Arial" w:hAnsi="Arial"/>
          <w:sz w:val="15"/>
          <w:szCs w:val="15"/>
          <w:color w:val="auto"/>
        </w:rPr>
        <w:t>The Company agrees that any offer to sell, any solicitation of an offer to buy or any sales of Securities shall only be effected by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through Wells Fargo;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w:t>
      </w:r>
    </w:p>
    <w:p>
      <w:pPr>
        <w:ind w:right="120"/>
        <w:spacing w:after="0" w:line="254" w:lineRule="auto"/>
        <w:rPr>
          <w:rFonts w:ascii="Arial" w:cs="Arial" w:eastAsia="Arial" w:hAnsi="Arial"/>
          <w:sz w:val="15"/>
          <w:szCs w:val="15"/>
          <w:color w:val="auto"/>
        </w:rPr>
      </w:pPr>
      <w:r>
        <w:rPr>
          <w:rFonts w:ascii="Arial" w:cs="Arial" w:eastAsia="Arial" w:hAnsi="Arial"/>
          <w:sz w:val="18"/>
          <w:szCs w:val="18"/>
          <w:color w:val="auto"/>
        </w:rPr>
        <w:t>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 (y) shall agree to cooperate with and do such other things reasonably requested by the Company in order to allow for such engagement(s).</w:t>
      </w:r>
    </w:p>
    <w:p>
      <w:pPr>
        <w:spacing w:after="0" w:line="143" w:lineRule="exact"/>
        <w:rPr>
          <w:rFonts w:ascii="Arial" w:cs="Arial" w:eastAsia="Arial" w:hAnsi="Arial"/>
          <w:sz w:val="15"/>
          <w:szCs w:val="15"/>
          <w:color w:val="auto"/>
        </w:rPr>
      </w:pPr>
    </w:p>
    <w:p>
      <w:pPr>
        <w:ind w:right="20" w:firstLine="464"/>
        <w:spacing w:after="0" w:line="306" w:lineRule="auto"/>
        <w:tabs>
          <w:tab w:leader="none" w:pos="705"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Period for Restriction on Offers and Sales. </w:t>
      </w:r>
      <w:r>
        <w:rPr>
          <w:rFonts w:ascii="Arial" w:cs="Arial" w:eastAsia="Arial" w:hAnsi="Arial"/>
          <w:sz w:val="16"/>
          <w:szCs w:val="16"/>
          <w:color w:val="auto"/>
        </w:rPr>
        <w:t>Notwithstanding any other provision of this Agreement, the Company shall not offer, sell or deliver, or</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1" w:name="page22"/>
    <w:bookmarkEnd w:id="21"/>
    <w:p>
      <w:pPr>
        <w:ind w:right="2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w:t>
      </w:r>
    </w:p>
    <w:p>
      <w:pPr>
        <w:ind w:firstLine="8"/>
        <w:spacing w:after="0" w:line="295"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provided in Section 6(h) below, at any time from and including the date (each, an “</w:t>
      </w:r>
      <w:r>
        <w:rPr>
          <w:rFonts w:ascii="Arial" w:cs="Arial" w:eastAsia="Arial" w:hAnsi="Arial"/>
          <w:sz w:val="16"/>
          <w:szCs w:val="16"/>
          <w:u w:val="single" w:color="auto"/>
          <w:color w:val="auto"/>
        </w:rPr>
        <w:t>Announcement Date</w:t>
      </w:r>
      <w:r>
        <w:rPr>
          <w:rFonts w:ascii="Arial" w:cs="Arial" w:eastAsia="Arial" w:hAnsi="Arial"/>
          <w:sz w:val="16"/>
          <w:szCs w:val="16"/>
          <w:color w:val="auto"/>
        </w:rPr>
        <w:t>”) on which the Company shall issue a press release containing, or shall otherwise publicly announce, its earnings, revenues or other results of operations (each, an “</w:t>
      </w:r>
      <w:r>
        <w:rPr>
          <w:rFonts w:ascii="Arial" w:cs="Arial" w:eastAsia="Arial" w:hAnsi="Arial"/>
          <w:sz w:val="16"/>
          <w:szCs w:val="16"/>
          <w:u w:val="single" w:color="auto"/>
          <w:color w:val="auto"/>
        </w:rPr>
        <w:t>Earnings Announcement</w:t>
      </w:r>
      <w:r>
        <w:rPr>
          <w:rFonts w:ascii="Arial" w:cs="Arial" w:eastAsia="Arial" w:hAnsi="Arial"/>
          <w:sz w:val="16"/>
          <w:szCs w:val="16"/>
          <w:color w:val="auto"/>
        </w:rPr>
        <w:t>”) through and including the time that is 24 hours after the time that the Company files (a “</w:t>
      </w:r>
      <w:r>
        <w:rPr>
          <w:rFonts w:ascii="Arial" w:cs="Arial" w:eastAsia="Arial" w:hAnsi="Arial"/>
          <w:sz w:val="16"/>
          <w:szCs w:val="16"/>
          <w:u w:val="single" w:color="auto"/>
          <w:color w:val="auto"/>
        </w:rPr>
        <w:t>Filing Time</w:t>
      </w:r>
      <w:r>
        <w:rPr>
          <w:rFonts w:ascii="Arial" w:cs="Arial" w:eastAsia="Arial" w:hAnsi="Arial"/>
          <w:sz w:val="16"/>
          <w:szCs w:val="16"/>
          <w:color w:val="auto"/>
        </w:rPr>
        <w:t>”) a Quarterly Report on Form 10-Q or an Annual Report on Form 10-K that includes consolidated financial statements as of and for the same period or periods, as the case may be, covered by such Earnings Announcement.</w:t>
      </w:r>
    </w:p>
    <w:p>
      <w:pPr>
        <w:spacing w:after="0" w:line="115" w:lineRule="exact"/>
        <w:rPr>
          <w:rFonts w:ascii="Arial" w:cs="Arial" w:eastAsia="Arial" w:hAnsi="Arial"/>
          <w:sz w:val="16"/>
          <w:szCs w:val="16"/>
          <w:color w:val="auto"/>
        </w:rPr>
      </w:pPr>
    </w:p>
    <w:p>
      <w:pPr>
        <w:ind w:right="40" w:firstLine="464"/>
        <w:spacing w:after="0" w:line="285" w:lineRule="auto"/>
        <w:tabs>
          <w:tab w:leader="none" w:pos="705"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 7(o), (p) and (q) hereof; respectively, (iii) afford Wells Fargo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Wells Fargo as follows:</w:t>
      </w:r>
    </w:p>
    <w:p>
      <w:pPr>
        <w:spacing w:after="0" w:line="171" w:lineRule="exact"/>
        <w:rPr>
          <w:sz w:val="20"/>
          <w:szCs w:val="20"/>
          <w:color w:val="auto"/>
        </w:rPr>
      </w:pPr>
    </w:p>
    <w:p>
      <w:pPr>
        <w:ind w:right="40" w:firstLine="464"/>
        <w:spacing w:after="0" w:line="255"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Registration Statement Amendments</w:t>
      </w:r>
      <w:r>
        <w:rPr>
          <w:rFonts w:ascii="Arial" w:cs="Arial" w:eastAsia="Arial" w:hAnsi="Arial"/>
          <w:sz w:val="18"/>
          <w:szCs w:val="18"/>
          <w:color w:val="auto"/>
        </w:rPr>
        <w:t>. After the date of this Agreement and during any period in which a Prospectus relating to any Placement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request shall not relieve the Company of any obligation or liability hereunder, or affect Wells Fargo’s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21" w:lineRule="exact"/>
        <w:rPr>
          <w:sz w:val="20"/>
          <w:szCs w:val="20"/>
          <w:color w:val="auto"/>
        </w:rPr>
      </w:pPr>
    </w:p>
    <w:p>
      <w:pPr>
        <w:ind w:right="60" w:firstLine="464"/>
        <w:spacing w:after="0" w:line="310" w:lineRule="auto"/>
        <w:tabs>
          <w:tab w:leader="none" w:pos="705"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Notice of Commission Stop Orders</w:t>
      </w:r>
      <w:r>
        <w:rPr>
          <w:rFonts w:ascii="Arial" w:cs="Arial" w:eastAsia="Arial" w:hAnsi="Arial"/>
          <w:sz w:val="15"/>
          <w:szCs w:val="15"/>
          <w:color w:val="auto"/>
        </w:rPr>
        <w:t>. The Company will advise Wells Fargo, promptly after it receives notice or obtains knowledge thereof, of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08" w:lineRule="exact"/>
        <w:rPr>
          <w:rFonts w:ascii="Arial" w:cs="Arial" w:eastAsia="Arial" w:hAnsi="Arial"/>
          <w:sz w:val="15"/>
          <w:szCs w:val="15"/>
          <w:color w:val="auto"/>
        </w:rPr>
      </w:pPr>
    </w:p>
    <w:p>
      <w:pPr>
        <w:ind w:right="40" w:firstLine="464"/>
        <w:spacing w:after="0" w:line="25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Delivery of Registration Statement and Prospectus. </w:t>
      </w:r>
      <w:r>
        <w:rPr>
          <w:rFonts w:ascii="Arial" w:cs="Arial" w:eastAsia="Arial" w:hAnsi="Arial"/>
          <w:sz w:val="18"/>
          <w:szCs w:val="18"/>
          <w:color w:val="auto"/>
        </w:rPr>
        <w:t>The Company will furnish to Wells Fargo and its counsel (at the expense of the Company)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 w:name="page24"/>
    <w:bookmarkEnd w:id="23"/>
    <w:p>
      <w:pPr>
        <w:jc w:val="both"/>
        <w:ind w:right="46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Wells Fargo any document that is available via EDGAR.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07" w:lineRule="exact"/>
        <w:rPr>
          <w:sz w:val="20"/>
          <w:szCs w:val="20"/>
          <w:color w:val="auto"/>
        </w:rPr>
      </w:pPr>
    </w:p>
    <w:p>
      <w:pPr>
        <w:ind w:firstLine="464"/>
        <w:spacing w:after="0" w:line="285"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Continued Compliance with Securities Laws. </w:t>
      </w:r>
      <w:r>
        <w:rPr>
          <w:rFonts w:ascii="Arial" w:cs="Arial" w:eastAsia="Arial" w:hAnsi="Arial"/>
          <w:sz w:val="16"/>
          <w:szCs w:val="16"/>
          <w:color w:val="auto"/>
        </w:rPr>
        <w:t>If at any time when a Prospectus is required by the Securities Act or the Exchange Act to be delivered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pending sale of the Placement Securities (including, without limitation, pursuant to Rule 172), any event 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Wells Fargo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Wells Fargo such number of copies of such amendment or supplement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26" w:lineRule="exact"/>
        <w:rPr>
          <w:rFonts w:ascii="Arial" w:cs="Arial" w:eastAsia="Arial" w:hAnsi="Arial"/>
          <w:sz w:val="16"/>
          <w:szCs w:val="16"/>
          <w:color w:val="auto"/>
        </w:rPr>
      </w:pPr>
    </w:p>
    <w:p>
      <w:pPr>
        <w:ind w:firstLine="464"/>
        <w:spacing w:after="0" w:line="288"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Blue Sky and Other Qualifications. </w:t>
      </w:r>
      <w:r>
        <w:rPr>
          <w:rFonts w:ascii="Arial" w:cs="Arial" w:eastAsia="Arial" w:hAnsi="Arial"/>
          <w:sz w:val="16"/>
          <w:szCs w:val="16"/>
          <w:color w:val="auto"/>
        </w:rPr>
        <w:t>The Company will use its commercially reasonable efforts, in cooperation with Wells Fargo,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4" w:name="page25"/>
    <w:bookmarkEnd w:id="24"/>
    <w:p>
      <w:pPr>
        <w:ind w:left="680" w:hanging="216"/>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Rule 158. </w:t>
      </w:r>
      <w:r>
        <w:rPr>
          <w:rFonts w:ascii="Arial" w:cs="Arial" w:eastAsia="Arial" w:hAnsi="Arial"/>
          <w:sz w:val="16"/>
          <w:szCs w:val="16"/>
          <w:color w:val="auto"/>
        </w:rPr>
        <w:t>The Company will timely file such reports pursuant to the Exchange Act as are necessary in order to make generally available to its</w:t>
      </w:r>
    </w:p>
    <w:p>
      <w:pPr>
        <w:spacing w:after="0" w:line="38"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37"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 under</w:t>
      </w:r>
      <w:r>
        <w:rPr>
          <w:rFonts w:ascii="Arial" w:cs="Arial" w:eastAsia="Arial" w:hAnsi="Arial"/>
          <w:sz w:val="18"/>
          <w:szCs w:val="18"/>
          <w:i w:val="1"/>
          <w:iCs w:val="1"/>
          <w:color w:val="auto"/>
        </w:rPr>
        <w:t xml:space="preserve"> </w:t>
      </w:r>
      <w:r>
        <w:rPr>
          <w:rFonts w:ascii="Arial" w:cs="Arial" w:eastAsia="Arial" w:hAnsi="Arial"/>
          <w:sz w:val="18"/>
          <w:szCs w:val="18"/>
          <w:color w:val="auto"/>
        </w:rPr>
        <w:t>“Use of Proceeds.”</w:t>
      </w:r>
    </w:p>
    <w:p>
      <w:pPr>
        <w:spacing w:after="0" w:line="131" w:lineRule="exact"/>
        <w:rPr>
          <w:rFonts w:ascii="Arial" w:cs="Arial" w:eastAsia="Arial" w:hAnsi="Arial"/>
          <w:sz w:val="18"/>
          <w:szCs w:val="18"/>
          <w:color w:val="auto"/>
        </w:rPr>
      </w:pPr>
    </w:p>
    <w:p>
      <w:pPr>
        <w:jc w:val="both"/>
        <w:ind w:right="180" w:firstLine="464"/>
        <w:spacing w:after="0" w:line="306"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Wells Fargo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06"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or will issue securities that are traded on the NYSE.</w:t>
      </w:r>
    </w:p>
    <w:p>
      <w:pPr>
        <w:spacing w:after="0" w:line="131" w:lineRule="exact"/>
        <w:rPr>
          <w:rFonts w:ascii="Arial" w:cs="Arial" w:eastAsia="Arial" w:hAnsi="Arial"/>
          <w:sz w:val="18"/>
          <w:szCs w:val="18"/>
          <w:color w:val="auto"/>
        </w:rPr>
      </w:pPr>
    </w:p>
    <w:p>
      <w:pPr>
        <w:jc w:val="both"/>
        <w:ind w:right="240" w:firstLine="464"/>
        <w:spacing w:after="0" w:line="306" w:lineRule="auto"/>
        <w:tabs>
          <w:tab w:leader="none" w:pos="66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Reporting Requirements. </w:t>
      </w:r>
      <w:r>
        <w:rPr>
          <w:rFonts w:ascii="Arial" w:cs="Arial" w:eastAsia="Arial" w:hAnsi="Arial"/>
          <w:sz w:val="16"/>
          <w:szCs w:val="16"/>
          <w:color w:val="auto"/>
        </w:rPr>
        <w:t>The Company, during any period when the Prospectus is required to be delivered under the Securities Act and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06" w:lineRule="exact"/>
        <w:rPr>
          <w:rFonts w:ascii="Arial" w:cs="Arial" w:eastAsia="Arial" w:hAnsi="Arial"/>
          <w:sz w:val="16"/>
          <w:szCs w:val="16"/>
          <w:color w:val="auto"/>
        </w:rPr>
      </w:pPr>
    </w:p>
    <w:p>
      <w:pPr>
        <w:ind w:firstLine="464"/>
        <w:spacing w:after="0" w:line="285"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5" w:name="page26"/>
    <w:bookmarkEnd w:id="25"/>
    <w:p>
      <w:pPr>
        <w:ind w:left="-8" w:right="100" w:firstLine="464"/>
        <w:spacing w:after="0" w:line="259" w:lineRule="auto"/>
        <w:tabs>
          <w:tab w:leader="none" w:pos="65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Circumstances</w:t>
      </w:r>
      <w:r>
        <w:rPr>
          <w:rFonts w:ascii="Arial" w:cs="Arial" w:eastAsia="Arial" w:hAnsi="Arial"/>
          <w:sz w:val="18"/>
          <w:szCs w:val="18"/>
          <w:color w:val="auto"/>
        </w:rPr>
        <w:t>. The Company will, prior to tendering a Placement Notice or selling Placement Securities, advise Wells Fargo promptly after</w:t>
      </w:r>
      <w:r>
        <w:rPr>
          <w:rFonts w:ascii="Arial" w:cs="Arial" w:eastAsia="Arial" w:hAnsi="Arial"/>
          <w:sz w:val="18"/>
          <w:szCs w:val="18"/>
          <w:i w:val="1"/>
          <w:iCs w:val="1"/>
          <w:color w:val="auto"/>
        </w:rPr>
        <w:t xml:space="preserve"> </w:t>
      </w:r>
      <w:r>
        <w:rPr>
          <w:rFonts w:ascii="Arial" w:cs="Arial" w:eastAsia="Arial" w:hAnsi="Arial"/>
          <w:sz w:val="18"/>
          <w:szCs w:val="18"/>
          <w:color w:val="auto"/>
        </w:rPr>
        <w:t>it shall have received notice or obtained knowledge thereof, of any information or fact that would alter or affect in any material respect any opinion, certificate, letter or other document provided to Wells Fargo pursuant to this Agreement.</w:t>
      </w:r>
    </w:p>
    <w:p>
      <w:pPr>
        <w:spacing w:after="0" w:line="140" w:lineRule="exact"/>
        <w:rPr>
          <w:rFonts w:ascii="Arial" w:cs="Arial" w:eastAsia="Arial" w:hAnsi="Arial"/>
          <w:sz w:val="18"/>
          <w:szCs w:val="18"/>
          <w:color w:val="auto"/>
        </w:rPr>
      </w:pPr>
    </w:p>
    <w:p>
      <w:pPr>
        <w:ind w:left="-8" w:right="140" w:firstLine="464"/>
        <w:spacing w:after="0" w:line="306" w:lineRule="auto"/>
        <w:tabs>
          <w:tab w:leader="none" w:pos="7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Due Diligence Cooperation</w:t>
      </w:r>
      <w:r>
        <w:rPr>
          <w:rFonts w:ascii="Arial" w:cs="Arial" w:eastAsia="Arial" w:hAnsi="Arial"/>
          <w:sz w:val="16"/>
          <w:szCs w:val="16"/>
          <w:color w:val="auto"/>
        </w:rPr>
        <w:t>. The Company will cooperate with any reasonable due diligence review conducted by Wells Fargo or its agents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transactions contemplated hereby, including, without limitation, providing information and making available documents and senior officers, during regular business hours and at the Company’s principal offices, as Wells Fargo may reasonably request.</w:t>
      </w:r>
    </w:p>
    <w:p>
      <w:pPr>
        <w:spacing w:after="0" w:line="106" w:lineRule="exact"/>
        <w:rPr>
          <w:rFonts w:ascii="Arial" w:cs="Arial" w:eastAsia="Arial" w:hAnsi="Arial"/>
          <w:sz w:val="16"/>
          <w:szCs w:val="16"/>
          <w:color w:val="auto"/>
        </w:rPr>
      </w:pPr>
    </w:p>
    <w:p>
      <w:pPr>
        <w:ind w:left="-8" w:right="100" w:firstLine="464"/>
        <w:spacing w:after="0" w:line="259"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Disclosure of Sales. </w:t>
      </w:r>
      <w:r>
        <w:rPr>
          <w:rFonts w:ascii="Arial" w:cs="Arial" w:eastAsia="Arial" w:hAnsi="Arial"/>
          <w:sz w:val="18"/>
          <w:szCs w:val="18"/>
          <w:color w:val="auto"/>
        </w:rPr>
        <w:t>The Company will disclose in its quarterly reports on Form 10-Q, in its annual report on Form 10-K and/or in a Current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8-K, the number of Placement Securities sold through Wells Fargo, the Net Proceeds to the Company and the compensation payable by the Company to Wells Fargo with respect to such Placement Securities.</w:t>
      </w:r>
    </w:p>
    <w:p>
      <w:pPr>
        <w:spacing w:after="0" w:line="140" w:lineRule="exact"/>
        <w:rPr>
          <w:rFonts w:ascii="Arial" w:cs="Arial" w:eastAsia="Arial" w:hAnsi="Arial"/>
          <w:sz w:val="18"/>
          <w:szCs w:val="18"/>
          <w:color w:val="auto"/>
        </w:rPr>
      </w:pPr>
    </w:p>
    <w:p>
      <w:pPr>
        <w:ind w:left="-8" w:right="40" w:firstLine="464"/>
        <w:spacing w:after="0" w:line="268"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delivered to Wells Fargo as principal on a Settlement Date and:</w:t>
      </w:r>
    </w:p>
    <w:p>
      <w:pPr>
        <w:spacing w:after="0" w:line="50" w:lineRule="exact"/>
        <w:rPr>
          <w:rFonts w:ascii="Arial" w:cs="Arial" w:eastAsia="Arial" w:hAnsi="Arial"/>
          <w:sz w:val="18"/>
          <w:szCs w:val="18"/>
          <w:color w:val="auto"/>
        </w:rPr>
      </w:pPr>
    </w:p>
    <w:p>
      <w:pPr>
        <w:ind w:left="1152" w:hanging="257"/>
        <w:spacing w:after="0"/>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90" w:lineRule="exact"/>
        <w:rPr>
          <w:rFonts w:ascii="Arial" w:cs="Arial" w:eastAsia="Arial" w:hAnsi="Arial"/>
          <w:sz w:val="18"/>
          <w:szCs w:val="18"/>
          <w:color w:val="auto"/>
        </w:rPr>
      </w:pPr>
    </w:p>
    <w:p>
      <w:pPr>
        <w:ind w:left="1912" w:right="40" w:hanging="440"/>
        <w:spacing w:after="0" w:line="306" w:lineRule="auto"/>
        <w:tabs>
          <w:tab w:leader="none" w:pos="1912" w:val="left"/>
        </w:tabs>
        <w:numPr>
          <w:ilvl w:val="2"/>
          <w:numId w:val="21"/>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25" w:lineRule="exact"/>
        <w:rPr>
          <w:rFonts w:ascii="Arial" w:cs="Arial" w:eastAsia="Arial" w:hAnsi="Arial"/>
          <w:sz w:val="16"/>
          <w:szCs w:val="16"/>
          <w:color w:val="auto"/>
        </w:rPr>
      </w:pPr>
    </w:p>
    <w:p>
      <w:pPr>
        <w:ind w:left="1912" w:hanging="440"/>
        <w:spacing w:after="0"/>
        <w:tabs>
          <w:tab w:leader="none" w:pos="19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90" w:lineRule="exact"/>
        <w:rPr>
          <w:rFonts w:ascii="Arial" w:cs="Arial" w:eastAsia="Arial" w:hAnsi="Arial"/>
          <w:sz w:val="18"/>
          <w:szCs w:val="18"/>
          <w:color w:val="auto"/>
        </w:rPr>
      </w:pPr>
    </w:p>
    <w:p>
      <w:pPr>
        <w:ind w:left="1912" w:hanging="440"/>
        <w:spacing w:after="0" w:line="268" w:lineRule="auto"/>
        <w:tabs>
          <w:tab w:leader="none" w:pos="19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50" w:lineRule="exact"/>
        <w:rPr>
          <w:rFonts w:ascii="Arial" w:cs="Arial" w:eastAsia="Arial" w:hAnsi="Arial"/>
          <w:sz w:val="18"/>
          <w:szCs w:val="18"/>
          <w:color w:val="auto"/>
        </w:rPr>
      </w:pPr>
    </w:p>
    <w:p>
      <w:pPr>
        <w:ind w:left="452" w:right="440" w:firstLine="443"/>
        <w:spacing w:after="0" w:line="268" w:lineRule="auto"/>
        <w:tabs>
          <w:tab w:leader="none" w:pos="11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the Company shall furnish Wells Fargo with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promptly as possible and in no event later than three</w:t>
      </w:r>
    </w:p>
    <w:p>
      <w:pPr>
        <w:spacing w:after="0" w:line="38" w:lineRule="exact"/>
        <w:rPr>
          <w:sz w:val="20"/>
          <w:szCs w:val="20"/>
          <w:color w:val="auto"/>
        </w:rPr>
      </w:pPr>
    </w:p>
    <w:p>
      <w:pPr>
        <w:ind w:left="-8" w:right="540" w:firstLine="8"/>
        <w:spacing w:after="0" w:line="261" w:lineRule="auto"/>
        <w:tabs>
          <w:tab w:leader="none" w:pos="2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Days of any Representation Date. The requirement to provide a certificate under this Section 7(o) shall be waived for any Representation Date occurring at a time at which no Placement Notice (as</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26" w:name="page27"/>
    <w:bookmarkEnd w:id="26"/>
    <w:p>
      <w:pPr>
        <w:ind w:right="18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 Placement Notice or Wells Fargo sells any Placement Securities, the Company shall provide Wells Fargo with a certificate,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dated the date of the Placement Notice.</w:t>
      </w:r>
    </w:p>
    <w:p>
      <w:pPr>
        <w:spacing w:after="0" w:line="105" w:lineRule="exact"/>
        <w:rPr>
          <w:sz w:val="20"/>
          <w:szCs w:val="20"/>
          <w:color w:val="auto"/>
        </w:rPr>
      </w:pPr>
    </w:p>
    <w:p>
      <w:pPr>
        <w:ind w:firstLine="464"/>
        <w:spacing w:after="0" w:line="287"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Legal Opinions</w:t>
      </w:r>
      <w:r>
        <w:rPr>
          <w:rFonts w:ascii="Arial" w:cs="Arial" w:eastAsia="Arial" w:hAnsi="Arial"/>
          <w:sz w:val="16"/>
          <w:szCs w:val="16"/>
          <w:color w:val="auto"/>
        </w:rPr>
        <w:t>. On or prior to the date that the first Securities are sold pursuant to the terms of this Agreement and each time Securities are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to be furnished to Wells Fargo written opinions of Pillsbury Winthrop Shaw Pittman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such opinions for subsequent Representation Dates, any such counsel may furnish Wells Fargo with a letter to the effect that Wells Fargo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22" w:lineRule="exact"/>
        <w:rPr>
          <w:rFonts w:ascii="Arial" w:cs="Arial" w:eastAsia="Arial" w:hAnsi="Arial"/>
          <w:sz w:val="16"/>
          <w:szCs w:val="16"/>
          <w:color w:val="auto"/>
        </w:rPr>
      </w:pPr>
    </w:p>
    <w:p>
      <w:pPr>
        <w:ind w:right="40" w:firstLine="464"/>
        <w:spacing w:after="0" w:line="288"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Comfort Letter</w:t>
      </w:r>
      <w:r>
        <w:rPr>
          <w:rFonts w:ascii="Arial" w:cs="Arial" w:eastAsia="Arial" w:hAnsi="Arial"/>
          <w:sz w:val="16"/>
          <w:szCs w:val="16"/>
          <w:color w:val="auto"/>
        </w:rPr>
        <w:t>. On or prior to the date that the first Securities are sold pursuant to the terms of this Agreement and each time Securities are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its independent accountants to furnish Wells Fargo letter(s) (the “</w:t>
      </w:r>
      <w:r>
        <w:rPr>
          <w:rFonts w:ascii="Arial" w:cs="Arial" w:eastAsia="Arial" w:hAnsi="Arial"/>
          <w:sz w:val="16"/>
          <w:szCs w:val="16"/>
          <w:u w:val="single" w:color="auto"/>
          <w:color w:val="auto"/>
        </w:rPr>
        <w:t>Comfort Letter</w:t>
      </w:r>
      <w:r>
        <w:rPr>
          <w:rFonts w:ascii="Arial" w:cs="Arial" w:eastAsia="Arial" w:hAnsi="Arial"/>
          <w:sz w:val="16"/>
          <w:szCs w:val="16"/>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6"/>
          <w:szCs w:val="16"/>
          <w:u w:val="single" w:color="auto"/>
          <w:color w:val="auto"/>
        </w:rPr>
        <w:t>Initial Comfort Letter</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7" w:name="page28"/>
    <w:bookmarkEnd w:id="27"/>
    <w:p>
      <w:pPr>
        <w:ind w:left="-8" w:right="60" w:firstLine="464"/>
        <w:spacing w:after="0" w:line="283" w:lineRule="auto"/>
        <w:tabs>
          <w:tab w:leader="none" w:pos="66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Activities</w:t>
      </w:r>
      <w:r>
        <w:rPr>
          <w:rFonts w:ascii="Arial" w:cs="Arial" w:eastAsia="Arial" w:hAnsi="Arial"/>
          <w:sz w:val="16"/>
          <w:szCs w:val="16"/>
          <w:color w:val="auto"/>
        </w:rPr>
        <w:t>. The Company will not, directly or indirectly, (i) take any action designed to cause or result in, or that constitutes or might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bid for and purchase its Common Shares in accordance with Rule 10b-18 under the Exchange Act,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such bids or purchases shall be made by the Company during the three</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Days before or after any sale of any Securities pursuant to this Agreement.</w:t>
      </w:r>
    </w:p>
    <w:p>
      <w:pPr>
        <w:spacing w:after="0" w:line="164" w:lineRule="exact"/>
        <w:rPr>
          <w:rFonts w:ascii="Arial" w:cs="Arial" w:eastAsia="Arial" w:hAnsi="Arial"/>
          <w:sz w:val="18"/>
          <w:szCs w:val="18"/>
          <w:color w:val="auto"/>
        </w:rPr>
      </w:pPr>
    </w:p>
    <w:p>
      <w:pPr>
        <w:ind w:left="-8" w:firstLine="464"/>
        <w:spacing w:after="0" w:line="256"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43" w:lineRule="exact"/>
        <w:rPr>
          <w:rFonts w:ascii="Arial" w:cs="Arial" w:eastAsia="Arial" w:hAnsi="Arial"/>
          <w:sz w:val="18"/>
          <w:szCs w:val="18"/>
          <w:color w:val="auto"/>
        </w:rPr>
      </w:pPr>
    </w:p>
    <w:p>
      <w:pPr>
        <w:ind w:left="-8" w:firstLine="464"/>
        <w:spacing w:after="0" w:line="291" w:lineRule="auto"/>
        <w:tabs>
          <w:tab w:leader="none" w:pos="65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Company and each of its subsidiaries shall maintain, or cause to be maintained, all material environmental permits, licenses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20" w:lineRule="exact"/>
        <w:rPr>
          <w:rFonts w:ascii="Arial" w:cs="Arial" w:eastAsia="Arial" w:hAnsi="Arial"/>
          <w:sz w:val="16"/>
          <w:szCs w:val="16"/>
          <w:color w:val="auto"/>
        </w:rPr>
      </w:pPr>
    </w:p>
    <w:p>
      <w:pPr>
        <w:ind w:left="-8" w:right="260" w:firstLine="464"/>
        <w:spacing w:after="0" w:line="335" w:lineRule="auto"/>
        <w:tabs>
          <w:tab w:leader="none" w:pos="697" w:val="left"/>
        </w:tabs>
        <w:numPr>
          <w:ilvl w:val="1"/>
          <w:numId w:val="25"/>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The Company will conduct its affairs in such a manner so as to reasonably ensure that neither it nor any of its subsidiaries</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88" w:lineRule="exact"/>
        <w:rPr>
          <w:rFonts w:ascii="Arial" w:cs="Arial" w:eastAsia="Arial" w:hAnsi="Arial"/>
          <w:sz w:val="15"/>
          <w:szCs w:val="15"/>
          <w:color w:val="auto"/>
        </w:rPr>
      </w:pPr>
    </w:p>
    <w:p>
      <w:pPr>
        <w:ind w:left="-8" w:right="120" w:firstLine="464"/>
        <w:spacing w:after="0" w:line="259" w:lineRule="auto"/>
        <w:tabs>
          <w:tab w:leader="none" w:pos="697"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as from time to time in force and effect, so far as necessary to permit the continuance of sales of, or dealings in, the Placement Securities as contemplated by the provisions hereof and the Prospectus.</w:t>
      </w:r>
    </w:p>
    <w:p>
      <w:pPr>
        <w:spacing w:after="0" w:line="140" w:lineRule="exact"/>
        <w:rPr>
          <w:rFonts w:ascii="Arial" w:cs="Arial" w:eastAsia="Arial" w:hAnsi="Arial"/>
          <w:sz w:val="18"/>
          <w:szCs w:val="18"/>
          <w:color w:val="auto"/>
        </w:rPr>
      </w:pPr>
    </w:p>
    <w:p>
      <w:pPr>
        <w:ind w:left="-8" w:firstLine="464"/>
        <w:spacing w:after="0" w:line="256" w:lineRule="auto"/>
        <w:tabs>
          <w:tab w:leader="none" w:pos="736"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80" w:right="279" w:bottom="1440" w:gutter="0" w:footer="0" w:header="0"/>
        </w:sectPr>
      </w:pPr>
    </w:p>
    <w:bookmarkStart w:id="28" w:name="page29"/>
    <w:bookmarkEnd w:id="28"/>
    <w:p>
      <w:pPr>
        <w:ind w:left="-8" w:right="300" w:firstLine="464"/>
        <w:spacing w:after="0" w:line="268" w:lineRule="auto"/>
        <w:tabs>
          <w:tab w:leader="none" w:pos="69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31" w:lineRule="exact"/>
        <w:rPr>
          <w:rFonts w:ascii="Arial" w:cs="Arial" w:eastAsia="Arial" w:hAnsi="Arial"/>
          <w:sz w:val="18"/>
          <w:szCs w:val="18"/>
          <w:color w:val="auto"/>
        </w:rPr>
      </w:pPr>
    </w:p>
    <w:p>
      <w:pPr>
        <w:ind w:left="-8" w:right="80" w:firstLine="464"/>
        <w:spacing w:after="0" w:line="306" w:lineRule="auto"/>
        <w:tabs>
          <w:tab w:leader="none" w:pos="69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Regulation M. </w:t>
      </w:r>
      <w:r>
        <w:rPr>
          <w:rFonts w:ascii="Arial" w:cs="Arial" w:eastAsia="Arial" w:hAnsi="Arial"/>
          <w:sz w:val="16"/>
          <w:szCs w:val="16"/>
          <w:color w:val="auto"/>
        </w:rPr>
        <w:t>If the Company has reason to believe that the exemptive provisions set forth in Rule 101(c)(1) of Regulation M under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106" w:lineRule="exact"/>
        <w:rPr>
          <w:rFonts w:ascii="Arial" w:cs="Arial" w:eastAsia="Arial" w:hAnsi="Arial"/>
          <w:sz w:val="16"/>
          <w:szCs w:val="16"/>
          <w:color w:val="auto"/>
        </w:rPr>
      </w:pPr>
    </w:p>
    <w:p>
      <w:pPr>
        <w:ind w:left="-8" w:right="300" w:firstLine="464"/>
        <w:spacing w:after="0" w:line="268"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32" w:lineRule="exact"/>
        <w:rPr>
          <w:sz w:val="20"/>
          <w:szCs w:val="20"/>
          <w:color w:val="auto"/>
        </w:rPr>
      </w:pPr>
    </w:p>
    <w:p>
      <w:pPr>
        <w:ind w:left="-8" w:right="120" w:firstLine="464"/>
        <w:spacing w:after="0" w:line="310" w:lineRule="auto"/>
        <w:tabs>
          <w:tab w:leader="none" w:pos="765"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Renewal of Registration Statement. </w:t>
      </w:r>
      <w:r>
        <w:rPr>
          <w:rFonts w:ascii="Arial" w:cs="Arial" w:eastAsia="Arial" w:hAnsi="Arial"/>
          <w:sz w:val="15"/>
          <w:szCs w:val="15"/>
          <w:color w:val="auto"/>
        </w:rPr>
        <w:t>The date of this Agreement is not more than three years subsequent to the initial effective date of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(the “</w:t>
      </w:r>
      <w:r>
        <w:rPr>
          <w:rFonts w:ascii="Arial" w:cs="Arial" w:eastAsia="Arial" w:hAnsi="Arial"/>
          <w:sz w:val="15"/>
          <w:szCs w:val="15"/>
          <w:u w:val="single" w:color="auto"/>
          <w:color w:val="auto"/>
        </w:rPr>
        <w:t>Renewal Date</w:t>
      </w:r>
      <w:r>
        <w:rPr>
          <w:rFonts w:ascii="Arial" w:cs="Arial" w:eastAsia="Arial" w:hAnsi="Arial"/>
          <w:sz w:val="15"/>
          <w:szCs w:val="15"/>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08" w:lineRule="exact"/>
        <w:rPr>
          <w:rFonts w:ascii="Arial" w:cs="Arial" w:eastAsia="Arial" w:hAnsi="Arial"/>
          <w:sz w:val="15"/>
          <w:szCs w:val="15"/>
          <w:color w:val="auto"/>
        </w:rPr>
      </w:pPr>
    </w:p>
    <w:p>
      <w:pPr>
        <w:jc w:val="both"/>
        <w:ind w:left="-8" w:firstLine="464"/>
        <w:spacing w:after="0" w:line="256" w:lineRule="auto"/>
        <w:tabs>
          <w:tab w:leader="none" w:pos="78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71" w:lineRule="exact"/>
        <w:rPr>
          <w:sz w:val="20"/>
          <w:szCs w:val="20"/>
          <w:color w:val="auto"/>
        </w:rPr>
      </w:pPr>
    </w:p>
    <w:p>
      <w:pPr>
        <w:ind w:left="-8" w:right="120" w:firstLine="464"/>
        <w:spacing w:after="0" w:line="286"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w:t>
      </w:r>
    </w:p>
    <w:p>
      <w:pPr>
        <w:jc w:val="both"/>
        <w:ind w:left="-8" w:right="340" w:firstLine="8"/>
        <w:spacing w:after="0" w:line="254" w:lineRule="auto"/>
        <w:tabs>
          <w:tab w:leader="none" w:pos="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80"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 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Wells Fargo for all of its reasonable out-of-pocket expenses, including the reasonable fees and disbursements of counsel for Wells Fargo incurred by Wells Fargo in connection with the transactions contemplated by this Agreement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Wells Fargo within five (5) business days of the Determination Date.</w:t>
      </w:r>
    </w:p>
    <w:p>
      <w:pPr>
        <w:spacing w:after="0" w:line="121" w:lineRule="exact"/>
        <w:rPr>
          <w:sz w:val="20"/>
          <w:szCs w:val="20"/>
          <w:color w:val="auto"/>
        </w:rPr>
      </w:pPr>
    </w:p>
    <w:p>
      <w:pPr>
        <w:jc w:val="both"/>
        <w:ind w:right="340" w:firstLine="464"/>
        <w:spacing w:after="0" w:line="256"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Wells Fargo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43" w:lineRule="exact"/>
        <w:rPr>
          <w:sz w:val="20"/>
          <w:szCs w:val="20"/>
          <w:color w:val="auto"/>
        </w:rPr>
      </w:pPr>
    </w:p>
    <w:p>
      <w:pPr>
        <w:ind w:right="60" w:firstLine="464"/>
        <w:spacing w:after="0" w:line="253"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Registration Statement; Payment of Filing Fee. </w:t>
      </w:r>
      <w:r>
        <w:rPr>
          <w:rFonts w:ascii="Arial" w:cs="Arial" w:eastAsia="Arial" w:hAnsi="Arial"/>
          <w:sz w:val="18"/>
          <w:szCs w:val="18"/>
          <w:color w:val="auto"/>
        </w:rPr>
        <w:t>The Registration Statement shall have become effective and shall be available for (i) all</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0" w:name="page31"/>
    <w:bookmarkEnd w:id="30"/>
    <w:p>
      <w:pPr>
        <w:ind w:right="20" w:firstLine="464"/>
        <w:spacing w:after="0" w:line="28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or any of its subsidiaries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20" w:lineRule="exact"/>
        <w:rPr>
          <w:rFonts w:ascii="Arial" w:cs="Arial" w:eastAsia="Arial" w:hAnsi="Arial"/>
          <w:sz w:val="16"/>
          <w:szCs w:val="16"/>
          <w:color w:val="auto"/>
        </w:rPr>
      </w:pPr>
    </w:p>
    <w:p>
      <w:pPr>
        <w:ind w:firstLine="464"/>
        <w:spacing w:after="0" w:line="255"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Wells Fargo shall not have advised the Company that the Registration Statement or Prospectus, or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Free Writing Prospectus, or any amendment or supplement thereto, contains an untrue statement of fact that in Wells 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42"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06" w:lineRule="exact"/>
        <w:rPr>
          <w:rFonts w:ascii="Arial" w:cs="Arial" w:eastAsia="Arial" w:hAnsi="Arial"/>
          <w:sz w:val="16"/>
          <w:szCs w:val="16"/>
          <w:color w:val="auto"/>
        </w:rPr>
      </w:pPr>
    </w:p>
    <w:p>
      <w:pPr>
        <w:ind w:right="400"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Wells Fargo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31" w:lineRule="exact"/>
        <w:rPr>
          <w:rFonts w:ascii="Arial" w:cs="Arial" w:eastAsia="Arial" w:hAnsi="Arial"/>
          <w:sz w:val="18"/>
          <w:szCs w:val="18"/>
          <w:color w:val="auto"/>
        </w:rPr>
      </w:pPr>
    </w:p>
    <w:p>
      <w:pPr>
        <w:ind w:right="380" w:firstLine="464"/>
        <w:spacing w:after="0" w:line="268" w:lineRule="auto"/>
        <w:tabs>
          <w:tab w:leader="none" w:pos="67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Wells Fargo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1" w:name="page32"/>
    <w:bookmarkEnd w:id="31"/>
    <w:p>
      <w:pPr>
        <w:ind w:left="-20" w:right="40" w:firstLine="464"/>
        <w:spacing w:after="0" w:line="268"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Accountant’s Comfort Letter. </w:t>
      </w:r>
      <w:r>
        <w:rPr>
          <w:rFonts w:ascii="Arial" w:cs="Arial" w:eastAsia="Arial" w:hAnsi="Arial"/>
          <w:sz w:val="18"/>
          <w:szCs w:val="18"/>
          <w:color w:val="auto"/>
        </w:rPr>
        <w:t>Wells Fargo shall have received the Comfort Letter required to be delivered pursuant Section 7(q)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delivery of such Comfort Letter is required pursuant to Section 7(q).</w:t>
      </w:r>
    </w:p>
    <w:p>
      <w:pPr>
        <w:spacing w:after="0" w:line="131" w:lineRule="exact"/>
        <w:rPr>
          <w:rFonts w:ascii="Arial" w:cs="Arial" w:eastAsia="Arial" w:hAnsi="Arial"/>
          <w:sz w:val="18"/>
          <w:szCs w:val="18"/>
          <w:color w:val="auto"/>
        </w:rPr>
      </w:pPr>
    </w:p>
    <w:p>
      <w:pPr>
        <w:ind w:left="-20" w:right="20" w:firstLine="464"/>
        <w:spacing w:after="0" w:line="332"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 (ii)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have filed an application for listing of the Placement Securities on the NYSE at, or prior to, the issuance of any Placement Notice.</w:t>
      </w:r>
    </w:p>
    <w:p>
      <w:pPr>
        <w:spacing w:after="0" w:line="85" w:lineRule="exact"/>
        <w:rPr>
          <w:rFonts w:ascii="Arial" w:cs="Arial" w:eastAsia="Arial" w:hAnsi="Arial"/>
          <w:sz w:val="16"/>
          <w:szCs w:val="16"/>
          <w:color w:val="auto"/>
        </w:rPr>
      </w:pPr>
    </w:p>
    <w:p>
      <w:pPr>
        <w:ind w:left="660" w:hanging="21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171" w:lineRule="exact"/>
        <w:rPr>
          <w:rFonts w:ascii="Arial" w:cs="Arial" w:eastAsia="Arial" w:hAnsi="Arial"/>
          <w:sz w:val="18"/>
          <w:szCs w:val="18"/>
          <w:color w:val="auto"/>
        </w:rPr>
      </w:pPr>
    </w:p>
    <w:p>
      <w:pPr>
        <w:ind w:left="-20" w:right="60" w:firstLine="464"/>
        <w:spacing w:after="0" w:line="256"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Wells Fargo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43" w:lineRule="exact"/>
        <w:rPr>
          <w:rFonts w:ascii="Arial" w:cs="Arial" w:eastAsia="Arial" w:hAnsi="Arial"/>
          <w:sz w:val="18"/>
          <w:szCs w:val="18"/>
          <w:color w:val="auto"/>
        </w:rPr>
      </w:pPr>
    </w:p>
    <w:p>
      <w:pPr>
        <w:ind w:left="-20" w:right="160" w:firstLine="464"/>
        <w:spacing w:after="0" w:line="332"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Placement Notice hereunder shall have been made within the applicable time period prescribed for such filing by Rule 424.</w:t>
      </w:r>
    </w:p>
    <w:p>
      <w:pPr>
        <w:spacing w:after="0" w:line="85" w:lineRule="exact"/>
        <w:rPr>
          <w:rFonts w:ascii="Arial" w:cs="Arial" w:eastAsia="Arial" w:hAnsi="Arial"/>
          <w:sz w:val="16"/>
          <w:szCs w:val="16"/>
          <w:color w:val="auto"/>
        </w:rPr>
      </w:pPr>
    </w:p>
    <w:p>
      <w:pPr>
        <w:jc w:val="both"/>
        <w:ind w:left="-20" w:right="160" w:firstLine="464"/>
        <w:spacing w:after="0" w:line="256"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88" w:lineRule="auto"/>
        <w:tabs>
          <w:tab w:leader="none" w:pos="67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w:t>
      </w:r>
      <w:r>
        <w:rPr>
          <w:rFonts w:ascii="Arial" w:cs="Arial" w:eastAsia="Arial" w:hAnsi="Arial"/>
          <w:sz w:val="16"/>
          <w:szCs w:val="16"/>
          <w:color w:val="auto"/>
        </w:rPr>
        <w:t>The Company will indemnify and hold harmless Wells Fargo, its affiliates, its directors, its officers and each person, if</w:t>
      </w:r>
      <w:r>
        <w:rPr>
          <w:rFonts w:ascii="Arial" w:cs="Arial" w:eastAsia="Arial" w:hAnsi="Arial"/>
          <w:sz w:val="16"/>
          <w:szCs w:val="16"/>
          <w:i w:val="1"/>
          <w:iCs w:val="1"/>
          <w:color w:val="auto"/>
        </w:rPr>
        <w:t xml:space="preserve"> </w:t>
      </w:r>
      <w:r>
        <w:rPr>
          <w:rFonts w:ascii="Arial" w:cs="Arial" w:eastAsia="Arial" w:hAnsi="Arial"/>
          <w:sz w:val="16"/>
          <w:szCs w:val="16"/>
          <w:color w:val="auto"/>
        </w:rPr>
        <w:t>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80" w:right="259" w:bottom="1440" w:gutter="0" w:footer="0" w:header="0"/>
        </w:sectPr>
      </w:pPr>
    </w:p>
    <w:bookmarkStart w:id="32" w:name="page33"/>
    <w:bookmarkEnd w:id="3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case to the extent that any such loss, claim, damage or liability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13" w:lineRule="exact"/>
        <w:rPr>
          <w:sz w:val="20"/>
          <w:szCs w:val="20"/>
          <w:color w:val="auto"/>
        </w:rPr>
      </w:pPr>
    </w:p>
    <w:p>
      <w:pPr>
        <w:ind w:firstLine="464"/>
        <w:spacing w:after="0" w:line="286"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Indemnification by Wells Fargo</w:t>
      </w:r>
      <w:r>
        <w:rPr>
          <w:rFonts w:ascii="Arial" w:cs="Arial" w:eastAsia="Arial" w:hAnsi="Arial"/>
          <w:sz w:val="16"/>
          <w:szCs w:val="16"/>
          <w:color w:val="auto"/>
        </w:rPr>
        <w:t>. Wells Fargo will indemnify and hold harmless the Company, its trustees, its officers who signed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4" w:lineRule="exact"/>
        <w:rPr>
          <w:rFonts w:ascii="Arial" w:cs="Arial" w:eastAsia="Arial" w:hAnsi="Arial"/>
          <w:sz w:val="16"/>
          <w:szCs w:val="16"/>
          <w:color w:val="auto"/>
        </w:rPr>
      </w:pPr>
    </w:p>
    <w:p>
      <w:pPr>
        <w:ind w:firstLine="464"/>
        <w:spacing w:after="0" w:line="286" w:lineRule="auto"/>
        <w:tabs>
          <w:tab w:leader="none" w:pos="695"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Actions against Parties; Notification. </w:t>
      </w:r>
      <w:r>
        <w:rPr>
          <w:rFonts w:ascii="Arial" w:cs="Arial" w:eastAsia="Arial" w:hAnsi="Arial"/>
          <w:sz w:val="16"/>
          <w:szCs w:val="16"/>
          <w:color w:val="auto"/>
        </w:rPr>
        <w:t>Promptly after receipt by an indemnified party under subsection (a) or (b) above of notice of the commencement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3" w:name="page34"/>
    <w:bookmarkEnd w:id="3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4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4" w:name="page35"/>
    <w:bookmarkEnd w:id="34"/>
    <w:p>
      <w:pPr>
        <w:jc w:val="both"/>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Wells Fargo or any controlling person, or by or on behalf of the Company or any controlling person, and shall survive delivery of the Securities to Wells Fargo.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Wells Fargo may terminate this Agreement, by notice to the Company, as hereinafter specified at any time (i) if there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24"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31" w:lineRule="exact"/>
        <w:rPr>
          <w:rFonts w:ascii="Arial" w:cs="Arial" w:eastAsia="Arial" w:hAnsi="Arial"/>
          <w:sz w:val="18"/>
          <w:szCs w:val="18"/>
          <w:color w:val="auto"/>
        </w:rPr>
      </w:pPr>
    </w:p>
    <w:p>
      <w:pPr>
        <w:ind w:right="760" w:firstLine="464"/>
        <w:spacing w:after="0" w:line="268"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Wells Fargo. </w:t>
      </w:r>
      <w:r>
        <w:rPr>
          <w:rFonts w:ascii="Arial" w:cs="Arial" w:eastAsia="Arial" w:hAnsi="Arial"/>
          <w:sz w:val="18"/>
          <w:szCs w:val="18"/>
          <w:color w:val="auto"/>
        </w:rPr>
        <w:t>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Placement Securities through Wells Fargo on the terms and subject to the conditions set forth herein with an aggregate offering price equal to the Maximum Amount set forth in Section 1 of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5" w:name="page36"/>
    <w:bookmarkEnd w:id="35"/>
    <w:p>
      <w:pPr>
        <w:ind w:right="18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Continued Force and Effect. </w:t>
      </w:r>
      <w:r>
        <w:rPr>
          <w:rFonts w:ascii="Arial" w:cs="Arial" w:eastAsia="Arial" w:hAnsi="Arial"/>
          <w:sz w:val="18"/>
          <w:szCs w:val="18"/>
          <w:color w:val="auto"/>
        </w:rPr>
        <w:t>This Agreement shall remain in full force and effect unless terminated pursuant to Sections 13(a), (b), (c) or (d) above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by mutual agreement of the parties.</w:t>
      </w:r>
    </w:p>
    <w:p>
      <w:pPr>
        <w:spacing w:after="0" w:line="131" w:lineRule="exact"/>
        <w:rPr>
          <w:rFonts w:ascii="Arial" w:cs="Arial" w:eastAsia="Arial" w:hAnsi="Arial"/>
          <w:sz w:val="18"/>
          <w:szCs w:val="18"/>
          <w:color w:val="auto"/>
        </w:rPr>
      </w:pPr>
    </w:p>
    <w:p>
      <w:pPr>
        <w:ind w:firstLine="464"/>
        <w:spacing w:after="0" w:line="256" w:lineRule="auto"/>
        <w:tabs>
          <w:tab w:leader="none" w:pos="67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43"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in Section 8 hereof, and except that, in the case of any termination of this Agreement, Section 5, Section 10, Section 11, Section 12 and Section 21 hereof shall survive such termination and remain in full force and effect.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375 Park Avenue, New York, New York 10152, Attention: Equity Syndicate Department, fax no. 212-214-5918; notices to the Company shall be directed to it at 1626 East Jefferson Street, Rockville, Maryland 20852, Attention: General Counsel, fax no. (301) 998-3715.</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Wells Fargo, the Company and their respective successors. Nothing expressed or mentioned in this Agreement is intended or shall be construed to give any person, firm or corporation, other than Wells Fargo,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6" w:name="page37"/>
    <w:bookmarkEnd w:id="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in each case in the form furnished (electronically or otherwise) to Wells Fargo for use in connection with the offering of the Securities.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37" w:name="page38"/>
    <w:bookmarkEnd w:id="37"/>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shall include, without limitation, any supplements, “wrappers” or similar materials prepared in connection with any offering, sale or private placement of any Placement Securities by Wells Fargo outside of the United States.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Wells Fargo, and Wells Fargo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71" w:lineRule="exact"/>
        <w:rPr>
          <w:sz w:val="20"/>
          <w:szCs w:val="20"/>
          <w:color w:val="auto"/>
        </w:rPr>
      </w:pPr>
    </w:p>
    <w:p>
      <w:pPr>
        <w:ind w:right="20" w:firstLine="464"/>
        <w:spacing w:after="0" w:line="291"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Wells Fargo;</w:t>
      </w:r>
    </w:p>
    <w:p>
      <w:pPr>
        <w:spacing w:after="0" w:line="171"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31" w:lineRule="exact"/>
        <w:rPr>
          <w:rFonts w:ascii="Arial" w:cs="Arial" w:eastAsia="Arial" w:hAnsi="Arial"/>
          <w:sz w:val="18"/>
          <w:szCs w:val="18"/>
          <w:color w:val="auto"/>
        </w:rPr>
      </w:pPr>
    </w:p>
    <w:p>
      <w:pPr>
        <w:ind w:right="160" w:firstLine="464"/>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8" w:name="page39"/>
    <w:bookmarkEnd w:id="38"/>
    <w:p>
      <w:pPr>
        <w:ind w:left="-220" w:firstLine="464"/>
        <w:spacing w:after="0" w:line="306" w:lineRule="auto"/>
        <w:tabs>
          <w:tab w:leader="none" w:pos="456"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60" w:top="280" w:right="439" w:bottom="1440" w:gutter="0" w:footer="0" w:header="0"/>
        </w:sectPr>
      </w:pPr>
    </w:p>
    <w:bookmarkStart w:id="39" w:name="page40"/>
    <w:bookmarkEnd w:id="39"/>
    <w:p>
      <w:pPr>
        <w:jc w:val="both"/>
        <w:ind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President-Chief Operating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written: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Marc C. Ogborn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C. Ogborn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280" w:right="4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PLACEMENT NOTICE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11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Cc:</w:t>
            </w:r>
          </w:p>
        </w:tc>
        <w:tc>
          <w:tcPr>
            <w:tcW w:w="11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11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Securities, LLC (“</w:t>
      </w:r>
      <w:r>
        <w:rPr>
          <w:rFonts w:ascii="Arial" w:cs="Arial" w:eastAsia="Arial" w:hAnsi="Arial"/>
          <w:sz w:val="16"/>
          <w:szCs w:val="16"/>
          <w:u w:val="single" w:color="auto"/>
          <w:color w:val="auto"/>
        </w:rPr>
        <w:t>Wells Fargo</w:t>
      </w:r>
      <w:r>
        <w:rPr>
          <w:rFonts w:ascii="Arial" w:cs="Arial" w:eastAsia="Arial" w:hAnsi="Arial"/>
          <w:sz w:val="16"/>
          <w:szCs w:val="16"/>
          <w:color w:val="auto"/>
        </w:rPr>
        <w:t>”) dated May 8, 2012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 Wells Fargo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 price of $[*] per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 and agree that the Company will pay Wells Fargo, as compensation for such sales, [*]% of the gross sales price of Placement Securities sold pursuant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terms of this Placement Notice.</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420"/>
          </w:cols>
          <w:pgMar w:left="240" w:top="2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Wells Fargo Securities, LLC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ind w:right="1182"/>
              <w:spacing w:after="0"/>
              <w:rPr>
                <w:sz w:val="20"/>
                <w:szCs w:val="20"/>
                <w:color w:val="auto"/>
              </w:rPr>
            </w:pPr>
            <w:r>
              <w:rPr>
                <w:rFonts w:ascii="Arial" w:cs="Arial" w:eastAsia="Arial" w:hAnsi="Arial"/>
                <w:sz w:val="14"/>
                <w:szCs w:val="14"/>
                <w:color w:val="auto"/>
                <w:w w:val="85"/>
              </w:rPr>
              <w:t>Name</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Email</w:t>
            </w:r>
          </w:p>
        </w:tc>
      </w:tr>
      <w:tr>
        <w:trPr>
          <w:trHeight w:val="302"/>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97"/>
              </w:rPr>
              <w:t>Billy Wright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bwright@eastdilsecured.com</w:t>
            </w:r>
          </w:p>
        </w:tc>
      </w:tr>
      <w:tr>
        <w:trPr>
          <w:trHeight w:val="324"/>
        </w:trPr>
        <w:tc>
          <w:tcPr>
            <w:tcW w:w="2440" w:type="dxa"/>
            <w:vAlign w:val="bottom"/>
          </w:tcPr>
          <w:p>
            <w:pPr>
              <w:spacing w:after="0"/>
              <w:rPr>
                <w:sz w:val="24"/>
                <w:szCs w:val="24"/>
                <w:color w:val="auto"/>
              </w:rPr>
            </w:pPr>
          </w:p>
        </w:tc>
        <w:tc>
          <w:tcPr>
            <w:tcW w:w="2100" w:type="dxa"/>
            <w:vAlign w:val="bottom"/>
          </w:tcPr>
          <w:p>
            <w:pPr>
              <w:jc w:val="center"/>
              <w:ind w:right="1162"/>
              <w:spacing w:after="0"/>
              <w:rPr>
                <w:sz w:val="20"/>
                <w:szCs w:val="20"/>
                <w:color w:val="auto"/>
              </w:rPr>
            </w:pPr>
            <w:r>
              <w:rPr>
                <w:rFonts w:ascii="Arial" w:cs="Arial" w:eastAsia="Arial" w:hAnsi="Arial"/>
                <w:sz w:val="18"/>
                <w:szCs w:val="18"/>
                <w:color w:val="auto"/>
                <w:w w:val="91"/>
              </w:rPr>
              <w:t>Eric Tracy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etracy@eastdilsecured.com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87"/>
              </w:rPr>
              <w:t>Christopher Flouhouse</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christopher.flouhouse@WellsFargo.com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88"/>
              </w:rPr>
              <w:t>Jennifer Lynch</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jennifer.lynch@WellsFargo.com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95"/>
              </w:rPr>
              <w:t>William O’Connell</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william.oconnell@wellsfargo.com</w:t>
            </w:r>
          </w:p>
        </w:tc>
      </w:tr>
      <w:tr>
        <w:trPr>
          <w:trHeight w:val="324"/>
        </w:trPr>
        <w:tc>
          <w:tcPr>
            <w:tcW w:w="4540" w:type="dxa"/>
            <w:vAlign w:val="bottom"/>
            <w:gridSpan w:val="2"/>
          </w:tcPr>
          <w:p>
            <w:pPr>
              <w:jc w:val="center"/>
              <w:ind w:left="1112"/>
              <w:spacing w:after="0"/>
              <w:rPr>
                <w:sz w:val="20"/>
                <w:szCs w:val="20"/>
                <w:color w:val="auto"/>
              </w:rPr>
            </w:pPr>
            <w:r>
              <w:rPr>
                <w:rFonts w:ascii="Arial" w:cs="Arial" w:eastAsia="Arial" w:hAnsi="Arial"/>
                <w:sz w:val="18"/>
                <w:szCs w:val="18"/>
                <w:color w:val="auto"/>
                <w:w w:val="86"/>
              </w:rPr>
              <w:t>Josie Callanan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josie.callanan@wellsfargo.com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94"/>
              </w:rPr>
              <w:t>Mike Collins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mike.collins@wellsfargo.com</w:t>
            </w:r>
          </w:p>
        </w:tc>
      </w:tr>
      <w:tr>
        <w:trPr>
          <w:trHeight w:val="324"/>
        </w:trPr>
        <w:tc>
          <w:tcPr>
            <w:tcW w:w="4540" w:type="dxa"/>
            <w:vAlign w:val="bottom"/>
            <w:gridSpan w:val="2"/>
          </w:tcPr>
          <w:p>
            <w:pPr>
              <w:jc w:val="center"/>
              <w:ind w:left="1112"/>
              <w:spacing w:after="0"/>
              <w:rPr>
                <w:sz w:val="20"/>
                <w:szCs w:val="20"/>
                <w:color w:val="auto"/>
              </w:rPr>
            </w:pPr>
            <w:r>
              <w:rPr>
                <w:rFonts w:ascii="Arial" w:cs="Arial" w:eastAsia="Arial" w:hAnsi="Arial"/>
                <w:sz w:val="18"/>
                <w:szCs w:val="18"/>
                <w:color w:val="auto"/>
                <w:w w:val="91"/>
              </w:rPr>
              <w:t>Michael Golden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m.golden@WellsFargo.com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91"/>
              </w:rPr>
              <w:t>Son-Mi Lee</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son-mi.lee@wellsfargo.com</w:t>
            </w:r>
          </w:p>
        </w:tc>
      </w:tr>
      <w:tr>
        <w:trPr>
          <w:trHeight w:val="421"/>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85"/>
        </w:trPr>
        <w:tc>
          <w:tcPr>
            <w:tcW w:w="244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1182"/>
              <w:spacing w:after="0"/>
              <w:rPr>
                <w:sz w:val="20"/>
                <w:szCs w:val="20"/>
                <w:color w:val="auto"/>
              </w:rPr>
            </w:pPr>
            <w:r>
              <w:rPr>
                <w:rFonts w:ascii="Arial" w:cs="Arial" w:eastAsia="Arial" w:hAnsi="Arial"/>
                <w:sz w:val="14"/>
                <w:szCs w:val="14"/>
                <w:color w:val="auto"/>
                <w:w w:val="85"/>
              </w:rPr>
              <w:t>Name</w:t>
            </w: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Email</w:t>
            </w:r>
          </w:p>
        </w:tc>
      </w:tr>
      <w:tr>
        <w:trPr>
          <w:trHeight w:val="302"/>
        </w:trPr>
        <w:tc>
          <w:tcPr>
            <w:tcW w:w="2440" w:type="dxa"/>
            <w:vAlign w:val="bottom"/>
          </w:tcPr>
          <w:p>
            <w:pPr>
              <w:spacing w:after="0"/>
              <w:rPr>
                <w:sz w:val="24"/>
                <w:szCs w:val="24"/>
                <w:color w:val="auto"/>
              </w:rPr>
            </w:pPr>
          </w:p>
        </w:tc>
        <w:tc>
          <w:tcPr>
            <w:tcW w:w="2100" w:type="dxa"/>
            <w:vAlign w:val="bottom"/>
          </w:tcPr>
          <w:p>
            <w:pPr>
              <w:jc w:val="center"/>
              <w:ind w:right="1182"/>
              <w:spacing w:after="0"/>
              <w:rPr>
                <w:sz w:val="20"/>
                <w:szCs w:val="20"/>
                <w:color w:val="auto"/>
              </w:rPr>
            </w:pPr>
            <w:r>
              <w:rPr>
                <w:rFonts w:ascii="Arial" w:cs="Arial" w:eastAsia="Arial" w:hAnsi="Arial"/>
                <w:sz w:val="18"/>
                <w:szCs w:val="18"/>
                <w:color w:val="auto"/>
                <w:w w:val="89"/>
              </w:rPr>
              <w:t>Don Wood</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dwood@federalrealty.com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89"/>
              </w:rPr>
              <w:t>Dawn Becker</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dbecker@federalrealty.com</w:t>
            </w:r>
          </w:p>
        </w:tc>
      </w:tr>
      <w:tr>
        <w:trPr>
          <w:trHeight w:val="324"/>
        </w:trPr>
        <w:tc>
          <w:tcPr>
            <w:tcW w:w="4540" w:type="dxa"/>
            <w:vAlign w:val="bottom"/>
            <w:gridSpan w:val="2"/>
          </w:tcPr>
          <w:p>
            <w:pPr>
              <w:jc w:val="center"/>
              <w:ind w:left="1092"/>
              <w:spacing w:after="0"/>
              <w:rPr>
                <w:sz w:val="20"/>
                <w:szCs w:val="20"/>
                <w:color w:val="auto"/>
              </w:rPr>
            </w:pPr>
            <w:r>
              <w:rPr>
                <w:rFonts w:ascii="Arial" w:cs="Arial" w:eastAsia="Arial" w:hAnsi="Arial"/>
                <w:sz w:val="18"/>
                <w:szCs w:val="18"/>
                <w:color w:val="auto"/>
                <w:w w:val="93"/>
              </w:rPr>
              <w:t>Andy Blocher</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ablocher@federalrealty.com</w:t>
            </w:r>
          </w:p>
        </w:tc>
      </w:tr>
      <w:tr>
        <w:trPr>
          <w:trHeight w:val="365"/>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80" w:type="dxa"/>
            <w:vAlign w:val="bottom"/>
            <w:gridSpan w:val="3"/>
          </w:tcPr>
          <w:p>
            <w:pPr>
              <w:ind w:left="86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1420"/>
          </w:cols>
          <w:pgMar w:left="240" w:top="280" w:right="239" w:bottom="1440" w:gutter="0" w:footer="0" w:header="0"/>
        </w:sectPr>
      </w:pPr>
    </w:p>
    <w:bookmarkStart w:id="42" w:name="page43"/>
    <w:bookmarkEnd w:id="4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u w:val="single" w:color="auto"/>
          <w:color w:val="auto"/>
        </w:rPr>
        <w:t>COMPENSATION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140"/>
          </w:cols>
          <w:pgMar w:left="240" w:top="280" w:right="5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PILLSBURY WINTHROP SHAW PITTMAN LLP (CORPORATE)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80" w:right="1440"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PILLSBURY WINTHROP SHAW PITTMAN LLP (TAX)</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D-1-2</w:t>
      </w:r>
    </w:p>
    <w:p>
      <w:pPr>
        <w:sectPr>
          <w:pgSz w:w="11900" w:h="16838" w:orient="portrait"/>
          <w:cols w:equalWidth="0" w:num="1">
            <w:col w:w="9019"/>
          </w:cols>
          <w:pgMar w:left="1440" w:top="280" w:right="1440"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OFFICER’S CERTIFICATE</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undersigned, [*], the duly qualified and elected [*] of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 Maryland real estate investment trust, does hereby certify on behalf of the Company, pursuant to Section 7(o) of the Equity Distribution Agreement dated February 24, 2011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Wells Fargo Securities, LLC, (the “Agent”) that to the knowledge of the undersigned:</w:t>
      </w:r>
    </w:p>
    <w:p>
      <w:pPr>
        <w:spacing w:after="0" w:line="140" w:lineRule="exact"/>
        <w:rPr>
          <w:sz w:val="20"/>
          <w:szCs w:val="20"/>
          <w:color w:val="auto"/>
        </w:rPr>
      </w:pPr>
    </w:p>
    <w:p>
      <w:pPr>
        <w:ind w:firstLine="464"/>
        <w:spacing w:after="0" w:line="314" w:lineRule="auto"/>
        <w:tabs>
          <w:tab w:leader="none" w:pos="663"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04" w:lineRule="exact"/>
        <w:rPr>
          <w:rFonts w:ascii="Arial" w:cs="Arial" w:eastAsia="Arial" w:hAnsi="Arial"/>
          <w:sz w:val="15"/>
          <w:szCs w:val="15"/>
          <w:color w:val="auto"/>
        </w:rPr>
      </w:pPr>
    </w:p>
    <w:p>
      <w:pPr>
        <w:ind w:right="140" w:firstLine="464"/>
        <w:spacing w:after="0" w:line="268" w:lineRule="auto"/>
        <w:tabs>
          <w:tab w:leader="none" w:pos="7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60"/>
          </w:cols>
          <w:pgMar w:left="240" w:top="280" w:right="29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80"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454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from time to time, of up to $300,000,000 aggregate offering price of common shares of beneficial interest, par value $0.01 per share (the “Common Shares”), of the Company, all of which are authorized but heretofore unissued shares to be offered and sold by the Company (the “Shares”) pursuant to the Registration Statement on Form S-3 (the “Registration Statement”), filed by the Company with the Securities and Exchange Commission (the “Commission”) under the Securities Act of 1933 (the “Act”), and related prospectus dated May 8, 2012 as supplemented by the prospectus supplement dated May 8, 2012 relating to the offer and sale of the Shares (as so supplemented, the “Prospectus”).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this opinion.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will be validly issued, fully paid and nonassessable.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This opinion is limited to matters governed by Title 8 of the Corporations and Associations Article of the Annotated Code of Maryland, as in effect on the date hereof.</w:t>
      </w:r>
    </w:p>
    <w:p>
      <w:pPr>
        <w:spacing w:after="0" w:line="13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454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May 8, 2012 (the “Prospectus Supplement”) to a prospectus (the “Base Prospectus”) filed as part of a registration statement on Form S-3 on May 8, 2012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2012;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(2012) taxable year and for future taxable years, and (iii) the discussions in (x) the Base Prospectus under the caption “Material Federal Income Tax Considerations,” and (y) the Company’s Annual Report on Form 10-K for the year ended December 31, 2011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380"/>
          </w:cols>
          <w:pgMar w:left="240" w:top="28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(53471)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lvl w:ilvl="1">
      <w:lvlJc w:val="left"/>
      <w:lvlText w:val="(%2)"/>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lowerRoman"/>
      <w:start w:val="1"/>
    </w:lvl>
    <w:lvl w:ilvl="1">
      <w:lvlJc w:val="left"/>
      <w:lvlText w:val="(%2)"/>
      <w:numFmt w:val="decimal"/>
      <w:start w:val="4"/>
    </w:lvl>
  </w:abstractNum>
  <w:abstractNum w:abstractNumId="4">
    <w:nsid w:val="2443A858"/>
    <w:multiLevelType w:val="hybridMultilevel"/>
    <w:lvl w:ilvl="0">
      <w:lvlJc w:val="left"/>
      <w:lvlText w:val="(%1)"/>
      <w:numFmt w:val="lowerRoman"/>
      <w:start w:val="5"/>
    </w:lvl>
    <w:lvl w:ilvl="1">
      <w:lvlJc w:val="left"/>
      <w:lvlText w:val="(%2)"/>
      <w:numFmt w:val="decimal"/>
      <w:start w:val="5"/>
    </w:lvl>
  </w:abstractNum>
  <w:abstractNum w:abstractNumId="5">
    <w:nsid w:val="2D1D5AE9"/>
    <w:multiLevelType w:val="hybridMultilevel"/>
    <w:lvl w:ilvl="0">
      <w:lvlJc w:val="left"/>
      <w:lvlText w:val="%1"/>
      <w:numFmt w:val="lowerRoman"/>
      <w:start w:val="1"/>
    </w:lvl>
    <w:lvl w:ilvl="1">
      <w:lvlJc w:val="left"/>
      <w:lvlText w:val="(%2)"/>
      <w:numFmt w:val="decimal"/>
      <w:start w:val="7"/>
    </w:lvl>
  </w:abstractNum>
  <w:abstractNum w:abstractNumId="6">
    <w:nsid w:val="6763845E"/>
    <w:multiLevelType w:val="hybridMultilevel"/>
    <w:lvl w:ilvl="0">
      <w:lvlJc w:val="left"/>
      <w:lvlText w:val="(%1)"/>
      <w:numFmt w:val="lowerRoman"/>
      <w:start w:val="2"/>
    </w:lvl>
    <w:lvl w:ilvl="1">
      <w:lvlJc w:val="left"/>
      <w:lvlText w:val="(%2)"/>
      <w:numFmt w:val="decimal"/>
      <w:start w:val="9"/>
    </w:lvl>
  </w:abstractNum>
  <w:abstractNum w:abstractNumId="7">
    <w:nsid w:val="75A2A8D4"/>
    <w:multiLevelType w:val="hybridMultilevel"/>
    <w:lvl w:ilvl="0">
      <w:lvlJc w:val="left"/>
      <w:lvlText w:val="(%1)"/>
      <w:numFmt w:val="decimal"/>
      <w:start w:val="10"/>
    </w:lvl>
  </w:abstractNum>
  <w:abstractNum w:abstractNumId="8">
    <w:nsid w:val="8EDBDAB"/>
    <w:multiLevelType w:val="hybridMultilevel"/>
    <w:lvl w:ilvl="0">
      <w:lvlJc w:val="left"/>
      <w:lvlText w:val="(%1)"/>
      <w:numFmt w:val="decimal"/>
      <w:start w:val="16"/>
    </w:lvl>
  </w:abstractNum>
  <w:abstractNum w:abstractNumId="9">
    <w:nsid w:val="79838CB2"/>
    <w:multiLevelType w:val="hybridMultilevel"/>
    <w:lvl w:ilvl="0">
      <w:lvlJc w:val="left"/>
      <w:lvlText w:val="(%1)"/>
      <w:numFmt w:val="decimal"/>
      <w:start w:val="19"/>
    </w:lvl>
  </w:abstractNum>
  <w:abstractNum w:abstractNumId="10">
    <w:nsid w:val="4353D0CD"/>
    <w:multiLevelType w:val="hybridMultilevel"/>
    <w:lvl w:ilvl="0">
      <w:lvlJc w:val="left"/>
      <w:lvlText w:val="(%1)"/>
      <w:numFmt w:val="decimal"/>
      <w:start w:val="24"/>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upperLetter"/>
      <w:start w:val="1"/>
    </w:lvl>
    <w:lvl w:ilvl="1">
      <w:lvlJc w:val="left"/>
      <w:lvlText w:val="(%2)"/>
      <w:numFmt w:val="lowerLetter"/>
      <w:start w:val="4"/>
    </w:lvl>
  </w:abstractNum>
  <w:abstractNum w:abstractNumId="14">
    <w:nsid w:val="71F32454"/>
    <w:multiLevelType w:val="hybridMultilevel"/>
    <w:lvl w:ilvl="0">
      <w:lvlJc w:val="left"/>
      <w:lvlText w:val="(%1)"/>
      <w:numFmt w:val="upperLetter"/>
      <w:start w:val="2"/>
    </w:lvl>
    <w:lvl w:ilvl="1">
      <w:lvlJc w:val="left"/>
      <w:lvlText w:val="(%2)"/>
      <w:numFmt w:val="lowerLetter"/>
      <w:start w:val="6"/>
    </w:lvl>
  </w:abstractNum>
  <w:abstractNum w:abstractNumId="15">
    <w:nsid w:val="2CA88611"/>
    <w:multiLevelType w:val="hybridMultilevel"/>
    <w:lvl w:ilvl="0">
      <w:lvlJc w:val="left"/>
      <w:lvlText w:val="(%1)"/>
      <w:numFmt w:val="lowerLetter"/>
      <w:start w:val="61"/>
    </w:lvl>
    <w:lvl w:ilvl="1">
      <w:lvlJc w:val="left"/>
      <w:lvlText w:val="(%2)"/>
      <w:numFmt w:val="lowerLetter"/>
      <w:start w:val="8"/>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1)"/>
      <w:numFmt w:val="lowerLetter"/>
      <w:start w:val="4"/>
    </w:lvl>
  </w:abstractNum>
  <w:abstractNum w:abstractNumId="19">
    <w:nsid w:val="8138641"/>
    <w:multiLevelType w:val="hybridMultilevel"/>
    <w:lvl w:ilvl="0">
      <w:lvlJc w:val="left"/>
      <w:lvlText w:val="(%1)"/>
      <w:numFmt w:val="lowerLetter"/>
      <w:start w:val="6"/>
    </w:lvl>
  </w:abstractNum>
  <w:abstractNum w:abstractNumId="20">
    <w:nsid w:val="1E7FF521"/>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21">
    <w:nsid w:val="7C3DBD3D"/>
    <w:multiLevelType w:val="hybridMultilevel"/>
    <w:lvl w:ilvl="0">
      <w:lvlJc w:val="left"/>
      <w:lvlText w:val="(%1)"/>
      <w:numFmt w:val="decimal"/>
      <w:start w:val="3"/>
    </w:lvl>
  </w:abstractNum>
  <w:abstractNum w:abstractNumId="22">
    <w:nsid w:val="737B8DDC"/>
    <w:multiLevelType w:val="hybridMultilevel"/>
    <w:lvl w:ilvl="0">
      <w:lvlJc w:val="left"/>
      <w:lvlText w:val="(%1)"/>
      <w:numFmt w:val="lowerLetter"/>
      <w:start w:val="16"/>
    </w:lvl>
  </w:abstractNum>
  <w:abstractNum w:abstractNumId="23">
    <w:nsid w:val="6CEAF087"/>
    <w:multiLevelType w:val="hybridMultilevel"/>
    <w:lvl w:ilvl="0">
      <w:lvlJc w:val="left"/>
      <w:lvlText w:val="%1"/>
      <w:numFmt w:val="decimal"/>
      <w:start w:val="1"/>
    </w:lvl>
    <w:lvl w:ilvl="1">
      <w:lvlJc w:val="left"/>
      <w:lvlText w:val="(%2)"/>
      <w:numFmt w:val="lowerLetter"/>
      <w:start w:val="18"/>
    </w:lvl>
  </w:abstractNum>
  <w:abstractNum w:abstractNumId="24">
    <w:nsid w:val="22221A70"/>
    <w:multiLevelType w:val="hybridMultilevel"/>
    <w:lvl w:ilvl="0">
      <w:lvlJc w:val="left"/>
      <w:lvlText w:val="(%1)"/>
      <w:numFmt w:val="decimal"/>
      <w:start w:val="3"/>
    </w:lvl>
    <w:lvl w:ilvl="1">
      <w:lvlJc w:val="left"/>
      <w:lvlText w:val="(%2)"/>
      <w:numFmt w:val="lowerLetter"/>
      <w:start w:val="19"/>
    </w:lvl>
  </w:abstractNum>
  <w:abstractNum w:abstractNumId="25">
    <w:nsid w:val="4516DDE9"/>
    <w:multiLevelType w:val="hybridMultilevel"/>
    <w:lvl w:ilvl="0">
      <w:lvlJc w:val="left"/>
      <w:lvlText w:val="(%1)"/>
      <w:numFmt w:val="lowerLetter"/>
      <w:start w:val="24"/>
    </w:lvl>
  </w:abstractNum>
  <w:abstractNum w:abstractNumId="26">
    <w:nsid w:val="3006C83E"/>
    <w:multiLevelType w:val="hybridMultilevel"/>
    <w:lvl w:ilvl="0">
      <w:lvlJc w:val="left"/>
      <w:lvlText w:val="(%1)"/>
      <w:numFmt w:val="lowerLetter"/>
      <w:start w:val="27"/>
    </w:lvl>
  </w:abstractNum>
  <w:abstractNum w:abstractNumId="27">
    <w:nsid w:val="614FD4A1"/>
    <w:multiLevelType w:val="hybridMultilevel"/>
    <w:lvl w:ilvl="0">
      <w:lvlJc w:val="left"/>
      <w:lvlText w:val="%1"/>
      <w:numFmt w:val="lowerLetter"/>
      <w:start w:val="1"/>
    </w:lvl>
    <w:lvl w:ilvl="1">
      <w:lvlJc w:val="left"/>
      <w:lvlText w:val="(%2)"/>
      <w:numFmt w:val="lowerLetter"/>
      <w:start w:val="1"/>
    </w:lvl>
  </w:abstractNum>
  <w:abstractNum w:abstractNumId="28">
    <w:nsid w:val="419AC241"/>
    <w:multiLevelType w:val="hybridMultilevel"/>
    <w:lvl w:ilvl="0">
      <w:lvlJc w:val="left"/>
      <w:lvlText w:val="(%1)"/>
      <w:numFmt w:val="lowerLetter"/>
      <w:start w:val="35"/>
    </w:lvl>
    <w:lvl w:ilvl="1">
      <w:lvlJc w:val="left"/>
      <w:lvlText w:val="%2"/>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7"/>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6"/>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2019-12-09T07:20:57Z</dcterms:created>
  <dcterms:modified xsi:type="dcterms:W3CDTF">2019-12-09T07:20:57Z</dcterms:modified>
</cp:coreProperties>
</file>