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October 31, 2025</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Maryland (Federal Realty Investment Trust)</w:t>
            </w:r>
          </w:p>
        </w:tc>
        <w:tc>
          <w:tcPr>
            <w:tcW w:w="1700" w:type="dxa"/>
            <w:vAlign w:val="bottom"/>
          </w:tcPr>
          <w:p>
            <w:pPr>
              <w:jc w:val="right"/>
              <w:ind w:right="444"/>
              <w:spacing w:after="0"/>
              <w:rPr>
                <w:sz w:val="20"/>
                <w:szCs w:val="20"/>
                <w:color w:val="auto"/>
              </w:rPr>
            </w:pPr>
            <w:r>
              <w:rPr>
                <w:rFonts w:ascii="Times New Roman" w:cs="Times New Roman" w:eastAsia="Times New Roman" w:hAnsi="Times New Roman"/>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87-3916363</w:t>
            </w:r>
          </w:p>
        </w:tc>
      </w:tr>
      <w:tr>
        <w:trPr>
          <w:trHeight w:val="229"/>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Delaware (Federal Realty OP LP)</w:t>
            </w: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52-0782497</w:t>
            </w:r>
          </w:p>
        </w:tc>
      </w:tr>
      <w:tr>
        <w:trPr>
          <w:trHeight w:val="144"/>
        </w:trPr>
        <w:tc>
          <w:tcPr>
            <w:tcW w:w="4240" w:type="dxa"/>
            <w:vAlign w:val="bottom"/>
          </w:tcPr>
          <w:p>
            <w:pPr>
              <w:jc w:val="center"/>
              <w:ind w:right="884"/>
              <w:spacing w:after="0" w:line="14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2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42"/>
        </w:trPr>
        <w:tc>
          <w:tcPr>
            <w:tcW w:w="42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909 Rose Avenue, Suite 200</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North Bethesda,</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90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3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5"/>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480" w:type="dxa"/>
            <w:vAlign w:val="bottom"/>
            <w:gridSpan w:val="3"/>
          </w:tcPr>
          <w:p>
            <w:pPr>
              <w:jc w:val="center"/>
              <w:ind w:left="99"/>
              <w:spacing w:after="0" w:line="168" w:lineRule="exact"/>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Rights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Depositary Shares, each representing 1/1000 of a 5.00%</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6"/>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7020" w:type="dxa"/>
            <w:vAlign w:val="bottom"/>
            <w:gridSpan w:val="6"/>
          </w:tcPr>
          <w:p>
            <w:pPr>
              <w:jc w:val="center"/>
              <w:ind w:right="2360"/>
              <w:spacing w:after="0" w:line="168" w:lineRule="exact"/>
              <w:rPr>
                <w:sz w:val="20"/>
                <w:szCs w:val="20"/>
                <w:color w:val="auto"/>
              </w:rPr>
            </w:pPr>
            <w:r>
              <w:rPr>
                <w:rFonts w:ascii="Times New Roman" w:cs="Times New Roman" w:eastAsia="Times New Roman" w:hAnsi="Times New Roman"/>
                <w:sz w:val="16"/>
                <w:szCs w:val="16"/>
                <w:color w:val="auto"/>
              </w:rPr>
              <w:t>Series C Cumulative Redeemable Preferred Stock, $.01 par value per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share</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8" w:lineRule="exact"/>
        <w:rPr>
          <w:sz w:val="24"/>
          <w:szCs w:val="24"/>
          <w:color w:val="auto"/>
        </w:rPr>
      </w:pPr>
    </w:p>
    <w:p>
      <w:pPr>
        <w:ind w:left="20" w:right="6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20" w:right="100"/>
        <w:spacing w:after="0" w:line="242" w:lineRule="auto"/>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251" w:lineRule="exact"/>
        <w:rPr>
          <w:sz w:val="20"/>
          <w:szCs w:val="20"/>
          <w:color w:val="auto"/>
        </w:rPr>
      </w:pPr>
    </w:p>
    <w:p>
      <w:pPr>
        <w:ind w:firstLine="180"/>
        <w:spacing w:after="0" w:line="268" w:lineRule="auto"/>
        <w:rPr>
          <w:sz w:val="20"/>
          <w:szCs w:val="20"/>
          <w:color w:val="auto"/>
        </w:rPr>
      </w:pPr>
      <w:r>
        <w:rPr>
          <w:rFonts w:ascii="Times New Roman" w:cs="Times New Roman" w:eastAsia="Times New Roman" w:hAnsi="Times New Roman"/>
          <w:sz w:val="21"/>
          <w:szCs w:val="21"/>
          <w:color w:val="auto"/>
        </w:rPr>
        <w:t>The information under this Item 2.02-Results of Operations and Financial Condition and the exhibits attached hereto, are being furnished and shall not be deemed “filed” for any purpose, including for the purposes of Section 18 of the Securities Exchange Act of 1934, as amended (the “Exchange Act”), or otherwise subject to the liabilities of that Section. The information under this Item 2.02 and the exhibits attached hereto shall not be deemed incorporated by reference into any filing under the Securities Act of 1933, as amended, or under the Exchange Act, regardless of any general incorporation language in such filing.</w:t>
      </w:r>
    </w:p>
    <w:p>
      <w:pPr>
        <w:spacing w:after="0" w:line="191" w:lineRule="exact"/>
        <w:rPr>
          <w:sz w:val="20"/>
          <w:szCs w:val="20"/>
          <w:color w:val="auto"/>
        </w:rPr>
      </w:pPr>
    </w:p>
    <w:p>
      <w:pPr>
        <w:ind w:right="100" w:firstLine="180"/>
        <w:spacing w:after="0" w:line="263" w:lineRule="auto"/>
        <w:rPr>
          <w:sz w:val="20"/>
          <w:szCs w:val="20"/>
          <w:color w:val="auto"/>
        </w:rPr>
      </w:pPr>
      <w:r>
        <w:rPr>
          <w:rFonts w:ascii="Times New Roman" w:cs="Times New Roman" w:eastAsia="Times New Roman" w:hAnsi="Times New Roman"/>
          <w:sz w:val="22"/>
          <w:szCs w:val="22"/>
          <w:color w:val="auto"/>
        </w:rPr>
        <w:t>On October 31, 2025, Federal Realty Investment Trust issued supplemental data pertaining to its operations, as well as a press release, to report its financial results for the quarter ended September 30, 2025. The supplemental data and press release are furnished as Exhibit 99.1 hereto.</w:t>
      </w:r>
    </w:p>
    <w:p>
      <w:pPr>
        <w:spacing w:after="0" w:line="200" w:lineRule="exact"/>
        <w:rPr>
          <w:sz w:val="20"/>
          <w:szCs w:val="20"/>
          <w:color w:val="auto"/>
        </w:rPr>
      </w:pPr>
    </w:p>
    <w:p>
      <w:pPr>
        <w:spacing w:after="0" w:line="23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51" w:lineRule="exact"/>
        <w:rPr>
          <w:sz w:val="20"/>
          <w:szCs w:val="20"/>
          <w:color w:val="auto"/>
        </w:rPr>
      </w:pPr>
    </w:p>
    <w:p>
      <w:pPr>
        <w:ind w:left="180"/>
        <w:spacing w:after="0"/>
        <w:tabs>
          <w:tab w:leader="none" w:pos="5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Exhibits</w:t>
      </w:r>
    </w:p>
    <w:p>
      <w:pPr>
        <w:spacing w:after="0" w:line="247" w:lineRule="exact"/>
        <w:rPr>
          <w:sz w:val="20"/>
          <w:szCs w:val="20"/>
          <w:color w:val="auto"/>
        </w:rPr>
      </w:pPr>
    </w:p>
    <w:p>
      <w:pPr>
        <w:ind w:left="180"/>
        <w:spacing w:after="0"/>
        <w:tabs>
          <w:tab w:leader="none" w:pos="72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Supplemental information at September 30, 2025 (including press release dated October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94" w:lineRule="exact"/>
        <w:rPr>
          <w:sz w:val="20"/>
          <w:szCs w:val="20"/>
          <w:color w:val="auto"/>
        </w:rPr>
      </w:pPr>
    </w:p>
    <w:p>
      <w:pPr>
        <w:ind w:right="160" w:firstLine="180"/>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registrants have duly caused this report to be signed on their behalf by the undersigned hereunto duly authorized.</w:t>
      </w:r>
    </w:p>
    <w:p>
      <w:pPr>
        <w:spacing w:after="0" w:line="19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FEDERAL REALTY INVESTMENT TRUST</w:t>
      </w:r>
    </w:p>
    <w:p>
      <w:pPr>
        <w:spacing w:after="0" w:line="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FEDERAL REALTY OP LP</w:t>
      </w:r>
    </w:p>
    <w:p>
      <w:pPr>
        <w:spacing w:after="0" w:line="275" w:lineRule="exact"/>
        <w:rPr>
          <w:sz w:val="20"/>
          <w:szCs w:val="20"/>
          <w:color w:val="auto"/>
        </w:rPr>
      </w:pPr>
    </w:p>
    <w:p>
      <w:pPr>
        <w:ind w:left="40"/>
        <w:spacing w:after="0"/>
        <w:tabs>
          <w:tab w:leader="none" w:pos="1520" w:val="left"/>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October 31, 2025</w:t>
      </w:r>
      <w:r>
        <w:rPr>
          <w:sz w:val="20"/>
          <w:szCs w:val="20"/>
          <w:color w:val="auto"/>
        </w:rPr>
        <w:tab/>
      </w:r>
      <w:r>
        <w:rPr>
          <w:rFonts w:ascii="Times New Roman" w:cs="Times New Roman" w:eastAsia="Times New Roman" w:hAnsi="Times New Roman"/>
          <w:sz w:val="21"/>
          <w:szCs w:val="21"/>
          <w:u w:val="single" w:color="auto"/>
          <w:color w:val="auto"/>
        </w:rPr>
        <w:t>/s/ Daniel Guglielmone</w:t>
      </w:r>
    </w:p>
    <w:p>
      <w:pPr>
        <w:spacing w:after="0" w:line="28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Daniel Guglielmone</w:t>
      </w:r>
    </w:p>
    <w:p>
      <w:pPr>
        <w:spacing w:after="0" w:line="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EXHIBIT INDEX</w:t>
            </w:r>
          </w:p>
        </w:tc>
      </w:tr>
      <w:tr>
        <w:trPr>
          <w:trHeight w:val="555"/>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7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5"/>
                <w:szCs w:val="15"/>
                <w:color w:val="auto"/>
              </w:rPr>
            </w:pPr>
          </w:p>
        </w:tc>
        <w:tc>
          <w:tcPr>
            <w:tcW w:w="93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Supplemental Information at September 30, 2025</w:t>
            </w:r>
          </w:p>
        </w:tc>
      </w:tr>
      <w:tr>
        <w:trPr>
          <w:trHeight w:val="304"/>
        </w:trPr>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tc>
      </w:tr>
    </w:tbl>
    <w:p>
      <w:pPr>
        <w:sectPr>
          <w:pgSz w:w="11900" w:h="16838" w:orient="portrait"/>
          <w:cols w:equalWidth="0" w:num="1">
            <w:col w:w="11180"/>
          </w:cols>
          <w:pgMar w:left="360" w:top="895"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1</w:t>
            </w:r>
          </w:p>
        </w:tc>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Third Quarter 2025 Earnings Press Release</w:t>
            </w:r>
          </w:p>
        </w:tc>
        <w:tc>
          <w:tcPr>
            <w:tcW w:w="1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6"/>
        </w:trPr>
        <w:tc>
          <w:tcPr>
            <w:tcW w:w="460" w:type="dxa"/>
            <w:vAlign w:val="bottom"/>
            <w:tcBorders>
              <w:top w:val="single" w:sz="8" w:color="CCEEFF"/>
            </w:tcBorders>
          </w:tcPr>
          <w:p>
            <w:pPr>
              <w:spacing w:after="0"/>
              <w:rPr>
                <w:sz w:val="18"/>
                <w:szCs w:val="18"/>
                <w:color w:val="auto"/>
              </w:rPr>
            </w:pPr>
          </w:p>
        </w:tc>
        <w:tc>
          <w:tcPr>
            <w:tcW w:w="75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29"/>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2</w:t>
            </w:r>
          </w:p>
        </w:tc>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Highlights</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460" w:type="dxa"/>
            <w:vAlign w:val="bottom"/>
          </w:tcPr>
          <w:p>
            <w:pPr>
              <w:spacing w:after="0"/>
              <w:rPr>
                <w:sz w:val="16"/>
                <w:szCs w:val="16"/>
                <w:color w:val="auto"/>
              </w:rPr>
            </w:pPr>
          </w:p>
        </w:tc>
        <w:tc>
          <w:tcPr>
            <w:tcW w:w="750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13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Borders>
              <w:bottom w:val="single" w:sz="8" w:color="CCEEFF"/>
            </w:tcBorders>
            <w:shd w:val="clear" w:color="auto" w:fill="CCEEFF"/>
          </w:tcPr>
          <w:p>
            <w:pPr>
              <w:spacing w:after="0"/>
              <w:rPr>
                <w:sz w:val="18"/>
                <w:szCs w:val="18"/>
                <w:color w:val="auto"/>
              </w:rPr>
            </w:pPr>
          </w:p>
        </w:tc>
        <w:tc>
          <w:tcPr>
            <w:tcW w:w="7500" w:type="dxa"/>
            <w:vAlign w:val="bottom"/>
            <w:tcBorders>
              <w:bottom w:val="single" w:sz="8" w:color="CCEEFF"/>
            </w:tcBorders>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2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750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Funds From Operations / Other Supplemental Information</w:t>
            </w:r>
          </w:p>
        </w:tc>
        <w:tc>
          <w:tcPr>
            <w:tcW w:w="13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0" w:type="dxa"/>
            <w:vAlign w:val="bottom"/>
            <w:shd w:val="clear" w:color="auto" w:fill="CCEEFF"/>
          </w:tcPr>
          <w:p>
            <w:pPr>
              <w:spacing w:after="0"/>
              <w:rPr>
                <w:sz w:val="18"/>
                <w:szCs w:val="18"/>
                <w:color w:val="auto"/>
              </w:rPr>
            </w:pPr>
          </w:p>
        </w:tc>
        <w:tc>
          <w:tcPr>
            <w:tcW w:w="7500" w:type="dxa"/>
            <w:vAlign w:val="bottom"/>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Components of Rental Income</w:t>
            </w:r>
          </w:p>
        </w:tc>
        <w:tc>
          <w:tcPr>
            <w:tcW w:w="13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shd w:val="clear" w:color="auto" w:fill="CCEEFF"/>
          </w:tcPr>
          <w:p>
            <w:pPr>
              <w:spacing w:after="0"/>
              <w:rPr>
                <w:sz w:val="18"/>
                <w:szCs w:val="18"/>
                <w:color w:val="auto"/>
              </w:rPr>
            </w:pPr>
          </w:p>
        </w:tc>
      </w:tr>
      <w:tr>
        <w:trPr>
          <w:trHeight w:val="189"/>
        </w:trPr>
        <w:tc>
          <w:tcPr>
            <w:tcW w:w="460" w:type="dxa"/>
            <w:vAlign w:val="bottom"/>
            <w:tcBorders>
              <w:top w:val="single" w:sz="8" w:color="CCEEFF"/>
            </w:tcBorders>
          </w:tcPr>
          <w:p>
            <w:pPr>
              <w:spacing w:after="0"/>
              <w:rPr>
                <w:sz w:val="16"/>
                <w:szCs w:val="16"/>
                <w:color w:val="auto"/>
              </w:rPr>
            </w:pPr>
          </w:p>
        </w:tc>
        <w:tc>
          <w:tcPr>
            <w:tcW w:w="7500" w:type="dxa"/>
            <w:vAlign w:val="bottom"/>
            <w:tcBorders>
              <w:top w:val="single" w:sz="8" w:color="CCEEFF"/>
            </w:tcBorders>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Comparable Property Information</w:t>
            </w:r>
          </w:p>
        </w:tc>
        <w:tc>
          <w:tcPr>
            <w:tcW w:w="114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Borders>
              <w:top w:val="single" w:sz="8" w:color="CCEEFF"/>
            </w:tcBorders>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7500" w:type="dxa"/>
            <w:vAlign w:val="bottom"/>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Market Data, Debt Metrics, and Senior Notes and Debentures Covenants</w:t>
            </w:r>
          </w:p>
        </w:tc>
        <w:tc>
          <w:tcPr>
            <w:tcW w:w="13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6"/>
                <w:szCs w:val="16"/>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75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1" w:lineRule="exact"/>
        <w:rPr>
          <w:sz w:val="20"/>
          <w:szCs w:val="20"/>
          <w:color w:val="auto"/>
        </w:rPr>
      </w:pPr>
    </w:p>
    <w:p>
      <w:pPr>
        <w:ind w:left="800" w:hanging="789"/>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906135"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6135"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6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Summary of Outstanding Debt</w:t>
            </w: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7"/>
                <w:szCs w:val="17"/>
                <w:color w:val="auto"/>
              </w:rPr>
            </w:pPr>
          </w:p>
        </w:tc>
      </w:tr>
      <w:tr>
        <w:trPr>
          <w:trHeight w:val="21"/>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ind w:left="1100"/>
              <w:spacing w:after="0" w:line="189" w:lineRule="exact"/>
              <w:rPr>
                <w:sz w:val="20"/>
                <w:szCs w:val="20"/>
                <w:color w:val="auto"/>
              </w:rPr>
            </w:pPr>
            <w:r>
              <w:rPr>
                <w:rFonts w:ascii="Times New Roman" w:cs="Times New Roman" w:eastAsia="Times New Roman" w:hAnsi="Times New Roman"/>
                <w:sz w:val="18"/>
                <w:szCs w:val="18"/>
                <w:color w:val="auto"/>
              </w:rPr>
              <w:t>Summary of Debt Maturities</w:t>
            </w:r>
          </w:p>
        </w:tc>
        <w:tc>
          <w:tcPr>
            <w:tcW w:w="2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Redevelopment and Expansion Opportunities</w:t>
            </w:r>
          </w:p>
        </w:tc>
        <w:tc>
          <w:tcPr>
            <w:tcW w:w="2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Future Redevelopment and Expansion Opportunities</w:t>
            </w:r>
          </w:p>
        </w:tc>
        <w:tc>
          <w:tcPr>
            <w:tcW w:w="2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Significant Transactions</w:t>
            </w:r>
          </w:p>
        </w:tc>
        <w:tc>
          <w:tcPr>
            <w:tcW w:w="2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Real Estate Status Report</w:t>
            </w:r>
          </w:p>
        </w:tc>
        <w:tc>
          <w:tcPr>
            <w:tcW w:w="2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Retail Leasing Summary</w:t>
            </w:r>
          </w:p>
        </w:tc>
        <w:tc>
          <w:tcPr>
            <w:tcW w:w="2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Lease Expirations</w:t>
            </w:r>
          </w:p>
        </w:tc>
        <w:tc>
          <w:tcPr>
            <w:tcW w:w="2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Portfolio Leased Statistics</w:t>
            </w:r>
          </w:p>
        </w:tc>
        <w:tc>
          <w:tcPr>
            <w:tcW w:w="2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Top 25 Tenants</w:t>
            </w:r>
          </w:p>
        </w:tc>
        <w:tc>
          <w:tcPr>
            <w:tcW w:w="2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Reconciliation of FFO Guidance</w:t>
            </w:r>
          </w:p>
        </w:tc>
        <w:tc>
          <w:tcPr>
            <w:tcW w:w="22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w:t>
            </w:r>
          </w:p>
        </w:tc>
      </w:tr>
      <w:tr>
        <w:trPr>
          <w:trHeight w:val="270"/>
        </w:trPr>
        <w:tc>
          <w:tcPr>
            <w:tcW w:w="500" w:type="dxa"/>
            <w:vAlign w:val="bottom"/>
            <w:tcBorders>
              <w:top w:val="single" w:sz="8" w:color="CCEEFF"/>
            </w:tcBorders>
          </w:tcPr>
          <w:p>
            <w:pPr>
              <w:spacing w:after="0"/>
              <w:rPr>
                <w:sz w:val="23"/>
                <w:szCs w:val="23"/>
                <w:color w:val="auto"/>
              </w:rPr>
            </w:pPr>
          </w:p>
        </w:tc>
        <w:tc>
          <w:tcPr>
            <w:tcW w:w="65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65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Glossary of Terms</w:t>
            </w:r>
          </w:p>
        </w:tc>
        <w:tc>
          <w:tcPr>
            <w:tcW w:w="2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06135"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6135" cy="146050"/>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301-998-8100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300"/>
          </w:cols>
          <w:pgMar w:left="1300" w:top="1022" w:right="1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Language</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2025, and include the following:</w:t>
      </w:r>
    </w:p>
    <w:p>
      <w:pPr>
        <w:spacing w:after="0" w:line="214" w:lineRule="exact"/>
        <w:rPr>
          <w:sz w:val="20"/>
          <w:szCs w:val="20"/>
          <w:color w:val="auto"/>
        </w:rPr>
      </w:pPr>
    </w:p>
    <w:p>
      <w:pPr>
        <w:ind w:left="980" w:right="160" w:hanging="324"/>
        <w:spacing w:after="0" w:line="26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i w:val="1"/>
          <w:iCs w:val="1"/>
          <w:color w:val="auto"/>
        </w:rPr>
      </w:pPr>
    </w:p>
    <w:p>
      <w:pPr>
        <w:ind w:left="980" w:right="2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growth will be limited if we cannot obtain additional capital, or if the costs of capital we obtain are significantly higher than historical levels;</w:t>
      </w: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general economic conditions, including inflation, tariffs, and local economic conditions in our geographic markets;</w:t>
      </w:r>
    </w:p>
    <w:p>
      <w:pPr>
        <w:spacing w:after="0" w:line="9" w:lineRule="exact"/>
        <w:rPr>
          <w:rFonts w:ascii="Times New Roman" w:cs="Times New Roman" w:eastAsia="Times New Roman" w:hAnsi="Times New Roman"/>
          <w:sz w:val="18"/>
          <w:szCs w:val="18"/>
          <w:i w:val="1"/>
          <w:iCs w:val="1"/>
          <w:color w:val="auto"/>
        </w:rPr>
      </w:pPr>
    </w:p>
    <w:p>
      <w:pPr>
        <w:ind w:left="980" w:right="3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980" w:right="42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8"/>
          <w:szCs w:val="18"/>
          <w:color w:val="auto"/>
        </w:rPr>
      </w:pPr>
    </w:p>
    <w:p>
      <w:pPr>
        <w:ind w:left="980" w:right="20" w:hanging="324"/>
        <w:spacing w:after="0" w:line="253"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2025 and subsequent quarterly reports on Form 10-Q.</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757555</wp:posOffset>
            </wp:positionV>
            <wp:extent cx="2451735"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NEWS RELEASE</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www.federalrealty.com</w:t>
            </w:r>
          </w:p>
        </w:tc>
      </w:tr>
      <w:tr>
        <w:trPr>
          <w:trHeight w:val="321"/>
        </w:trPr>
        <w:tc>
          <w:tcPr>
            <w:tcW w:w="5340" w:type="dxa"/>
            <w:vAlign w:val="bottom"/>
          </w:tcPr>
          <w:p>
            <w:pPr>
              <w:ind w:left="20"/>
              <w:spacing w:after="0"/>
              <w:rPr>
                <w:sz w:val="20"/>
                <w:szCs w:val="20"/>
                <w:color w:val="auto"/>
              </w:rPr>
            </w:pPr>
            <w:r>
              <w:rPr>
                <w:rFonts w:ascii="Arial" w:cs="Arial" w:eastAsia="Arial" w:hAnsi="Arial"/>
                <w:sz w:val="17"/>
                <w:szCs w:val="17"/>
                <w:b w:val="1"/>
                <w:bCs w:val="1"/>
                <w:color w:val="auto"/>
              </w:rPr>
              <w:t>FOR IMMEDIATE RELEASE</w:t>
            </w:r>
          </w:p>
        </w:tc>
        <w:tc>
          <w:tcPr>
            <w:tcW w:w="5540" w:type="dxa"/>
            <w:vAlign w:val="bottom"/>
          </w:tcPr>
          <w:p>
            <w:pPr>
              <w:spacing w:after="0"/>
              <w:rPr>
                <w:sz w:val="24"/>
                <w:szCs w:val="24"/>
                <w:color w:val="auto"/>
              </w:rPr>
            </w:pPr>
          </w:p>
        </w:tc>
      </w:tr>
      <w:tr>
        <w:trPr>
          <w:trHeight w:val="390"/>
        </w:trPr>
        <w:tc>
          <w:tcPr>
            <w:tcW w:w="5340" w:type="dxa"/>
            <w:vAlign w:val="bottom"/>
          </w:tcPr>
          <w:p>
            <w:pPr>
              <w:ind w:left="20"/>
              <w:spacing w:after="0"/>
              <w:rPr>
                <w:sz w:val="20"/>
                <w:szCs w:val="20"/>
                <w:color w:val="auto"/>
              </w:rPr>
            </w:pPr>
            <w:r>
              <w:rPr>
                <w:rFonts w:ascii="Arial" w:cs="Arial" w:eastAsia="Arial" w:hAnsi="Arial"/>
                <w:sz w:val="18"/>
                <w:szCs w:val="18"/>
                <w:i w:val="1"/>
                <w:iCs w:val="1"/>
                <w:color w:val="auto"/>
              </w:rPr>
              <w:t>Investor Inquiries:</w:t>
            </w:r>
          </w:p>
        </w:tc>
        <w:tc>
          <w:tcPr>
            <w:tcW w:w="554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Jill Sawyer</w:t>
            </w:r>
          </w:p>
        </w:tc>
        <w:tc>
          <w:tcPr>
            <w:tcW w:w="554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Senior Vice President, Investor Relations</w:t>
            </w:r>
          </w:p>
        </w:tc>
        <w:tc>
          <w:tcPr>
            <w:tcW w:w="5540" w:type="dxa"/>
            <w:vAlign w:val="bottom"/>
          </w:tcPr>
          <w:p>
            <w:pPr>
              <w:jc w:val="right"/>
              <w:spacing w:after="0"/>
              <w:rPr>
                <w:sz w:val="20"/>
                <w:szCs w:val="20"/>
                <w:color w:val="auto"/>
              </w:rPr>
            </w:pPr>
            <w:r>
              <w:rPr>
                <w:rFonts w:ascii="Arial" w:cs="Arial" w:eastAsia="Arial" w:hAnsi="Arial"/>
                <w:sz w:val="18"/>
                <w:szCs w:val="18"/>
                <w:color w:val="auto"/>
              </w:rPr>
              <w:t>Senior Director, Corporate Communications</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301.998.8265</w:t>
            </w:r>
          </w:p>
        </w:tc>
        <w:tc>
          <w:tcPr>
            <w:tcW w:w="554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39"/>
        </w:trPr>
        <w:tc>
          <w:tcPr>
            <w:tcW w:w="5340" w:type="dxa"/>
            <w:vAlign w:val="bottom"/>
          </w:tcPr>
          <w:p>
            <w:pPr>
              <w:ind w:left="20"/>
              <w:spacing w:after="0"/>
              <w:rPr>
                <w:sz w:val="20"/>
                <w:szCs w:val="20"/>
                <w:color w:val="auto"/>
              </w:rPr>
            </w:pPr>
            <w:r>
              <w:rPr>
                <w:rFonts w:ascii="Arial" w:cs="Arial" w:eastAsia="Arial" w:hAnsi="Arial"/>
                <w:sz w:val="18"/>
                <w:szCs w:val="18"/>
                <w:color w:val="auto"/>
              </w:rPr>
              <w:t>jsawyer@federalrealty.com</w:t>
            </w:r>
          </w:p>
        </w:tc>
        <w:tc>
          <w:tcPr>
            <w:tcW w:w="5540" w:type="dxa"/>
            <w:vAlign w:val="bottom"/>
          </w:tcPr>
          <w:p>
            <w:pPr>
              <w:jc w:val="right"/>
              <w:spacing w:after="0"/>
              <w:rPr>
                <w:sz w:val="20"/>
                <w:szCs w:val="20"/>
                <w:color w:val="auto"/>
              </w:rPr>
            </w:pPr>
            <w:r>
              <w:rPr>
                <w:rFonts w:ascii="Arial" w:cs="Arial" w:eastAsia="Arial" w:hAnsi="Arial"/>
                <w:sz w:val="18"/>
                <w:szCs w:val="18"/>
                <w:color w:val="auto"/>
              </w:rPr>
              <w:t>bpomar@federalrealty.com</w:t>
            </w:r>
          </w:p>
        </w:tc>
      </w:tr>
    </w:tbl>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Reports Third Quarter 2025 Results</w:t>
      </w:r>
    </w:p>
    <w:p>
      <w:pPr>
        <w:spacing w:after="0" w:line="249" w:lineRule="exact"/>
        <w:rPr>
          <w:sz w:val="20"/>
          <w:szCs w:val="20"/>
          <w:color w:val="auto"/>
        </w:rPr>
      </w:pPr>
    </w:p>
    <w:p>
      <w:pPr>
        <w:ind w:right="40"/>
        <w:spacing w:after="0" w:line="377" w:lineRule="auto"/>
        <w:rPr>
          <w:sz w:val="20"/>
          <w:szCs w:val="20"/>
          <w:color w:val="auto"/>
        </w:rPr>
      </w:pPr>
      <w:r>
        <w:rPr>
          <w:rFonts w:ascii="Arial" w:cs="Arial" w:eastAsia="Arial" w:hAnsi="Arial"/>
          <w:sz w:val="18"/>
          <w:szCs w:val="18"/>
          <w:color w:val="auto"/>
        </w:rPr>
        <w:t xml:space="preserve">NORTH BETHESDA, Md. (October 31, 2025)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its results for the third quarter ended September 30, 2025. For the three months ended September 30, 2025 and 2024, net income available for common shareholders was $0.69 per diluted share and $0.70 per diluted share, respectively. Operating income for the same periods was $110.7 million and $105.8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third quarter and subsequent to quarter-end include:</w:t>
      </w:r>
    </w:p>
    <w:p>
      <w:pPr>
        <w:spacing w:after="0" w:line="252" w:lineRule="exact"/>
        <w:rPr>
          <w:sz w:val="20"/>
          <w:szCs w:val="20"/>
          <w:color w:val="auto"/>
        </w:rPr>
      </w:pPr>
    </w:p>
    <w:p>
      <w:pPr>
        <w:ind w:left="6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NAREIT funds from operations available to common shareholders (FFO) per diluted share of $1.77 for the quarter, compared to $1.71 for the third quarter of 2024, an increase of 3.5%.</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an all-time record leasing volume of 727,029 square feet of comparable retail space over 123 leases with rent growth of:</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28% on a cash basis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43% on a straight-line basis</w:t>
      </w:r>
    </w:p>
    <w:p>
      <w:pPr>
        <w:spacing w:after="0" w:line="117" w:lineRule="exact"/>
        <w:rPr>
          <w:rFonts w:ascii="Arial" w:cs="Arial" w:eastAsia="Arial" w:hAnsi="Arial"/>
          <w:sz w:val="18"/>
          <w:szCs w:val="18"/>
          <w:color w:val="auto"/>
        </w:rPr>
      </w:pPr>
    </w:p>
    <w:p>
      <w:pPr>
        <w:ind w:left="660" w:right="44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comparable property operating income (POI) growth of 4.4%, excluding lease termination fees and prior period rents collected.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Reported comparable portfolio occupancy of 94.0% and a leased rate of 95.7% at quarter end, with:</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Occupancy up 40 basis points and leased rate up 10 basis points quarter-over-quarter</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Occupancy up 20 basis points and leased rate down 10 basis points year-over-year</w:t>
      </w:r>
    </w:p>
    <w:p>
      <w:pPr>
        <w:spacing w:after="0" w:line="103" w:lineRule="exact"/>
        <w:rPr>
          <w:rFonts w:ascii="Arial" w:cs="Arial" w:eastAsia="Arial" w:hAnsi="Arial"/>
          <w:sz w:val="18"/>
          <w:szCs w:val="18"/>
          <w:color w:val="auto"/>
        </w:rPr>
      </w:pPr>
    </w:p>
    <w:p>
      <w:pPr>
        <w:ind w:left="660" w:right="120" w:hanging="328"/>
        <w:spacing w:after="0" w:line="3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strong small shop leased rate, ending the quarter at 93.3% leased representing an increase of 20 basis points year-over-year.</w:t>
      </w:r>
    </w:p>
    <w:p>
      <w:pPr>
        <w:spacing w:after="0" w:line="1" w:lineRule="exact"/>
        <w:rPr>
          <w:rFonts w:ascii="Arial" w:cs="Arial" w:eastAsia="Arial" w:hAnsi="Arial"/>
          <w:sz w:val="18"/>
          <w:szCs w:val="18"/>
          <w:color w:val="auto"/>
        </w:rPr>
      </w:pPr>
    </w:p>
    <w:p>
      <w:pPr>
        <w:ind w:left="660" w:right="2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Subsequent to quarter end, announced the acquisition of Annapolis Town Center in Annapolis, Maryland totaling 479,000 square feet for a purchase price of $187 million.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Ended the quarter with approximately $1.3 billion in total liquidity.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Updated guidance for 2025 earnings per diluted share to $3.93 - $3.99.</w:t>
      </w:r>
    </w:p>
    <w:p>
      <w:pPr>
        <w:spacing w:after="0" w:line="117" w:lineRule="exact"/>
        <w:rPr>
          <w:rFonts w:ascii="Arial" w:cs="Arial" w:eastAsia="Arial" w:hAnsi="Arial"/>
          <w:sz w:val="18"/>
          <w:szCs w:val="18"/>
          <w:color w:val="auto"/>
        </w:rPr>
      </w:pPr>
    </w:p>
    <w:p>
      <w:pPr>
        <w:ind w:left="660" w:right="100" w:hanging="328"/>
        <w:spacing w:after="0" w:line="39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Raised guidance for 2025 FFO per diluted share to $7.05 - $7.11, which excludes $0.15 of one-time new market tax credit (“NMTC”) transaction income that occurred in the second quarter, representing 4.6% growth at the midpoint year-over-year.</w:t>
      </w:r>
    </w:p>
    <w:p>
      <w:pPr>
        <w:sectPr>
          <w:pgSz w:w="11900" w:h="16838" w:orient="portrait"/>
          <w:cols w:equalWidth="0" w:num="1">
            <w:col w:w="11240"/>
          </w:cols>
          <w:pgMar w:left="320" w:top="1440" w:right="3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40" w:right="339" w:bottom="1440" w:gutter="0" w:footer="0" w:header="0"/>
          <w:type w:val="continuous"/>
        </w:sectPr>
      </w:pPr>
    </w:p>
    <w:bookmarkStart w:id="6" w:name="page7"/>
    <w:bookmarkEnd w:id="6"/>
    <w:p>
      <w:pPr>
        <w:ind w:right="120"/>
        <w:spacing w:after="0" w:line="3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“Our third quarter performance reflects the strength of our portfolio and the discipline of our strategy,” said Donald C. Wood, Chief Executive Officer of Federal Realty. “Record leasing volume and some of the strongest rent spreads in our history underscore the demand for our properties and the power of our platform. We’re driving NOI growth and maintaining sharp focus on disciplined capital allocation that drives compounding growth over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w:t>
      </w:r>
      <w:r>
        <w:rPr>
          <w:rFonts w:ascii="Arial" w:cs="Arial" w:eastAsia="Arial" w:hAnsi="Arial"/>
          <w:sz w:val="18"/>
          <w:szCs w:val="18"/>
          <w:color w:val="auto"/>
        </w:rPr>
        <w:t>e</w:t>
      </w:r>
    </w:p>
    <w:p>
      <w:pPr>
        <w:spacing w:after="0" w:line="252"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For the third quarter 2025, net income available for common shareholders was $59.6 million and earnings per diluted share was $0.69 versus $58.9 million and $0.70, respectively, for the third quarter 2024.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FFO</w:t>
      </w:r>
    </w:p>
    <w:p>
      <w:pPr>
        <w:spacing w:after="0" w:line="250"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For the third quarter 2025, FFO was $153.0 million, or $1.77 per diluted share. This compares to $144.6 million, or $1.71 per diluted share for the third quarter 2024.</w:t>
      </w:r>
    </w:p>
    <w:p>
      <w:pPr>
        <w:spacing w:after="0" w:line="86" w:lineRule="exact"/>
        <w:rPr>
          <w:sz w:val="20"/>
          <w:szCs w:val="20"/>
          <w:color w:val="auto"/>
        </w:rPr>
      </w:pPr>
    </w:p>
    <w:p>
      <w:pPr>
        <w:ind w:right="20"/>
        <w:spacing w:after="0" w:line="396"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operational metrics for the commercial portfolio are as of September 30, 2025:</w:t>
      </w:r>
    </w:p>
    <w:p>
      <w:pPr>
        <w:spacing w:after="0" w:line="10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comparable portfolio occupancy was 94.0%, up 40 basis points sequentially and up 20 basis points year-over-year.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Comparable portfolio leased rate was 95.7%, up 10 basis points sequentially and down 10 basis points year-over-year.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 shop leased rate was 93.3%, down 10 basis points sequentially and up 20 basis points year-over-year.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residential leased rate was 96.0% as of September 30, 2025.</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Activity</w:t>
      </w:r>
    </w:p>
    <w:p>
      <w:pPr>
        <w:spacing w:after="0" w:line="250"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During the third quarter 2025, Federal Realty signed 132 leases totaling 774,890 square feet of retail space. On a comparable space basis, the company signed 123 leases for 727,029 square feet at an average rent of $35.71 per square foot, compared to $27.85 under prior leases, representing a 28% increase on a cash basis and 43% increase on a straight-line basis.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Activity</w:t>
      </w:r>
    </w:p>
    <w:p>
      <w:pPr>
        <w:spacing w:after="0" w:line="250" w:lineRule="exact"/>
        <w:rPr>
          <w:sz w:val="20"/>
          <w:szCs w:val="20"/>
          <w:color w:val="auto"/>
        </w:rPr>
      </w:pPr>
    </w:p>
    <w:p>
      <w:pPr>
        <w:ind w:left="660" w:right="20" w:hanging="328"/>
        <w:spacing w:after="0" w:line="3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October 10, 2025 – acquired Annapolis Town Center, a premier open-air retail center in Annapolis, MD totaling approximately 479,000 square feet, for $187 million.</w:t>
      </w:r>
    </w:p>
    <w:p>
      <w:pPr>
        <w:ind w:left="660" w:hanging="328"/>
        <w:spacing w:after="0" w:line="39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July 1, 2025 – acquired Town Center Crossing and Town Center Plaza, two dominant open-air retail centers in Leawood, KS totaling approximately 552,000 square feet, for $289 million.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2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Regular Quarterly Dividends</w:t>
      </w:r>
    </w:p>
    <w:p>
      <w:pPr>
        <w:spacing w:after="0" w:line="252"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Federal Realty announced today that its Board of Trustees declared a regular quarterly cash dividend of $1.13 per common share, resulting in an indicated annual rate of $4.52 per common share. The regular common dividend will be payable on January 15, 2026 to common shareholders of record as of January 2, 2026.</w:t>
      </w:r>
    </w:p>
    <w:p>
      <w:pPr>
        <w:spacing w:after="0" w:line="102"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January 15, 2026 to shareholders of record as of January 2, 2026.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Guidance</w:t>
      </w:r>
    </w:p>
    <w:p>
      <w:pPr>
        <w:spacing w:after="0" w:line="252" w:lineRule="exact"/>
        <w:rPr>
          <w:sz w:val="20"/>
          <w:szCs w:val="20"/>
          <w:color w:val="auto"/>
        </w:rPr>
      </w:pPr>
    </w:p>
    <w:p>
      <w:pPr>
        <w:jc w:val="both"/>
        <w:ind w:right="20"/>
        <w:spacing w:after="0" w:line="396" w:lineRule="auto"/>
        <w:rPr>
          <w:sz w:val="20"/>
          <w:szCs w:val="20"/>
          <w:color w:val="auto"/>
        </w:rPr>
      </w:pPr>
      <w:r>
        <w:rPr>
          <w:rFonts w:ascii="Arial" w:cs="Arial" w:eastAsia="Arial" w:hAnsi="Arial"/>
          <w:sz w:val="18"/>
          <w:szCs w:val="18"/>
          <w:color w:val="auto"/>
        </w:rPr>
        <w:t>Federal Realty has tightened its 2025 earnings per diluted share guidance and raised and tightened its 2025 FFO guidance, as summarized in the table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Full Year 2025 Guidance</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Revised Guidance</w:t>
            </w:r>
          </w:p>
        </w:tc>
        <w:tc>
          <w:tcPr>
            <w:tcW w:w="1180" w:type="dxa"/>
            <w:vAlign w:val="bottom"/>
          </w:tcPr>
          <w:p>
            <w:pPr>
              <w:spacing w:after="0"/>
              <w:rPr>
                <w:sz w:val="17"/>
                <w:szCs w:val="17"/>
                <w:color w:val="auto"/>
              </w:rPr>
            </w:pPr>
          </w:p>
        </w:tc>
        <w:tc>
          <w:tcPr>
            <w:tcW w:w="186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Prior Guidance</w:t>
            </w:r>
          </w:p>
        </w:tc>
      </w:tr>
      <w:tr>
        <w:trPr>
          <w:trHeight w:val="20"/>
        </w:trPr>
        <w:tc>
          <w:tcPr>
            <w:tcW w:w="4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0"/>
        </w:trPr>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diluted share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$3.93 to $3.99</w:t>
            </w:r>
          </w:p>
        </w:tc>
        <w:tc>
          <w:tcPr>
            <w:tcW w:w="1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rPr>
              <w:t>$3.91 to $4.01</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2025</w:t>
            </w:r>
          </w:p>
        </w:tc>
        <w:tc>
          <w:tcPr>
            <w:tcW w:w="6280" w:type="dxa"/>
            <w:vAlign w:val="bottom"/>
          </w:tcPr>
          <w:p>
            <w:pPr>
              <w:ind w:left="20"/>
              <w:spacing w:after="0"/>
              <w:rPr>
                <w:sz w:val="20"/>
                <w:szCs w:val="20"/>
                <w:color w:val="auto"/>
              </w:rPr>
            </w:pPr>
            <w:r>
              <w:rPr>
                <w:rFonts w:ascii="Arial" w:cs="Arial" w:eastAsia="Arial" w:hAnsi="Arial"/>
                <w:sz w:val="18"/>
                <w:szCs w:val="18"/>
                <w:color w:val="auto"/>
              </w:rPr>
              <w:t>FFO per diluted share</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$7.20 to $7.26</w:t>
            </w:r>
          </w:p>
        </w:tc>
        <w:tc>
          <w:tcPr>
            <w:tcW w:w="1180" w:type="dxa"/>
            <w:vAlign w:val="bottom"/>
          </w:tcPr>
          <w:p>
            <w:pPr>
              <w:spacing w:after="0"/>
              <w:rPr>
                <w:sz w:val="19"/>
                <w:szCs w:val="19"/>
                <w:color w:val="auto"/>
              </w:rPr>
            </w:pPr>
          </w:p>
        </w:tc>
        <w:tc>
          <w:tcPr>
            <w:tcW w:w="1860" w:type="dxa"/>
            <w:vAlign w:val="bottom"/>
            <w:gridSpan w:val="2"/>
          </w:tcPr>
          <w:p>
            <w:pPr>
              <w:jc w:val="center"/>
              <w:ind w:right="660"/>
              <w:spacing w:after="0"/>
              <w:rPr>
                <w:sz w:val="20"/>
                <w:szCs w:val="20"/>
                <w:color w:val="auto"/>
              </w:rPr>
            </w:pPr>
            <w:r>
              <w:rPr>
                <w:rFonts w:ascii="Arial" w:cs="Arial" w:eastAsia="Arial" w:hAnsi="Arial"/>
                <w:sz w:val="18"/>
                <w:szCs w:val="18"/>
                <w:color w:val="auto"/>
              </w:rPr>
              <w:t>$7.16 to $7.26</w:t>
            </w:r>
          </w:p>
        </w:tc>
      </w:tr>
      <w:tr>
        <w:trPr>
          <w:trHeight w:val="230"/>
        </w:trPr>
        <w:tc>
          <w:tcPr>
            <w:tcW w:w="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2025</w:t>
            </w:r>
          </w:p>
        </w:tc>
        <w:tc>
          <w:tcPr>
            <w:tcW w:w="6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i w:val="1"/>
                <w:iCs w:val="1"/>
                <w:color w:val="auto"/>
              </w:rPr>
              <w:t>FFO per diluted share, excluding NMTC transaction income</w:t>
            </w:r>
            <w:r>
              <w:rPr>
                <w:rFonts w:ascii="Arial" w:cs="Arial" w:eastAsia="Arial" w:hAnsi="Arial"/>
                <w:sz w:val="23"/>
                <w:szCs w:val="23"/>
                <w:i w:val="1"/>
                <w:iCs w:val="1"/>
                <w:color w:val="auto"/>
                <w:vertAlign w:val="superscript"/>
              </w:rPr>
              <w:t>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$7.05 to $7.11</w:t>
            </w:r>
          </w:p>
        </w:tc>
        <w:tc>
          <w:tcPr>
            <w:tcW w:w="1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i w:val="1"/>
                <w:iCs w:val="1"/>
                <w:color w:val="auto"/>
                <w:w w:val="99"/>
              </w:rPr>
              <w:t>$7.01 to $7.11</w:t>
            </w:r>
          </w:p>
        </w:tc>
      </w:tr>
    </w:tbl>
    <w:p>
      <w:pPr>
        <w:spacing w:after="0" w:line="12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further discussion of NMTC transaction income in Form 10-Q filed with the Securities and Exchange Commission on August 6, 2025.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2" w:lineRule="exact"/>
        <w:rPr>
          <w:sz w:val="20"/>
          <w:szCs w:val="20"/>
          <w:color w:val="auto"/>
        </w:rPr>
      </w:pPr>
    </w:p>
    <w:p>
      <w:pPr>
        <w:spacing w:after="0" w:line="373" w:lineRule="auto"/>
        <w:rPr>
          <w:sz w:val="20"/>
          <w:szCs w:val="20"/>
          <w:color w:val="auto"/>
        </w:rPr>
      </w:pPr>
      <w:r>
        <w:rPr>
          <w:rFonts w:ascii="Arial" w:cs="Arial" w:eastAsia="Arial" w:hAnsi="Arial"/>
          <w:sz w:val="18"/>
          <w:szCs w:val="18"/>
          <w:color w:val="auto"/>
        </w:rPr>
        <w:t>Federal Realty’s management team will present an in-depth discussion of Federal Realty’s operating performance on its third quarter 2025 earnings conference call, which is scheduled for Friday, October 31, 2025 at 9:00 AM ET. To participate, please call 833-821-4548 or 412-652-1258 prior to the call start time. The teleconference can also be accessed via a live webcast at www.federalrealty.com in the Investors section. A replay of the webcast will be available on Federal Realty’s website at www.federalrealty.com. A telephonic replay of the conference call will also be available through November 14, 2025 by dialing 844-512-2921 or 412-317-6671; Passcode: 10203351.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52" w:lineRule="exact"/>
        <w:rPr>
          <w:sz w:val="20"/>
          <w:szCs w:val="20"/>
          <w:color w:val="auto"/>
        </w:rPr>
      </w:pPr>
    </w:p>
    <w:p>
      <w:pPr>
        <w:ind w:right="60"/>
        <w:spacing w:after="0" w:line="368"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retail-based properties located primarily in major coastal markets and select underserved regions with strong economic and demographic fundamentals. Founded in 1962, Federal Realty's mission is to deliver long-term, sustainable growth through investing in communities where retail demand exceeds supply. This includes a portfolio of open-air shopping centers and mixed-use destinations—such as Santana Row, Pike &amp; Rose and Assembly Row— which together reflect the company's ability to create distinctive, high-performing environments that serve as vibrant destinations for their communities. Federal Realty's 103 properties include approximately 3,600 tenants in 27.9 million commercial square feet, and approximately 3,000 residential units.</w:t>
      </w:r>
    </w:p>
    <w:p>
      <w:pPr>
        <w:spacing w:after="0" w:line="114" w:lineRule="exact"/>
        <w:rPr>
          <w:sz w:val="20"/>
          <w:szCs w:val="20"/>
          <w:color w:val="auto"/>
        </w:rPr>
      </w:pPr>
    </w:p>
    <w:p>
      <w:pPr>
        <w:ind w:right="20"/>
        <w:spacing w:after="0" w:line="386" w:lineRule="auto"/>
        <w:rPr>
          <w:sz w:val="20"/>
          <w:szCs w:val="20"/>
          <w:color w:val="auto"/>
        </w:rPr>
      </w:pPr>
      <w:r>
        <w:rPr>
          <w:rFonts w:ascii="Arial" w:cs="Arial" w:eastAsia="Arial" w:hAnsi="Arial"/>
          <w:sz w:val="18"/>
          <w:szCs w:val="18"/>
          <w:color w:val="auto"/>
        </w:rPr>
        <w:t>Federal Realty has increased its quarterly dividends to its shareholders for 58 consecutive years, the longest record in the REIT industry. The company is an S&amp;P 500 index member and its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2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Safe Harbor Language</w:t>
      </w: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2025 and include the following:</w:t>
      </w:r>
    </w:p>
    <w:p>
      <w:pPr>
        <w:spacing w:after="0" w:line="211" w:lineRule="exact"/>
        <w:rPr>
          <w:sz w:val="20"/>
          <w:szCs w:val="20"/>
          <w:color w:val="auto"/>
        </w:rPr>
      </w:pPr>
    </w:p>
    <w:p>
      <w:pPr>
        <w:ind w:left="980" w:right="60" w:hanging="324"/>
        <w:spacing w:after="0" w:line="280" w:lineRule="auto"/>
        <w:tabs>
          <w:tab w:leader="none" w:pos="976" w:val="left"/>
        </w:tabs>
        <w:numPr>
          <w:ilvl w:val="0"/>
          <w:numId w:val="8"/>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right="200" w:hanging="324"/>
        <w:spacing w:after="0" w:line="254" w:lineRule="auto"/>
        <w:tabs>
          <w:tab w:leader="none" w:pos="976"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Arial" w:cs="Arial" w:eastAsia="Arial" w:hAnsi="Arial"/>
          <w:sz w:val="14"/>
          <w:szCs w:val="14"/>
          <w:i w:val="1"/>
          <w:iCs w:val="1"/>
          <w:color w:val="auto"/>
        </w:rPr>
      </w:pPr>
    </w:p>
    <w:p>
      <w:pPr>
        <w:ind w:left="980" w:hanging="324"/>
        <w:spacing w:after="0" w:line="257" w:lineRule="auto"/>
        <w:tabs>
          <w:tab w:leader="none" w:pos="976"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 w:lineRule="exact"/>
        <w:rPr>
          <w:rFonts w:ascii="Arial" w:cs="Arial" w:eastAsia="Arial" w:hAnsi="Arial"/>
          <w:sz w:val="14"/>
          <w:szCs w:val="14"/>
          <w:i w:val="1"/>
          <w:iCs w:val="1"/>
          <w:color w:val="auto"/>
        </w:rPr>
      </w:pPr>
    </w:p>
    <w:p>
      <w:pPr>
        <w:ind w:left="980" w:hanging="324"/>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risks that our growth will be limited if we cannot obtain additional capital, or if the costs of capital we obtain are significantly higher than historical levels;</w:t>
      </w:r>
    </w:p>
    <w:p>
      <w:pPr>
        <w:spacing w:after="0" w:line="14" w:lineRule="exact"/>
        <w:rPr>
          <w:rFonts w:ascii="Arial" w:cs="Arial" w:eastAsia="Arial" w:hAnsi="Arial"/>
          <w:sz w:val="14"/>
          <w:szCs w:val="14"/>
          <w:color w:val="auto"/>
        </w:rPr>
      </w:pPr>
    </w:p>
    <w:p>
      <w:pPr>
        <w:ind w:left="980" w:hanging="324"/>
        <w:spacing w:after="0"/>
        <w:tabs>
          <w:tab w:leader="none" w:pos="98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inflation, tariffs, and local economic conditions in our geographic markets;</w:t>
      </w:r>
    </w:p>
    <w:p>
      <w:pPr>
        <w:spacing w:after="0" w:line="14" w:lineRule="exact"/>
        <w:rPr>
          <w:rFonts w:ascii="Arial" w:cs="Arial" w:eastAsia="Arial" w:hAnsi="Arial"/>
          <w:sz w:val="14"/>
          <w:szCs w:val="14"/>
          <w:i w:val="1"/>
          <w:iCs w:val="1"/>
          <w:color w:val="auto"/>
        </w:rPr>
      </w:pPr>
    </w:p>
    <w:p>
      <w:pPr>
        <w:ind w:left="980" w:right="320" w:hanging="324"/>
        <w:spacing w:after="0" w:line="251" w:lineRule="auto"/>
        <w:tabs>
          <w:tab w:leader="none" w:pos="976"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980" w:hanging="324"/>
        <w:spacing w:after="0" w:line="261" w:lineRule="auto"/>
        <w:tabs>
          <w:tab w:leader="none" w:pos="976"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4"/>
          <w:szCs w:val="14"/>
          <w:i w:val="1"/>
          <w:iCs w:val="1"/>
          <w:color w:val="auto"/>
        </w:rPr>
      </w:pPr>
    </w:p>
    <w:p>
      <w:pPr>
        <w:jc w:val="both"/>
        <w:ind w:left="980" w:right="60" w:hanging="324"/>
        <w:spacing w:after="0" w:line="262" w:lineRule="auto"/>
        <w:tabs>
          <w:tab w:leader="none" w:pos="976"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365"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2025 and subsequent quarterly reports on Form 10-Q.</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28"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21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r>
      <w:tr>
        <w:trPr>
          <w:trHeight w:val="23"/>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9"/>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866,199</w:t>
            </w:r>
          </w:p>
        </w:tc>
      </w:tr>
      <w:tr>
        <w:trPr>
          <w:trHeight w:val="229"/>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property income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23,973</w:t>
            </w:r>
          </w:p>
        </w:tc>
      </w:tr>
      <w:tr>
        <w:trPr>
          <w:trHeight w:val="230"/>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23"/>
        </w:trPr>
        <w:tc>
          <w:tcPr>
            <w:tcW w:w="61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942,930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891,008</w:t>
            </w:r>
          </w:p>
        </w:tc>
      </w:tr>
      <w:tr>
        <w:trPr>
          <w:trHeight w:val="21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184,448</w:t>
            </w:r>
          </w:p>
        </w:tc>
      </w:tr>
      <w:tr>
        <w:trPr>
          <w:trHeight w:val="229"/>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105,402</w:t>
            </w:r>
          </w:p>
        </w:tc>
      </w:tr>
      <w:tr>
        <w:trPr>
          <w:trHeight w:val="230"/>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34,920</w:t>
            </w:r>
          </w:p>
        </w:tc>
      </w:tr>
      <w:tr>
        <w:trPr>
          <w:trHeight w:val="229"/>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270,464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255,481</w:t>
            </w:r>
          </w:p>
        </w:tc>
      </w:tr>
      <w:tr>
        <w:trPr>
          <w:trHeight w:val="223"/>
        </w:trPr>
        <w:tc>
          <w:tcPr>
            <w:tcW w:w="61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211,585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580,251</w:t>
            </w:r>
          </w:p>
        </w:tc>
      </w:tr>
      <w:tr>
        <w:trPr>
          <w:trHeight w:val="250"/>
        </w:trPr>
        <w:tc>
          <w:tcPr>
            <w:tcW w:w="6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9"/>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52,280</w:t>
            </w:r>
          </w:p>
        </w:tc>
      </w:tr>
      <w:tr>
        <w:trPr>
          <w:trHeight w:val="229"/>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1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363,037</w:t>
            </w:r>
          </w:p>
        </w:tc>
      </w:tr>
      <w:tr>
        <w:trPr>
          <w:trHeight w:val="270"/>
        </w:trPr>
        <w:tc>
          <w:tcPr>
            <w:tcW w:w="6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interest income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r>
      <w:tr>
        <w:trPr>
          <w:trHeight w:val="230"/>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(132,242)</w:t>
            </w:r>
          </w:p>
        </w:tc>
      </w:tr>
      <w:tr>
        <w:trPr>
          <w:trHeight w:val="230"/>
        </w:trPr>
        <w:tc>
          <w:tcPr>
            <w:tcW w:w="6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236,132</w:t>
            </w:r>
          </w:p>
        </w:tc>
      </w:tr>
      <w:tr>
        <w:trPr>
          <w:trHeight w:val="229"/>
        </w:trPr>
        <w:tc>
          <w:tcPr>
            <w:tcW w:w="61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(6,461)</w:t>
            </w: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229,671</w:t>
            </w:r>
          </w:p>
        </w:tc>
      </w:tr>
      <w:tr>
        <w:trPr>
          <w:trHeight w:val="229"/>
        </w:trPr>
        <w:tc>
          <w:tcPr>
            <w:tcW w:w="6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223,647</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 AND DILUTED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8"/>
        </w:trPr>
        <w:tc>
          <w:tcPr>
            <w:tcW w:w="6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83,180</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22"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580" w:type="dxa"/>
            <w:vAlign w:val="bottom"/>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r>
      <w:tr>
        <w:trPr>
          <w:trHeight w:val="128"/>
        </w:trPr>
        <w:tc>
          <w:tcPr>
            <w:tcW w:w="8580" w:type="dxa"/>
            <w:vAlign w:val="bottom"/>
          </w:tcPr>
          <w:p>
            <w:pPr>
              <w:spacing w:after="0"/>
              <w:rPr>
                <w:sz w:val="11"/>
                <w:szCs w:val="11"/>
                <w:color w:val="auto"/>
              </w:rPr>
            </w:pPr>
          </w:p>
        </w:tc>
        <w:tc>
          <w:tcPr>
            <w:tcW w:w="2620" w:type="dxa"/>
            <w:vAlign w:val="bottom"/>
            <w:gridSpan w:val="5"/>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r>
      <w:tr>
        <w:trPr>
          <w:trHeight w:val="190"/>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data)</w:t>
            </w:r>
          </w:p>
        </w:tc>
        <w:tc>
          <w:tcPr>
            <w:tcW w:w="1100" w:type="dxa"/>
            <w:vAlign w:val="bottom"/>
          </w:tcPr>
          <w:p>
            <w:pPr>
              <w:spacing w:after="0"/>
              <w:rPr>
                <w:sz w:val="16"/>
                <w:szCs w:val="16"/>
                <w:color w:val="auto"/>
              </w:rPr>
            </w:pPr>
          </w:p>
        </w:tc>
      </w:tr>
      <w:tr>
        <w:trPr>
          <w:trHeight w:val="191"/>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estate, at cost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(including $1,827,346 and $1,825,656 of consolidated variable interest entities, respectively)</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11,035,704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10,363,961</w:t>
            </w:r>
          </w:p>
        </w:tc>
      </w:tr>
      <w:tr>
        <w:trPr>
          <w:trHeight w:val="175"/>
        </w:trPr>
        <w:tc>
          <w:tcPr>
            <w:tcW w:w="858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$25,395 and $9,939 of consolidated variable interest entities,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338,990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539,752</w:t>
            </w:r>
          </w:p>
        </w:tc>
      </w:tr>
      <w:tr>
        <w:trPr>
          <w:trHeight w:val="223"/>
        </w:trPr>
        <w:tc>
          <w:tcPr>
            <w:tcW w:w="8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11,374,694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10,903,713</w:t>
            </w:r>
          </w:p>
        </w:tc>
      </w:tr>
      <w:tr>
        <w:trPr>
          <w:trHeight w:val="175"/>
        </w:trPr>
        <w:tc>
          <w:tcPr>
            <w:tcW w:w="858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$456,303 and $424,044 of consolidated variable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(3,326,160)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(3,152,799)</w:t>
            </w:r>
          </w:p>
        </w:tc>
      </w:tr>
      <w:tr>
        <w:trPr>
          <w:trHeight w:val="223"/>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real estate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8,048,534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7,750,914</w:t>
            </w:r>
          </w:p>
        </w:tc>
      </w:tr>
      <w:tr>
        <w:trPr>
          <w:trHeight w:val="230"/>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123,409</w:t>
            </w:r>
          </w:p>
        </w:tc>
      </w:tr>
      <w:tr>
        <w:trPr>
          <w:trHeight w:val="229"/>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229,080</w:t>
            </w:r>
          </w:p>
        </w:tc>
      </w:tr>
      <w:tr>
        <w:trPr>
          <w:trHeight w:val="229"/>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w:t>
            </w:r>
          </w:p>
        </w:tc>
      </w:tr>
      <w:tr>
        <w:trPr>
          <w:trHeight w:val="230"/>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33,458</w:t>
            </w:r>
          </w:p>
        </w:tc>
      </w:tr>
      <w:tr>
        <w:trPr>
          <w:trHeight w:val="229"/>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85,806</w:t>
            </w:r>
          </w:p>
        </w:tc>
      </w:tr>
      <w:tr>
        <w:trPr>
          <w:trHeight w:val="230"/>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right of use assets,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r>
      <w:tr>
        <w:trPr>
          <w:trHeight w:val="229"/>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330,355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286,316</w:t>
            </w: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8,862,225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8,524,757</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858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$183,493 and $186,643 of consolidated variable interest entities,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514,378</w:t>
            </w:r>
          </w:p>
        </w:tc>
      </w:tr>
      <w:tr>
        <w:trPr>
          <w:trHeight w:val="230"/>
        </w:trPr>
        <w:tc>
          <w:tcPr>
            <w:tcW w:w="8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Notes payable,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601,414</w:t>
            </w:r>
          </w:p>
        </w:tc>
      </w:tr>
      <w:tr>
        <w:trPr>
          <w:trHeight w:val="229"/>
        </w:trPr>
        <w:tc>
          <w:tcPr>
            <w:tcW w:w="8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3,362,468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3,357,840</w:t>
            </w:r>
          </w:p>
        </w:tc>
      </w:tr>
      <w:tr>
        <w:trPr>
          <w:trHeight w:val="230"/>
        </w:trPr>
        <w:tc>
          <w:tcPr>
            <w:tcW w:w="8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183,564</w:t>
            </w:r>
          </w:p>
        </w:tc>
      </w:tr>
      <w:tr>
        <w:trPr>
          <w:trHeight w:val="230"/>
        </w:trPr>
        <w:tc>
          <w:tcPr>
            <w:tcW w:w="8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96,743</w:t>
            </w:r>
          </w:p>
        </w:tc>
      </w:tr>
      <w:tr>
        <w:trPr>
          <w:trHeight w:val="230"/>
        </w:trPr>
        <w:tc>
          <w:tcPr>
            <w:tcW w:w="8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30,941</w:t>
            </w:r>
          </w:p>
        </w:tc>
      </w:tr>
      <w:tr>
        <w:trPr>
          <w:trHeight w:val="229"/>
        </w:trPr>
        <w:tc>
          <w:tcPr>
            <w:tcW w:w="8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74,837</w:t>
            </w:r>
          </w:p>
        </w:tc>
      </w:tr>
      <w:tr>
        <w:trPr>
          <w:trHeight w:val="230"/>
        </w:trPr>
        <w:tc>
          <w:tcPr>
            <w:tcW w:w="8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12,783</w:t>
            </w:r>
          </w:p>
        </w:tc>
      </w:tr>
      <w:tr>
        <w:trPr>
          <w:trHeight w:val="230"/>
        </w:trPr>
        <w:tc>
          <w:tcPr>
            <w:tcW w:w="8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227,827</w:t>
            </w:r>
          </w:p>
        </w:tc>
      </w:tr>
      <w:tr>
        <w:trPr>
          <w:trHeight w:val="223"/>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5,396,396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5,100,327</w:t>
            </w:r>
          </w:p>
        </w:tc>
      </w:tr>
      <w:tr>
        <w:trPr>
          <w:trHeight w:val="230"/>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180,286</w:t>
            </w:r>
          </w:p>
        </w:tc>
      </w:tr>
      <w:tr>
        <w:trPr>
          <w:trHeight w:val="230"/>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Preferred shares, authorized 15,000,000 shares, $.01 par:</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5"/>
        </w:trPr>
        <w:tc>
          <w:tcPr>
            <w:tcW w:w="858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176"/>
        </w:trPr>
        <w:tc>
          <w:tcPr>
            <w:tcW w:w="858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8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392,878 shares issued and outstanding</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r>
      <w:tr>
        <w:trPr>
          <w:trHeight w:val="175"/>
        </w:trPr>
        <w:tc>
          <w:tcPr>
            <w:tcW w:w="858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$.01 par, 200,000,000 shares authorized, 86,265,563 and 85,666,220</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29"/>
        </w:trPr>
        <w:tc>
          <w:tcPr>
            <w:tcW w:w="8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4,306,262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4,248,824</w:t>
            </w:r>
          </w:p>
        </w:tc>
      </w:tr>
      <w:tr>
        <w:trPr>
          <w:trHeight w:val="230"/>
        </w:trPr>
        <w:tc>
          <w:tcPr>
            <w:tcW w:w="8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(1,242,654)</w:t>
            </w:r>
          </w:p>
        </w:tc>
      </w:tr>
      <w:tr>
        <w:trPr>
          <w:trHeight w:val="230"/>
        </w:trPr>
        <w:tc>
          <w:tcPr>
            <w:tcW w:w="8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w:t>
            </w:r>
          </w:p>
        </w:tc>
      </w:tr>
      <w:tr>
        <w:trPr>
          <w:trHeight w:val="223"/>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3,214,558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3,171,594</w:t>
            </w:r>
          </w:p>
        </w:tc>
      </w:tr>
      <w:tr>
        <w:trPr>
          <w:trHeight w:val="229"/>
        </w:trPr>
        <w:tc>
          <w:tcPr>
            <w:tcW w:w="8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72,550</w:t>
            </w:r>
          </w:p>
        </w:tc>
      </w:tr>
      <w:tr>
        <w:trPr>
          <w:trHeight w:val="223"/>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3,285,145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3,244,144</w:t>
            </w: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8,862,225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8,524,757</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0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00"/>
          </w:cols>
          <w:pgMar w:left="340" w:top="1022" w:right="359"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Funds From Operations / Other Supplemental Information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2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5"/>
        </w:trPr>
        <w:tc>
          <w:tcPr>
            <w:tcW w:w="6080" w:type="dxa"/>
            <w:vAlign w:val="bottom"/>
            <w:gridSpan w:val="7"/>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Funds from Operations available for common shareholders (FFO) (1)</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60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291,033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236,132</w:t>
            </w:r>
          </w:p>
        </w:tc>
      </w:tr>
      <w:tr>
        <w:trPr>
          <w:trHeight w:val="229"/>
        </w:trPr>
        <w:tc>
          <w:tcPr>
            <w:tcW w:w="60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(6,461)</w:t>
            </w:r>
          </w:p>
        </w:tc>
      </w:tr>
      <w:tr>
        <w:trPr>
          <w:trHeight w:val="230"/>
        </w:trPr>
        <w:tc>
          <w:tcPr>
            <w:tcW w:w="60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(77,672)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(52,280)</w:t>
            </w:r>
          </w:p>
        </w:tc>
      </w:tr>
      <w:tr>
        <w:trPr>
          <w:trHeight w:val="229"/>
        </w:trPr>
        <w:tc>
          <w:tcPr>
            <w:tcW w:w="60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236,251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225,676</w:t>
            </w:r>
          </w:p>
        </w:tc>
      </w:tr>
      <w:tr>
        <w:trPr>
          <w:trHeight w:val="229"/>
        </w:trPr>
        <w:tc>
          <w:tcPr>
            <w:tcW w:w="608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30,464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24,673</w:t>
            </w: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Funds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470,376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427,740</w:t>
            </w:r>
          </w:p>
        </w:tc>
      </w:tr>
      <w:tr>
        <w:trPr>
          <w:trHeight w:val="229"/>
        </w:trPr>
        <w:tc>
          <w:tcPr>
            <w:tcW w:w="60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Dividends on preferred shares (2)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(5,625)</w:t>
            </w:r>
          </w:p>
        </w:tc>
      </w:tr>
      <w:tr>
        <w:trPr>
          <w:trHeight w:val="230"/>
        </w:trPr>
        <w:tc>
          <w:tcPr>
            <w:tcW w:w="60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2,068</w:t>
            </w:r>
          </w:p>
        </w:tc>
      </w:tr>
      <w:tr>
        <w:trPr>
          <w:trHeight w:val="229"/>
        </w:trPr>
        <w:tc>
          <w:tcPr>
            <w:tcW w:w="608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(1,524)</w:t>
            </w: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060" w:type="dxa"/>
            <w:vAlign w:val="bottom"/>
            <w:tcBorders>
              <w:bottom w:val="single" w:sz="8" w:color="CCEEFF"/>
            </w:tcBorders>
            <w:gridSpan w:val="6"/>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FFO (3)</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153,045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144,598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465,061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422,659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80" w:type="dxa"/>
            <w:vAlign w:val="bottom"/>
            <w:gridSpan w:val="7"/>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 diluted (2)(4)</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86,599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84,714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86,463</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
              <w:spacing w:after="0" w:line="203" w:lineRule="exact"/>
              <w:rPr>
                <w:sz w:val="20"/>
                <w:szCs w:val="20"/>
                <w:color w:val="auto"/>
              </w:rPr>
            </w:pPr>
            <w:r>
              <w:rPr>
                <w:rFonts w:ascii="Times New Roman" w:cs="Times New Roman" w:eastAsia="Times New Roman" w:hAnsi="Times New Roman"/>
                <w:sz w:val="18"/>
                <w:szCs w:val="18"/>
                <w:color w:val="auto"/>
              </w:rPr>
              <w:t>83,904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02"/>
        </w:trPr>
        <w:tc>
          <w:tcPr>
            <w:tcW w:w="6080" w:type="dxa"/>
            <w:vAlign w:val="bottom"/>
            <w:gridSpan w:val="7"/>
          </w:tcPr>
          <w:p>
            <w:pPr>
              <w:ind w:left="20"/>
              <w:spacing w:after="0" w:line="202" w:lineRule="exact"/>
              <w:rPr>
                <w:sz w:val="20"/>
                <w:szCs w:val="20"/>
                <w:color w:val="auto"/>
              </w:rPr>
            </w:pPr>
            <w:r>
              <w:rPr>
                <w:rFonts w:ascii="Times New Roman" w:cs="Times New Roman" w:eastAsia="Times New Roman" w:hAnsi="Times New Roman"/>
                <w:sz w:val="18"/>
                <w:szCs w:val="18"/>
                <w:color w:val="auto"/>
              </w:rPr>
              <w:t>FFO per diluted share (3)(4)</w:t>
            </w:r>
          </w:p>
        </w:tc>
        <w:tc>
          <w:tcPr>
            <w:tcW w:w="280" w:type="dxa"/>
            <w:vAlign w:val="bottom"/>
            <w:tcBorders>
              <w:bottom w:val="single" w:sz="8" w:color="auto"/>
            </w:tcBorders>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5.04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89"/>
        </w:trPr>
        <w:tc>
          <w:tcPr>
            <w:tcW w:w="608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auto"/>
              </w:rPr>
              <w:t>Dividends and Payout Ratios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9"/>
        </w:trPr>
        <w:tc>
          <w:tcPr>
            <w:tcW w:w="60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Regular common dividends declared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287,282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275,006</w:t>
            </w:r>
          </w:p>
        </w:tc>
      </w:tr>
      <w:tr>
        <w:trPr>
          <w:trHeight w:val="338"/>
        </w:trPr>
        <w:tc>
          <w:tcPr>
            <w:tcW w:w="60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Dividend payout ratio as a percentage of FFO</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108"/>
        </w:trPr>
        <w:tc>
          <w:tcPr>
            <w:tcW w:w="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189"/>
        </w:trPr>
        <w:tc>
          <w:tcPr>
            <w:tcW w:w="608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auto"/>
              </w:rPr>
              <w:t>Summary of Capital Expenditures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0"/>
        </w:trPr>
        <w:tc>
          <w:tcPr>
            <w:tcW w:w="60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Non-maintenance capital expenditures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6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Development, redevelopment and expansions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127,165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108,398</w:t>
            </w:r>
          </w:p>
        </w:tc>
      </w:tr>
      <w:tr>
        <w:trPr>
          <w:trHeight w:val="230"/>
        </w:trPr>
        <w:tc>
          <w:tcPr>
            <w:tcW w:w="20" w:type="dxa"/>
            <w:vAlign w:val="bottom"/>
            <w:shd w:val="clear" w:color="auto" w:fill="CCEEFF"/>
          </w:tcPr>
          <w:p>
            <w:pPr>
              <w:spacing w:after="0"/>
              <w:rPr>
                <w:sz w:val="19"/>
                <w:szCs w:val="19"/>
                <w:color w:val="auto"/>
              </w:rPr>
            </w:pPr>
          </w:p>
        </w:tc>
        <w:tc>
          <w:tcPr>
            <w:tcW w:w="606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Tenant improvements and incentives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58,411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64,438</w:t>
            </w:r>
          </w:p>
        </w:tc>
      </w:tr>
      <w:tr>
        <w:trPr>
          <w:trHeight w:val="223"/>
        </w:trPr>
        <w:tc>
          <w:tcPr>
            <w:tcW w:w="60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Total non-maintenance capital expenditures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185,576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172,836</w:t>
            </w:r>
          </w:p>
        </w:tc>
      </w:tr>
      <w:tr>
        <w:trPr>
          <w:trHeight w:val="230"/>
        </w:trPr>
        <w:tc>
          <w:tcPr>
            <w:tcW w:w="20" w:type="dxa"/>
            <w:vAlign w:val="bottom"/>
            <w:shd w:val="clear" w:color="auto" w:fill="CCEEFF"/>
          </w:tcPr>
          <w:p>
            <w:pPr>
              <w:spacing w:after="0"/>
              <w:rPr>
                <w:sz w:val="19"/>
                <w:szCs w:val="19"/>
                <w:color w:val="auto"/>
              </w:rPr>
            </w:pPr>
          </w:p>
        </w:tc>
        <w:tc>
          <w:tcPr>
            <w:tcW w:w="606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17,299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13,530</w:t>
            </w:r>
          </w:p>
        </w:tc>
      </w:tr>
      <w:tr>
        <w:trPr>
          <w:trHeight w:val="223"/>
        </w:trPr>
        <w:tc>
          <w:tcPr>
            <w:tcW w:w="60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202,875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186,366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189"/>
        </w:trPr>
        <w:tc>
          <w:tcPr>
            <w:tcW w:w="608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0"/>
        </w:trPr>
        <w:tc>
          <w:tcPr>
            <w:tcW w:w="60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costs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17,235</w:t>
            </w:r>
          </w:p>
        </w:tc>
      </w:tr>
      <w:tr>
        <w:trPr>
          <w:trHeight w:val="230"/>
        </w:trPr>
        <w:tc>
          <w:tcPr>
            <w:tcW w:w="60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(non-cash)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11,153</w:t>
            </w:r>
          </w:p>
        </w:tc>
      </w:tr>
      <w:tr>
        <w:trPr>
          <w:trHeight w:val="108"/>
        </w:trPr>
        <w:tc>
          <w:tcPr>
            <w:tcW w:w="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189"/>
        </w:trPr>
        <w:tc>
          <w:tcPr>
            <w:tcW w:w="608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auto"/>
              </w:rPr>
              <w:t>Noncontrolling Interests Supplemental Information (5)</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0"/>
        </w:trPr>
        <w:tc>
          <w:tcPr>
            <w:tcW w:w="60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10,024</w:t>
            </w:r>
          </w:p>
        </w:tc>
      </w:tr>
      <w:tr>
        <w:trPr>
          <w:trHeight w:val="230"/>
        </w:trPr>
        <w:tc>
          <w:tcPr>
            <w:tcW w:w="60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(5,146)</w:t>
            </w:r>
          </w:p>
        </w:tc>
      </w:tr>
      <w:tr>
        <w:trPr>
          <w:trHeight w:val="229"/>
        </w:trPr>
        <w:tc>
          <w:tcPr>
            <w:tcW w:w="608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(485)</w:t>
            </w:r>
          </w:p>
        </w:tc>
      </w:tr>
      <w:tr>
        <w:trPr>
          <w:trHeight w:val="248"/>
        </w:trPr>
        <w:tc>
          <w:tcPr>
            <w:tcW w:w="608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26" w:lineRule="exact"/>
        <w:rPr>
          <w:rFonts w:ascii="Times New Roman" w:cs="Times New Roman" w:eastAsia="Times New Roman" w:hAnsi="Times New Roman"/>
          <w:sz w:val="16"/>
          <w:szCs w:val="16"/>
          <w:color w:val="auto"/>
        </w:rPr>
      </w:pPr>
    </w:p>
    <w:p>
      <w:pPr>
        <w:ind w:left="660" w:right="580" w:hanging="652"/>
        <w:spacing w:after="0" w:line="261"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nine months ended September 30, 2025 and 2024, dividends on our Series 1 preferred stock were not deducted in the calculation of FFO available to common shareholders, as the related shares were dilutive and are included in "weighted average number of common shares, diluted."</w:t>
      </w:r>
    </w:p>
    <w:p>
      <w:pPr>
        <w:spacing w:after="0" w:line="1" w:lineRule="exact"/>
        <w:rPr>
          <w:rFonts w:ascii="Times New Roman" w:cs="Times New Roman" w:eastAsia="Times New Roman" w:hAnsi="Times New Roman"/>
          <w:sz w:val="16"/>
          <w:szCs w:val="16"/>
          <w:color w:val="auto"/>
        </w:rPr>
      </w:pPr>
    </w:p>
    <w:p>
      <w:pPr>
        <w:ind w:left="660" w:right="160" w:hanging="652"/>
        <w:spacing w:after="0" w:line="253"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FFO available for common shareholders includes new market tax credit transaction income, net of noncontrolling interest of $13.0 million (see page # for additional information). Excluding this income, FFO for the nine months ended September 30, 2025 would have been $452.0 million, and FFO per diluted share would have been $5.23 per share.</w:t>
      </w:r>
    </w:p>
    <w:p>
      <w:pPr>
        <w:spacing w:after="0" w:line="1" w:lineRule="exact"/>
        <w:rPr>
          <w:rFonts w:ascii="Times New Roman" w:cs="Times New Roman" w:eastAsia="Times New Roman" w:hAnsi="Times New Roman"/>
          <w:sz w:val="16"/>
          <w:szCs w:val="16"/>
          <w:color w:val="auto"/>
        </w:rPr>
      </w:pPr>
    </w:p>
    <w:p>
      <w:pPr>
        <w:jc w:val="both"/>
        <w:ind w:left="660" w:right="160" w:hanging="652"/>
        <w:spacing w:after="0" w:line="252"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for all periods presented, but is anti-dilutive for the computation of diluted EPS.</w:t>
      </w:r>
    </w:p>
    <w:p>
      <w:pPr>
        <w:ind w:left="660" w:right="260" w:hanging="652"/>
        <w:spacing w:after="0" w:line="270"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components of "net income attributable to noncontrolling interests," but excludes "income attributable to downREIT operating partnership units."</w:t>
      </w:r>
    </w:p>
    <w:p>
      <w:pPr>
        <w:sectPr>
          <w:pgSz w:w="11900" w:h="16838" w:orient="portrait"/>
          <w:cols w:equalWidth="0" w:num="1">
            <w:col w:w="11220"/>
          </w:cols>
          <w:pgMar w:left="320" w:top="900" w:right="35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20"/>
          </w:cols>
          <w:pgMar w:left="320" w:top="900" w:right="359" w:bottom="1440"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Components of Rental Income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Rental Income (1)</w:t>
            </w:r>
          </w:p>
        </w:tc>
        <w:tc>
          <w:tcPr>
            <w:tcW w:w="280" w:type="dxa"/>
            <w:vAlign w:val="bottom"/>
          </w:tcPr>
          <w:p>
            <w:pPr>
              <w:spacing w:after="0"/>
              <w:rPr>
                <w:sz w:val="19"/>
                <w:szCs w:val="19"/>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9"/>
                <w:szCs w:val="19"/>
                <w:color w:val="auto"/>
              </w:rPr>
            </w:pPr>
          </w:p>
        </w:tc>
        <w:tc>
          <w:tcPr>
            <w:tcW w:w="204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r>
      <w:tr>
        <w:trPr>
          <w:trHeight w:val="23"/>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6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Minimum rents (2)</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7"/>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Commercial</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214,568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198,564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626,239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586,052</w:t>
            </w:r>
          </w:p>
        </w:tc>
      </w:tr>
      <w:tr>
        <w:trPr>
          <w:trHeight w:val="226"/>
        </w:trPr>
        <w:tc>
          <w:tcPr>
            <w:tcW w:w="6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Residential</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80,711</w:t>
            </w:r>
          </w:p>
        </w:tc>
      </w:tr>
      <w:tr>
        <w:trPr>
          <w:trHeight w:val="23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58,193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185,984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170,399</w:t>
            </w:r>
          </w:p>
        </w:tc>
      </w:tr>
      <w:tr>
        <w:trPr>
          <w:trHeight w:val="226"/>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rents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12,940</w:t>
            </w:r>
          </w:p>
        </w:tc>
      </w:tr>
      <w:tr>
        <w:trPr>
          <w:trHeight w:val="23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lease related (3)</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15,923</w:t>
            </w:r>
          </w:p>
        </w:tc>
      </w:tr>
      <w:tr>
        <w:trPr>
          <w:trHeight w:val="226"/>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Collectibility related impacts (4)</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52"/>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rental income</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295,119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917,954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866,199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75" w:lineRule="exact"/>
        <w:rPr>
          <w:sz w:val="20"/>
          <w:szCs w:val="20"/>
          <w:color w:val="auto"/>
        </w:rPr>
      </w:pPr>
    </w:p>
    <w:p>
      <w:pPr>
        <w:ind w:left="660" w:right="260" w:hanging="652"/>
        <w:spacing w:after="0" w:line="265" w:lineRule="auto"/>
        <w:tabs>
          <w:tab w:leader="none" w:pos="65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13"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rents include the following:</w:t>
      </w:r>
    </w:p>
    <w:p>
      <w:pPr>
        <w:spacing w:after="0" w:line="45"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3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6"/>
                <w:szCs w:val="16"/>
                <w:color w:val="auto"/>
              </w:rPr>
            </w:pPr>
          </w:p>
        </w:tc>
      </w:tr>
      <w:tr>
        <w:trPr>
          <w:trHeight w:val="203"/>
        </w:trPr>
        <w:tc>
          <w:tcPr>
            <w:tcW w:w="4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7"/>
                <w:szCs w:val="17"/>
                <w:color w:val="auto"/>
              </w:rPr>
            </w:pPr>
          </w:p>
        </w:tc>
      </w:tr>
      <w:tr>
        <w:trPr>
          <w:trHeight w:val="23"/>
        </w:trPr>
        <w:tc>
          <w:tcPr>
            <w:tcW w:w="48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0"/>
        </w:trPr>
        <w:tc>
          <w:tcPr>
            <w:tcW w:w="4880" w:type="dxa"/>
            <w:vAlign w:val="bottom"/>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r>
      <w:tr>
        <w:trPr>
          <w:trHeight w:val="190"/>
        </w:trPr>
        <w:tc>
          <w:tcPr>
            <w:tcW w:w="4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gridSpan w:val="3"/>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88"/>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Straight-line rents</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7.7</w:t>
            </w:r>
          </w:p>
        </w:tc>
        <w:tc>
          <w:tcPr>
            <w:tcW w:w="940" w:type="dxa"/>
            <w:vAlign w:val="bottom"/>
          </w:tcPr>
          <w:p>
            <w:pPr>
              <w:jc w:val="right"/>
              <w:ind w:right="679"/>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24"/>
                <w:szCs w:val="24"/>
                <w:color w:val="auto"/>
              </w:rPr>
            </w:pP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21.5</w:t>
            </w:r>
          </w:p>
        </w:tc>
        <w:tc>
          <w:tcPr>
            <w:tcW w:w="880" w:type="dxa"/>
            <w:vAlign w:val="bottom"/>
          </w:tcPr>
          <w:p>
            <w:pPr>
              <w:jc w:val="right"/>
              <w:ind w:right="619"/>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3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in-place leases</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3.1</w:t>
            </w:r>
          </w:p>
        </w:tc>
        <w:tc>
          <w:tcPr>
            <w:tcW w:w="9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10.2</w:t>
            </w:r>
          </w:p>
        </w:tc>
        <w:tc>
          <w:tcPr>
            <w:tcW w:w="88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bl>
    <w:p>
      <w:pPr>
        <w:spacing w:after="0" w:line="127" w:lineRule="exact"/>
        <w:rPr>
          <w:sz w:val="20"/>
          <w:szCs w:val="20"/>
          <w:color w:val="auto"/>
        </w:rPr>
      </w:pPr>
    </w:p>
    <w:p>
      <w:pPr>
        <w:ind w:left="660" w:right="180" w:hanging="652"/>
        <w:spacing w:after="0" w:line="290" w:lineRule="auto"/>
        <w:tabs>
          <w:tab w:leader="none" w:pos="65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lease termination fees of $1.9 million and $1.1 million for the three months ended September 30, 2025 and 2024, respectively, and $4.4 million and $3.1 million for the nine months ended September 30, 2025 and 2024.</w:t>
      </w:r>
    </w:p>
    <w:p>
      <w:pPr>
        <w:jc w:val="both"/>
        <w:ind w:left="660" w:right="60" w:hanging="652"/>
        <w:spacing w:after="0" w:line="281" w:lineRule="auto"/>
        <w:tabs>
          <w:tab w:leader="none" w:pos="65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months ended September 30, 2025 and 2024, our collectability related impacts include the collection of approximately $0.1 million and $0.8 million, respectively, and $0.2 million and $2.5 million for the nine months ended September 30, 2025 and 2024, respectively, of prior period rents which were contractually deferred or payments renegotiated specifically related to the COVID-19 pandemic.</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22" w:right="339"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5"/>
          <w:szCs w:val="15"/>
          <w:b w:val="1"/>
          <w:bCs w:val="1"/>
          <w:color w:val="auto"/>
        </w:rPr>
        <w:t>Federal Realty Investment Trust</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Comparable Property Information</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88" w:lineRule="exact"/>
        <w:rPr>
          <w:sz w:val="20"/>
          <w:szCs w:val="20"/>
          <w:color w:val="auto"/>
        </w:rPr>
      </w:pPr>
    </w:p>
    <w:p>
      <w:pPr>
        <w:ind w:left="40" w:right="400"/>
        <w:spacing w:after="0" w:line="227" w:lineRule="auto"/>
        <w:rPr>
          <w:sz w:val="20"/>
          <w:szCs w:val="20"/>
          <w:color w:val="auto"/>
        </w:rPr>
      </w:pPr>
      <w:r>
        <w:rPr>
          <w:rFonts w:ascii="Times New Roman" w:cs="Times New Roman" w:eastAsia="Times New Roman" w:hAnsi="Times New Roman"/>
          <w:sz w:val="15"/>
          <w:szCs w:val="15"/>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w:t>
      </w:r>
    </w:p>
    <w:p>
      <w:pPr>
        <w:ind w:left="40" w:right="260"/>
        <w:spacing w:after="0" w:line="212" w:lineRule="auto"/>
        <w:rPr>
          <w:sz w:val="20"/>
          <w:szCs w:val="20"/>
          <w:color w:val="auto"/>
        </w:rPr>
      </w:pPr>
      <w:r>
        <w:rPr>
          <w:rFonts w:ascii="Times New Roman" w:cs="Times New Roman" w:eastAsia="Times New Roman" w:hAnsi="Times New Roman"/>
          <w:sz w:val="15"/>
          <w:szCs w:val="15"/>
          <w:color w:val="auto"/>
        </w:rPr>
        <w:t>development or being repositioned for significant redevelopment and investment. The assets excluded from Comparable Properties in Q3 include: Friendship Center, Grossmont Center, Pike &amp; Rose Phase IV, Santana West, Willow Grove Shopping Center, and all properties acquired, disposed of, or not consolidated from Q3 2024 to Q3 2025. Comparable Property property operating income ("Comparable Property POI") is a non-GAAP measure used by management in evaluating the operating performance of our properties period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over period.</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Reconciliation of GAAP operating income to Comparable Property POI</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0" w:type="dxa"/>
            <w:vAlign w:val="bottom"/>
          </w:tcPr>
          <w:p>
            <w:pPr>
              <w:spacing w:after="0"/>
              <w:rPr>
                <w:sz w:val="17"/>
                <w:szCs w:val="17"/>
                <w:color w:val="auto"/>
              </w:rPr>
            </w:pPr>
          </w:p>
        </w:tc>
      </w:tr>
      <w:tr>
        <w:trPr>
          <w:trHeight w:val="203"/>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110,668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105,832</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Add: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5"/>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94,277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87,028</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11,649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10,822</w:t>
            </w:r>
          </w:p>
        </w:tc>
        <w:tc>
          <w:tcPr>
            <w:tcW w:w="800" w:type="dxa"/>
            <w:vAlign w:val="bottom"/>
            <w:tcBorders>
              <w:bottom w:val="single" w:sz="8" w:color="CCEEFF"/>
            </w:tcBorders>
          </w:tcPr>
          <w:p>
            <w:pPr>
              <w:spacing w:after="0"/>
              <w:rPr>
                <w:sz w:val="17"/>
                <w:szCs w:val="17"/>
                <w:color w:val="auto"/>
              </w:rPr>
            </w:pPr>
          </w:p>
        </w:tc>
      </w:tr>
      <w:tr>
        <w:trPr>
          <w:trHeight w:val="198"/>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operating income (POI)</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216,594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203,682</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Less: Non-comparable POI - acquisitions/dispositions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(3,312)</w:t>
            </w:r>
          </w:p>
        </w:tc>
        <w:tc>
          <w:tcPr>
            <w:tcW w:w="800" w:type="dxa"/>
            <w:vAlign w:val="bottom"/>
          </w:tcPr>
          <w:p>
            <w:pPr>
              <w:spacing w:after="0"/>
              <w:rPr>
                <w:sz w:val="17"/>
                <w:szCs w:val="17"/>
                <w:color w:val="auto"/>
              </w:rPr>
            </w:pPr>
          </w:p>
        </w:tc>
      </w:tr>
      <w:tr>
        <w:trPr>
          <w:trHeight w:val="205"/>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Non-comparable POI - redevelopment, development &amp; other</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(7,007)</w:t>
            </w:r>
          </w:p>
        </w:tc>
        <w:tc>
          <w:tcPr>
            <w:tcW w:w="800" w:type="dxa"/>
            <w:vAlign w:val="bottom"/>
            <w:shd w:val="clear" w:color="auto" w:fill="CCEEFF"/>
          </w:tcPr>
          <w:p>
            <w:pPr>
              <w:spacing w:after="0"/>
              <w:rPr>
                <w:sz w:val="17"/>
                <w:szCs w:val="17"/>
                <w:color w:val="auto"/>
              </w:rPr>
            </w:pPr>
          </w:p>
        </w:tc>
      </w:tr>
      <w:tr>
        <w:trPr>
          <w:trHeight w:val="192"/>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Comparable property POI</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201,799</w:t>
            </w:r>
          </w:p>
        </w:tc>
        <w:tc>
          <w:tcPr>
            <w:tcW w:w="8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193,363</w:t>
            </w:r>
          </w:p>
        </w:tc>
        <w:tc>
          <w:tcPr>
            <w:tcW w:w="800" w:type="dxa"/>
            <w:vAlign w:val="bottom"/>
          </w:tcPr>
          <w:p>
            <w:pPr>
              <w:spacing w:after="0"/>
              <w:rPr>
                <w:sz w:val="16"/>
                <w:szCs w:val="16"/>
                <w:color w:val="auto"/>
              </w:rPr>
            </w:pPr>
          </w:p>
        </w:tc>
      </w:tr>
      <w:tr>
        <w:trPr>
          <w:trHeight w:val="274"/>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Additional information regarding the components of Comparable Property POI</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15"/>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w:t>
            </w:r>
          </w:p>
        </w:tc>
      </w:tr>
      <w:tr>
        <w:trPr>
          <w:trHeight w:val="202"/>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0" w:type="dxa"/>
            <w:vAlign w:val="bottom"/>
          </w:tcPr>
          <w:p>
            <w:pPr>
              <w:spacing w:after="0"/>
              <w:rPr>
                <w:sz w:val="17"/>
                <w:szCs w:val="17"/>
                <w:color w:val="auto"/>
              </w:rPr>
            </w:pPr>
          </w:p>
        </w:tc>
      </w:tr>
      <w:tr>
        <w:trPr>
          <w:trHeight w:val="203"/>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Minimum rents (1)</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222,312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215,808</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Cost reimbursements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57,991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54,968</w:t>
            </w:r>
          </w:p>
        </w:tc>
        <w:tc>
          <w:tcPr>
            <w:tcW w:w="800" w:type="dxa"/>
            <w:vAlign w:val="bottom"/>
          </w:tcPr>
          <w:p>
            <w:pPr>
              <w:spacing w:after="0"/>
              <w:rPr>
                <w:sz w:val="17"/>
                <w:szCs w:val="17"/>
                <w:color w:val="auto"/>
              </w:rPr>
            </w:pPr>
          </w:p>
        </w:tc>
      </w:tr>
      <w:tr>
        <w:trPr>
          <w:trHeight w:val="205"/>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13,428</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5"/>
                <w:szCs w:val="15"/>
                <w:color w:val="auto"/>
              </w:rPr>
              <w:t>Collectibility related impacts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480</w:t>
            </w:r>
          </w:p>
        </w:tc>
        <w:tc>
          <w:tcPr>
            <w:tcW w:w="800" w:type="dxa"/>
            <w:vAlign w:val="bottom"/>
            <w:tcBorders>
              <w:bottom w:val="single" w:sz="8" w:color="CCEEFF"/>
            </w:tcBorders>
          </w:tcPr>
          <w:p>
            <w:pPr>
              <w:spacing w:after="0"/>
              <w:rPr>
                <w:sz w:val="17"/>
                <w:szCs w:val="17"/>
                <w:color w:val="auto"/>
              </w:rPr>
            </w:pPr>
          </w:p>
        </w:tc>
      </w:tr>
      <w:tr>
        <w:trPr>
          <w:trHeight w:val="198"/>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property revenue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293,986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284,684</w:t>
            </w:r>
          </w:p>
        </w:tc>
        <w:tc>
          <w:tcPr>
            <w:tcW w:w="800" w:type="dxa"/>
            <w:vAlign w:val="bottom"/>
            <w:shd w:val="clear" w:color="auto" w:fill="CCEEFF"/>
          </w:tcPr>
          <w:p>
            <w:pPr>
              <w:spacing w:after="0"/>
              <w:rPr>
                <w:sz w:val="17"/>
                <w:szCs w:val="17"/>
                <w:color w:val="auto"/>
              </w:rPr>
            </w:pPr>
          </w:p>
        </w:tc>
      </w:tr>
      <w:tr>
        <w:trPr>
          <w:trHeight w:val="94"/>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03"/>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Rental expenses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(57,267)</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5"/>
                <w:szCs w:val="15"/>
                <w:color w:val="auto"/>
              </w:rPr>
              <w:t>Real estate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(34,557)</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(34,054)</w:t>
            </w:r>
          </w:p>
        </w:tc>
        <w:tc>
          <w:tcPr>
            <w:tcW w:w="800" w:type="dxa"/>
            <w:vAlign w:val="bottom"/>
            <w:tcBorders>
              <w:bottom w:val="single" w:sz="8" w:color="CCEEFF"/>
            </w:tcBorders>
          </w:tcPr>
          <w:p>
            <w:pPr>
              <w:spacing w:after="0"/>
              <w:rPr>
                <w:sz w:val="17"/>
                <w:szCs w:val="17"/>
                <w:color w:val="auto"/>
              </w:rPr>
            </w:pPr>
          </w:p>
        </w:tc>
      </w:tr>
      <w:tr>
        <w:trPr>
          <w:trHeight w:val="198"/>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property expenses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(92,187)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(91,321)</w:t>
            </w:r>
          </w:p>
        </w:tc>
        <w:tc>
          <w:tcPr>
            <w:tcW w:w="800" w:type="dxa"/>
            <w:vAlign w:val="bottom"/>
            <w:shd w:val="clear" w:color="auto" w:fill="CCEEFF"/>
          </w:tcPr>
          <w:p>
            <w:pPr>
              <w:spacing w:after="0"/>
              <w:rPr>
                <w:sz w:val="17"/>
                <w:szCs w:val="17"/>
                <w:color w:val="auto"/>
              </w:rPr>
            </w:pPr>
          </w:p>
        </w:tc>
      </w:tr>
      <w:tr>
        <w:trPr>
          <w:trHeight w:val="94"/>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03"/>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Comparable property POI</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201,799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193,363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4.4%</w:t>
            </w:r>
          </w:p>
        </w:tc>
      </w:tr>
      <w:tr>
        <w:trPr>
          <w:trHeight w:val="200"/>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Less: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5"/>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Lease termination fees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(1,109)</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5"/>
                <w:szCs w:val="15"/>
                <w:color w:val="auto"/>
              </w:rPr>
              <w:t>Prior period rents collected (2)</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800" w:type="dxa"/>
            <w:vAlign w:val="bottom"/>
            <w:tcBorders>
              <w:bottom w:val="single" w:sz="8" w:color="CCEEFF"/>
            </w:tcBorders>
          </w:tcPr>
          <w:p>
            <w:pPr>
              <w:spacing w:after="0"/>
              <w:rPr>
                <w:sz w:val="17"/>
                <w:szCs w:val="17"/>
                <w:color w:val="auto"/>
              </w:rPr>
            </w:pPr>
          </w:p>
        </w:tc>
      </w:tr>
      <w:tr>
        <w:trPr>
          <w:trHeight w:val="198"/>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Comparable property POI excluding lease termination fees and prior period rents collected</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199,991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191,542</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4.4%</w:t>
            </w:r>
          </w:p>
        </w:tc>
      </w:tr>
      <w:tr>
        <w:trPr>
          <w:trHeight w:val="310"/>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i w:val="1"/>
                <w:iCs w:val="1"/>
                <w:color w:val="auto"/>
              </w:rPr>
              <w:t>Comparable Property - Summary of Capital Expenditures (3)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0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0" w:type="dxa"/>
            <w:vAlign w:val="bottom"/>
          </w:tcPr>
          <w:p>
            <w:pPr>
              <w:spacing w:after="0"/>
              <w:rPr>
                <w:sz w:val="17"/>
                <w:szCs w:val="17"/>
                <w:color w:val="auto"/>
              </w:rPr>
            </w:pPr>
          </w:p>
        </w:tc>
      </w:tr>
      <w:tr>
        <w:trPr>
          <w:trHeight w:val="203"/>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Redevelopment and tenant improvements and incentives</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32,259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32,889</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5"/>
                <w:szCs w:val="15"/>
                <w:color w:val="auto"/>
              </w:rPr>
              <w:t>Maintenance capital expenditures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6,771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5,518</w:t>
            </w:r>
          </w:p>
        </w:tc>
        <w:tc>
          <w:tcPr>
            <w:tcW w:w="800" w:type="dxa"/>
            <w:vAlign w:val="bottom"/>
            <w:tcBorders>
              <w:bottom w:val="single" w:sz="8" w:color="CCEEFF"/>
            </w:tcBorders>
          </w:tcPr>
          <w:p>
            <w:pPr>
              <w:spacing w:after="0"/>
              <w:rPr>
                <w:sz w:val="17"/>
                <w:szCs w:val="17"/>
                <w:color w:val="auto"/>
              </w:rPr>
            </w:pPr>
          </w:p>
        </w:tc>
      </w:tr>
      <w:tr>
        <w:trPr>
          <w:trHeight w:val="198"/>
        </w:trPr>
        <w:tc>
          <w:tcPr>
            <w:tcW w:w="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38,407</w:t>
            </w:r>
          </w:p>
        </w:tc>
        <w:tc>
          <w:tcPr>
            <w:tcW w:w="800" w:type="dxa"/>
            <w:vAlign w:val="bottom"/>
            <w:shd w:val="clear" w:color="auto" w:fill="CCEEFF"/>
          </w:tcPr>
          <w:p>
            <w:pPr>
              <w:spacing w:after="0"/>
              <w:rPr>
                <w:sz w:val="17"/>
                <w:szCs w:val="17"/>
                <w:color w:val="auto"/>
              </w:rPr>
            </w:pPr>
          </w:p>
        </w:tc>
      </w:tr>
      <w:tr>
        <w:trPr>
          <w:trHeight w:val="270"/>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i w:val="1"/>
                <w:iCs w:val="1"/>
                <w:color w:val="auto"/>
              </w:rPr>
              <w:t>Comparable Property - Occupancy Statistics (3)</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19"/>
        </w:trPr>
        <w:tc>
          <w:tcPr>
            <w:tcW w:w="20" w:type="dxa"/>
            <w:vAlign w:val="bottom"/>
          </w:tcPr>
          <w:p>
            <w:pPr>
              <w:spacing w:after="0"/>
              <w:rPr>
                <w:sz w:val="19"/>
                <w:szCs w:val="19"/>
                <w:color w:val="auto"/>
              </w:rPr>
            </w:pPr>
          </w:p>
        </w:tc>
        <w:tc>
          <w:tcPr>
            <w:tcW w:w="296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At September 30,</w:t>
            </w:r>
          </w:p>
        </w:tc>
        <w:tc>
          <w:tcPr>
            <w:tcW w:w="800" w:type="dxa"/>
            <w:vAlign w:val="bottom"/>
          </w:tcPr>
          <w:p>
            <w:pPr>
              <w:spacing w:after="0"/>
              <w:rPr>
                <w:sz w:val="19"/>
                <w:szCs w:val="19"/>
                <w:color w:val="auto"/>
              </w:rPr>
            </w:pPr>
          </w:p>
        </w:tc>
      </w:tr>
      <w:tr>
        <w:trPr>
          <w:trHeight w:val="200"/>
        </w:trPr>
        <w:tc>
          <w:tcPr>
            <w:tcW w:w="20" w:type="dxa"/>
            <w:vAlign w:val="bottom"/>
            <w:tcBorders>
              <w:bottom w:val="single" w:sz="8" w:color="CCEEFF"/>
            </w:tcBorders>
          </w:tcPr>
          <w:p>
            <w:pPr>
              <w:spacing w:after="0"/>
              <w:rPr>
                <w:sz w:val="17"/>
                <w:szCs w:val="17"/>
                <w:color w:val="auto"/>
              </w:rPr>
            </w:pPr>
          </w:p>
        </w:tc>
        <w:tc>
          <w:tcPr>
            <w:tcW w:w="29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30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0" w:type="dxa"/>
            <w:vAlign w:val="bottom"/>
            <w:tcBorders>
              <w:bottom w:val="single" w:sz="8" w:color="CCEEFF"/>
            </w:tcBorders>
          </w:tcPr>
          <w:p>
            <w:pPr>
              <w:spacing w:after="0"/>
              <w:rPr>
                <w:sz w:val="17"/>
                <w:szCs w:val="17"/>
                <w:color w:val="auto"/>
              </w:rPr>
            </w:pPr>
          </w:p>
        </w:tc>
      </w:tr>
      <w:tr>
        <w:trPr>
          <w:trHeight w:val="196"/>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GLA - comparable commercial properties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25,150,000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25,210,000</w:t>
            </w:r>
          </w:p>
        </w:tc>
        <w:tc>
          <w:tcPr>
            <w:tcW w:w="800" w:type="dxa"/>
            <w:vAlign w:val="bottom"/>
            <w:shd w:val="clear" w:color="auto" w:fill="CCEEFF"/>
          </w:tcPr>
          <w:p>
            <w:pPr>
              <w:spacing w:after="0"/>
              <w:rPr>
                <w:sz w:val="17"/>
                <w:szCs w:val="17"/>
                <w:color w:val="auto"/>
              </w:rPr>
            </w:pPr>
          </w:p>
        </w:tc>
      </w:tr>
      <w:tr>
        <w:trPr>
          <w:trHeight w:val="200"/>
        </w:trPr>
        <w:tc>
          <w:tcPr>
            <w:tcW w:w="804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Leased % - comparable commercial properties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95.8%</w:t>
            </w:r>
          </w:p>
        </w:tc>
        <w:tc>
          <w:tcPr>
            <w:tcW w:w="800" w:type="dxa"/>
            <w:vAlign w:val="bottom"/>
          </w:tcPr>
          <w:p>
            <w:pPr>
              <w:spacing w:after="0"/>
              <w:rPr>
                <w:sz w:val="17"/>
                <w:szCs w:val="17"/>
                <w:color w:val="auto"/>
              </w:rPr>
            </w:pPr>
          </w:p>
        </w:tc>
      </w:tr>
      <w:tr>
        <w:trPr>
          <w:trHeight w:val="205"/>
        </w:trPr>
        <w:tc>
          <w:tcPr>
            <w:tcW w:w="8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Occupancy % - comparable commercial properties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w:t>
            </w:r>
          </w:p>
        </w:tc>
        <w:tc>
          <w:tcPr>
            <w:tcW w:w="800" w:type="dxa"/>
            <w:vAlign w:val="bottom"/>
            <w:shd w:val="clear" w:color="auto" w:fill="CCEEFF"/>
          </w:tcPr>
          <w:p>
            <w:pPr>
              <w:spacing w:after="0"/>
              <w:rPr>
                <w:sz w:val="17"/>
                <w:szCs w:val="17"/>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Notes:</w:t>
      </w:r>
    </w:p>
    <w:p>
      <w:pPr>
        <w:spacing w:after="0" w:line="6" w:lineRule="exact"/>
        <w:rPr>
          <w:sz w:val="20"/>
          <w:szCs w:val="20"/>
          <w:color w:val="auto"/>
        </w:rPr>
      </w:pPr>
    </w:p>
    <w:p>
      <w:pPr>
        <w:ind w:left="660" w:right="240" w:hanging="652"/>
        <w:spacing w:after="0" w:line="253" w:lineRule="auto"/>
        <w:tabs>
          <w:tab w:leader="none" w:pos="64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September 30, 2025 and 2024, amount includes straight-line rents of $5.3 million and $3.3 million, respectively, and amortization of in-place leases of $2.3 million and $2.6 million, respectively.</w:t>
      </w:r>
    </w:p>
    <w:p>
      <w:pPr>
        <w:ind w:left="640" w:hanging="632"/>
        <w:spacing w:after="0"/>
        <w:tabs>
          <w:tab w:leader="none" w:pos="6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 represents collection of prior period rents which were contractually deferred or payment renegotiated specifically related to the COVID-19 pandemic.</w:t>
      </w:r>
    </w:p>
    <w:p>
      <w:pPr>
        <w:spacing w:after="0" w:line="9" w:lineRule="exact"/>
        <w:rPr>
          <w:rFonts w:ascii="Times New Roman" w:cs="Times New Roman" w:eastAsia="Times New Roman" w:hAnsi="Times New Roman"/>
          <w:sz w:val="15"/>
          <w:szCs w:val="15"/>
          <w:color w:val="auto"/>
        </w:rPr>
      </w:pPr>
    </w:p>
    <w:p>
      <w:pPr>
        <w:ind w:left="640" w:hanging="632"/>
        <w:spacing w:after="0"/>
        <w:tabs>
          <w:tab w:leader="none" w:pos="6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page 9 for "Summary of Capital Expenditures" and page 24 for portfolio occupancy statistics for our entire portfolio.</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604" w:right="359"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Market Data, Debt Metrics, and Senior Notes and Debentures Covenants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96"/>
        </w:trPr>
        <w:tc>
          <w:tcPr>
            <w:tcW w:w="8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shares outstanding and downREIT operating partnership units (1)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85,575</w:t>
            </w:r>
          </w:p>
        </w:tc>
      </w:tr>
      <w:tr>
        <w:trPr>
          <w:trHeight w:val="229"/>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 price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w:t>
            </w: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Common equity market capitalization including downREIT operating partnership units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8,792,898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9,838,558</w:t>
            </w:r>
          </w:p>
        </w:tc>
      </w:tr>
      <w:tr>
        <w:trPr>
          <w:trHeight w:val="196"/>
        </w:trPr>
        <w:tc>
          <w:tcPr>
            <w:tcW w:w="8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Series C preferred shares outstanding</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Liquidation price per Series C preferred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C preferred equity market capitalization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196"/>
        </w:trPr>
        <w:tc>
          <w:tcPr>
            <w:tcW w:w="8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Series 1 preferred shares outstanding (2)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Liquidation price per Series 1 preferred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1 preferred equity market capitalization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w:t>
            </w:r>
          </w:p>
        </w:tc>
      </w:tr>
      <w:tr>
        <w:trPr>
          <w:trHeight w:val="196"/>
        </w:trPr>
        <w:tc>
          <w:tcPr>
            <w:tcW w:w="8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market capitalization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8,952,723</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9,998,383</w:t>
            </w:r>
          </w:p>
        </w:tc>
      </w:tr>
      <w:tr>
        <w:trPr>
          <w:trHeight w:val="216"/>
        </w:trPr>
        <w:tc>
          <w:tcPr>
            <w:tcW w:w="8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4,723,344</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4,472,617</w:t>
            </w:r>
          </w:p>
        </w:tc>
      </w:tr>
      <w:tr>
        <w:trPr>
          <w:trHeight w:val="229"/>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(97,023)</w:t>
            </w:r>
          </w:p>
        </w:tc>
      </w:tr>
      <w:tr>
        <w:trPr>
          <w:trHeight w:val="223"/>
        </w:trPr>
        <w:tc>
          <w:tcPr>
            <w:tcW w:w="80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Total net debt (3)</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4,612,033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4,375,594</w:t>
            </w:r>
          </w:p>
        </w:tc>
      </w:tr>
      <w:tr>
        <w:trPr>
          <w:trHeight w:val="196"/>
        </w:trPr>
        <w:tc>
          <w:tcPr>
            <w:tcW w:w="8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market capitalization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13,564,756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14,373,977</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20"/>
          </w:cols>
          <w:pgMar w:left="320" w:top="1022"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Leverage and Liquidity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 net debt to market capitalization at market price per common share</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Ratio of EBITDAre to combined fixed charges and preferred share dividends, three months ended (4)</w:t>
      </w:r>
    </w:p>
    <w:p>
      <w:pPr>
        <w:ind w:left="300"/>
        <w:spacing w:after="0"/>
        <w:rPr>
          <w:sz w:val="20"/>
          <w:szCs w:val="20"/>
          <w:color w:val="auto"/>
        </w:rPr>
      </w:pPr>
      <w:r>
        <w:rPr>
          <w:rFonts w:ascii="Times New Roman" w:cs="Times New Roman" w:eastAsia="Times New Roman" w:hAnsi="Times New Roman"/>
          <w:sz w:val="18"/>
          <w:szCs w:val="18"/>
          <w:color w:val="auto"/>
        </w:rPr>
        <w:t>(5)</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Ratio of EBITDAre to combined fixed charges and preferred share dividends, nine months ended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-120650</wp:posOffset>
            </wp:positionV>
            <wp:extent cx="7115175"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(5)(6)</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Senior Notes and Debentures Covenants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8"/>
        </w:trPr>
        <w:tc>
          <w:tcPr>
            <w:tcW w:w="1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3.9x</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3.7x</w:t>
            </w:r>
          </w:p>
        </w:tc>
        <w:tc>
          <w:tcPr>
            <w:tcW w:w="0" w:type="dxa"/>
            <w:vAlign w:val="bottom"/>
          </w:tcPr>
          <w:p>
            <w:pPr>
              <w:spacing w:after="0"/>
              <w:rPr>
                <w:sz w:val="1"/>
                <w:szCs w:val="1"/>
                <w:color w:val="auto"/>
              </w:rPr>
            </w:pPr>
          </w:p>
        </w:tc>
      </w:tr>
      <w:tr>
        <w:trPr>
          <w:trHeight w:val="419"/>
        </w:trPr>
        <w:tc>
          <w:tcPr>
            <w:tcW w:w="16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4.0x</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3.6x</w:t>
            </w:r>
          </w:p>
        </w:tc>
        <w:tc>
          <w:tcPr>
            <w:tcW w:w="0" w:type="dxa"/>
            <w:vAlign w:val="bottom"/>
          </w:tcPr>
          <w:p>
            <w:pPr>
              <w:spacing w:after="0"/>
              <w:rPr>
                <w:sz w:val="1"/>
                <w:szCs w:val="1"/>
                <w:color w:val="auto"/>
              </w:rPr>
            </w:pPr>
          </w:p>
        </w:tc>
      </w:tr>
      <w:tr>
        <w:trPr>
          <w:trHeight w:val="594"/>
        </w:trPr>
        <w:tc>
          <w:tcPr>
            <w:tcW w:w="160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Debt Covenant</w:t>
            </w:r>
          </w:p>
        </w:tc>
        <w:tc>
          <w:tcPr>
            <w:tcW w:w="0" w:type="dxa"/>
            <w:vAlign w:val="bottom"/>
          </w:tcPr>
          <w:p>
            <w:pPr>
              <w:spacing w:after="0"/>
              <w:rPr>
                <w:sz w:val="1"/>
                <w:szCs w:val="1"/>
                <w:color w:val="auto"/>
              </w:rPr>
            </w:pPr>
          </w:p>
        </w:tc>
      </w:tr>
      <w:tr>
        <w:trPr>
          <w:trHeight w:val="212"/>
        </w:trPr>
        <w:tc>
          <w:tcPr>
            <w:tcW w:w="1600" w:type="dxa"/>
            <w:vAlign w:val="bottom"/>
            <w:vMerge w:val="continue"/>
          </w:tcPr>
          <w:p>
            <w:pPr>
              <w:spacing w:after="0"/>
              <w:rPr>
                <w:sz w:val="18"/>
                <w:szCs w:val="18"/>
                <w:color w:val="auto"/>
              </w:rPr>
            </w:pP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Threshold (8)</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600" w:space="560"/>
            <w:col w:w="3060"/>
          </w:cols>
          <w:pgMar w:left="320" w:top="1022" w:right="35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80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Debt to Total Assets</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39%</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&lt; 60%</w:t>
            </w:r>
          </w:p>
        </w:tc>
      </w:tr>
      <w:tr>
        <w:trPr>
          <w:trHeight w:val="230"/>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Secured Debt to Total Assets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 40%</w:t>
            </w:r>
          </w:p>
        </w:tc>
      </w:tr>
      <w:tr>
        <w:trPr>
          <w:trHeight w:val="230"/>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 Income to Annual Debt Service Charge</w:t>
            </w: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4.0x</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&gt; 1.5x</w:t>
            </w:r>
          </w:p>
        </w:tc>
      </w:tr>
      <w:tr>
        <w:trPr>
          <w:trHeight w:val="234"/>
        </w:trPr>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Unencumbered Assets to Unsecured Debt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252%</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&gt; 150%</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526,915 and 622,399 downREIT operating partnership units outstanding at September 30, 2025 and 2024, respectively.</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issued March 8, 2007, are unregistered.</w:t>
      </w:r>
    </w:p>
    <w:p>
      <w:pPr>
        <w:spacing w:after="0" w:line="59" w:lineRule="exact"/>
        <w:rPr>
          <w:rFonts w:ascii="Times New Roman" w:cs="Times New Roman" w:eastAsia="Times New Roman" w:hAnsi="Times New Roman"/>
          <w:sz w:val="16"/>
          <w:szCs w:val="16"/>
          <w:color w:val="auto"/>
        </w:rPr>
      </w:pPr>
    </w:p>
    <w:p>
      <w:pPr>
        <w:ind w:left="660" w:right="20" w:hanging="652"/>
        <w:spacing w:after="0" w:line="290"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net debt includes mortgages payable, notes payable, senior notes and debentures, net of premiums/discounts and debt issuance costs and net of cash and cash equivalents from our consolidated balance sheet.</w:t>
      </w: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EBITDAre is reconciled to net income in the Glossary of Terms.</w:t>
      </w:r>
    </w:p>
    <w:p>
      <w:pPr>
        <w:spacing w:after="0" w:line="72" w:lineRule="exact"/>
        <w:rPr>
          <w:rFonts w:ascii="Times New Roman" w:cs="Times New Roman" w:eastAsia="Times New Roman" w:hAnsi="Times New Roman"/>
          <w:sz w:val="16"/>
          <w:szCs w:val="16"/>
          <w:color w:val="auto"/>
        </w:rPr>
      </w:pPr>
    </w:p>
    <w:p>
      <w:pPr>
        <w:ind w:left="660" w:right="80" w:hanging="652"/>
        <w:spacing w:after="0" w:line="280"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charges consist of interest on borrowed funds and finance leases (including capitalized interest), amortization of debt discount/premium and debt costs, and the portion of rent expense representing an interest factor.</w:t>
      </w:r>
    </w:p>
    <w:p>
      <w:pPr>
        <w:spacing w:after="0" w:line="2" w:lineRule="exact"/>
        <w:rPr>
          <w:rFonts w:ascii="Times New Roman" w:cs="Times New Roman" w:eastAsia="Times New Roman" w:hAnsi="Times New Roman"/>
          <w:sz w:val="16"/>
          <w:szCs w:val="16"/>
          <w:color w:val="auto"/>
        </w:rPr>
      </w:pPr>
    </w:p>
    <w:p>
      <w:pPr>
        <w:ind w:left="660" w:right="120" w:hanging="652"/>
        <w:spacing w:after="0" w:line="290"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the $14.2 million of new market tax credit transaction income, the ratio of EBITDAre to combined fixed charges and preferred share dividends for the nine months ended September 30, 2025 would have been 3.9x.</w:t>
      </w: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reference period for calculating these covenants is the most recent twelve months ended September 30, 2025.</w:t>
      </w:r>
    </w:p>
    <w:p>
      <w:pPr>
        <w:spacing w:after="0" w:line="72" w:lineRule="exact"/>
        <w:rPr>
          <w:rFonts w:ascii="Times New Roman" w:cs="Times New Roman" w:eastAsia="Times New Roman" w:hAnsi="Times New Roman"/>
          <w:sz w:val="16"/>
          <w:szCs w:val="16"/>
          <w:color w:val="auto"/>
        </w:rPr>
      </w:pPr>
    </w:p>
    <w:p>
      <w:pPr>
        <w:ind w:left="660" w:right="560" w:hanging="652"/>
        <w:spacing w:after="0" w:line="280"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detailed description of the senior unsecured notes covenants and definitions of the terms, please refer to our filings with the Securities and Exchange Commission.</w:t>
      </w:r>
    </w:p>
    <w:p>
      <w:pPr>
        <w:sectPr>
          <w:pgSz w:w="11900" w:h="16838" w:orient="portrait"/>
          <w:cols w:equalWidth="0" w:num="1">
            <w:col w:w="11220"/>
          </w:cols>
          <w:pgMar w:left="320" w:top="1022" w:right="35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022" w:right="359" w:bottom="1440" w:gutter="0" w:footer="0" w:header="0"/>
          <w:type w:val="continuous"/>
        </w:sectPr>
      </w:pPr>
    </w:p>
    <w:bookmarkStart w:id="15" w:name="page16"/>
    <w:bookmarkEnd w:id="15"/>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Outstanding Debt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maturity date</w:t>
            </w:r>
          </w:p>
        </w:tc>
        <w:tc>
          <w:tcPr>
            <w:tcW w:w="2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20" w:type="dxa"/>
            <w:vAlign w:val="bottom"/>
          </w:tcPr>
          <w:p>
            <w:pPr>
              <w:spacing w:after="0"/>
              <w:rPr>
                <w:sz w:val="11"/>
                <w:szCs w:val="1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right"/>
              <w:ind w:right="79"/>
              <w:spacing w:after="0" w:line="13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effective rate (7)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Mortgages payable (1)</w:t>
            </w:r>
          </w:p>
        </w:tc>
        <w:tc>
          <w:tcPr>
            <w:tcW w:w="2280" w:type="dxa"/>
            <w:vAlign w:val="bottom"/>
            <w:tcBorders>
              <w:bottom w:val="single" w:sz="8" w:color="CCEEFF"/>
            </w:tcBorders>
            <w:gridSpan w:val="2"/>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Azalea</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11/1/2025 (2)</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Bethesda Row</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12/28/2025 (3)</w:t>
            </w: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5.03% (4)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Bell Gardens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8/1/2026</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Plaza El Segundo</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6/5/2027</w:t>
            </w: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9/1/2027</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Brook 35</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7/1/2029</w:t>
            </w: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Hoboken (24 Buildings)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12/15/2029</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3.67% (4)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Various Hoboken (13 Buildings)</w:t>
            </w: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Various through 2029</w:t>
            </w: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3.91% to 5.00%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Chelsea</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1/15/2031</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60" w:type="dxa"/>
            <w:vAlign w:val="bottom"/>
            <w:gridSpan w:val="4"/>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512,165</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6"/>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discount</w:t>
            </w:r>
          </w:p>
        </w:tc>
        <w:tc>
          <w:tcPr>
            <w:tcW w:w="2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gridSpan w:val="4"/>
          </w:tcPr>
          <w:p>
            <w:pPr>
              <w:ind w:left="68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7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511,318</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rPr>
              <w:t>4.50%</w:t>
            </w:r>
          </w:p>
        </w:tc>
        <w:tc>
          <w:tcPr>
            <w:tcW w:w="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Notes payable</w:t>
            </w: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Revolving credit facility (5)(6)</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4/5/2027</w:t>
            </w:r>
          </w:p>
        </w:tc>
        <w:tc>
          <w:tcPr>
            <w:tcW w:w="1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SOFR + 0.775%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Term loan (5)</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3/20/2028</w:t>
            </w:r>
          </w:p>
        </w:tc>
        <w:tc>
          <w:tcPr>
            <w:tcW w:w="140" w:type="dxa"/>
            <w:vAlign w:val="bottom"/>
          </w:tcPr>
          <w:p>
            <w:pPr>
              <w:spacing w:after="0"/>
              <w:rPr>
                <w:sz w:val="18"/>
                <w:szCs w:val="18"/>
                <w:color w:val="auto"/>
              </w:rPr>
            </w:pP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SOFR + 0.85%</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Various</w:t>
            </w:r>
          </w:p>
        </w:tc>
        <w:tc>
          <w:tcPr>
            <w:tcW w:w="19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Various through 2059</w:t>
            </w:r>
          </w:p>
        </w:tc>
        <w:tc>
          <w:tcPr>
            <w:tcW w:w="2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Various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60" w:type="dxa"/>
            <w:vAlign w:val="bottom"/>
            <w:gridSpan w:val="4"/>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853,681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4"/>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gridSpan w:val="4"/>
          </w:tcPr>
          <w:p>
            <w:pPr>
              <w:ind w:left="680"/>
              <w:spacing w:after="0"/>
              <w:rPr>
                <w:sz w:val="20"/>
                <w:szCs w:val="20"/>
                <w:color w:val="auto"/>
              </w:rPr>
            </w:pPr>
            <w:r>
              <w:rPr>
                <w:rFonts w:ascii="Times New Roman" w:cs="Times New Roman" w:eastAsia="Times New Roman" w:hAnsi="Times New Roman"/>
                <w:sz w:val="16"/>
                <w:szCs w:val="16"/>
                <w:color w:val="auto"/>
              </w:rPr>
              <w:t>Total notes payable, net</w:t>
            </w:r>
          </w:p>
        </w:tc>
        <w:tc>
          <w:tcPr>
            <w:tcW w:w="17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849,558</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rPr>
              <w:t>4.93%</w:t>
            </w:r>
          </w:p>
        </w:tc>
        <w:tc>
          <w:tcPr>
            <w:tcW w:w="40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Senior notes and debentures</w:t>
            </w: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1.25% notes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2/15/2026</w:t>
            </w: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7.48% debentures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8/15/2026</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7.48%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3.25% notes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7/15/2027</w:t>
            </w: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6.82% medium term notes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8/1/2027</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6.82%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5.375% notes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5/1/2028</w:t>
            </w: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3.25% exchangeable notes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1/15/2029</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3.20% notes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6/15/2029</w:t>
            </w: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3.50% notes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6/1/2030</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4.50% notes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12/1/2044</w:t>
            </w:r>
          </w:p>
        </w:tc>
        <w:tc>
          <w:tcPr>
            <w:tcW w:w="1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3.625% notes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8/1/2046</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3.625%</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60" w:type="dxa"/>
            <w:vAlign w:val="bottom"/>
            <w:gridSpan w:val="4"/>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3,379,200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6"/>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2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gridSpan w:val="4"/>
          </w:tcPr>
          <w:p>
            <w:pPr>
              <w:ind w:left="68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7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3,362,468</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rPr>
              <w:t>3.77%</w:t>
            </w:r>
          </w:p>
        </w:tc>
        <w:tc>
          <w:tcPr>
            <w:tcW w:w="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Total debt, net</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4,723,344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fixed rate debt, net</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4,173,364</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3.91%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variable rate debt, net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549,980</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5.17%</w:t>
            </w:r>
          </w:p>
        </w:tc>
        <w:tc>
          <w:tcPr>
            <w:tcW w:w="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debt, net</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4,723,344</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4.06%</w:t>
            </w:r>
          </w:p>
        </w:tc>
        <w:tc>
          <w:tcPr>
            <w:tcW w:w="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Notes:</w:t>
      </w:r>
    </w:p>
    <w:p>
      <w:pPr>
        <w:spacing w:after="0" w:line="63" w:lineRule="exact"/>
        <w:rPr>
          <w:sz w:val="20"/>
          <w:szCs w:val="20"/>
          <w:color w:val="auto"/>
        </w:rPr>
      </w:pPr>
    </w:p>
    <w:p>
      <w:pPr>
        <w:ind w:left="660" w:right="220" w:hanging="652"/>
        <w:spacing w:after="0" w:line="262" w:lineRule="auto"/>
        <w:tabs>
          <w:tab w:leader="none" w:pos="654"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Mortgages payable does not include our share of debt on our unconsolidated real estate partnerships. At September 30, 2025, our share of unconsolidated debt was approximately $61.5 million. At September 30, 2025, our noncontrolling interests' share of mortgages payable was $14.8 million.</w:t>
      </w:r>
    </w:p>
    <w:p>
      <w:pPr>
        <w:spacing w:after="0" w:line="1" w:lineRule="exact"/>
        <w:rPr>
          <w:rFonts w:ascii="Times New Roman" w:cs="Times New Roman" w:eastAsia="Times New Roman" w:hAnsi="Times New Roman"/>
          <w:sz w:val="15"/>
          <w:szCs w:val="15"/>
          <w:color w:val="auto"/>
        </w:rPr>
      </w:pPr>
    </w:p>
    <w:p>
      <w:pPr>
        <w:ind w:left="660" w:right="80" w:hanging="652"/>
        <w:spacing w:after="0" w:line="268" w:lineRule="auto"/>
        <w:tabs>
          <w:tab w:leader="none" w:pos="654"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October 30, 2025, we refinanced our Azalea mortgage loan with a new $55.0 million mortgage loan that bears interest at SOFR + 85 basis points, based on our credit rating, and matures on October 30, 2028, plus two one-year extensions, at our option.</w:t>
      </w:r>
    </w:p>
    <w:p>
      <w:pPr>
        <w:spacing w:after="0" w:line="6" w:lineRule="exact"/>
        <w:rPr>
          <w:rFonts w:ascii="Times New Roman" w:cs="Times New Roman" w:eastAsia="Times New Roman" w:hAnsi="Times New Roman"/>
          <w:sz w:val="15"/>
          <w:szCs w:val="15"/>
          <w:color w:val="auto"/>
        </w:rPr>
      </w:pPr>
    </w:p>
    <w:p>
      <w:pPr>
        <w:ind w:left="660" w:hanging="652"/>
        <w:spacing w:after="0"/>
        <w:tabs>
          <w:tab w:leader="none" w:pos="6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two on-year extensions, at our option to extend the maturity date to December 28, 2027.</w:t>
      </w:r>
    </w:p>
    <w:p>
      <w:pPr>
        <w:spacing w:after="0" w:line="30" w:lineRule="exact"/>
        <w:rPr>
          <w:rFonts w:ascii="Times New Roman" w:cs="Times New Roman" w:eastAsia="Times New Roman" w:hAnsi="Times New Roman"/>
          <w:sz w:val="15"/>
          <w:szCs w:val="15"/>
          <w:color w:val="auto"/>
        </w:rPr>
      </w:pPr>
    </w:p>
    <w:p>
      <w:pPr>
        <w:ind w:left="660" w:hanging="652"/>
        <w:spacing w:after="0"/>
        <w:tabs>
          <w:tab w:leader="none" w:pos="6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mortgage loans have interest rate swap agreements that effectively fix the interest rate through the initial maturity date.</w:t>
      </w:r>
    </w:p>
    <w:p>
      <w:pPr>
        <w:spacing w:after="0" w:line="43" w:lineRule="exact"/>
        <w:rPr>
          <w:rFonts w:ascii="Times New Roman" w:cs="Times New Roman" w:eastAsia="Times New Roman" w:hAnsi="Times New Roman"/>
          <w:sz w:val="15"/>
          <w:szCs w:val="15"/>
          <w:color w:val="auto"/>
        </w:rPr>
      </w:pPr>
    </w:p>
    <w:p>
      <w:pPr>
        <w:jc w:val="both"/>
        <w:ind w:left="660" w:right="140" w:hanging="652"/>
        <w:spacing w:after="0" w:line="252" w:lineRule="auto"/>
        <w:tabs>
          <w:tab w:leader="none" w:pos="654"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revolving credit facility SOFR loans and our term loan bear interest at Daily Simple SOFR, as defined in the respective credit agreements, plus a spread, based on our current credit rating. Our revolving credit facility also includes a 0.10% adjustment to SOFR, which was removed through an amendment to the agreement on October 30, 2025. Effective September 2, 2025, the interest rate on $300.0 million of our term loan is effectively fixed at a weighted average interest rate of 4.21% through March 1, 2028 through interest rate swap agreements.</w:t>
      </w:r>
    </w:p>
    <w:p>
      <w:pPr>
        <w:spacing w:after="0" w:line="4" w:lineRule="exact"/>
        <w:rPr>
          <w:rFonts w:ascii="Times New Roman" w:cs="Times New Roman" w:eastAsia="Times New Roman" w:hAnsi="Times New Roman"/>
          <w:sz w:val="15"/>
          <w:szCs w:val="15"/>
          <w:color w:val="auto"/>
        </w:rPr>
      </w:pPr>
    </w:p>
    <w:p>
      <w:pPr>
        <w:ind w:left="660" w:right="560" w:hanging="652"/>
        <w:spacing w:after="0" w:line="268" w:lineRule="auto"/>
        <w:tabs>
          <w:tab w:leader="none" w:pos="654"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amount drawn under our $1.25 billion revolving credit facility during both the three and nine months ended September 30, 2025 was $315.3 million, and the weighted average interest rate on borrowings under our credit facility, before amortization of debt fees, for both periods was 5.2%.</w:t>
      </w:r>
    </w:p>
    <w:p>
      <w:pPr>
        <w:spacing w:after="0" w:line="6" w:lineRule="exact"/>
        <w:rPr>
          <w:rFonts w:ascii="Times New Roman" w:cs="Times New Roman" w:eastAsia="Times New Roman" w:hAnsi="Times New Roman"/>
          <w:sz w:val="15"/>
          <w:szCs w:val="15"/>
          <w:color w:val="auto"/>
        </w:rPr>
      </w:pPr>
    </w:p>
    <w:p>
      <w:pPr>
        <w:ind w:left="660" w:hanging="652"/>
        <w:spacing w:after="0"/>
        <w:tabs>
          <w:tab w:leader="none" w:pos="6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 effective interest rate includes the amortization of any debt issuance costs and discounts and premiums, if applicable, except as described in Note 8.</w:t>
      </w:r>
    </w:p>
    <w:p>
      <w:pPr>
        <w:spacing w:after="0" w:line="43" w:lineRule="exact"/>
        <w:rPr>
          <w:rFonts w:ascii="Times New Roman" w:cs="Times New Roman" w:eastAsia="Times New Roman" w:hAnsi="Times New Roman"/>
          <w:sz w:val="15"/>
          <w:szCs w:val="15"/>
          <w:color w:val="auto"/>
        </w:rPr>
      </w:pPr>
    </w:p>
    <w:p>
      <w:pPr>
        <w:ind w:left="660" w:hanging="652"/>
        <w:spacing w:after="0"/>
        <w:tabs>
          <w:tab w:leader="none" w:pos="6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 effective interest rate excludes $0.9 million in quarterly financing fees and quarterly debt fee amortization on our revolving credit facility.</w:t>
      </w:r>
    </w:p>
    <w:p>
      <w:pPr>
        <w:sectPr>
          <w:pgSz w:w="11900" w:h="16838" w:orient="portrait"/>
          <w:cols w:equalWidth="0" w:num="1">
            <w:col w:w="11240"/>
          </w:cols>
          <w:pgMar w:left="320" w:top="623" w:right="339" w:bottom="1440" w:gutter="0" w:footer="0" w:header="0"/>
        </w:sectPr>
      </w:pP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623" w:right="339" w:bottom="1440" w:gutter="0" w:footer="0" w:header="0"/>
          <w:type w:val="continuous"/>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00" w:type="dxa"/>
            <w:vAlign w:val="bottom"/>
          </w:tcPr>
          <w:p>
            <w:pPr>
              <w:spacing w:after="0"/>
              <w:rPr>
                <w:sz w:val="16"/>
                <w:szCs w:val="16"/>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Scheduled</w:t>
            </w:r>
          </w:p>
        </w:tc>
        <w:tc>
          <w:tcPr>
            <w:tcW w:w="220" w:type="dxa"/>
            <w:vAlign w:val="bottom"/>
          </w:tcPr>
          <w:p>
            <w:pPr>
              <w:spacing w:after="0"/>
              <w:rPr>
                <w:sz w:val="16"/>
                <w:szCs w:val="16"/>
                <w:color w:val="auto"/>
              </w:rPr>
            </w:pPr>
          </w:p>
        </w:tc>
        <w:tc>
          <w:tcPr>
            <w:tcW w:w="128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6"/>
                <w:szCs w:val="16"/>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Weighted Average Rate</w:t>
            </w:r>
          </w:p>
        </w:tc>
        <w:tc>
          <w:tcPr>
            <w:tcW w:w="0" w:type="dxa"/>
            <w:vAlign w:val="bottom"/>
          </w:tcPr>
          <w:p>
            <w:pPr>
              <w:spacing w:after="0"/>
              <w:rPr>
                <w:sz w:val="1"/>
                <w:szCs w:val="1"/>
                <w:color w:val="auto"/>
              </w:rPr>
            </w:pPr>
          </w:p>
        </w:tc>
      </w:tr>
      <w:tr>
        <w:trPr>
          <w:trHeight w:val="214"/>
        </w:trPr>
        <w:tc>
          <w:tcPr>
            <w:tcW w:w="19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2220" w:type="dxa"/>
            <w:vAlign w:val="bottom"/>
            <w:tcBorders>
              <w:bottom w:val="single" w:sz="8" w:color="auto"/>
            </w:tcBorders>
          </w:tcPr>
          <w:p>
            <w:pPr>
              <w:jc w:val="right"/>
              <w:ind w:right="1051"/>
              <w:spacing w:after="0"/>
              <w:rPr>
                <w:sz w:val="20"/>
                <w:szCs w:val="20"/>
                <w:color w:val="auto"/>
              </w:rPr>
            </w:pPr>
            <w:r>
              <w:rPr>
                <w:rFonts w:ascii="Times New Roman" w:cs="Times New Roman" w:eastAsia="Times New Roman" w:hAnsi="Times New Roman"/>
                <w:sz w:val="16"/>
                <w:szCs w:val="16"/>
                <w:b w:val="1"/>
                <w:bCs w:val="1"/>
                <w:color w:val="auto"/>
              </w:rPr>
              <w:t>(6)</w:t>
            </w: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43,137</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6"/>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44,052</w:t>
            </w:r>
          </w:p>
        </w:tc>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452,450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455,581</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890,682</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6"/>
              </w:rPr>
              <w:t>(2)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893,325</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452,400</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454,911</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2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 xml:space="preserve">5.5 % </w:t>
            </w: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943,105</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945,434</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1,150,684</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20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200" w:type="dxa"/>
            <w:vAlign w:val="bottom"/>
          </w:tcPr>
          <w:p>
            <w:pPr>
              <w:spacing w:after="0"/>
              <w:rPr>
                <w:sz w:val="19"/>
                <w:szCs w:val="19"/>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801,000</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801,000</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2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1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4,732,774</w:t>
            </w:r>
          </w:p>
        </w:tc>
        <w:tc>
          <w:tcPr>
            <w:tcW w:w="3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4,745,046</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(5)</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above table assumes all extension options are exercised.</w:t>
      </w:r>
    </w:p>
    <w:p>
      <w:pPr>
        <w:spacing w:after="0" w:line="100" w:lineRule="exact"/>
        <w:rPr>
          <w:sz w:val="20"/>
          <w:szCs w:val="20"/>
          <w:color w:val="auto"/>
        </w:rPr>
      </w:pPr>
    </w:p>
    <w:p>
      <w:pPr>
        <w:ind w:left="660" w:right="140" w:hanging="652"/>
        <w:spacing w:after="0" w:line="280"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1, 2025, we repaid a $3.1 million mortgage loan at our Hoboken property, at par. Additionally, on October 30, 2025, we refinanced our $40.0 million mortgage loan on Azalea. The new $55.0 million mortgage loan matures on October 30, 2028, plus two one-year extensions at our option to October 30, 2030.</w:t>
      </w:r>
    </w:p>
    <w:p>
      <w:pPr>
        <w:spacing w:after="0" w:line="1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$200.0 million mortgage loan secured by Bethesda Row matures on December 28, 2025 plus two one-year extensions, at our option to December 28, 2027.</w:t>
      </w:r>
    </w:p>
    <w:p>
      <w:pPr>
        <w:spacing w:after="0" w:line="59" w:lineRule="exact"/>
        <w:rPr>
          <w:rFonts w:ascii="Times New Roman" w:cs="Times New Roman" w:eastAsia="Times New Roman" w:hAnsi="Times New Roman"/>
          <w:sz w:val="16"/>
          <w:szCs w:val="16"/>
          <w:color w:val="auto"/>
        </w:rPr>
      </w:pPr>
    </w:p>
    <w:p>
      <w:pPr>
        <w:ind w:left="660" w:right="40" w:hanging="652"/>
        <w:spacing w:after="0" w:line="280"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$1.25 billion revolving credit facility matures on April 5, 2027, plus two six-month extensions at our option to April 5, 2028. As of September 30, 2025, there was $102.4 million balance outstanding under this credit facility.</w:t>
      </w:r>
    </w:p>
    <w:p>
      <w:pPr>
        <w:spacing w:after="0" w:line="1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$750.0 million term loan matures on March 20, 2028, plus two one-year extensions at our option to March 20, 2030.</w:t>
      </w:r>
    </w:p>
    <w:p>
      <w:pPr>
        <w:spacing w:after="0" w:line="59" w:lineRule="exact"/>
        <w:rPr>
          <w:rFonts w:ascii="Times New Roman" w:cs="Times New Roman" w:eastAsia="Times New Roman" w:hAnsi="Times New Roman"/>
          <w:sz w:val="16"/>
          <w:szCs w:val="16"/>
          <w:color w:val="auto"/>
        </w:rPr>
      </w:pPr>
    </w:p>
    <w:p>
      <w:pPr>
        <w:ind w:left="660" w:right="40" w:hanging="652"/>
        <w:spacing w:after="0" w:line="272"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debt maturities differ from the total reported on the consolidated balance sheet due to the debt issuance costs and unamortized net premium/discount on certain mortgage loans, notes payable, and senior notes as of September 30, 2025. The weighted average remaining term on our mortgages payable, notes payable, and senior notes and debentures is approximately 6 years.</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reflects the weighted average interest rate, as of September 30, 2025, on debt maturing in the respective year.</w:t>
      </w:r>
    </w:p>
    <w:p>
      <w:pPr>
        <w:spacing w:after="0" w:line="72"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excludes $0.9 million in quarterly financing fees and quarterly debt fee amortization on our $1.25 billion revolving credit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022" w:right="339"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Summary of Redevelopment and Expansion Opportunities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The following redevelopment opportunities are actively being worked on by the Trust. (1)</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 to</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 2025</w:t>
            </w:r>
          </w:p>
        </w:tc>
        <w:tc>
          <w:tcPr>
            <w:tcW w:w="0" w:type="dxa"/>
            <w:vAlign w:val="bottom"/>
          </w:tcPr>
          <w:p>
            <w:pPr>
              <w:spacing w:after="0"/>
              <w:rPr>
                <w:sz w:val="1"/>
                <w:szCs w:val="1"/>
                <w:color w:val="auto"/>
              </w:rPr>
            </w:pPr>
          </w:p>
        </w:tc>
      </w:tr>
      <w:tr>
        <w:trPr>
          <w:trHeight w:val="148"/>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9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POI Delivered</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49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(as a % of Total)</w:t>
            </w: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millions)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millions)</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Santana West (3)</w:t>
            </w:r>
          </w:p>
        </w:tc>
        <w:tc>
          <w:tcPr>
            <w:tcW w:w="122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San Jose, CA</w:t>
            </w:r>
          </w:p>
        </w:tc>
        <w:tc>
          <w:tcPr>
            <w:tcW w:w="490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Development of a 369,000 square foot office building. 327,000 square feet of</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 - 6%</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$325 -</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w:t>
            </w:r>
          </w:p>
        </w:tc>
        <w:tc>
          <w:tcPr>
            <w:tcW w:w="10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5% - 10%</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office space leased</w:t>
            </w: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Pike &amp; Rose - 915 Meeting</w:t>
            </w:r>
          </w:p>
        </w:tc>
        <w:tc>
          <w:tcPr>
            <w:tcW w:w="122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North Bethesda,</w:t>
            </w:r>
          </w:p>
        </w:tc>
        <w:tc>
          <w:tcPr>
            <w:tcW w:w="490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Development of a 262,000 square foot office building with 10,000 square feet of</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6 %</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$180 -</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$174</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65% - 75%</w:t>
            </w:r>
          </w:p>
        </w:tc>
        <w:tc>
          <w:tcPr>
            <w:tcW w:w="0" w:type="dxa"/>
            <w:vAlign w:val="bottom"/>
          </w:tcPr>
          <w:p>
            <w:pPr>
              <w:spacing w:after="0"/>
              <w:rPr>
                <w:sz w:val="1"/>
                <w:szCs w:val="1"/>
                <w:color w:val="auto"/>
              </w:rPr>
            </w:pPr>
          </w:p>
        </w:tc>
      </w:tr>
      <w:tr>
        <w:trPr>
          <w:trHeight w:val="139"/>
        </w:trPr>
        <w:tc>
          <w:tcPr>
            <w:tcW w:w="18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Street (3)</w:t>
            </w:r>
          </w:p>
        </w:tc>
        <w:tc>
          <w:tcPr>
            <w:tcW w:w="12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MD</w:t>
            </w:r>
          </w:p>
        </w:tc>
        <w:tc>
          <w:tcPr>
            <w:tcW w:w="490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retail space. 254,000 square feet of office and 10,000 square feet of retail space</w:t>
            </w:r>
          </w:p>
        </w:tc>
        <w:tc>
          <w:tcPr>
            <w:tcW w:w="76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$190</w:t>
            </w: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leased.</w:t>
            </w: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Santana Row - Lot 12</w:t>
            </w:r>
          </w:p>
        </w:tc>
        <w:tc>
          <w:tcPr>
            <w:tcW w:w="12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San Jose, CA</w:t>
            </w:r>
          </w:p>
        </w:tc>
        <w:tc>
          <w:tcPr>
            <w:tcW w:w="490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4"/>
                <w:szCs w:val="14"/>
                <w:color w:val="auto"/>
              </w:rPr>
              <w:t>Development of a new six story building with 258 residential units and associated</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 - 7%</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$140 -</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$19</w:t>
            </w:r>
          </w:p>
        </w:tc>
        <w:tc>
          <w:tcPr>
            <w:tcW w:w="10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parking</w:t>
            </w: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Bala Cynwyd on City Avenue</w:t>
            </w:r>
          </w:p>
        </w:tc>
        <w:tc>
          <w:tcPr>
            <w:tcW w:w="122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Bala Cynwyd, PA</w:t>
            </w:r>
          </w:p>
        </w:tc>
        <w:tc>
          <w:tcPr>
            <w:tcW w:w="490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Demolition of two level department store building to construct a new six story</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7 %</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$90 - $95</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$57</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9"/>
        </w:trPr>
        <w:tc>
          <w:tcPr>
            <w:tcW w:w="1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90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building with 217 residential units, 19,000 square feet of retail and a two-story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parking structure with 234 parking stalls</w:t>
            </w: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Huntington</w:t>
            </w:r>
          </w:p>
        </w:tc>
        <w:tc>
          <w:tcPr>
            <w:tcW w:w="12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Huntington, NY</w:t>
            </w:r>
          </w:p>
        </w:tc>
        <w:tc>
          <w:tcPr>
            <w:tcW w:w="490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4"/>
                <w:szCs w:val="14"/>
                <w:color w:val="auto"/>
              </w:rPr>
              <w:t>Demolition of the main two level building consisting of 161,000 square feet of</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8 %</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$80 - $85</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$80</w:t>
            </w:r>
          </w:p>
        </w:tc>
        <w:tc>
          <w:tcPr>
            <w:tcW w:w="10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90% - 95%</w:t>
            </w:r>
          </w:p>
        </w:tc>
        <w:tc>
          <w:tcPr>
            <w:tcW w:w="0" w:type="dxa"/>
            <w:vAlign w:val="bottom"/>
          </w:tcPr>
          <w:p>
            <w:pPr>
              <w:spacing w:after="0"/>
              <w:rPr>
                <w:sz w:val="1"/>
                <w:szCs w:val="1"/>
                <w:color w:val="auto"/>
              </w:rPr>
            </w:pPr>
          </w:p>
        </w:tc>
      </w:tr>
      <w:tr>
        <w:trPr>
          <w:trHeight w:val="139"/>
        </w:trPr>
        <w:tc>
          <w:tcPr>
            <w:tcW w:w="18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900" w:type="dxa"/>
            <w:vAlign w:val="bottom"/>
            <w:shd w:val="clear" w:color="auto" w:fill="CCEEFF"/>
          </w:tcPr>
          <w:p>
            <w:pPr>
              <w:ind w:left="60"/>
              <w:spacing w:after="0" w:line="139" w:lineRule="exact"/>
              <w:rPr>
                <w:sz w:val="20"/>
                <w:szCs w:val="20"/>
                <w:color w:val="auto"/>
              </w:rPr>
            </w:pPr>
            <w:r>
              <w:rPr>
                <w:rFonts w:ascii="Times New Roman" w:cs="Times New Roman" w:eastAsia="Times New Roman" w:hAnsi="Times New Roman"/>
                <w:sz w:val="14"/>
                <w:szCs w:val="14"/>
                <w:color w:val="auto"/>
              </w:rPr>
              <w:t>anchor and small shop space to construct 102,000 square feet of new ground-level</w:t>
            </w: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4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anchor and small shop retail space</w:t>
            </w:r>
          </w:p>
        </w:tc>
        <w:tc>
          <w:tcPr>
            <w:tcW w:w="7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Hoboken - 301 Washington</w:t>
            </w:r>
          </w:p>
        </w:tc>
        <w:tc>
          <w:tcPr>
            <w:tcW w:w="122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Hoboken, NJ</w:t>
            </w:r>
          </w:p>
        </w:tc>
        <w:tc>
          <w:tcPr>
            <w:tcW w:w="490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Development of a new 5 story, 45-unit residential building with 10,200 square feet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 - 7%</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$45 - $48</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$16</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Street</w:t>
            </w:r>
          </w:p>
        </w:tc>
        <w:tc>
          <w:tcPr>
            <w:tcW w:w="1220" w:type="dxa"/>
            <w:vAlign w:val="bottom"/>
          </w:tcPr>
          <w:p>
            <w:pPr>
              <w:spacing w:after="0"/>
              <w:rPr>
                <w:sz w:val="16"/>
                <w:szCs w:val="16"/>
                <w:color w:val="auto"/>
              </w:rPr>
            </w:pPr>
          </w:p>
        </w:tc>
        <w:tc>
          <w:tcPr>
            <w:tcW w:w="49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of ground floor retail space</w:t>
            </w: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5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 to</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49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ROI (4)</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Stabilization (5)</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(in</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millions)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millions)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Andorra</w:t>
            </w:r>
          </w:p>
        </w:tc>
        <w:tc>
          <w:tcPr>
            <w:tcW w:w="154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Philadelphia, PA</w:t>
            </w:r>
          </w:p>
        </w:tc>
        <w:tc>
          <w:tcPr>
            <w:tcW w:w="492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Demolition of 31,500 square feet of anchor and small shop spaces to construct a</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 - 8%</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0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139"/>
        </w:trPr>
        <w:tc>
          <w:tcPr>
            <w:tcW w:w="15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920" w:type="dxa"/>
            <w:vAlign w:val="bottom"/>
            <w:shd w:val="clear" w:color="auto" w:fill="CCEEFF"/>
          </w:tcPr>
          <w:p>
            <w:pPr>
              <w:ind w:left="60"/>
              <w:spacing w:after="0" w:line="139" w:lineRule="exact"/>
              <w:rPr>
                <w:sz w:val="20"/>
                <w:szCs w:val="20"/>
                <w:color w:val="auto"/>
              </w:rPr>
            </w:pPr>
            <w:r>
              <w:rPr>
                <w:rFonts w:ascii="Times New Roman" w:cs="Times New Roman" w:eastAsia="Times New Roman" w:hAnsi="Times New Roman"/>
                <w:sz w:val="14"/>
                <w:szCs w:val="14"/>
                <w:color w:val="auto"/>
              </w:rPr>
              <w:t>50,000 square foot turnkey building for a national grocer tenant and redevelopment</w:t>
            </w: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9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of 27,000 square feet of vacant small shop space at the north end of the property to</w:t>
            </w: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4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construct 10,400 square feet of small shop, and a 10,000 square foot anchor tenant</w:t>
            </w:r>
          </w:p>
        </w:tc>
        <w:tc>
          <w:tcPr>
            <w:tcW w:w="7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Grossmont Center</w:t>
            </w:r>
          </w:p>
        </w:tc>
        <w:tc>
          <w:tcPr>
            <w:tcW w:w="154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color w:val="auto"/>
              </w:rPr>
              <w:t>La Mesa, CA</w:t>
            </w:r>
          </w:p>
        </w:tc>
        <w:tc>
          <w:tcPr>
            <w:tcW w:w="49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auto"/>
              </w:rPr>
              <w:t>Phase I of a multi-phase redevelopment of the property focusing on revitalizing the</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9% - 10%</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$18</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92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color w:val="auto"/>
              </w:rPr>
              <w:t>northern side of the property encompassing 131,000 square feet of anchor and</w:t>
            </w: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small shop space</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Willow Grove</w:t>
            </w:r>
          </w:p>
        </w:tc>
        <w:tc>
          <w:tcPr>
            <w:tcW w:w="1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Willow Grove, PA</w:t>
            </w:r>
          </w:p>
        </w:tc>
        <w:tc>
          <w:tcPr>
            <w:tcW w:w="4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Development of a new 17,000 square foot multi-tenant pad building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5"/>
        </w:trPr>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Santana Row</w:t>
            </w:r>
          </w:p>
        </w:tc>
        <w:tc>
          <w:tcPr>
            <w:tcW w:w="15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San Jose, CA</w:t>
            </w:r>
          </w:p>
        </w:tc>
        <w:tc>
          <w:tcPr>
            <w:tcW w:w="4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Installation and implementation of paid parking system</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142"/>
        </w:trPr>
        <w:tc>
          <w:tcPr>
            <w:tcW w:w="1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Mercer on One</w:t>
            </w:r>
          </w:p>
        </w:tc>
        <w:tc>
          <w:tcPr>
            <w:tcW w:w="154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Lawrenceville, NJ</w:t>
            </w:r>
          </w:p>
        </w:tc>
        <w:tc>
          <w:tcPr>
            <w:tcW w:w="492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Construction of a 2,225 square foot pad building with drive-thru for a restaurant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8 %</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0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202"/>
        </w:trPr>
        <w:tc>
          <w:tcPr>
            <w:tcW w:w="15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tenant</w:t>
            </w: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060" w:type="dxa"/>
            <w:vAlign w:val="bottom"/>
            <w:gridSpan w:val="2"/>
          </w:tcPr>
          <w:p>
            <w:pPr>
              <w:spacing w:after="0"/>
              <w:rPr>
                <w:sz w:val="12"/>
                <w:szCs w:val="12"/>
                <w:color w:val="auto"/>
              </w:rPr>
            </w:pPr>
          </w:p>
        </w:tc>
        <w:tc>
          <w:tcPr>
            <w:tcW w:w="4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Active Property Improvement Projects (6)</w:t>
            </w:r>
          </w:p>
        </w:tc>
        <w:tc>
          <w:tcPr>
            <w:tcW w:w="492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4"/>
                <w:szCs w:val="14"/>
                <w:color w:val="auto"/>
              </w:rPr>
              <w:t>Ongoing improvements at 8 properties to better position those properties to capture</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8% - 16%</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$50</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$29</w:t>
            </w: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 disproportionate amount of retail demand</w:t>
            </w: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96" w:lineRule="exact"/>
        <w:rPr>
          <w:sz w:val="20"/>
          <w:szCs w:val="20"/>
          <w:color w:val="auto"/>
        </w:rPr>
      </w:pPr>
    </w:p>
    <w:p>
      <w:pPr>
        <w:ind w:left="260" w:hanging="252"/>
        <w:spacing w:after="0" w:line="271" w:lineRule="auto"/>
        <w:tabs>
          <w:tab w:leader="none" w:pos="25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and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1" w:lineRule="exact"/>
        <w:rPr>
          <w:rFonts w:ascii="Times New Roman" w:cs="Times New Roman" w:eastAsia="Times New Roman" w:hAnsi="Times New Roman"/>
          <w:sz w:val="14"/>
          <w:szCs w:val="14"/>
          <w:color w:val="auto"/>
        </w:rPr>
      </w:pPr>
    </w:p>
    <w:p>
      <w:pPr>
        <w:ind w:left="260" w:right="140" w:hanging="252"/>
        <w:spacing w:after="0" w:line="291" w:lineRule="auto"/>
        <w:tabs>
          <w:tab w:leader="none" w:pos="25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ROI for mixed-use redevelopment/expansion projects reflects the unleveraged Property Operating Income (POI) generated by the project and is calculated as POI divided by cost. Projected POI delivered includes straight line rent.</w:t>
      </w:r>
    </w:p>
    <w:p>
      <w:pPr>
        <w:spacing w:after="0" w:line="1"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costs for Pike &amp; Rose include an allocation of infrastructure costs for the entire project. Santana West includes an allocation of infrastructure for the Santana West site.</w:t>
      </w:r>
    </w:p>
    <w:p>
      <w:pPr>
        <w:spacing w:after="0" w:line="41" w:lineRule="exact"/>
        <w:rPr>
          <w:rFonts w:ascii="Times New Roman" w:cs="Times New Roman" w:eastAsia="Times New Roman" w:hAnsi="Times New Roman"/>
          <w:sz w:val="14"/>
          <w:szCs w:val="14"/>
          <w:color w:val="auto"/>
        </w:rPr>
      </w:pPr>
    </w:p>
    <w:p>
      <w:pPr>
        <w:ind w:left="260" w:right="220" w:hanging="252"/>
        <w:spacing w:after="0" w:line="268" w:lineRule="auto"/>
        <w:tabs>
          <w:tab w:leader="none" w:pos="25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spacing w:after="0" w:line="9"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Stabilization is generally the year in which 90% physical occupancy of the redeveloped space is achieved. Economic stabilization may occur at a later point in time.</w:t>
      </w:r>
    </w:p>
    <w:p>
      <w:pPr>
        <w:spacing w:after="0" w:line="41" w:lineRule="exact"/>
        <w:rPr>
          <w:rFonts w:ascii="Times New Roman" w:cs="Times New Roman" w:eastAsia="Times New Roman" w:hAnsi="Times New Roman"/>
          <w:sz w:val="14"/>
          <w:szCs w:val="14"/>
          <w:color w:val="auto"/>
        </w:rPr>
      </w:pPr>
    </w:p>
    <w:p>
      <w:pPr>
        <w:ind w:left="260" w:right="240" w:hanging="252"/>
        <w:spacing w:after="0" w:line="275" w:lineRule="auto"/>
        <w:tabs>
          <w:tab w:leader="none" w:pos="25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704"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7"/>
          <w:szCs w:val="17"/>
          <w:b w:val="1"/>
          <w:bCs w:val="1"/>
          <w:color w:val="auto"/>
        </w:rPr>
        <w:t>Federal Realty Investment Trust</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Future Redevelopment and Expansion Opportunities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2025</w:t>
      </w:r>
    </w:p>
    <w:p>
      <w:pPr>
        <w:spacing w:after="0" w:line="298" w:lineRule="exact"/>
        <w:rPr>
          <w:sz w:val="20"/>
          <w:szCs w:val="20"/>
          <w:color w:val="auto"/>
        </w:rPr>
      </w:pPr>
    </w:p>
    <w:p>
      <w:pPr>
        <w:ind w:left="20" w:right="160"/>
        <w:spacing w:after="0" w:line="228"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shd w:val="clear" w:color="auto" w:fill="DBDBDB"/>
          </w:tcPr>
          <w:p>
            <w:pPr>
              <w:spacing w:after="0"/>
              <w:rPr>
                <w:sz w:val="18"/>
                <w:szCs w:val="18"/>
                <w:color w:val="auto"/>
              </w:rPr>
            </w:pPr>
          </w:p>
        </w:tc>
        <w:tc>
          <w:tcPr>
            <w:tcW w:w="226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6"/>
                <w:szCs w:val="16"/>
                <w:b w:val="1"/>
                <w:bCs w:val="1"/>
                <w:color w:val="auto"/>
              </w:rPr>
              <w:t>Redevelopment Opportunities</w:t>
            </w:r>
          </w:p>
        </w:tc>
        <w:tc>
          <w:tcPr>
            <w:tcW w:w="2120" w:type="dxa"/>
            <w:vAlign w:val="bottom"/>
            <w:tcBorders>
              <w:bottom w:val="single" w:sz="8" w:color="auto"/>
            </w:tcBorders>
            <w:shd w:val="clear" w:color="auto" w:fill="DBDBDB"/>
          </w:tcPr>
          <w:p>
            <w:pPr>
              <w:spacing w:after="0"/>
              <w:rPr>
                <w:sz w:val="18"/>
                <w:szCs w:val="18"/>
                <w:color w:val="auto"/>
              </w:rPr>
            </w:pPr>
          </w:p>
        </w:tc>
      </w:tr>
      <w:tr>
        <w:trPr>
          <w:trHeight w:val="208"/>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18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Expansion/Conversion (4)</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Residential (5)</w:t>
            </w:r>
          </w:p>
        </w:tc>
        <w:tc>
          <w:tcPr>
            <w:tcW w:w="21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Mixed Use - Long Term</w:t>
            </w:r>
          </w:p>
        </w:tc>
      </w:tr>
      <w:tr>
        <w:trPr>
          <w:trHeight w:val="215"/>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Assembly Row (1)</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Somerville, MA</w:t>
            </w:r>
          </w:p>
        </w:tc>
        <w:tc>
          <w:tcPr>
            <w:tcW w:w="2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120" w:type="dxa"/>
            <w:vAlign w:val="bottom"/>
          </w:tcPr>
          <w:p>
            <w:pPr>
              <w:jc w:val="center"/>
              <w:ind w:right="159"/>
              <w:spacing w:after="0"/>
              <w:rPr>
                <w:sz w:val="20"/>
                <w:szCs w:val="20"/>
                <w:color w:val="auto"/>
              </w:rPr>
            </w:pPr>
            <w:r>
              <w:rPr>
                <w:rFonts w:ascii="Wingdings" w:cs="Wingdings" w:eastAsia="Wingdings" w:hAnsi="Wingdings"/>
                <w:sz w:val="16"/>
                <w:szCs w:val="16"/>
                <w:b w:val="1"/>
                <w:bCs w:val="1"/>
                <w:color w:val="auto"/>
                <w:highlight w:val="black"/>
              </w:rPr>
              <w:t>ü</w:t>
            </w:r>
          </w:p>
        </w:tc>
      </w:tr>
      <w:tr>
        <w:trPr>
          <w:trHeight w:val="23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 Cynwyd on City Avenue</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 Cynwyd, PA</w:t>
            </w:r>
          </w:p>
        </w:tc>
        <w:tc>
          <w:tcPr>
            <w:tcW w:w="2180" w:type="dxa"/>
            <w:vAlign w:val="bottom"/>
            <w:shd w:val="clear" w:color="auto" w:fill="CCEEFF"/>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shd w:val="clear" w:color="auto" w:fill="CCEEFF"/>
          </w:tcPr>
          <w:p>
            <w:pPr>
              <w:spacing w:after="0"/>
              <w:rPr>
                <w:sz w:val="20"/>
                <w:szCs w:val="20"/>
                <w:color w:val="auto"/>
              </w:rPr>
            </w:pPr>
          </w:p>
        </w:tc>
      </w:tr>
      <w:tr>
        <w:trPr>
          <w:trHeight w:val="220"/>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Barracks Road</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Charlottesville, VA</w:t>
            </w:r>
          </w:p>
        </w:tc>
        <w:tc>
          <w:tcPr>
            <w:tcW w:w="2180" w:type="dxa"/>
            <w:vAlign w:val="bottom"/>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tcPr>
          <w:p>
            <w:pPr>
              <w:spacing w:after="0"/>
              <w:rPr>
                <w:sz w:val="19"/>
                <w:szCs w:val="19"/>
                <w:color w:val="auto"/>
              </w:rPr>
            </w:pPr>
          </w:p>
        </w:tc>
      </w:tr>
      <w:tr>
        <w:trPr>
          <w:trHeight w:val="22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Bethesda Row</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Bethesda, MD</w:t>
            </w:r>
          </w:p>
        </w:tc>
        <w:tc>
          <w:tcPr>
            <w:tcW w:w="2180" w:type="dxa"/>
            <w:vAlign w:val="bottom"/>
            <w:shd w:val="clear" w:color="auto" w:fill="CCEEFF"/>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shd w:val="clear" w:color="auto" w:fill="CCEEFF"/>
          </w:tcPr>
          <w:p>
            <w:pPr>
              <w:spacing w:after="0"/>
              <w:rPr>
                <w:sz w:val="19"/>
                <w:szCs w:val="19"/>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Camelback Colonnade</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Phoenix, AZ</w:t>
            </w:r>
          </w:p>
        </w:tc>
        <w:tc>
          <w:tcPr>
            <w:tcW w:w="2180" w:type="dxa"/>
            <w:vAlign w:val="bottom"/>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tcPr>
          <w:p>
            <w:pPr>
              <w:spacing w:after="0"/>
              <w:rPr>
                <w:sz w:val="18"/>
                <w:szCs w:val="18"/>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Chelsea Commons</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Chelsea, MA</w:t>
            </w:r>
          </w:p>
        </w:tc>
        <w:tc>
          <w:tcPr>
            <w:tcW w:w="2180" w:type="dxa"/>
            <w:vAlign w:val="bottom"/>
            <w:shd w:val="clear" w:color="auto" w:fill="CCEEFF"/>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Dedham Plaza</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Dedham, MA</w:t>
            </w:r>
          </w:p>
        </w:tc>
        <w:tc>
          <w:tcPr>
            <w:tcW w:w="2180" w:type="dxa"/>
            <w:vAlign w:val="bottom"/>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 Monte Shopping Center</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Monterey, CA</w:t>
            </w:r>
          </w:p>
        </w:tc>
        <w:tc>
          <w:tcPr>
            <w:tcW w:w="21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shd w:val="clear" w:color="auto" w:fill="CCEEFF"/>
          </w:tcPr>
          <w:p>
            <w:pPr>
              <w:spacing w:after="0"/>
              <w:rPr>
                <w:sz w:val="19"/>
                <w:szCs w:val="19"/>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Escondido Promenade</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Escondido, CA</w:t>
            </w:r>
          </w:p>
        </w:tc>
        <w:tc>
          <w:tcPr>
            <w:tcW w:w="2180" w:type="dxa"/>
            <w:vAlign w:val="bottom"/>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Fairfax Junction</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Fairfax, VA</w:t>
            </w:r>
          </w:p>
        </w:tc>
        <w:tc>
          <w:tcPr>
            <w:tcW w:w="2180" w:type="dxa"/>
            <w:vAlign w:val="bottom"/>
            <w:shd w:val="clear" w:color="auto" w:fill="CCEEFF"/>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shd w:val="clear" w:color="auto" w:fill="CCEEFF"/>
          </w:tcPr>
          <w:p>
            <w:pPr>
              <w:spacing w:after="0"/>
              <w:rPr>
                <w:sz w:val="19"/>
                <w:szCs w:val="19"/>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Plaza</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Rockville, MD</w:t>
            </w:r>
          </w:p>
        </w:tc>
        <w:tc>
          <w:tcPr>
            <w:tcW w:w="21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tcPr>
          <w:p>
            <w:pPr>
              <w:spacing w:after="0"/>
              <w:rPr>
                <w:sz w:val="18"/>
                <w:szCs w:val="18"/>
                <w:color w:val="auto"/>
              </w:rPr>
            </w:pPr>
          </w:p>
        </w:tc>
      </w:tr>
      <w:tr>
        <w:trPr>
          <w:trHeight w:val="23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Finley Square</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Downers Grove, IL</w:t>
            </w:r>
          </w:p>
        </w:tc>
        <w:tc>
          <w:tcPr>
            <w:tcW w:w="2180" w:type="dxa"/>
            <w:vAlign w:val="bottom"/>
            <w:shd w:val="clear" w:color="auto" w:fill="CCEEFF"/>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Fresh Meadows</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Queens, NY</w:t>
            </w:r>
          </w:p>
        </w:tc>
        <w:tc>
          <w:tcPr>
            <w:tcW w:w="2180" w:type="dxa"/>
            <w:vAlign w:val="bottom"/>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Friendship Center</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Washington, DC</w:t>
            </w:r>
          </w:p>
        </w:tc>
        <w:tc>
          <w:tcPr>
            <w:tcW w:w="2180" w:type="dxa"/>
            <w:vAlign w:val="bottom"/>
            <w:shd w:val="clear" w:color="auto" w:fill="CCEEFF"/>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shd w:val="clear" w:color="auto" w:fill="CCEEFF"/>
          </w:tcPr>
          <w:p>
            <w:pPr>
              <w:spacing w:after="0"/>
              <w:rPr>
                <w:sz w:val="19"/>
                <w:szCs w:val="19"/>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Governor Plaza</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Glen Burnie, MD</w:t>
            </w:r>
          </w:p>
        </w:tc>
        <w:tc>
          <w:tcPr>
            <w:tcW w:w="2180" w:type="dxa"/>
            <w:vAlign w:val="bottom"/>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Grossmont Center</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La Mesa, CA</w:t>
            </w:r>
          </w:p>
        </w:tc>
        <w:tc>
          <w:tcPr>
            <w:tcW w:w="2180" w:type="dxa"/>
            <w:vAlign w:val="bottom"/>
            <w:shd w:val="clear" w:color="auto" w:fill="CCEEFF"/>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Huntington</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Huntington, NY</w:t>
            </w:r>
          </w:p>
        </w:tc>
        <w:tc>
          <w:tcPr>
            <w:tcW w:w="21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tcPr>
          <w:p>
            <w:pPr>
              <w:spacing w:after="0"/>
              <w:rPr>
                <w:sz w:val="18"/>
                <w:szCs w:val="18"/>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Huntington Square</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East Northport, NY</w:t>
            </w:r>
          </w:p>
        </w:tc>
        <w:tc>
          <w:tcPr>
            <w:tcW w:w="2180" w:type="dxa"/>
            <w:vAlign w:val="bottom"/>
            <w:shd w:val="clear" w:color="auto" w:fill="CCEEFF"/>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Northeast</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Philadelphia, PA</w:t>
            </w:r>
          </w:p>
        </w:tc>
        <w:tc>
          <w:tcPr>
            <w:tcW w:w="2180" w:type="dxa"/>
            <w:vAlign w:val="bottom"/>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Pike &amp; Rose (2)</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North Bethesda, MD</w:t>
            </w:r>
          </w:p>
        </w:tc>
        <w:tc>
          <w:tcPr>
            <w:tcW w:w="21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right="159"/>
              <w:spacing w:after="0"/>
              <w:rPr>
                <w:sz w:val="20"/>
                <w:szCs w:val="20"/>
                <w:color w:val="auto"/>
              </w:rPr>
            </w:pPr>
            <w:r>
              <w:rPr>
                <w:rFonts w:ascii="Wingdings" w:cs="Wingdings" w:eastAsia="Wingdings" w:hAnsi="Wingdings"/>
                <w:sz w:val="16"/>
                <w:szCs w:val="16"/>
                <w:b w:val="1"/>
                <w:bCs w:val="1"/>
                <w:color w:val="auto"/>
                <w:highlight w:val="black"/>
              </w:rPr>
              <w:t>ü</w:t>
            </w: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Pike 7 Plaza</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Vienna, VA</w:t>
            </w:r>
          </w:p>
        </w:tc>
        <w:tc>
          <w:tcPr>
            <w:tcW w:w="2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120" w:type="dxa"/>
            <w:vAlign w:val="bottom"/>
          </w:tcPr>
          <w:p>
            <w:pPr>
              <w:jc w:val="center"/>
              <w:ind w:right="159"/>
              <w:spacing w:after="0"/>
              <w:rPr>
                <w:sz w:val="20"/>
                <w:szCs w:val="20"/>
                <w:color w:val="auto"/>
              </w:rPr>
            </w:pPr>
            <w:r>
              <w:rPr>
                <w:rFonts w:ascii="Wingdings" w:cs="Wingdings" w:eastAsia="Wingdings" w:hAnsi="Wingdings"/>
                <w:sz w:val="16"/>
                <w:szCs w:val="16"/>
                <w:b w:val="1"/>
                <w:bCs w:val="1"/>
                <w:color w:val="auto"/>
                <w:highlight w:val="black"/>
              </w:rPr>
              <w:t>ü</w:t>
            </w: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Providence Place</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Fairfax, VA</w:t>
            </w:r>
          </w:p>
        </w:tc>
        <w:tc>
          <w:tcPr>
            <w:tcW w:w="2180" w:type="dxa"/>
            <w:vAlign w:val="bottom"/>
            <w:shd w:val="clear" w:color="auto" w:fill="CCEEFF"/>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shd w:val="clear" w:color="auto" w:fill="CCEEFF"/>
          </w:tcPr>
          <w:p>
            <w:pPr>
              <w:spacing w:after="0"/>
              <w:rPr>
                <w:sz w:val="19"/>
                <w:szCs w:val="19"/>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Riverpoint Center</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Chicago, IL</w:t>
            </w:r>
          </w:p>
        </w:tc>
        <w:tc>
          <w:tcPr>
            <w:tcW w:w="2180" w:type="dxa"/>
            <w:vAlign w:val="bottom"/>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Santana Row (3)</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San Jose, CA</w:t>
            </w:r>
          </w:p>
        </w:tc>
        <w:tc>
          <w:tcPr>
            <w:tcW w:w="21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right="159"/>
              <w:spacing w:after="0"/>
              <w:rPr>
                <w:sz w:val="20"/>
                <w:szCs w:val="20"/>
                <w:color w:val="auto"/>
              </w:rPr>
            </w:pPr>
            <w:r>
              <w:rPr>
                <w:rFonts w:ascii="Wingdings" w:cs="Wingdings" w:eastAsia="Wingdings" w:hAnsi="Wingdings"/>
                <w:sz w:val="16"/>
                <w:szCs w:val="16"/>
                <w:b w:val="1"/>
                <w:bCs w:val="1"/>
                <w:color w:val="auto"/>
                <w:highlight w:val="black"/>
              </w:rPr>
              <w:t>ü</w:t>
            </w: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Shops at Pembroke Gardens</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Pembroke Pines, FL</w:t>
            </w:r>
          </w:p>
        </w:tc>
        <w:tc>
          <w:tcPr>
            <w:tcW w:w="21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tcPr>
          <w:p>
            <w:pPr>
              <w:spacing w:after="0"/>
              <w:rPr>
                <w:sz w:val="18"/>
                <w:szCs w:val="18"/>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AVENUE at White Marsh</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White Marsh, MD</w:t>
            </w:r>
          </w:p>
        </w:tc>
        <w:tc>
          <w:tcPr>
            <w:tcW w:w="21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shd w:val="clear" w:color="auto" w:fill="CCEEFF"/>
          </w:tcPr>
          <w:p>
            <w:pPr>
              <w:spacing w:after="0"/>
              <w:rPr>
                <w:sz w:val="19"/>
                <w:szCs w:val="19"/>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Tower Shopping Center</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Springfield, VA</w:t>
            </w:r>
          </w:p>
        </w:tc>
        <w:tc>
          <w:tcPr>
            <w:tcW w:w="2180" w:type="dxa"/>
            <w:vAlign w:val="bottom"/>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Troy Hills</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Parsippany-Troy, NJ</w:t>
            </w:r>
          </w:p>
        </w:tc>
        <w:tc>
          <w:tcPr>
            <w:tcW w:w="2180" w:type="dxa"/>
            <w:vAlign w:val="bottom"/>
            <w:shd w:val="clear" w:color="auto" w:fill="CCEEFF"/>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Village at Shirlington</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Arlington, VA</w:t>
            </w:r>
          </w:p>
        </w:tc>
        <w:tc>
          <w:tcPr>
            <w:tcW w:w="21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tcPr>
          <w:p>
            <w:pPr>
              <w:spacing w:after="0"/>
              <w:rPr>
                <w:sz w:val="18"/>
                <w:szCs w:val="18"/>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Virginia Gateway</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Gainesville, VA</w:t>
            </w:r>
          </w:p>
        </w:tc>
        <w:tc>
          <w:tcPr>
            <w:tcW w:w="2180" w:type="dxa"/>
            <w:vAlign w:val="bottom"/>
            <w:shd w:val="clear" w:color="auto" w:fill="CCEEFF"/>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Willow Grove</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Willow Grove, PA</w:t>
            </w:r>
          </w:p>
        </w:tc>
        <w:tc>
          <w:tcPr>
            <w:tcW w:w="2180" w:type="dxa"/>
            <w:vAlign w:val="bottom"/>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tcPr>
          <w:p>
            <w:pPr>
              <w:spacing w:after="0"/>
              <w:rPr>
                <w:sz w:val="18"/>
                <w:szCs w:val="18"/>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Willow Lawn</w:t>
            </w:r>
          </w:p>
        </w:tc>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Richmond, VA</w:t>
            </w:r>
          </w:p>
        </w:tc>
        <w:tc>
          <w:tcPr>
            <w:tcW w:w="21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shd w:val="clear" w:color="auto" w:fill="CCEEFF"/>
          </w:tcPr>
          <w:p>
            <w:pPr>
              <w:spacing w:after="0"/>
              <w:rPr>
                <w:sz w:val="19"/>
                <w:szCs w:val="19"/>
                <w:color w:val="auto"/>
              </w:rPr>
            </w:pPr>
          </w:p>
        </w:tc>
      </w:tr>
      <w:tr>
        <w:trPr>
          <w:trHeight w:val="210"/>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Wynnewood</w:t>
            </w:r>
          </w:p>
        </w:tc>
        <w:tc>
          <w:tcPr>
            <w:tcW w:w="2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Wynnewood, PA</w:t>
            </w:r>
          </w:p>
        </w:tc>
        <w:tc>
          <w:tcPr>
            <w:tcW w:w="2180" w:type="dxa"/>
            <w:vAlign w:val="bottom"/>
          </w:tcPr>
          <w:p>
            <w:pPr>
              <w:jc w:val="center"/>
              <w:ind w:left="139"/>
              <w:spacing w:after="0"/>
              <w:rPr>
                <w:sz w:val="20"/>
                <w:szCs w:val="20"/>
                <w:color w:val="auto"/>
              </w:rPr>
            </w:pPr>
            <w:r>
              <w:rPr>
                <w:rFonts w:ascii="Wingdings" w:cs="Wingdings" w:eastAsia="Wingdings" w:hAnsi="Wingdings"/>
                <w:sz w:val="16"/>
                <w:szCs w:val="16"/>
                <w:b w:val="1"/>
                <w:bCs w:val="1"/>
                <w:color w:val="auto"/>
                <w:highlight w:val="black"/>
              </w:rPr>
              <w:t>ü</w:t>
            </w:r>
          </w:p>
        </w:tc>
        <w:tc>
          <w:tcPr>
            <w:tcW w:w="2260" w:type="dxa"/>
            <w:vAlign w:val="bottom"/>
          </w:tcPr>
          <w:p>
            <w:pPr>
              <w:jc w:val="center"/>
              <w:spacing w:after="0"/>
              <w:rPr>
                <w:sz w:val="20"/>
                <w:szCs w:val="20"/>
                <w:color w:val="auto"/>
              </w:rPr>
            </w:pPr>
            <w:r>
              <w:rPr>
                <w:rFonts w:ascii="Wingdings" w:cs="Wingdings" w:eastAsia="Wingdings" w:hAnsi="Wingdings"/>
                <w:sz w:val="16"/>
                <w:szCs w:val="16"/>
                <w:b w:val="1"/>
                <w:bCs w:val="1"/>
                <w:color w:val="auto"/>
                <w:highlight w:val="black"/>
              </w:rPr>
              <w:t>ü</w:t>
            </w:r>
          </w:p>
        </w:tc>
        <w:tc>
          <w:tcPr>
            <w:tcW w:w="2120" w:type="dxa"/>
            <w:vAlign w:val="bottom"/>
          </w:tcPr>
          <w:p>
            <w:pPr>
              <w:spacing w:after="0"/>
              <w:rPr>
                <w:sz w:val="18"/>
                <w:szCs w:val="18"/>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12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Remaining entitlements at Assembly Row include approximately 1.5 million square feet of commercial-use buildings and 326 residential units.</w:t>
      </w:r>
    </w:p>
    <w:p>
      <w:pPr>
        <w:spacing w:after="0" w:line="23"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Remaining entitlements at Pike &amp; Rose include approximately 530,000 square feet of commercial-use buildings and 741 residential units.</w:t>
      </w:r>
    </w:p>
    <w:p>
      <w:pPr>
        <w:spacing w:after="0" w:line="5" w:lineRule="exact"/>
        <w:rPr>
          <w:rFonts w:ascii="Times New Roman" w:cs="Times New Roman" w:eastAsia="Times New Roman" w:hAnsi="Times New Roman"/>
          <w:sz w:val="16"/>
          <w:szCs w:val="16"/>
          <w:color w:val="auto"/>
        </w:rPr>
      </w:pPr>
    </w:p>
    <w:p>
      <w:pPr>
        <w:ind w:left="660" w:right="460" w:hanging="652"/>
        <w:spacing w:after="0" w:line="255"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Remaining entitlements at Santana Row include approximately 321,000 square feet of commercial space and 137 residential units, as well as approximately 604,000 square feet of commercial space across from Santana Row.</w:t>
      </w:r>
    </w:p>
    <w:p>
      <w:pPr>
        <w:ind w:left="660" w:right="440" w:hanging="652"/>
        <w:spacing w:after="0" w:line="255"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expansion/conversion includes opportunities at successful retail properties to convert previously underutilized land into new GLA, to convert other existing uses into more productive uses for the property, and/or to add both single tenant and multi-tenant stand alone pad buildings.</w:t>
      </w:r>
    </w:p>
    <w:p>
      <w:pPr>
        <w:ind w:left="660" w:hanging="65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Residential includes opportunities to add residential units to existing retail and mixed-use properties.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937" w:right="35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Significant Transactions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Acquisitions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Date</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Property</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City/State</w:t>
            </w: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GLA</w:t>
            </w: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Purchase Price</w:t>
            </w:r>
          </w:p>
        </w:tc>
        <w:tc>
          <w:tcPr>
            <w:tcW w:w="2300" w:type="dxa"/>
            <w:vAlign w:val="bottom"/>
          </w:tcPr>
          <w:p>
            <w:pPr>
              <w:ind w:left="500"/>
              <w:spacing w:after="0"/>
              <w:rPr>
                <w:sz w:val="20"/>
                <w:szCs w:val="20"/>
                <w:color w:val="auto"/>
              </w:rPr>
            </w:pPr>
            <w:r>
              <w:rPr>
                <w:rFonts w:ascii="Times New Roman" w:cs="Times New Roman" w:eastAsia="Times New Roman" w:hAnsi="Times New Roman"/>
                <w:sz w:val="17"/>
                <w:szCs w:val="17"/>
                <w:b w:val="1"/>
                <w:bCs w:val="1"/>
                <w:color w:val="auto"/>
              </w:rPr>
              <w:t>Principal Tenants</w:t>
            </w:r>
          </w:p>
        </w:tc>
        <w:tc>
          <w:tcPr>
            <w:tcW w:w="0" w:type="dxa"/>
            <w:vAlign w:val="bottom"/>
          </w:tcPr>
          <w:p>
            <w:pPr>
              <w:spacing w:after="0"/>
              <w:rPr>
                <w:sz w:val="1"/>
                <w:szCs w:val="1"/>
                <w:color w:val="auto"/>
              </w:rPr>
            </w:pPr>
          </w:p>
        </w:tc>
      </w:tr>
      <w:tr>
        <w:trPr>
          <w:trHeight w:val="228"/>
        </w:trPr>
        <w:tc>
          <w:tcPr>
            <w:tcW w:w="1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(in square feet)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80" w:type="dxa"/>
            <w:vAlign w:val="bottom"/>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2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February 25, 2025</w:t>
            </w:r>
          </w:p>
        </w:tc>
        <w:tc>
          <w:tcPr>
            <w:tcW w:w="244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Del Monte Shopping Center</w:t>
            </w:r>
          </w:p>
        </w:tc>
        <w:tc>
          <w:tcPr>
            <w:tcW w:w="186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Monterey, California</w:t>
            </w:r>
          </w:p>
        </w:tc>
        <w:tc>
          <w:tcPr>
            <w:tcW w:w="13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rPr>
              <w:t>675,000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rPr>
              <w:t>123.5</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Whole Foods / Macy's / Petco /</w:t>
            </w:r>
          </w:p>
        </w:tc>
        <w:tc>
          <w:tcPr>
            <w:tcW w:w="0" w:type="dxa"/>
            <w:vAlign w:val="bottom"/>
          </w:tcPr>
          <w:p>
            <w:pPr>
              <w:spacing w:after="0"/>
              <w:rPr>
                <w:sz w:val="1"/>
                <w:szCs w:val="1"/>
                <w:color w:val="auto"/>
              </w:rPr>
            </w:pPr>
          </w:p>
        </w:tc>
      </w:tr>
      <w:tr>
        <w:trPr>
          <w:trHeight w:val="224"/>
        </w:trPr>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Pottery Barn / Apple</w:t>
            </w:r>
          </w:p>
        </w:tc>
        <w:tc>
          <w:tcPr>
            <w:tcW w:w="0" w:type="dxa"/>
            <w:vAlign w:val="bottom"/>
          </w:tcPr>
          <w:p>
            <w:pPr>
              <w:spacing w:after="0"/>
              <w:rPr>
                <w:sz w:val="1"/>
                <w:szCs w:val="1"/>
                <w:color w:val="auto"/>
              </w:rPr>
            </w:pPr>
          </w:p>
        </w:tc>
      </w:tr>
      <w:tr>
        <w:trPr>
          <w:trHeight w:val="167"/>
        </w:trPr>
        <w:tc>
          <w:tcPr>
            <w:tcW w:w="172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July 1, 2025</w:t>
            </w:r>
          </w:p>
        </w:tc>
        <w:tc>
          <w:tcPr>
            <w:tcW w:w="244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Town Center Crossing &amp;</w:t>
            </w: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Leawood, Kansas</w:t>
            </w:r>
          </w:p>
        </w:tc>
        <w:tc>
          <w:tcPr>
            <w:tcW w:w="136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552,000</w:t>
            </w:r>
          </w:p>
        </w:tc>
        <w:tc>
          <w:tcPr>
            <w:tcW w:w="80" w:type="dxa"/>
            <w:vAlign w:val="bottom"/>
          </w:tcPr>
          <w:p>
            <w:pPr>
              <w:spacing w:after="0"/>
              <w:rPr>
                <w:sz w:val="14"/>
                <w:szCs w:val="14"/>
                <w:color w:val="auto"/>
              </w:rPr>
            </w:pPr>
          </w:p>
        </w:tc>
        <w:tc>
          <w:tcPr>
            <w:tcW w:w="1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289.0</w:t>
            </w:r>
          </w:p>
        </w:tc>
        <w:tc>
          <w:tcPr>
            <w:tcW w:w="80" w:type="dxa"/>
            <w:vAlign w:val="bottom"/>
          </w:tcPr>
          <w:p>
            <w:pPr>
              <w:spacing w:after="0"/>
              <w:rPr>
                <w:sz w:val="14"/>
                <w:szCs w:val="14"/>
                <w:color w:val="auto"/>
              </w:rPr>
            </w:pPr>
          </w:p>
        </w:tc>
        <w:tc>
          <w:tcPr>
            <w:tcW w:w="230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Trader Joe’s / Crate &amp; Barrel /</w:t>
            </w:r>
          </w:p>
        </w:tc>
        <w:tc>
          <w:tcPr>
            <w:tcW w:w="0" w:type="dxa"/>
            <w:vAlign w:val="bottom"/>
          </w:tcPr>
          <w:p>
            <w:pPr>
              <w:spacing w:after="0"/>
              <w:rPr>
                <w:sz w:val="1"/>
                <w:szCs w:val="1"/>
                <w:color w:val="auto"/>
              </w:rPr>
            </w:pPr>
          </w:p>
        </w:tc>
      </w:tr>
      <w:tr>
        <w:trPr>
          <w:trHeight w:val="141"/>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2"/>
            <w:vMerge w:val="restart"/>
          </w:tcPr>
          <w:p>
            <w:pPr>
              <w:ind w:left="20"/>
              <w:spacing w:after="0" w:line="176" w:lineRule="exact"/>
              <w:rPr>
                <w:sz w:val="20"/>
                <w:szCs w:val="20"/>
                <w:color w:val="auto"/>
              </w:rPr>
            </w:pPr>
            <w:r>
              <w:rPr>
                <w:rFonts w:ascii="Times New Roman" w:cs="Times New Roman" w:eastAsia="Times New Roman" w:hAnsi="Times New Roman"/>
                <w:sz w:val="17"/>
                <w:szCs w:val="17"/>
                <w:color w:val="auto"/>
              </w:rPr>
              <w:t>Town Center Plaza</w:t>
            </w:r>
          </w:p>
        </w:tc>
        <w:tc>
          <w:tcPr>
            <w:tcW w:w="186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vMerge w:val="restart"/>
          </w:tcPr>
          <w:p>
            <w:pPr>
              <w:spacing w:after="0" w:line="176" w:lineRule="exact"/>
              <w:rPr>
                <w:sz w:val="20"/>
                <w:szCs w:val="20"/>
                <w:color w:val="auto"/>
              </w:rPr>
            </w:pPr>
            <w:r>
              <w:rPr>
                <w:rFonts w:ascii="Times New Roman" w:cs="Times New Roman" w:eastAsia="Times New Roman" w:hAnsi="Times New Roman"/>
                <w:sz w:val="17"/>
                <w:szCs w:val="17"/>
                <w:color w:val="auto"/>
              </w:rPr>
              <w:t>Pottery Barn / Restoration</w:t>
            </w:r>
          </w:p>
        </w:tc>
        <w:tc>
          <w:tcPr>
            <w:tcW w:w="0" w:type="dxa"/>
            <w:vAlign w:val="bottom"/>
          </w:tcPr>
          <w:p>
            <w:pPr>
              <w:spacing w:after="0"/>
              <w:rPr>
                <w:sz w:val="1"/>
                <w:szCs w:val="1"/>
                <w:color w:val="auto"/>
              </w:rPr>
            </w:pPr>
          </w:p>
        </w:tc>
      </w:tr>
      <w:tr>
        <w:trPr>
          <w:trHeight w:val="34"/>
        </w:trPr>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2"/>
            <w:vMerge w:val="continue"/>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Hardware / Apple / Aritzia</w:t>
            </w:r>
          </w:p>
        </w:tc>
        <w:tc>
          <w:tcPr>
            <w:tcW w:w="0" w:type="dxa"/>
            <w:vAlign w:val="bottom"/>
          </w:tcPr>
          <w:p>
            <w:pPr>
              <w:spacing w:after="0"/>
              <w:rPr>
                <w:sz w:val="1"/>
                <w:szCs w:val="1"/>
                <w:color w:val="auto"/>
              </w:rPr>
            </w:pPr>
          </w:p>
        </w:tc>
      </w:tr>
      <w:tr>
        <w:trPr>
          <w:trHeight w:val="175"/>
        </w:trPr>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October 10, 2025</w:t>
            </w:r>
          </w:p>
        </w:tc>
        <w:tc>
          <w:tcPr>
            <w:tcW w:w="2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Annapolis Town Center</w:t>
            </w:r>
          </w:p>
        </w:tc>
        <w:tc>
          <w:tcPr>
            <w:tcW w:w="1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Annapolis, Maryland</w:t>
            </w:r>
          </w:p>
        </w:tc>
        <w:tc>
          <w:tcPr>
            <w:tcW w:w="13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479,000</w:t>
            </w:r>
          </w:p>
        </w:tc>
        <w:tc>
          <w:tcPr>
            <w:tcW w:w="8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187.0</w:t>
            </w:r>
          </w:p>
        </w:tc>
        <w:tc>
          <w:tcPr>
            <w:tcW w:w="80" w:type="dxa"/>
            <w:vAlign w:val="bottom"/>
          </w:tcPr>
          <w:p>
            <w:pPr>
              <w:spacing w:after="0"/>
              <w:rPr>
                <w:sz w:val="15"/>
                <w:szCs w:val="15"/>
                <w:color w:val="auto"/>
              </w:rPr>
            </w:pPr>
          </w:p>
        </w:tc>
        <w:tc>
          <w:tcPr>
            <w:tcW w:w="23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Whole Foods / Restoration</w:t>
            </w:r>
          </w:p>
        </w:tc>
        <w:tc>
          <w:tcPr>
            <w:tcW w:w="0" w:type="dxa"/>
            <w:vAlign w:val="bottom"/>
          </w:tcPr>
          <w:p>
            <w:pPr>
              <w:spacing w:after="0"/>
              <w:rPr>
                <w:sz w:val="1"/>
                <w:szCs w:val="1"/>
                <w:color w:val="auto"/>
              </w:rPr>
            </w:pPr>
          </w:p>
        </w:tc>
      </w:tr>
      <w:tr>
        <w:trPr>
          <w:trHeight w:val="194"/>
        </w:trPr>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Hardware / Pottery Barn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ind w:left="8940"/>
        <w:spacing w:after="0" w:line="198" w:lineRule="auto"/>
        <w:rPr>
          <w:sz w:val="20"/>
          <w:szCs w:val="20"/>
          <w:color w:val="auto"/>
        </w:rPr>
      </w:pPr>
      <w:r>
        <w:rPr>
          <w:rFonts w:ascii="Times New Roman" w:cs="Times New Roman" w:eastAsia="Times New Roman" w:hAnsi="Times New Roman"/>
          <w:sz w:val="17"/>
          <w:szCs w:val="17"/>
          <w:color w:val="auto"/>
        </w:rPr>
        <w:t>William Sonoma / Lifetime</w:t>
      </w:r>
    </w:p>
    <w:p>
      <w:pPr>
        <w:spacing w:after="0" w:line="1"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7"/>
          <w:szCs w:val="17"/>
          <w:color w:val="auto"/>
        </w:rPr>
        <w:t>Fitness / Anthropologie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Dispositions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Date</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Property</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City/State</w:t>
            </w:r>
          </w:p>
        </w:tc>
        <w:tc>
          <w:tcPr>
            <w:tcW w:w="180" w:type="dxa"/>
            <w:vAlign w:val="bottom"/>
          </w:tcPr>
          <w:p>
            <w:pPr>
              <w:spacing w:after="0"/>
              <w:rPr>
                <w:sz w:val="20"/>
                <w:szCs w:val="20"/>
                <w:color w:val="auto"/>
              </w:rPr>
            </w:pPr>
          </w:p>
        </w:tc>
        <w:tc>
          <w:tcPr>
            <w:tcW w:w="35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Sales Price</w:t>
            </w:r>
          </w:p>
        </w:tc>
      </w:tr>
      <w:tr>
        <w:trPr>
          <w:trHeight w:val="228"/>
        </w:trPr>
        <w:tc>
          <w:tcPr>
            <w:tcW w:w="1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360" w:type="dxa"/>
            <w:vAlign w:val="bottom"/>
          </w:tcPr>
          <w:p>
            <w:pPr>
              <w:spacing w:after="0"/>
              <w:rPr>
                <w:sz w:val="19"/>
                <w:szCs w:val="19"/>
                <w:color w:val="auto"/>
              </w:rPr>
            </w:pPr>
          </w:p>
        </w:tc>
      </w:tr>
      <w:tr>
        <w:trPr>
          <w:trHeight w:val="231"/>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7, 2025</w:t>
            </w:r>
          </w:p>
        </w:tc>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White Marsh Other (portion)</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Baltimore, Maryland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360" w:type="dxa"/>
            <w:vAlign w:val="bottom"/>
            <w:shd w:val="clear" w:color="auto" w:fill="CCEEFF"/>
          </w:tcPr>
          <w:p>
            <w:pPr>
              <w:spacing w:after="0"/>
              <w:rPr>
                <w:sz w:val="20"/>
                <w:szCs w:val="20"/>
                <w:color w:val="auto"/>
              </w:rPr>
            </w:pPr>
          </w:p>
        </w:tc>
      </w:tr>
      <w:tr>
        <w:trPr>
          <w:trHeight w:val="167"/>
        </w:trPr>
        <w:tc>
          <w:tcPr>
            <w:tcW w:w="174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May 12, 2025</w:t>
            </w:r>
          </w:p>
        </w:tc>
        <w:tc>
          <w:tcPr>
            <w:tcW w:w="244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Santana Row Residential</w:t>
            </w:r>
          </w:p>
        </w:tc>
        <w:tc>
          <w:tcPr>
            <w:tcW w:w="330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San Jose, California</w:t>
            </w:r>
          </w:p>
        </w:tc>
        <w:tc>
          <w:tcPr>
            <w:tcW w:w="1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73.9</w:t>
            </w:r>
          </w:p>
        </w:tc>
        <w:tc>
          <w:tcPr>
            <w:tcW w:w="2360" w:type="dxa"/>
            <w:vAlign w:val="bottom"/>
          </w:tcPr>
          <w:p>
            <w:pPr>
              <w:spacing w:after="0"/>
              <w:rPr>
                <w:sz w:val="14"/>
                <w:szCs w:val="14"/>
                <w:color w:val="auto"/>
              </w:rPr>
            </w:pPr>
          </w:p>
        </w:tc>
      </w:tr>
      <w:tr>
        <w:trPr>
          <w:trHeight w:val="223"/>
        </w:trPr>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 building)</w:t>
            </w:r>
          </w:p>
        </w:tc>
        <w:tc>
          <w:tcPr>
            <w:tcW w:w="3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1"/>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23, 2025</w:t>
            </w:r>
          </w:p>
        </w:tc>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Hollywood Boulevard</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 Angeles, California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236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Common Shares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March 28, 2025, we settled our remaining open forward sales agreements by issuing 476,497 common shares which were sold at a weighted average gross offering price of $115.43.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Restatement of Term Loan</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March 20, 2025, we amended and restated our $600.0 million unsecured term loan, extending the maturity date to March 20, 2028, plus two one-year extensions, at our option. We also had the right to borrow up to an additional $150.0 million in the form of an unsecured term loan, which we exercised on September 22, 2025, bringing our total amount outstanding under this agreement to $750.0 million as of September 30, 2025. Under an accordion feature, we have the right to request additional loans, subject to an aggregate maximum of $1.0 billion borrowed under the restated agreement. Additionally, on May 1, 2025, the interest rate was reduced by removing the 0.10% adjustment to SOFR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0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April 10, 2025, we announced that our Board of Trustees had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As of October 30, 2025, no common shares have been repurchased through the program.</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860"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74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2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 (2)</w:t>
            </w:r>
          </w:p>
        </w:tc>
        <w:tc>
          <w:tcPr>
            <w:tcW w:w="2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auto"/>
            </w:tcBorders>
            <w:gridSpan w:val="4"/>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Washington Metropolitan Area</w:t>
            </w:r>
          </w:p>
        </w:tc>
        <w:tc>
          <w:tcPr>
            <w:tcW w:w="2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2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Barcroft Plaza</w:t>
            </w:r>
          </w:p>
        </w:tc>
        <w:tc>
          <w:tcPr>
            <w:tcW w:w="38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   52,118</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46,000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Bethesda Row</w:t>
            </w:r>
          </w:p>
        </w:tc>
        <w:tc>
          <w:tcPr>
            <w:tcW w:w="3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275,052</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532,000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180</w:t>
            </w:r>
          </w:p>
        </w:tc>
        <w:tc>
          <w:tcPr>
            <w:tcW w:w="5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40,000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Apple / Anthropologie / Equinox / Multiple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22"/>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Birch &amp; Broad</w:t>
            </w:r>
          </w:p>
        </w:tc>
        <w:tc>
          <w:tcPr>
            <w:tcW w:w="38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26,155</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51,000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Staples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Chesterbrook</w:t>
            </w:r>
          </w:p>
        </w:tc>
        <w:tc>
          <w:tcPr>
            <w:tcW w:w="3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50,993</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35,000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Starbucks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Congressional Plaza</w:t>
            </w:r>
          </w:p>
        </w:tc>
        <w:tc>
          <w:tcPr>
            <w:tcW w:w="3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109,273</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309,000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79 %</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194</w:t>
            </w: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25,000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The Fresh Market</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Ulta / Barnes &amp; Noble / Container Store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Courthouse Center</w:t>
            </w:r>
          </w:p>
        </w:tc>
        <w:tc>
          <w:tcPr>
            <w:tcW w:w="3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7,639</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Fairfax Junction</w:t>
            </w:r>
          </w:p>
        </w:tc>
        <w:tc>
          <w:tcPr>
            <w:tcW w:w="3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(5)</w:t>
            </w: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46,829</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23,000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Federal Plaza</w:t>
            </w:r>
          </w:p>
        </w:tc>
        <w:tc>
          <w:tcPr>
            <w:tcW w:w="3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75,003</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14,000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Micro Center / Ross Dress for</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w:t>
            </w:r>
          </w:p>
        </w:tc>
        <w:tc>
          <w:tcPr>
            <w:tcW w:w="0" w:type="dxa"/>
            <w:vAlign w:val="bottom"/>
          </w:tcPr>
          <w:p>
            <w:pPr>
              <w:spacing w:after="0"/>
              <w:rPr>
                <w:sz w:val="1"/>
                <w:szCs w:val="1"/>
                <w:color w:val="auto"/>
              </w:rPr>
            </w:pPr>
          </w:p>
        </w:tc>
      </w:tr>
      <w:tr>
        <w:trPr>
          <w:trHeight w:val="122"/>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Friendship Center</w:t>
            </w:r>
          </w:p>
        </w:tc>
        <w:tc>
          <w:tcPr>
            <w:tcW w:w="38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39,822</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Maggiano's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6"/>
              </w:rPr>
              <w:t>Gaithersburg Square</w:t>
            </w:r>
          </w:p>
        </w:tc>
        <w:tc>
          <w:tcPr>
            <w:tcW w:w="3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39,707</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 Ashley</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Furniture HomeStore / CVS</w:t>
            </w:r>
          </w:p>
        </w:tc>
        <w:tc>
          <w:tcPr>
            <w:tcW w:w="0" w:type="dxa"/>
            <w:vAlign w:val="bottom"/>
          </w:tcPr>
          <w:p>
            <w:pPr>
              <w:spacing w:after="0"/>
              <w:rPr>
                <w:sz w:val="1"/>
                <w:szCs w:val="1"/>
                <w:color w:val="auto"/>
              </w:rPr>
            </w:pPr>
          </w:p>
        </w:tc>
      </w:tr>
      <w:tr>
        <w:trPr>
          <w:trHeight w:val="121"/>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Graham Park Plaza</w:t>
            </w:r>
          </w:p>
        </w:tc>
        <w:tc>
          <w:tcPr>
            <w:tcW w:w="38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28,158</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7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58,000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Idylwood Plaza</w:t>
            </w:r>
          </w:p>
        </w:tc>
        <w:tc>
          <w:tcPr>
            <w:tcW w:w="3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19,467</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23,000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TBA</w:t>
            </w:r>
          </w:p>
        </w:tc>
        <w:tc>
          <w:tcPr>
            <w:tcW w:w="2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Kingstowne Towne</w:t>
            </w:r>
          </w:p>
        </w:tc>
        <w:tc>
          <w:tcPr>
            <w:tcW w:w="38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212,334</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135,000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 / Safeway</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TJ Maxx / HomeGoods / Ross Dress for Less</w:t>
            </w:r>
          </w:p>
        </w:tc>
        <w:tc>
          <w:tcPr>
            <w:tcW w:w="0" w:type="dxa"/>
            <w:vAlign w:val="bottom"/>
          </w:tcPr>
          <w:p>
            <w:pPr>
              <w:spacing w:after="0"/>
              <w:rPr>
                <w:sz w:val="1"/>
                <w:szCs w:val="1"/>
                <w:color w:val="auto"/>
              </w:rPr>
            </w:pPr>
          </w:p>
        </w:tc>
      </w:tr>
      <w:tr>
        <w:trPr>
          <w:trHeight w:val="164"/>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38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Laurel</w:t>
            </w:r>
          </w:p>
        </w:tc>
        <w:tc>
          <w:tcPr>
            <w:tcW w:w="3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62,249</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61,000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L.A. Fitness / HomeGoods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Montrose Crossing</w:t>
            </w:r>
          </w:p>
        </w:tc>
        <w:tc>
          <w:tcPr>
            <w:tcW w:w="38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172,094</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73,000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 / Target</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Marshalls / Home Depot Design Center / Old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w:t>
            </w: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Navy / Burlington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Mount</w:t>
            </w:r>
          </w:p>
        </w:tc>
        <w:tc>
          <w:tcPr>
            <w:tcW w:w="3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(5)</w:t>
            </w: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99,360</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565,000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62,000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Shoppers Food</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Home Depot / Old Navy /</w:t>
            </w:r>
          </w:p>
        </w:tc>
        <w:tc>
          <w:tcPr>
            <w:tcW w:w="0" w:type="dxa"/>
            <w:vAlign w:val="bottom"/>
          </w:tcPr>
          <w:p>
            <w:pPr>
              <w:spacing w:after="0"/>
              <w:rPr>
                <w:sz w:val="1"/>
                <w:szCs w:val="1"/>
                <w:color w:val="auto"/>
              </w:rPr>
            </w:pPr>
          </w:p>
        </w:tc>
      </w:tr>
      <w:tr>
        <w:trPr>
          <w:trHeight w:val="122"/>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Vernon/South</w:t>
            </w:r>
          </w:p>
        </w:tc>
        <w:tc>
          <w:tcPr>
            <w:tcW w:w="3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MD-WV</w:t>
            </w:r>
          </w:p>
        </w:tc>
        <w:tc>
          <w:tcPr>
            <w:tcW w:w="6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Warehouse</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Burlington / Ulta</w:t>
            </w:r>
          </w:p>
        </w:tc>
        <w:tc>
          <w:tcPr>
            <w:tcW w:w="0" w:type="dxa"/>
            <w:vAlign w:val="bottom"/>
          </w:tcPr>
          <w:p>
            <w:pPr>
              <w:spacing w:after="0"/>
              <w:rPr>
                <w:sz w:val="1"/>
                <w:szCs w:val="1"/>
                <w:color w:val="auto"/>
              </w:rPr>
            </w:pPr>
          </w:p>
        </w:tc>
      </w:tr>
      <w:tr>
        <w:trPr>
          <w:trHeight w:val="130"/>
        </w:trPr>
        <w:tc>
          <w:tcPr>
            <w:tcW w:w="1080" w:type="dxa"/>
            <w:vAlign w:val="bottom"/>
            <w:gridSpan w:val="3"/>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Valley/7770</w:t>
            </w: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Richmond Hwy</w:t>
            </w: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Old Keene Mill</w:t>
            </w:r>
          </w:p>
        </w:tc>
        <w:tc>
          <w:tcPr>
            <w:tcW w:w="38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20,075</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14,000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Walgreens / 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Pike &amp; Rose</w:t>
            </w:r>
          </w:p>
        </w:tc>
        <w:tc>
          <w:tcPr>
            <w:tcW w:w="3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902,546</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914,000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765</w:t>
            </w: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Porsche / Uniqlo / REI / H&amp;M / L.L Bean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22"/>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Pike 7 Plaza</w:t>
            </w:r>
          </w:p>
        </w:tc>
        <w:tc>
          <w:tcPr>
            <w:tcW w:w="38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56,669</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24,000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Lidl</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DSW / Ulta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 del Mercado</w:t>
            </w:r>
          </w:p>
        </w:tc>
        <w:tc>
          <w:tcPr>
            <w:tcW w:w="3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47,145</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18,000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Providence Place</w:t>
            </w:r>
          </w:p>
        </w:tc>
        <w:tc>
          <w:tcPr>
            <w:tcW w:w="38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37,792</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7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65,000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Micro Center / CVS / Michaels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Quince Orchard</w:t>
            </w:r>
          </w:p>
        </w:tc>
        <w:tc>
          <w:tcPr>
            <w:tcW w:w="3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41,693</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19,000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HomeGoods / L.A. Fitness / Staples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Tower Shopping</w:t>
            </w:r>
          </w:p>
        </w:tc>
        <w:tc>
          <w:tcPr>
            <w:tcW w:w="38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29,959</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26,000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L.A. Mart</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Total Wine &amp; More / Talbots</w:t>
            </w:r>
          </w:p>
        </w:tc>
        <w:tc>
          <w:tcPr>
            <w:tcW w:w="0" w:type="dxa"/>
            <w:vAlign w:val="bottom"/>
          </w:tcPr>
          <w:p>
            <w:pPr>
              <w:spacing w:after="0"/>
              <w:rPr>
                <w:sz w:val="1"/>
                <w:szCs w:val="1"/>
                <w:color w:val="auto"/>
              </w:rPr>
            </w:pPr>
          </w:p>
        </w:tc>
      </w:tr>
      <w:tr>
        <w:trPr>
          <w:trHeight w:val="164"/>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38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Twinbrooke Centre</w:t>
            </w:r>
          </w:p>
        </w:tc>
        <w:tc>
          <w:tcPr>
            <w:tcW w:w="3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41,803</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35,000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Outback Steakhouse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Tyson's Station</w:t>
            </w:r>
          </w:p>
        </w:tc>
        <w:tc>
          <w:tcPr>
            <w:tcW w:w="38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6,812</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7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15,000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Village at</w:t>
            </w:r>
          </w:p>
        </w:tc>
        <w:tc>
          <w:tcPr>
            <w:tcW w:w="3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77,257</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28,000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AMC / Multiple Restaurants</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Shirlington</w:t>
            </w:r>
          </w:p>
        </w:tc>
        <w:tc>
          <w:tcPr>
            <w:tcW w:w="38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Virginia Gateway</w:t>
            </w:r>
          </w:p>
        </w:tc>
        <w:tc>
          <w:tcPr>
            <w:tcW w:w="38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209,808</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668,000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70,000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 / Target</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HomeGoods / Total Wine &amp; More / Best Buy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 / BJ's Wholesale</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 Ulta / Lowe's (S)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Club (S)</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Westpost</w:t>
            </w:r>
          </w:p>
        </w:tc>
        <w:tc>
          <w:tcPr>
            <w:tcW w:w="38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120,296</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79,000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 / Target</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Ulta / Walgreens / DSW</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Wildwood</w:t>
            </w:r>
          </w:p>
        </w:tc>
        <w:tc>
          <w:tcPr>
            <w:tcW w:w="38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28,381</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20,000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Balducci's</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Multiple Restaurants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16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3"/>
                <w:szCs w:val="13"/>
                <w:b w:val="1"/>
                <w:bCs w:val="1"/>
                <w:color w:val="auto"/>
                <w:w w:val="96"/>
              </w:rPr>
              <w:t>Total Washington Metropolitan Area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2,936,489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7,123,000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California</w:t>
            </w: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auto"/>
              </w:rPr>
              <w:t>Azalea</w:t>
            </w:r>
          </w:p>
        </w:tc>
        <w:tc>
          <w:tcPr>
            <w:tcW w:w="3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108,954</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Walmart (S)</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 Ulta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Michaels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Bell Gardens</w:t>
            </w:r>
          </w:p>
        </w:tc>
        <w:tc>
          <w:tcPr>
            <w:tcW w:w="38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8"/>
              </w:rPr>
              <w:t>(3)(4)</w:t>
            </w: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120,009</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371,000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108,000</w:t>
            </w:r>
          </w:p>
        </w:tc>
        <w:tc>
          <w:tcPr>
            <w:tcW w:w="358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Food 4 Less / El Super Marshalls / Ross Dress for Less / Bob's</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Discount Furniture</w:t>
            </w: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028" w:right="3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40" w:top="1028" w:right="339" w:bottom="1440" w:gutter="0" w:footer="0" w:header="0"/>
          <w:type w:val="continuous"/>
        </w:sectPr>
      </w:pPr>
    </w:p>
    <w:bookmarkStart w:id="21" w:name="page22"/>
    <w:bookmarkEnd w:id="21"/>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74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2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 (2)</w:t>
            </w:r>
          </w:p>
        </w:tc>
        <w:tc>
          <w:tcPr>
            <w:tcW w:w="2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Colorado Blvd</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14,075</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42,000</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73 %</w:t>
            </w: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Banana Republic / True Food Kitchen</w:t>
            </w:r>
          </w:p>
        </w:tc>
        <w:tc>
          <w:tcPr>
            <w:tcW w:w="0" w:type="dxa"/>
            <w:vAlign w:val="bottom"/>
          </w:tcPr>
          <w:p>
            <w:pPr>
              <w:spacing w:after="0"/>
              <w:rPr>
                <w:sz w:val="1"/>
                <w:szCs w:val="1"/>
                <w:color w:val="auto"/>
              </w:rPr>
            </w:pPr>
          </w:p>
        </w:tc>
      </w:tr>
      <w:tr>
        <w:trPr>
          <w:trHeight w:val="130"/>
        </w:trPr>
        <w:tc>
          <w:tcPr>
            <w:tcW w:w="10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Crow Canyon</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93,759</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239,000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85 %</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4"/>
              </w:rPr>
              <w:t>32,000</w:t>
            </w:r>
          </w:p>
        </w:tc>
        <w:tc>
          <w:tcPr>
            <w:tcW w:w="12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Sprouts</w:t>
            </w:r>
          </w:p>
        </w:tc>
        <w:tc>
          <w:tcPr>
            <w:tcW w:w="2360" w:type="dxa"/>
            <w:vAlign w:val="bottom"/>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color w:val="auto"/>
              </w:rPr>
              <w:t>Total Wine &amp; More / Alamo Ace Hardware</w:t>
            </w:r>
          </w:p>
        </w:tc>
        <w:tc>
          <w:tcPr>
            <w:tcW w:w="0" w:type="dxa"/>
            <w:vAlign w:val="bottom"/>
          </w:tcPr>
          <w:p>
            <w:pPr>
              <w:spacing w:after="0"/>
              <w:rPr>
                <w:sz w:val="1"/>
                <w:szCs w:val="1"/>
                <w:color w:val="auto"/>
              </w:rPr>
            </w:pPr>
          </w:p>
        </w:tc>
      </w:tr>
      <w:tr>
        <w:trPr>
          <w:trHeight w:val="169"/>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Commons</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Del Monte</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Salinas,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129,791</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675,000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80 %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25,000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Macy's / Petco / Pottery Barn / Apple</w:t>
            </w:r>
          </w:p>
        </w:tc>
        <w:tc>
          <w:tcPr>
            <w:tcW w:w="0" w:type="dxa"/>
            <w:vAlign w:val="bottom"/>
          </w:tcPr>
          <w:p>
            <w:pPr>
              <w:spacing w:after="0"/>
              <w:rPr>
                <w:sz w:val="1"/>
                <w:szCs w:val="1"/>
                <w:color w:val="auto"/>
              </w:rPr>
            </w:pPr>
          </w:p>
        </w:tc>
      </w:tr>
      <w:tr>
        <w:trPr>
          <w:trHeight w:val="16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Shopping Center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East Bay Bridge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Francisco-Oakland-Hayward,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179,185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199,000</w:t>
            </w:r>
          </w:p>
        </w:tc>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Pak-N-Save / Target</w:t>
            </w:r>
          </w:p>
        </w:tc>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Home Depot / Nordstrom Rack / Michaels</w:t>
            </w:r>
          </w:p>
        </w:tc>
        <w:tc>
          <w:tcPr>
            <w:tcW w:w="0" w:type="dxa"/>
            <w:vAlign w:val="bottom"/>
          </w:tcPr>
          <w:p>
            <w:pPr>
              <w:spacing w:after="0"/>
              <w:rPr>
                <w:sz w:val="1"/>
                <w:szCs w:val="1"/>
                <w:color w:val="auto"/>
              </w:rPr>
            </w:pPr>
          </w:p>
        </w:tc>
      </w:tr>
      <w:tr>
        <w:trPr>
          <w:trHeight w:val="121"/>
        </w:trPr>
        <w:tc>
          <w:tcPr>
            <w:tcW w:w="10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Escondido</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San Diego-Carlsbad,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135,649</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 (S)</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Dick’s Sporting Goods / Ross</w:t>
            </w:r>
          </w:p>
        </w:tc>
        <w:tc>
          <w:tcPr>
            <w:tcW w:w="0" w:type="dxa"/>
            <w:vAlign w:val="bottom"/>
          </w:tcPr>
          <w:p>
            <w:pPr>
              <w:spacing w:after="0"/>
              <w:rPr>
                <w:sz w:val="1"/>
                <w:szCs w:val="1"/>
                <w:color w:val="auto"/>
              </w:rPr>
            </w:pPr>
          </w:p>
        </w:tc>
      </w:tr>
      <w:tr>
        <w:trPr>
          <w:trHeight w:val="16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Promenade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Dress for Less / Bob's Discount Furniture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Fourth Street</w:t>
            </w: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Francisco-Oakland-Hayward,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CB2</w:t>
            </w:r>
          </w:p>
        </w:tc>
        <w:tc>
          <w:tcPr>
            <w:tcW w:w="0" w:type="dxa"/>
            <w:vAlign w:val="bottom"/>
          </w:tcPr>
          <w:p>
            <w:pPr>
              <w:spacing w:after="0"/>
              <w:rPr>
                <w:sz w:val="1"/>
                <w:szCs w:val="1"/>
                <w:color w:val="auto"/>
              </w:rPr>
            </w:pPr>
          </w:p>
        </w:tc>
      </w:tr>
      <w:tr>
        <w:trPr>
          <w:trHeight w:val="170"/>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Freedom Plaza</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8"/>
              </w:rPr>
              <w:t>(3)(4)</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44,141</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31,000</w:t>
            </w: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Smart &amp; Final</w:t>
            </w: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Nike / Blink Fitness / Ross Dress for Less</w:t>
            </w:r>
          </w:p>
        </w:tc>
        <w:tc>
          <w:tcPr>
            <w:tcW w:w="0" w:type="dxa"/>
            <w:vAlign w:val="bottom"/>
          </w:tcPr>
          <w:p>
            <w:pPr>
              <w:spacing w:after="0"/>
              <w:rPr>
                <w:sz w:val="1"/>
                <w:szCs w:val="1"/>
                <w:color w:val="auto"/>
              </w:rPr>
            </w:pPr>
          </w:p>
        </w:tc>
      </w:tr>
      <w:tr>
        <w:trPr>
          <w:trHeight w:val="175"/>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Grossmont Center</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Diego-Carlsbad, CA</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179,045</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866,000</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7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294,000</w:t>
            </w:r>
          </w:p>
        </w:tc>
        <w:tc>
          <w:tcPr>
            <w:tcW w:w="1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Target / Walmart</w:t>
            </w:r>
          </w:p>
        </w:tc>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Barnes &amp; Noble / Macy's / CVS</w:t>
            </w:r>
          </w:p>
        </w:tc>
        <w:tc>
          <w:tcPr>
            <w:tcW w:w="0" w:type="dxa"/>
            <w:vAlign w:val="bottom"/>
          </w:tcPr>
          <w:p>
            <w:pPr>
              <w:spacing w:after="0"/>
              <w:rPr>
                <w:sz w:val="1"/>
                <w:szCs w:val="1"/>
                <w:color w:val="auto"/>
              </w:rPr>
            </w:pPr>
          </w:p>
        </w:tc>
      </w:tr>
      <w:tr>
        <w:trPr>
          <w:trHeight w:val="122"/>
        </w:trPr>
        <w:tc>
          <w:tcPr>
            <w:tcW w:w="10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Hastings Ranch</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25,825</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273,000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HomeGoods / CVS</w:t>
            </w:r>
          </w:p>
        </w:tc>
        <w:tc>
          <w:tcPr>
            <w:tcW w:w="0" w:type="dxa"/>
            <w:vAlign w:val="bottom"/>
          </w:tcPr>
          <w:p>
            <w:pPr>
              <w:spacing w:after="0"/>
              <w:rPr>
                <w:sz w:val="1"/>
                <w:szCs w:val="1"/>
                <w:color w:val="auto"/>
              </w:rPr>
            </w:pPr>
          </w:p>
        </w:tc>
      </w:tr>
      <w:tr>
        <w:trPr>
          <w:trHeight w:val="16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Plaza</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Old Town Center</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44,335</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Anthropologie / Sephora / Arhaus Furniture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Teleferic Barcelona</w:t>
            </w:r>
          </w:p>
        </w:tc>
        <w:tc>
          <w:tcPr>
            <w:tcW w:w="0" w:type="dxa"/>
            <w:vAlign w:val="bottom"/>
          </w:tcPr>
          <w:p>
            <w:pPr>
              <w:spacing w:after="0"/>
              <w:rPr>
                <w:sz w:val="1"/>
                <w:szCs w:val="1"/>
                <w:color w:val="auto"/>
              </w:rPr>
            </w:pPr>
          </w:p>
        </w:tc>
      </w:tr>
      <w:tr>
        <w:trPr>
          <w:trHeight w:val="122"/>
        </w:trPr>
        <w:tc>
          <w:tcPr>
            <w:tcW w:w="10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Olivo at Mission</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82,908</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32,000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24 Hour Fitness / Ross Dress for Less / Ulta</w:t>
            </w:r>
          </w:p>
        </w:tc>
        <w:tc>
          <w:tcPr>
            <w:tcW w:w="0" w:type="dxa"/>
            <w:vAlign w:val="bottom"/>
          </w:tcPr>
          <w:p>
            <w:pPr>
              <w:spacing w:after="0"/>
              <w:rPr>
                <w:sz w:val="1"/>
                <w:szCs w:val="1"/>
                <w:color w:val="auto"/>
              </w:rPr>
            </w:pPr>
          </w:p>
        </w:tc>
      </w:tr>
      <w:tr>
        <w:trPr>
          <w:trHeight w:val="16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Hills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Pinole Vista</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58,509</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43,000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FoodMaxx</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Nordstrom Rack / HomeGoods /</w:t>
            </w:r>
          </w:p>
        </w:tc>
        <w:tc>
          <w:tcPr>
            <w:tcW w:w="0" w:type="dxa"/>
            <w:vAlign w:val="bottom"/>
          </w:tcPr>
          <w:p>
            <w:pPr>
              <w:spacing w:after="0"/>
              <w:rPr>
                <w:sz w:val="1"/>
                <w:szCs w:val="1"/>
                <w:color w:val="auto"/>
              </w:rPr>
            </w:pPr>
          </w:p>
        </w:tc>
      </w:tr>
      <w:tr>
        <w:trPr>
          <w:trHeight w:val="169"/>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Crossing</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Ulta</w:t>
            </w:r>
          </w:p>
        </w:tc>
        <w:tc>
          <w:tcPr>
            <w:tcW w:w="0" w:type="dxa"/>
            <w:vAlign w:val="bottom"/>
          </w:tcPr>
          <w:p>
            <w:pPr>
              <w:spacing w:after="0"/>
              <w:rPr>
                <w:sz w:val="1"/>
                <w:szCs w:val="1"/>
                <w:color w:val="auto"/>
              </w:rPr>
            </w:pPr>
          </w:p>
        </w:tc>
      </w:tr>
      <w:tr>
        <w:trPr>
          <w:trHeight w:val="170"/>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Plaza Del Sol</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17,937</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Superior Grocers (S)</w:t>
            </w: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Marshalls</w:t>
            </w:r>
          </w:p>
        </w:tc>
        <w:tc>
          <w:tcPr>
            <w:tcW w:w="0" w:type="dxa"/>
            <w:vAlign w:val="bottom"/>
          </w:tcPr>
          <w:p>
            <w:pPr>
              <w:spacing w:after="0"/>
              <w:rPr>
                <w:sz w:val="1"/>
                <w:szCs w:val="1"/>
                <w:color w:val="auto"/>
              </w:rPr>
            </w:pPr>
          </w:p>
        </w:tc>
      </w:tr>
      <w:tr>
        <w:trPr>
          <w:trHeight w:val="127"/>
        </w:trPr>
        <w:tc>
          <w:tcPr>
            <w:tcW w:w="10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Plaza El Segundo /</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311,204</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503,000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66,000</w:t>
            </w:r>
          </w:p>
        </w:tc>
        <w:tc>
          <w:tcPr>
            <w:tcW w:w="12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Whole Foods</w:t>
            </w:r>
          </w:p>
        </w:tc>
        <w:tc>
          <w:tcPr>
            <w:tcW w:w="23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Nordstrom Rack / HomeGoods / Dick's</w:t>
            </w:r>
          </w:p>
        </w:tc>
        <w:tc>
          <w:tcPr>
            <w:tcW w:w="0" w:type="dxa"/>
            <w:vAlign w:val="bottom"/>
          </w:tcPr>
          <w:p>
            <w:pPr>
              <w:spacing w:after="0"/>
              <w:rPr>
                <w:sz w:val="1"/>
                <w:szCs w:val="1"/>
                <w:color w:val="auto"/>
              </w:rPr>
            </w:pPr>
          </w:p>
        </w:tc>
      </w:tr>
      <w:tr>
        <w:trPr>
          <w:trHeight w:val="169"/>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The Point</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Sporting Goods / Multiple Restaurants</w:t>
            </w:r>
          </w:p>
        </w:tc>
        <w:tc>
          <w:tcPr>
            <w:tcW w:w="0" w:type="dxa"/>
            <w:vAlign w:val="bottom"/>
          </w:tcPr>
          <w:p>
            <w:pPr>
              <w:spacing w:after="0"/>
              <w:rPr>
                <w:sz w:val="1"/>
                <w:szCs w:val="1"/>
                <w:color w:val="auto"/>
              </w:rPr>
            </w:pPr>
          </w:p>
        </w:tc>
      </w:tr>
      <w:tr>
        <w:trPr>
          <w:trHeight w:val="170"/>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8"/>
              </w:rPr>
              <w:t>San Antonio Center</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8"/>
              </w:rPr>
              <w:t>(3)(5)</w:t>
            </w: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52,271</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141,000</w:t>
            </w: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6"/>
              </w:rPr>
              <w:t>Trader Joe's / Walmart</w:t>
            </w: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24 Hour Fitness</w:t>
            </w:r>
          </w:p>
        </w:tc>
        <w:tc>
          <w:tcPr>
            <w:tcW w:w="0" w:type="dxa"/>
            <w:vAlign w:val="bottom"/>
          </w:tcPr>
          <w:p>
            <w:pPr>
              <w:spacing w:after="0"/>
              <w:rPr>
                <w:sz w:val="1"/>
                <w:szCs w:val="1"/>
                <w:color w:val="auto"/>
              </w:rPr>
            </w:pPr>
          </w:p>
        </w:tc>
      </w:tr>
      <w:tr>
        <w:trPr>
          <w:trHeight w:val="127"/>
        </w:trPr>
        <w:tc>
          <w:tcPr>
            <w:tcW w:w="10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Santana Row</w:t>
            </w:r>
          </w:p>
        </w:tc>
        <w:tc>
          <w:tcPr>
            <w:tcW w:w="400" w:type="dxa"/>
            <w:vAlign w:val="bottom"/>
            <w:gridSpan w:val="2"/>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1,355,022</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1,338,000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rPr>
              <w:t>554</w:t>
            </w:r>
          </w:p>
        </w:tc>
        <w:tc>
          <w:tcPr>
            <w:tcW w:w="5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3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w w:val="98"/>
              </w:rPr>
              <w:t>Crate &amp; Barrel / Container Store / Best Buy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Sephora / Multiple Restaurants</w:t>
            </w:r>
          </w:p>
        </w:tc>
        <w:tc>
          <w:tcPr>
            <w:tcW w:w="0" w:type="dxa"/>
            <w:vAlign w:val="bottom"/>
          </w:tcPr>
          <w:p>
            <w:pPr>
              <w:spacing w:after="0"/>
              <w:rPr>
                <w:sz w:val="1"/>
                <w:szCs w:val="1"/>
                <w:color w:val="auto"/>
              </w:rPr>
            </w:pPr>
          </w:p>
        </w:tc>
      </w:tr>
      <w:tr>
        <w:trPr>
          <w:trHeight w:val="122"/>
        </w:trPr>
        <w:tc>
          <w:tcPr>
            <w:tcW w:w="10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Sylmar Towne</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48,888</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43,000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Food 4 Less</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Ross Dress for Less</w:t>
            </w:r>
          </w:p>
        </w:tc>
        <w:tc>
          <w:tcPr>
            <w:tcW w:w="0" w:type="dxa"/>
            <w:vAlign w:val="bottom"/>
          </w:tcPr>
          <w:p>
            <w:pPr>
              <w:spacing w:after="0"/>
              <w:rPr>
                <w:sz w:val="1"/>
                <w:szCs w:val="1"/>
                <w:color w:val="auto"/>
              </w:rPr>
            </w:pPr>
          </w:p>
        </w:tc>
      </w:tr>
      <w:tr>
        <w:trPr>
          <w:trHeight w:val="16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Westgate Center</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163,558</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650,000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90 %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9"/>
              </w:rPr>
              <w:t>215,000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Target / TBA</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Nordstrom Rack / Nike Factory / TJ Maxx /</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Ross Dress for Less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ind w:left="1580"/>
              <w:spacing w:after="0" w:line="146" w:lineRule="exact"/>
              <w:rPr>
                <w:sz w:val="20"/>
                <w:szCs w:val="20"/>
                <w:color w:val="auto"/>
              </w:rPr>
            </w:pPr>
            <w:r>
              <w:rPr>
                <w:rFonts w:ascii="Times New Roman" w:cs="Times New Roman" w:eastAsia="Times New Roman" w:hAnsi="Times New Roman"/>
                <w:sz w:val="13"/>
                <w:szCs w:val="13"/>
                <w:b w:val="1"/>
                <w:bCs w:val="1"/>
                <w:color w:val="auto"/>
                <w:w w:val="95"/>
              </w:rPr>
              <w:t>Total California</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3,193,176</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6,986,000</w:t>
            </w:r>
          </w:p>
        </w:tc>
        <w:tc>
          <w:tcPr>
            <w:tcW w:w="8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NY Metro/New Jersey</w:t>
            </w:r>
          </w:p>
        </w:tc>
        <w:tc>
          <w:tcPr>
            <w:tcW w:w="2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Brick Plaza</w:t>
            </w: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105,357</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14,000</w:t>
            </w:r>
          </w:p>
        </w:tc>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Trader Joe's</w:t>
            </w:r>
          </w:p>
        </w:tc>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AMC / HomeGoods / Ulta / Burlington</w:t>
            </w:r>
          </w:p>
        </w:tc>
        <w:tc>
          <w:tcPr>
            <w:tcW w:w="0" w:type="dxa"/>
            <w:vAlign w:val="bottom"/>
          </w:tcPr>
          <w:p>
            <w:pPr>
              <w:spacing w:after="0"/>
              <w:rPr>
                <w:sz w:val="1"/>
                <w:szCs w:val="1"/>
                <w:color w:val="auto"/>
              </w:rPr>
            </w:pPr>
          </w:p>
        </w:tc>
      </w:tr>
      <w:tr>
        <w:trPr>
          <w:trHeight w:val="121"/>
        </w:trPr>
        <w:tc>
          <w:tcPr>
            <w:tcW w:w="10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Brook 35</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rPr>
              <w:t>(4) (5)</w:t>
            </w: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54,694</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Banana Republic / Gap / Tommy's Tavern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Tap</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Darien Commons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Bridgeport-Stamford-Norwalk, CT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154,284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124</w:t>
            </w: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Equinox / Walgreens / Multiple Restaurants</w:t>
            </w:r>
          </w:p>
        </w:tc>
        <w:tc>
          <w:tcPr>
            <w:tcW w:w="0" w:type="dxa"/>
            <w:vAlign w:val="bottom"/>
          </w:tcPr>
          <w:p>
            <w:pPr>
              <w:spacing w:after="0"/>
              <w:rPr>
                <w:sz w:val="1"/>
                <w:szCs w:val="1"/>
                <w:color w:val="auto"/>
              </w:rPr>
            </w:pPr>
          </w:p>
        </w:tc>
      </w:tr>
      <w:tr>
        <w:trPr>
          <w:trHeight w:val="170"/>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Fresh Meadows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97,457</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43,000</w:t>
            </w: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Lidl / Island of Gold</w:t>
            </w: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AMC / Kohl's / Planet Fitness</w:t>
            </w:r>
          </w:p>
        </w:tc>
        <w:tc>
          <w:tcPr>
            <w:tcW w:w="0" w:type="dxa"/>
            <w:vAlign w:val="bottom"/>
          </w:tcPr>
          <w:p>
            <w:pPr>
              <w:spacing w:after="0"/>
              <w:rPr>
                <w:sz w:val="1"/>
                <w:szCs w:val="1"/>
                <w:color w:val="auto"/>
              </w:rPr>
            </w:pPr>
          </w:p>
        </w:tc>
      </w:tr>
      <w:tr>
        <w:trPr>
          <w:trHeight w:val="127"/>
        </w:trPr>
        <w:tc>
          <w:tcPr>
            <w:tcW w:w="10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Georgetowne</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87,177</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147,000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92 %</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43,000</w:t>
            </w:r>
          </w:p>
        </w:tc>
        <w:tc>
          <w:tcPr>
            <w:tcW w:w="12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Foodway</w:t>
            </w:r>
          </w:p>
        </w:tc>
        <w:tc>
          <w:tcPr>
            <w:tcW w:w="23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Five Below / IHOP</w:t>
            </w:r>
          </w:p>
        </w:tc>
        <w:tc>
          <w:tcPr>
            <w:tcW w:w="0" w:type="dxa"/>
            <w:vAlign w:val="bottom"/>
          </w:tcPr>
          <w:p>
            <w:pPr>
              <w:spacing w:after="0"/>
              <w:rPr>
                <w:sz w:val="1"/>
                <w:szCs w:val="1"/>
                <w:color w:val="auto"/>
              </w:rPr>
            </w:pPr>
          </w:p>
        </w:tc>
      </w:tr>
      <w:tr>
        <w:trPr>
          <w:trHeight w:val="169"/>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Shopping Center</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Greenlawn Plaza</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34,623</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46,000</w:t>
            </w: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Greenlawn Farms</w:t>
            </w: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Planet Fitness</w:t>
            </w:r>
          </w:p>
        </w:tc>
        <w:tc>
          <w:tcPr>
            <w:tcW w:w="0" w:type="dxa"/>
            <w:vAlign w:val="bottom"/>
          </w:tcPr>
          <w:p>
            <w:pPr>
              <w:spacing w:after="0"/>
              <w:rPr>
                <w:sz w:val="1"/>
                <w:szCs w:val="1"/>
                <w:color w:val="auto"/>
              </w:rPr>
            </w:pPr>
          </w:p>
        </w:tc>
      </w:tr>
      <w:tr>
        <w:trPr>
          <w:trHeight w:val="181"/>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Greenwich Avenue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Bridgeport-Stamford-Norwalk, CT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23,748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Saks Fifth Avenue</w:t>
            </w:r>
          </w:p>
        </w:tc>
        <w:tc>
          <w:tcPr>
            <w:tcW w:w="0" w:type="dxa"/>
            <w:vAlign w:val="bottom"/>
          </w:tcPr>
          <w:p>
            <w:pPr>
              <w:spacing w:after="0"/>
              <w:rPr>
                <w:sz w:val="1"/>
                <w:szCs w:val="1"/>
                <w:color w:val="auto"/>
              </w:rPr>
            </w:pPr>
          </w:p>
        </w:tc>
      </w:tr>
      <w:tr>
        <w:trPr>
          <w:trHeight w:val="170"/>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Hauppauge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42,597</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61,000</w:t>
            </w: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Shop Rite</w:t>
            </w: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TJ Maxx / Five Below</w:t>
            </w:r>
          </w:p>
        </w:tc>
        <w:tc>
          <w:tcPr>
            <w:tcW w:w="0" w:type="dxa"/>
            <w:vAlign w:val="bottom"/>
          </w:tcPr>
          <w:p>
            <w:pPr>
              <w:spacing w:after="0"/>
              <w:rPr>
                <w:sz w:val="1"/>
                <w:szCs w:val="1"/>
                <w:color w:val="auto"/>
              </w:rPr>
            </w:pPr>
          </w:p>
        </w:tc>
      </w:tr>
      <w:tr>
        <w:trPr>
          <w:trHeight w:val="127"/>
        </w:trPr>
        <w:tc>
          <w:tcPr>
            <w:tcW w:w="10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Hoboken</w:t>
            </w:r>
          </w:p>
        </w:tc>
        <w:tc>
          <w:tcPr>
            <w:tcW w:w="4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3"/>
                <w:szCs w:val="13"/>
                <w:color w:val="auto"/>
              </w:rPr>
              <w:t>(4)</w:t>
            </w:r>
          </w:p>
        </w:tc>
        <w:tc>
          <w:tcPr>
            <w:tcW w:w="2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234,379</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171,000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95 %</w:t>
            </w:r>
          </w:p>
        </w:tc>
        <w:tc>
          <w:tcPr>
            <w:tcW w:w="7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rPr>
              <w:t>129</w:t>
            </w:r>
          </w:p>
        </w:tc>
        <w:tc>
          <w:tcPr>
            <w:tcW w:w="5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3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CVS / New York Sports Club / Sephora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(6)</w:t>
            </w:r>
          </w:p>
        </w:tc>
        <w:tc>
          <w:tcPr>
            <w:tcW w:w="24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70"/>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Huntington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114,104</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43,000</w:t>
            </w: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Whole Foods</w:t>
            </w:r>
          </w:p>
        </w:tc>
        <w:tc>
          <w:tcPr>
            <w:tcW w:w="2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Petsmart / REI / Ulta / Container Store</w:t>
            </w:r>
          </w:p>
        </w:tc>
        <w:tc>
          <w:tcPr>
            <w:tcW w:w="0" w:type="dxa"/>
            <w:vAlign w:val="bottom"/>
          </w:tcPr>
          <w:p>
            <w:pPr>
              <w:spacing w:after="0"/>
              <w:rPr>
                <w:sz w:val="1"/>
                <w:szCs w:val="1"/>
                <w:color w:val="auto"/>
              </w:rPr>
            </w:pPr>
          </w:p>
        </w:tc>
      </w:tr>
      <w:tr>
        <w:trPr>
          <w:trHeight w:val="127"/>
        </w:trPr>
        <w:tc>
          <w:tcPr>
            <w:tcW w:w="10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Huntington Square</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51,890</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244,000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92 %</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20,000</w:t>
            </w:r>
          </w:p>
        </w:tc>
        <w:tc>
          <w:tcPr>
            <w:tcW w:w="12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Aldi / Stop &amp; Shop</w:t>
            </w:r>
          </w:p>
        </w:tc>
        <w:tc>
          <w:tcPr>
            <w:tcW w:w="23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At Home / AMC</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w:t>
            </w:r>
          </w:p>
        </w:tc>
        <w:tc>
          <w:tcPr>
            <w:tcW w:w="2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Melville Mall</w:t>
            </w:r>
          </w:p>
        </w:tc>
        <w:tc>
          <w:tcPr>
            <w:tcW w:w="4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106,973</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53,000</w:t>
            </w:r>
          </w:p>
        </w:tc>
        <w:tc>
          <w:tcPr>
            <w:tcW w:w="12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Uncle Giuseppe's</w:t>
            </w:r>
          </w:p>
        </w:tc>
        <w:tc>
          <w:tcPr>
            <w:tcW w:w="23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Dick's Sporting Goods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Marketplace</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Mercer on One</w:t>
            </w:r>
          </w:p>
        </w:tc>
        <w:tc>
          <w:tcPr>
            <w:tcW w:w="4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Trenton, 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126,396</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548,000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75,000</w:t>
            </w:r>
          </w:p>
        </w:tc>
        <w:tc>
          <w:tcPr>
            <w:tcW w:w="12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Shop Rite</w:t>
            </w:r>
          </w:p>
        </w:tc>
        <w:tc>
          <w:tcPr>
            <w:tcW w:w="2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Nike / Ross Dress for Less / Nordstrom Rack</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REI / Tesla</w:t>
            </w: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40" w:top="1028"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74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2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 (2)</w:t>
            </w:r>
          </w:p>
        </w:tc>
        <w:tc>
          <w:tcPr>
            <w:tcW w:w="2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gridSpan w:val="5"/>
          </w:tcPr>
          <w:p>
            <w:pPr>
              <w:ind w:left="20"/>
              <w:spacing w:after="0" w:line="144" w:lineRule="exact"/>
              <w:rPr>
                <w:sz w:val="20"/>
                <w:szCs w:val="20"/>
                <w:color w:val="auto"/>
              </w:rPr>
            </w:pPr>
            <w:r>
              <w:rPr>
                <w:rFonts w:ascii="Times New Roman" w:cs="Times New Roman" w:eastAsia="Times New Roman" w:hAnsi="Times New Roman"/>
                <w:sz w:val="13"/>
                <w:szCs w:val="13"/>
                <w:color w:val="auto"/>
              </w:rPr>
              <w:t>The Grove at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 (5)</w:t>
            </w:r>
          </w:p>
        </w:tc>
        <w:tc>
          <w:tcPr>
            <w:tcW w:w="24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138,315</w:t>
            </w:r>
          </w:p>
        </w:tc>
        <w:tc>
          <w:tcPr>
            <w:tcW w:w="4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192,000</w:t>
            </w:r>
          </w:p>
        </w:tc>
        <w:tc>
          <w:tcPr>
            <w:tcW w:w="8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Bloomies / Lululemon / Anthropologie /</w:t>
            </w:r>
          </w:p>
        </w:tc>
        <w:tc>
          <w:tcPr>
            <w:tcW w:w="0" w:type="dxa"/>
            <w:vAlign w:val="bottom"/>
          </w:tcPr>
          <w:p>
            <w:pPr>
              <w:spacing w:after="0"/>
              <w:rPr>
                <w:sz w:val="1"/>
                <w:szCs w:val="1"/>
                <w:color w:val="auto"/>
              </w:rPr>
            </w:pPr>
          </w:p>
        </w:tc>
      </w:tr>
      <w:tr>
        <w:trPr>
          <w:trHeight w:val="164"/>
        </w:trPr>
        <w:tc>
          <w:tcPr>
            <w:tcW w:w="10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Shrewsbury</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Pottery Barn / Williams-Sonoma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Troy Hills</w:t>
            </w:r>
          </w:p>
        </w:tc>
        <w:tc>
          <w:tcPr>
            <w:tcW w:w="4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37,399</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211,000</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65,000</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Target</w:t>
            </w:r>
          </w:p>
        </w:tc>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Floor &amp; Décor / Michaels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NY Metro/New Jersey</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1,409,393</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40" w:type="dxa"/>
            <w:vAlign w:val="bottom"/>
            <w:gridSpan w:val="5"/>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New England</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Assembly Row /</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1,149,786</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1,230,000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947</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18,000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9"/>
              </w:rPr>
              <w:t>TJ Maxx / AMC / Nike / Burlington / World</w:t>
            </w:r>
          </w:p>
        </w:tc>
        <w:tc>
          <w:tcPr>
            <w:tcW w:w="0" w:type="dxa"/>
            <w:vAlign w:val="bottom"/>
          </w:tcPr>
          <w:p>
            <w:pPr>
              <w:spacing w:after="0"/>
              <w:rPr>
                <w:sz w:val="1"/>
                <w:szCs w:val="1"/>
                <w:color w:val="auto"/>
              </w:rPr>
            </w:pPr>
          </w:p>
        </w:tc>
      </w:tr>
      <w:tr>
        <w:trPr>
          <w:trHeight w:val="121"/>
        </w:trPr>
        <w:tc>
          <w:tcPr>
            <w:tcW w:w="104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Assembly Square</w:t>
            </w:r>
          </w:p>
        </w:tc>
        <w:tc>
          <w:tcPr>
            <w:tcW w:w="4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Market / Multiple Restaurants</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Marketplace</w:t>
            </w:r>
          </w:p>
        </w:tc>
        <w:tc>
          <w:tcPr>
            <w:tcW w:w="4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Campus Plaza</w:t>
            </w:r>
          </w:p>
        </w:tc>
        <w:tc>
          <w:tcPr>
            <w:tcW w:w="4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32,078</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46,000</w:t>
            </w:r>
          </w:p>
        </w:tc>
        <w:tc>
          <w:tcPr>
            <w:tcW w:w="1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Roche Bros.</w:t>
            </w:r>
          </w:p>
        </w:tc>
        <w:tc>
          <w:tcPr>
            <w:tcW w:w="2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Burlington / Five Below</w:t>
            </w:r>
          </w:p>
        </w:tc>
        <w:tc>
          <w:tcPr>
            <w:tcW w:w="0" w:type="dxa"/>
            <w:vAlign w:val="bottom"/>
          </w:tcPr>
          <w:p>
            <w:pPr>
              <w:spacing w:after="0"/>
              <w:rPr>
                <w:sz w:val="1"/>
                <w:szCs w:val="1"/>
                <w:color w:val="auto"/>
              </w:rPr>
            </w:pPr>
          </w:p>
        </w:tc>
      </w:tr>
      <w:tr>
        <w:trPr>
          <w:trHeight w:val="127"/>
        </w:trPr>
        <w:tc>
          <w:tcPr>
            <w:tcW w:w="1040" w:type="dxa"/>
            <w:vAlign w:val="bottom"/>
            <w:gridSpan w:val="5"/>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Chelsea Commons</w:t>
            </w:r>
          </w:p>
        </w:tc>
        <w:tc>
          <w:tcPr>
            <w:tcW w:w="420" w:type="dxa"/>
            <w:vAlign w:val="bottom"/>
            <w:shd w:val="clear" w:color="auto" w:fill="CCEEFF"/>
          </w:tcPr>
          <w:p>
            <w:pPr>
              <w:spacing w:after="0"/>
              <w:rPr>
                <w:sz w:val="11"/>
                <w:szCs w:val="11"/>
                <w:color w:val="auto"/>
              </w:rPr>
            </w:pPr>
          </w:p>
        </w:tc>
        <w:tc>
          <w:tcPr>
            <w:tcW w:w="24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40,994</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233,000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38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Home Depot / Planet Fitness / CVS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170"/>
        </w:trPr>
        <w:tc>
          <w:tcPr>
            <w:tcW w:w="10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Dedham Plaza</w:t>
            </w:r>
          </w:p>
        </w:tc>
        <w:tc>
          <w:tcPr>
            <w:tcW w:w="4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53,584</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80,000</w:t>
            </w:r>
          </w:p>
        </w:tc>
        <w:tc>
          <w:tcPr>
            <w:tcW w:w="1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Star Market</w:t>
            </w:r>
          </w:p>
        </w:tc>
        <w:tc>
          <w:tcPr>
            <w:tcW w:w="2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Planet Fitness</w:t>
            </w:r>
          </w:p>
        </w:tc>
        <w:tc>
          <w:tcPr>
            <w:tcW w:w="0" w:type="dxa"/>
            <w:vAlign w:val="bottom"/>
          </w:tcPr>
          <w:p>
            <w:pPr>
              <w:spacing w:after="0"/>
              <w:rPr>
                <w:sz w:val="1"/>
                <w:szCs w:val="1"/>
                <w:color w:val="auto"/>
              </w:rPr>
            </w:pPr>
          </w:p>
        </w:tc>
      </w:tr>
      <w:tr>
        <w:trPr>
          <w:trHeight w:val="181"/>
        </w:trPr>
        <w:tc>
          <w:tcPr>
            <w:tcW w:w="10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Linden Square</w:t>
            </w:r>
          </w:p>
        </w:tc>
        <w:tc>
          <w:tcPr>
            <w:tcW w:w="4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160,085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50,000</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Roche Bros.</w:t>
            </w:r>
          </w:p>
        </w:tc>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CVS / Multiple Restaurants</w:t>
            </w:r>
          </w:p>
        </w:tc>
        <w:tc>
          <w:tcPr>
            <w:tcW w:w="0" w:type="dxa"/>
            <w:vAlign w:val="bottom"/>
          </w:tcPr>
          <w:p>
            <w:pPr>
              <w:spacing w:after="0"/>
              <w:rPr>
                <w:sz w:val="1"/>
                <w:szCs w:val="1"/>
                <w:color w:val="auto"/>
              </w:rPr>
            </w:pPr>
          </w:p>
        </w:tc>
      </w:tr>
      <w:tr>
        <w:trPr>
          <w:trHeight w:val="170"/>
        </w:trPr>
        <w:tc>
          <w:tcPr>
            <w:tcW w:w="10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North Dartmouth</w:t>
            </w:r>
          </w:p>
        </w:tc>
        <w:tc>
          <w:tcPr>
            <w:tcW w:w="4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Providence-Warwick, RI-MA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9,369</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48,000</w:t>
            </w:r>
          </w:p>
        </w:tc>
        <w:tc>
          <w:tcPr>
            <w:tcW w:w="1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Stop &amp; Shop</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Queen Anne Plaza</w:t>
            </w:r>
          </w:p>
        </w:tc>
        <w:tc>
          <w:tcPr>
            <w:tcW w:w="4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149,000</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50,000</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Big Y Foods</w:t>
            </w:r>
          </w:p>
        </w:tc>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TJ Maxx / HomeGoods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New England</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1,465,736</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2,249,000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gridSpan w:val="7"/>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Philadelphia Metropolitan Area</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Andorra</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45,099</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31,000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TBA</w:t>
            </w: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TJ Maxx / Kohl's / L.A. Fitness / Five Below</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Bala Cynwyd on</w:t>
            </w:r>
          </w:p>
        </w:tc>
        <w:tc>
          <w:tcPr>
            <w:tcW w:w="4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122,338</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87</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45,000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Acme Markets</w:t>
            </w: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Michaels / L.A. Fitness</w:t>
            </w:r>
          </w:p>
        </w:tc>
        <w:tc>
          <w:tcPr>
            <w:tcW w:w="0" w:type="dxa"/>
            <w:vAlign w:val="bottom"/>
          </w:tcPr>
          <w:p>
            <w:pPr>
              <w:spacing w:after="0"/>
              <w:rPr>
                <w:sz w:val="1"/>
                <w:szCs w:val="1"/>
                <w:color w:val="auto"/>
              </w:rPr>
            </w:pPr>
          </w:p>
        </w:tc>
      </w:tr>
      <w:tr>
        <w:trPr>
          <w:trHeight w:val="164"/>
        </w:trPr>
        <w:tc>
          <w:tcPr>
            <w:tcW w:w="10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City Avenue</w:t>
            </w:r>
          </w:p>
        </w:tc>
        <w:tc>
          <w:tcPr>
            <w:tcW w:w="4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Ellisburg</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39,903</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47,000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Five Below / RH Outlet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Flourtown</w:t>
            </w:r>
          </w:p>
        </w:tc>
        <w:tc>
          <w:tcPr>
            <w:tcW w:w="4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19,862</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75,000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Movie Tavern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4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Langhorne Square</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24,573</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55,000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Redner's Warehouse</w:t>
            </w: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Planet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Markets</w:t>
            </w:r>
          </w:p>
        </w:tc>
        <w:tc>
          <w:tcPr>
            <w:tcW w:w="2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Lawrence Park</w:t>
            </w:r>
          </w:p>
        </w:tc>
        <w:tc>
          <w:tcPr>
            <w:tcW w:w="4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66,248</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53,000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Acme Markets</w:t>
            </w: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HomeGoods / Barnes &amp; Noble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Northeast</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35,913</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Lidl (S)</w:t>
            </w: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Ulta / Skechers / Crunch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Willow Grove</w:t>
            </w:r>
          </w:p>
        </w:tc>
        <w:tc>
          <w:tcPr>
            <w:tcW w:w="4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54,832</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31,000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Amazon Food</w:t>
            </w: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Marshalls / Five Below</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Wynnewood</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PA-NJ-DE-</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46,516</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9</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98,000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Old Navy / DSW</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MD</w:t>
            </w:r>
          </w:p>
        </w:tc>
        <w:tc>
          <w:tcPr>
            <w:tcW w:w="6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8"/>
              </w:rPr>
              <w:t>Total Philadelphia Metropolitan Area</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455,284</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1,920,000</w:t>
            </w:r>
          </w:p>
        </w:tc>
        <w:tc>
          <w:tcPr>
            <w:tcW w:w="8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South Florida</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CocoWalk</w:t>
            </w:r>
          </w:p>
        </w:tc>
        <w:tc>
          <w:tcPr>
            <w:tcW w:w="420" w:type="dxa"/>
            <w:vAlign w:val="bottom"/>
            <w:shd w:val="clear" w:color="auto" w:fill="CCEEFF"/>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(7)</w:t>
            </w: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Miami-Fort Lauderdale-West Palm Beach, FL</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206,276</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Cinepolis Theaters / Youfit Health Club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70"/>
        </w:trPr>
        <w:tc>
          <w:tcPr>
            <w:tcW w:w="10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Del Mar Village</w:t>
            </w:r>
          </w:p>
        </w:tc>
        <w:tc>
          <w:tcPr>
            <w:tcW w:w="4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Miami-Fort Lauderdale-West Palm Beach, FL</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76,278</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44,000</w:t>
            </w:r>
          </w:p>
        </w:tc>
        <w:tc>
          <w:tcPr>
            <w:tcW w:w="1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Winn Dixie</w:t>
            </w:r>
          </w:p>
        </w:tc>
        <w:tc>
          <w:tcPr>
            <w:tcW w:w="2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27"/>
        </w:trPr>
        <w:tc>
          <w:tcPr>
            <w:tcW w:w="1040" w:type="dxa"/>
            <w:vAlign w:val="bottom"/>
            <w:gridSpan w:val="5"/>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Shops at Pembroke</w:t>
            </w:r>
          </w:p>
        </w:tc>
        <w:tc>
          <w:tcPr>
            <w:tcW w:w="420" w:type="dxa"/>
            <w:vAlign w:val="bottom"/>
            <w:shd w:val="clear" w:color="auto" w:fill="CCEEFF"/>
          </w:tcPr>
          <w:p>
            <w:pPr>
              <w:spacing w:after="0"/>
              <w:rPr>
                <w:sz w:val="11"/>
                <w:szCs w:val="11"/>
                <w:color w:val="auto"/>
              </w:rPr>
            </w:pPr>
          </w:p>
        </w:tc>
        <w:tc>
          <w:tcPr>
            <w:tcW w:w="24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Miami-Fort Lauderdale-West Palm Beach, FL</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188,676</w:t>
            </w: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391,000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38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Nike Factory / Old Navy / DSW / Barnes &amp;</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Gardens</w:t>
            </w:r>
          </w:p>
        </w:tc>
        <w:tc>
          <w:tcPr>
            <w:tcW w:w="4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Noble</w:t>
            </w:r>
          </w:p>
        </w:tc>
        <w:tc>
          <w:tcPr>
            <w:tcW w:w="0" w:type="dxa"/>
            <w:vAlign w:val="bottom"/>
          </w:tcPr>
          <w:p>
            <w:pPr>
              <w:spacing w:after="0"/>
              <w:rPr>
                <w:sz w:val="1"/>
                <w:szCs w:val="1"/>
                <w:color w:val="auto"/>
              </w:rPr>
            </w:pPr>
          </w:p>
        </w:tc>
      </w:tr>
      <w:tr>
        <w:trPr>
          <w:trHeight w:val="121"/>
        </w:trPr>
        <w:tc>
          <w:tcPr>
            <w:tcW w:w="104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Tower Shops</w:t>
            </w:r>
          </w:p>
        </w:tc>
        <w:tc>
          <w:tcPr>
            <w:tcW w:w="4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Miami-Fort Lauderdale-West Palm Beach, FL</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106,131</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431,000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12,000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 / Costco</w:t>
            </w: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TJ Maxx / Ross Dress For Less / Best Buy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w:t>
            </w:r>
          </w:p>
        </w:tc>
        <w:tc>
          <w:tcPr>
            <w:tcW w:w="2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Ulta</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South Florida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577,361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Baltimore</w:t>
            </w:r>
          </w:p>
        </w:tc>
        <w:tc>
          <w:tcPr>
            <w:tcW w:w="420" w:type="dxa"/>
            <w:vAlign w:val="bottom"/>
            <w:tcBorders>
              <w:bottom w:val="single" w:sz="8" w:color="CCEEFF"/>
            </w:tcBorders>
            <w:gridSpan w:val="3"/>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2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23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4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auto"/>
              </w:rPr>
              <w:t>Governor Plaza</w:t>
            </w:r>
          </w:p>
        </w:tc>
        <w:tc>
          <w:tcPr>
            <w:tcW w:w="4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35,692</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16,500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3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9"/>
              </w:rPr>
              <w:t>Dick's Sporting Goods / Ross Dress for Less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Petco / Bob's Discount Furniture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40" w:type="dxa"/>
            <w:vAlign w:val="bottom"/>
            <w:gridSpan w:val="5"/>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Perring Plaza</w:t>
            </w:r>
          </w:p>
        </w:tc>
        <w:tc>
          <w:tcPr>
            <w:tcW w:w="420" w:type="dxa"/>
            <w:vAlign w:val="bottom"/>
            <w:shd w:val="clear" w:color="auto" w:fill="CCEEFF"/>
          </w:tcPr>
          <w:p>
            <w:pPr>
              <w:spacing w:after="0"/>
              <w:rPr>
                <w:sz w:val="10"/>
                <w:szCs w:val="10"/>
                <w:color w:val="auto"/>
              </w:rPr>
            </w:pPr>
          </w:p>
        </w:tc>
        <w:tc>
          <w:tcPr>
            <w:tcW w:w="2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42,793</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398,000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57,000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3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7"/>
              </w:rPr>
              <w:t>Home Depot / Dick's Sporting Goods / Micro</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Center</w:t>
            </w: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40" w:top="1028"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Real Estate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1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74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12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Grocery Anchor (2)</w:t>
            </w:r>
          </w:p>
        </w:tc>
        <w:tc>
          <w:tcPr>
            <w:tcW w:w="2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60" w:type="dxa"/>
            <w:vAlign w:val="bottom"/>
            <w:gridSpan w:val="4"/>
          </w:tcPr>
          <w:p>
            <w:pPr>
              <w:ind w:left="20"/>
              <w:spacing w:after="0" w:line="144" w:lineRule="exact"/>
              <w:rPr>
                <w:sz w:val="20"/>
                <w:szCs w:val="20"/>
                <w:color w:val="auto"/>
              </w:rPr>
            </w:pPr>
            <w:r>
              <w:rPr>
                <w:rFonts w:ascii="Times New Roman" w:cs="Times New Roman" w:eastAsia="Times New Roman" w:hAnsi="Times New Roman"/>
                <w:sz w:val="13"/>
                <w:szCs w:val="13"/>
                <w:color w:val="auto"/>
              </w:rPr>
              <w:t>THE AVENUE at</w:t>
            </w:r>
          </w:p>
        </w:tc>
        <w:tc>
          <w:tcPr>
            <w:tcW w:w="3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2"/>
              </w:rPr>
              <w:t>(5)</w:t>
            </w:r>
          </w:p>
        </w:tc>
        <w:tc>
          <w:tcPr>
            <w:tcW w:w="24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Baltimore-Columbia-Towson, MD</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137,469</w:t>
            </w:r>
          </w:p>
        </w:tc>
        <w:tc>
          <w:tcPr>
            <w:tcW w:w="48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315,000</w:t>
            </w:r>
          </w:p>
        </w:tc>
        <w:tc>
          <w:tcPr>
            <w:tcW w:w="8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AMC / Ulta / Old Navy / Nike</w:t>
            </w:r>
          </w:p>
        </w:tc>
        <w:tc>
          <w:tcPr>
            <w:tcW w:w="0" w:type="dxa"/>
            <w:vAlign w:val="bottom"/>
          </w:tcPr>
          <w:p>
            <w:pPr>
              <w:spacing w:after="0"/>
              <w:rPr>
                <w:sz w:val="1"/>
                <w:szCs w:val="1"/>
                <w:color w:val="auto"/>
              </w:rPr>
            </w:pPr>
          </w:p>
        </w:tc>
      </w:tr>
      <w:tr>
        <w:trPr>
          <w:trHeight w:val="164"/>
        </w:trPr>
        <w:tc>
          <w:tcPr>
            <w:tcW w:w="10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White Marsh</w:t>
            </w:r>
          </w:p>
        </w:tc>
        <w:tc>
          <w:tcPr>
            <w:tcW w:w="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6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The Shoppes at</w:t>
            </w:r>
          </w:p>
        </w:tc>
        <w:tc>
          <w:tcPr>
            <w:tcW w:w="360" w:type="dxa"/>
            <w:vAlign w:val="bottom"/>
            <w:shd w:val="clear" w:color="auto" w:fill="CCEEFF"/>
          </w:tcPr>
          <w:p>
            <w:pPr>
              <w:spacing w:after="0"/>
              <w:rPr>
                <w:sz w:val="10"/>
                <w:szCs w:val="10"/>
                <w:color w:val="auto"/>
              </w:rPr>
            </w:pPr>
          </w:p>
        </w:tc>
        <w:tc>
          <w:tcPr>
            <w:tcW w:w="24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19,674</w:t>
            </w:r>
          </w:p>
        </w:tc>
        <w:tc>
          <w:tcPr>
            <w:tcW w:w="4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32,000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Nottingham Square</w:t>
            </w:r>
          </w:p>
        </w:tc>
        <w:tc>
          <w:tcPr>
            <w:tcW w:w="36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White Marsh Other</w:t>
            </w:r>
          </w:p>
        </w:tc>
        <w:tc>
          <w:tcPr>
            <w:tcW w:w="36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23,821</w:t>
            </w: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White Marsh Plaza</w:t>
            </w:r>
          </w:p>
        </w:tc>
        <w:tc>
          <w:tcPr>
            <w:tcW w:w="36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27,177</w:t>
            </w:r>
          </w:p>
        </w:tc>
        <w:tc>
          <w:tcPr>
            <w:tcW w:w="4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54,000</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2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Baltimore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286,626</w:t>
            </w: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Chicago</w:t>
            </w:r>
          </w:p>
        </w:tc>
        <w:tc>
          <w:tcPr>
            <w:tcW w:w="3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6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Crossroads</w:t>
            </w:r>
          </w:p>
        </w:tc>
        <w:tc>
          <w:tcPr>
            <w:tcW w:w="360" w:type="dxa"/>
            <w:vAlign w:val="bottom"/>
            <w:shd w:val="clear" w:color="auto" w:fill="CCEEFF"/>
          </w:tcPr>
          <w:p>
            <w:pPr>
              <w:spacing w:after="0"/>
              <w:rPr>
                <w:sz w:val="10"/>
                <w:szCs w:val="10"/>
                <w:color w:val="auto"/>
              </w:rPr>
            </w:pPr>
          </w:p>
        </w:tc>
        <w:tc>
          <w:tcPr>
            <w:tcW w:w="24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37,976</w:t>
            </w:r>
          </w:p>
        </w:tc>
        <w:tc>
          <w:tcPr>
            <w:tcW w:w="4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168,000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3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L.A. Fitness / Ulta / Binny's / Ferguson</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Home</w:t>
            </w:r>
          </w:p>
        </w:tc>
        <w:tc>
          <w:tcPr>
            <w:tcW w:w="0" w:type="dxa"/>
            <w:vAlign w:val="bottom"/>
          </w:tcPr>
          <w:p>
            <w:pPr>
              <w:spacing w:after="0"/>
              <w:rPr>
                <w:sz w:val="1"/>
                <w:szCs w:val="1"/>
                <w:color w:val="auto"/>
              </w:rPr>
            </w:pPr>
          </w:p>
        </w:tc>
      </w:tr>
      <w:tr>
        <w:trPr>
          <w:trHeight w:val="122"/>
        </w:trPr>
        <w:tc>
          <w:tcPr>
            <w:tcW w:w="10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Finley Square</w:t>
            </w:r>
          </w:p>
        </w:tc>
        <w:tc>
          <w:tcPr>
            <w:tcW w:w="360" w:type="dxa"/>
            <w:vAlign w:val="bottom"/>
          </w:tcPr>
          <w:p>
            <w:pPr>
              <w:spacing w:after="0"/>
              <w:rPr>
                <w:sz w:val="10"/>
                <w:szCs w:val="10"/>
                <w:color w:val="auto"/>
              </w:rPr>
            </w:pPr>
          </w:p>
        </w:tc>
        <w:tc>
          <w:tcPr>
            <w:tcW w:w="24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41,936</w:t>
            </w:r>
          </w:p>
        </w:tc>
        <w:tc>
          <w:tcPr>
            <w:tcW w:w="4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258,000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3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HomeGoods / Michaels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Portillo's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6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Garden Market</w:t>
            </w:r>
          </w:p>
        </w:tc>
        <w:tc>
          <w:tcPr>
            <w:tcW w:w="360" w:type="dxa"/>
            <w:vAlign w:val="bottom"/>
            <w:shd w:val="clear" w:color="auto" w:fill="CCEEFF"/>
          </w:tcPr>
          <w:p>
            <w:pPr>
              <w:spacing w:after="0"/>
              <w:rPr>
                <w:sz w:val="10"/>
                <w:szCs w:val="10"/>
                <w:color w:val="auto"/>
              </w:rPr>
            </w:pPr>
          </w:p>
        </w:tc>
        <w:tc>
          <w:tcPr>
            <w:tcW w:w="24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17,240</w:t>
            </w:r>
          </w:p>
        </w:tc>
        <w:tc>
          <w:tcPr>
            <w:tcW w:w="48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141,000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63,000</w:t>
            </w:r>
          </w:p>
        </w:tc>
        <w:tc>
          <w:tcPr>
            <w:tcW w:w="1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Mariano's Fresh</w:t>
            </w:r>
          </w:p>
        </w:tc>
        <w:tc>
          <w:tcPr>
            <w:tcW w:w="23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Market</w:t>
            </w:r>
          </w:p>
        </w:tc>
        <w:tc>
          <w:tcPr>
            <w:tcW w:w="2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3"/>
                <w:szCs w:val="13"/>
                <w:color w:val="auto"/>
              </w:rPr>
              <w:t>Riverpoint Center</w:t>
            </w:r>
          </w:p>
        </w:tc>
        <w:tc>
          <w:tcPr>
            <w:tcW w:w="36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Chicago-Naperville-Elgin, IL-IN-WI</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122,950</w:t>
            </w:r>
          </w:p>
        </w:tc>
        <w:tc>
          <w:tcPr>
            <w:tcW w:w="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211,000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86,000</w:t>
            </w:r>
          </w:p>
        </w:tc>
        <w:tc>
          <w:tcPr>
            <w:tcW w:w="1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Jewel Osco</w:t>
            </w:r>
          </w:p>
        </w:tc>
        <w:tc>
          <w:tcPr>
            <w:tcW w:w="2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Marshalls / Old Navy</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Total Chicago</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220,102</w:t>
            </w:r>
          </w:p>
        </w:tc>
        <w:tc>
          <w:tcPr>
            <w:tcW w:w="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Other</w:t>
            </w:r>
          </w:p>
        </w:tc>
        <w:tc>
          <w:tcPr>
            <w:tcW w:w="660" w:type="dxa"/>
            <w:vAlign w:val="bottom"/>
            <w:tcBorders>
              <w:bottom w:val="single" w:sz="8" w:color="CCEEFF"/>
            </w:tcBorders>
            <w:gridSpan w:val="2"/>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4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23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Barracks Road</w:t>
            </w:r>
          </w:p>
        </w:tc>
        <w:tc>
          <w:tcPr>
            <w:tcW w:w="36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Charlottesville, VA</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77,460</w:t>
            </w: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99,000</w:t>
            </w:r>
          </w:p>
        </w:tc>
        <w:tc>
          <w:tcPr>
            <w:tcW w:w="12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6"/>
              </w:rPr>
              <w:t>Harris Teeter / Kroger</w:t>
            </w:r>
          </w:p>
        </w:tc>
        <w:tc>
          <w:tcPr>
            <w:tcW w:w="23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9"/>
              </w:rPr>
              <w:t>Anthropologie / Old Navy / Ulta / Michaels</w:t>
            </w:r>
          </w:p>
        </w:tc>
        <w:tc>
          <w:tcPr>
            <w:tcW w:w="0" w:type="dxa"/>
            <w:vAlign w:val="bottom"/>
          </w:tcPr>
          <w:p>
            <w:pPr>
              <w:spacing w:after="0"/>
              <w:rPr>
                <w:sz w:val="1"/>
                <w:szCs w:val="1"/>
                <w:color w:val="auto"/>
              </w:rPr>
            </w:pPr>
          </w:p>
        </w:tc>
      </w:tr>
      <w:tr>
        <w:trPr>
          <w:trHeight w:val="181"/>
        </w:trPr>
        <w:tc>
          <w:tcPr>
            <w:tcW w:w="1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Bristol Plaza</w:t>
            </w:r>
          </w:p>
        </w:tc>
        <w:tc>
          <w:tcPr>
            <w:tcW w:w="36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Hartford-West Hartford-East Hartford, CT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37,552</w:t>
            </w:r>
          </w:p>
        </w:tc>
        <w:tc>
          <w:tcPr>
            <w:tcW w:w="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74,000</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Stop &amp; Shop</w:t>
            </w:r>
          </w:p>
        </w:tc>
        <w:tc>
          <w:tcPr>
            <w:tcW w:w="2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TJ Maxx / Burlington</w:t>
            </w:r>
          </w:p>
        </w:tc>
        <w:tc>
          <w:tcPr>
            <w:tcW w:w="0" w:type="dxa"/>
            <w:vAlign w:val="bottom"/>
          </w:tcPr>
          <w:p>
            <w:pPr>
              <w:spacing w:after="0"/>
              <w:rPr>
                <w:sz w:val="1"/>
                <w:szCs w:val="1"/>
                <w:color w:val="auto"/>
              </w:rPr>
            </w:pPr>
          </w:p>
        </w:tc>
      </w:tr>
      <w:tr>
        <w:trPr>
          <w:trHeight w:val="122"/>
        </w:trPr>
        <w:tc>
          <w:tcPr>
            <w:tcW w:w="10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Camelback</w:t>
            </w:r>
          </w:p>
        </w:tc>
        <w:tc>
          <w:tcPr>
            <w:tcW w:w="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(4)</w:t>
            </w:r>
          </w:p>
        </w:tc>
        <w:tc>
          <w:tcPr>
            <w:tcW w:w="24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Phoenix-Mesa-Chandler, AZ</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184,806</w:t>
            </w:r>
          </w:p>
        </w:tc>
        <w:tc>
          <w:tcPr>
            <w:tcW w:w="4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643,000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82,000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Fry's Food &amp; Drug</w:t>
            </w:r>
          </w:p>
        </w:tc>
        <w:tc>
          <w:tcPr>
            <w:tcW w:w="23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Nordstrom Last Chance / Best</w:t>
            </w:r>
          </w:p>
        </w:tc>
        <w:tc>
          <w:tcPr>
            <w:tcW w:w="0" w:type="dxa"/>
            <w:vAlign w:val="bottom"/>
          </w:tcPr>
          <w:p>
            <w:pPr>
              <w:spacing w:after="0"/>
              <w:rPr>
                <w:sz w:val="1"/>
                <w:szCs w:val="1"/>
                <w:color w:val="auto"/>
              </w:rPr>
            </w:pPr>
          </w:p>
        </w:tc>
      </w:tr>
      <w:tr>
        <w:trPr>
          <w:trHeight w:val="164"/>
        </w:trPr>
        <w:tc>
          <w:tcPr>
            <w:tcW w:w="10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Colonnade</w:t>
            </w:r>
          </w:p>
        </w:tc>
        <w:tc>
          <w:tcPr>
            <w:tcW w:w="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Buy / Floor &amp; Décor / HomeGoods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Gratiot Plaza</w:t>
            </w:r>
          </w:p>
        </w:tc>
        <w:tc>
          <w:tcPr>
            <w:tcW w:w="36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Detroit-Warren-Dearborn, MI</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20,325</w:t>
            </w:r>
          </w:p>
        </w:tc>
        <w:tc>
          <w:tcPr>
            <w:tcW w:w="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69,000</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Kroger</w:t>
            </w:r>
          </w:p>
        </w:tc>
        <w:tc>
          <w:tcPr>
            <w:tcW w:w="2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Best Buy / Bob's Discount Furniture</w:t>
            </w:r>
          </w:p>
        </w:tc>
        <w:tc>
          <w:tcPr>
            <w:tcW w:w="0" w:type="dxa"/>
            <w:vAlign w:val="bottom"/>
          </w:tcPr>
          <w:p>
            <w:pPr>
              <w:spacing w:after="0"/>
              <w:rPr>
                <w:sz w:val="1"/>
                <w:szCs w:val="1"/>
                <w:color w:val="auto"/>
              </w:rPr>
            </w:pPr>
          </w:p>
        </w:tc>
      </w:tr>
      <w:tr>
        <w:trPr>
          <w:trHeight w:val="170"/>
        </w:trPr>
        <w:tc>
          <w:tcPr>
            <w:tcW w:w="10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Lancaster</w:t>
            </w: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Lancaster, PA</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8,652</w:t>
            </w: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75,000</w:t>
            </w:r>
          </w:p>
        </w:tc>
        <w:tc>
          <w:tcPr>
            <w:tcW w:w="1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2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AutoZone</w:t>
            </w:r>
          </w:p>
        </w:tc>
        <w:tc>
          <w:tcPr>
            <w:tcW w:w="0" w:type="dxa"/>
            <w:vAlign w:val="bottom"/>
          </w:tcPr>
          <w:p>
            <w:pPr>
              <w:spacing w:after="0"/>
              <w:rPr>
                <w:sz w:val="1"/>
                <w:szCs w:val="1"/>
                <w:color w:val="auto"/>
              </w:rPr>
            </w:pPr>
          </w:p>
        </w:tc>
      </w:tr>
      <w:tr>
        <w:trPr>
          <w:trHeight w:val="127"/>
        </w:trPr>
        <w:tc>
          <w:tcPr>
            <w:tcW w:w="1060" w:type="dxa"/>
            <w:vAlign w:val="bottom"/>
            <w:gridSpan w:val="4"/>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7"/>
              </w:rPr>
              <w:t>The Shops at Hilton</w:t>
            </w:r>
          </w:p>
        </w:tc>
        <w:tc>
          <w:tcPr>
            <w:tcW w:w="36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(3)(4)</w:t>
            </w:r>
          </w:p>
        </w:tc>
        <w:tc>
          <w:tcPr>
            <w:tcW w:w="24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Phoenix-Mesa-Chandler, AZ</w:t>
            </w:r>
          </w:p>
        </w:tc>
        <w:tc>
          <w:tcPr>
            <w:tcW w:w="70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88,185</w:t>
            </w:r>
          </w:p>
        </w:tc>
        <w:tc>
          <w:tcPr>
            <w:tcW w:w="480" w:type="dxa"/>
            <w:vAlign w:val="bottom"/>
            <w:shd w:val="clear" w:color="auto" w:fill="CCEEFF"/>
          </w:tcPr>
          <w:p>
            <w:pPr>
              <w:jc w:val="right"/>
              <w:ind w:right="17"/>
              <w:spacing w:after="0" w:line="128"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305,000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86</w:t>
            </w:r>
          </w:p>
        </w:tc>
        <w:tc>
          <w:tcPr>
            <w:tcW w:w="1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32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CVS / Houston's</w:t>
            </w:r>
          </w:p>
        </w:tc>
        <w:tc>
          <w:tcPr>
            <w:tcW w:w="0" w:type="dxa"/>
            <w:vAlign w:val="bottom"/>
          </w:tcPr>
          <w:p>
            <w:pPr>
              <w:spacing w:after="0"/>
              <w:rPr>
                <w:sz w:val="1"/>
                <w:szCs w:val="1"/>
                <w:color w:val="auto"/>
              </w:rPr>
            </w:pPr>
          </w:p>
        </w:tc>
      </w:tr>
      <w:tr>
        <w:trPr>
          <w:trHeight w:val="169"/>
        </w:trPr>
        <w:tc>
          <w:tcPr>
            <w:tcW w:w="10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Village</w:t>
            </w:r>
          </w:p>
        </w:tc>
        <w:tc>
          <w:tcPr>
            <w:tcW w:w="36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Town Center</w:t>
            </w:r>
          </w:p>
        </w:tc>
        <w:tc>
          <w:tcPr>
            <w:tcW w:w="360" w:type="dxa"/>
            <w:vAlign w:val="bottom"/>
          </w:tcPr>
          <w:p>
            <w:pPr>
              <w:spacing w:after="0"/>
              <w:rPr>
                <w:sz w:val="10"/>
                <w:szCs w:val="10"/>
                <w:color w:val="auto"/>
              </w:rPr>
            </w:pPr>
          </w:p>
        </w:tc>
        <w:tc>
          <w:tcPr>
            <w:tcW w:w="24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Leawood, KS</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263,452</w:t>
            </w:r>
          </w:p>
        </w:tc>
        <w:tc>
          <w:tcPr>
            <w:tcW w:w="4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552,000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95</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12,000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3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Crate &amp; Barrel / Pottery Barn / Restoration</w:t>
            </w:r>
          </w:p>
        </w:tc>
        <w:tc>
          <w:tcPr>
            <w:tcW w:w="0" w:type="dxa"/>
            <w:vAlign w:val="bottom"/>
          </w:tcPr>
          <w:p>
            <w:pPr>
              <w:spacing w:after="0"/>
              <w:rPr>
                <w:sz w:val="1"/>
                <w:szCs w:val="1"/>
                <w:color w:val="auto"/>
              </w:rPr>
            </w:pPr>
          </w:p>
        </w:tc>
      </w:tr>
      <w:tr>
        <w:trPr>
          <w:trHeight w:val="122"/>
        </w:trPr>
        <w:tc>
          <w:tcPr>
            <w:tcW w:w="10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Crossing / Town</w:t>
            </w:r>
          </w:p>
        </w:tc>
        <w:tc>
          <w:tcPr>
            <w:tcW w:w="3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3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Hardware / Apple / Aritzia / Macy's (S) /</w:t>
            </w:r>
          </w:p>
        </w:tc>
        <w:tc>
          <w:tcPr>
            <w:tcW w:w="0" w:type="dxa"/>
            <w:vAlign w:val="bottom"/>
          </w:tcPr>
          <w:p>
            <w:pPr>
              <w:spacing w:after="0"/>
              <w:rPr>
                <w:sz w:val="1"/>
                <w:szCs w:val="1"/>
                <w:color w:val="auto"/>
              </w:rPr>
            </w:pPr>
          </w:p>
        </w:tc>
      </w:tr>
      <w:tr>
        <w:trPr>
          <w:trHeight w:val="164"/>
        </w:trPr>
        <w:tc>
          <w:tcPr>
            <w:tcW w:w="10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Center Plaza</w:t>
            </w:r>
          </w:p>
        </w:tc>
        <w:tc>
          <w:tcPr>
            <w:tcW w:w="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Dick's House of Sport (S)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29th Place</w:t>
            </w:r>
          </w:p>
        </w:tc>
        <w:tc>
          <w:tcPr>
            <w:tcW w:w="36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Charlottesville, VA</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41,004</w:t>
            </w:r>
          </w:p>
        </w:tc>
        <w:tc>
          <w:tcPr>
            <w:tcW w:w="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32,000</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Lidl</w:t>
            </w:r>
          </w:p>
        </w:tc>
        <w:tc>
          <w:tcPr>
            <w:tcW w:w="2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HomeGoods / DSW / Staples</w:t>
            </w:r>
          </w:p>
        </w:tc>
        <w:tc>
          <w:tcPr>
            <w:tcW w:w="0" w:type="dxa"/>
            <w:vAlign w:val="bottom"/>
          </w:tcPr>
          <w:p>
            <w:pPr>
              <w:spacing w:after="0"/>
              <w:rPr>
                <w:sz w:val="1"/>
                <w:szCs w:val="1"/>
                <w:color w:val="auto"/>
              </w:rPr>
            </w:pPr>
          </w:p>
        </w:tc>
      </w:tr>
      <w:tr>
        <w:trPr>
          <w:trHeight w:val="122"/>
        </w:trPr>
        <w:tc>
          <w:tcPr>
            <w:tcW w:w="10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color w:val="auto"/>
              </w:rPr>
              <w:t>Willow Lawn</w:t>
            </w:r>
          </w:p>
        </w:tc>
        <w:tc>
          <w:tcPr>
            <w:tcW w:w="360" w:type="dxa"/>
            <w:vAlign w:val="bottom"/>
          </w:tcPr>
          <w:p>
            <w:pPr>
              <w:spacing w:after="0"/>
              <w:rPr>
                <w:sz w:val="10"/>
                <w:szCs w:val="10"/>
                <w:color w:val="auto"/>
              </w:rPr>
            </w:pPr>
          </w:p>
        </w:tc>
        <w:tc>
          <w:tcPr>
            <w:tcW w:w="24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Richmond, VA</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109,091</w:t>
            </w:r>
          </w:p>
        </w:tc>
        <w:tc>
          <w:tcPr>
            <w:tcW w:w="48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462,000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66,000</w:t>
            </w:r>
          </w:p>
        </w:tc>
        <w:tc>
          <w:tcPr>
            <w:tcW w:w="120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Kroger</w:t>
            </w:r>
          </w:p>
        </w:tc>
        <w:tc>
          <w:tcPr>
            <w:tcW w:w="232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Old Navy / Ross Dress for Less / Gold's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Gym / Dick's Sporting Goods / Ulta</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Total Other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830,527</w:t>
            </w:r>
          </w:p>
        </w:tc>
        <w:tc>
          <w:tcPr>
            <w:tcW w:w="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3,212,000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6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Grand Total</w:t>
            </w:r>
          </w:p>
        </w:tc>
        <w:tc>
          <w:tcPr>
            <w:tcW w:w="36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$ 11,374,694</w:t>
            </w:r>
          </w:p>
        </w:tc>
        <w:tc>
          <w:tcPr>
            <w:tcW w:w="4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2,273</w:t>
            </w: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27,936,000</w:t>
            </w: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95 %</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2,996</w:t>
            </w:r>
          </w:p>
        </w:tc>
        <w:tc>
          <w:tcPr>
            <w:tcW w:w="5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23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1" w:lineRule="exact"/>
        <w:rPr>
          <w:sz w:val="20"/>
          <w:szCs w:val="20"/>
          <w:color w:val="auto"/>
        </w:rPr>
      </w:pPr>
    </w:p>
    <w:p>
      <w:pPr>
        <w:ind w:left="580" w:right="100" w:hanging="561"/>
        <w:spacing w:after="0" w:line="239" w:lineRule="auto"/>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Represents the GLA and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4"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TBA indicates that a lease is signed.</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this property is owned pursuant to a ground lease.</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Trust has a controlling financial interest in this property.</w:t>
      </w:r>
    </w:p>
    <w:p>
      <w:pPr>
        <w:spacing w:after="0" w:line="41" w:lineRule="exact"/>
        <w:rPr>
          <w:rFonts w:ascii="Times New Roman" w:cs="Times New Roman" w:eastAsia="Times New Roman" w:hAnsi="Times New Roman"/>
          <w:sz w:val="14"/>
          <w:szCs w:val="14"/>
          <w:color w:val="auto"/>
        </w:rPr>
      </w:pPr>
    </w:p>
    <w:p>
      <w:pPr>
        <w:ind w:left="580" w:right="360" w:hanging="561"/>
        <w:spacing w:after="0" w:line="239" w:lineRule="auto"/>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4"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40 buildings primarily along Washington Street and 14th Street in Hoboken, New Jersey.</w:t>
      </w:r>
    </w:p>
    <w:p>
      <w:pPr>
        <w:spacing w:after="0" w:line="41" w:lineRule="exact"/>
        <w:rPr>
          <w:rFonts w:ascii="Times New Roman" w:cs="Times New Roman" w:eastAsia="Times New Roman" w:hAnsi="Times New Roman"/>
          <w:sz w:val="14"/>
          <w:szCs w:val="14"/>
          <w:color w:val="auto"/>
        </w:rPr>
      </w:pPr>
    </w:p>
    <w:p>
      <w:pPr>
        <w:ind w:left="580" w:hanging="561"/>
        <w:spacing w:after="0"/>
        <w:tabs>
          <w:tab w:leader="none" w:pos="5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CocoWalk and four buildings in Coconut Grove.</w:t>
      </w:r>
    </w:p>
    <w:p>
      <w:pPr>
        <w:spacing w:after="0" w:line="42" w:lineRule="exact"/>
        <w:rPr>
          <w:sz w:val="20"/>
          <w:szCs w:val="20"/>
          <w:color w:val="auto"/>
        </w:rPr>
      </w:pPr>
    </w:p>
    <w:p>
      <w:pPr>
        <w:ind w:left="580" w:hanging="561"/>
        <w:spacing w:after="0"/>
        <w:tabs>
          <w:tab w:leader="none" w:pos="5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Shadow anchor located adjacent to the property, but is not part of the owned property.</w:t>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40" w:top="1028"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Retail Leasing Summary (1)</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Total Lease Summary - Comparable (2)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 w:type="dxa"/>
            <w:vAlign w:val="bottom"/>
          </w:tcPr>
          <w:p>
            <w:pPr>
              <w:spacing w:after="0"/>
              <w:rPr>
                <w:sz w:val="11"/>
                <w:szCs w:val="11"/>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1"/>
                <w:szCs w:val="11"/>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Annual Increase in</w:t>
            </w: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vMerge w:val="restart"/>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8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100" w:type="dxa"/>
            <w:vAlign w:val="bottom"/>
          </w:tcPr>
          <w:p>
            <w:pPr>
              <w:spacing w:after="0"/>
              <w:rPr>
                <w:sz w:val="9"/>
                <w:szCs w:val="9"/>
                <w:color w:val="auto"/>
              </w:rPr>
            </w:pPr>
          </w:p>
        </w:tc>
        <w:tc>
          <w:tcPr>
            <w:tcW w:w="680" w:type="dxa"/>
            <w:vAlign w:val="bottom"/>
          </w:tcPr>
          <w:p>
            <w:pPr>
              <w:jc w:val="center"/>
              <w:ind w:right="53"/>
              <w:spacing w:after="0" w:line="108" w:lineRule="exact"/>
              <w:rPr>
                <w:sz w:val="20"/>
                <w:szCs w:val="20"/>
                <w:color w:val="auto"/>
              </w:rPr>
            </w:pPr>
            <w:r>
              <w:rPr>
                <w:rFonts w:ascii="Times New Roman" w:cs="Times New Roman" w:eastAsia="Times New Roman" w:hAnsi="Times New Roman"/>
                <w:sz w:val="11"/>
                <w:szCs w:val="11"/>
                <w:b w:val="1"/>
                <w:bCs w:val="1"/>
                <w:color w:val="auto"/>
                <w:w w:val="97"/>
              </w:rPr>
              <w:t>Rent (3) Per</w:t>
            </w:r>
          </w:p>
        </w:tc>
        <w:tc>
          <w:tcPr>
            <w:tcW w:w="80" w:type="dxa"/>
            <w:vAlign w:val="bottom"/>
          </w:tcPr>
          <w:p>
            <w:pPr>
              <w:spacing w:after="0"/>
              <w:rPr>
                <w:sz w:val="9"/>
                <w:szCs w:val="9"/>
                <w:color w:val="auto"/>
              </w:rPr>
            </w:pPr>
          </w:p>
        </w:tc>
        <w:tc>
          <w:tcPr>
            <w:tcW w:w="100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Prior Rent (4) PSF</w:t>
            </w:r>
          </w:p>
        </w:tc>
        <w:tc>
          <w:tcPr>
            <w:tcW w:w="1040" w:type="dxa"/>
            <w:vAlign w:val="bottom"/>
            <w:gridSpan w:val="3"/>
            <w:vMerge w:val="continue"/>
          </w:tcPr>
          <w:p>
            <w:pPr>
              <w:spacing w:after="0"/>
              <w:rPr>
                <w:sz w:val="9"/>
                <w:szCs w:val="9"/>
                <w:color w:val="auto"/>
              </w:rPr>
            </w:pPr>
          </w:p>
        </w:tc>
        <w:tc>
          <w:tcPr>
            <w:tcW w:w="9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2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8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Sq. Ft. (PSF)</w:t>
            </w:r>
          </w:p>
        </w:tc>
        <w:tc>
          <w:tcPr>
            <w:tcW w:w="8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Rent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9"/>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2025</w:t>
            </w:r>
          </w:p>
        </w:tc>
        <w:tc>
          <w:tcPr>
            <w:tcW w:w="76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727,029</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35.71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27.85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5,710,439</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15,446,743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2025</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643,810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37.98</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34.39</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2,311,260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13,615,629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2025</w:t>
            </w:r>
          </w:p>
        </w:tc>
        <w:tc>
          <w:tcPr>
            <w:tcW w:w="7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368,759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40.63</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783,686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7,139,430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4th Quarter 2024</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649,372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34.29</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31.18</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2,020,370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16,035,867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2,388,970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36.69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10,825,755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52,237,669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94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New Lease Summary - Comparable (2)</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4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Annual Increase in</w:t>
            </w: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vMerge w:val="restart"/>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8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Prior Rent (4) PSF</w:t>
            </w:r>
          </w:p>
        </w:tc>
        <w:tc>
          <w:tcPr>
            <w:tcW w:w="1040" w:type="dxa"/>
            <w:vAlign w:val="bottom"/>
            <w:gridSpan w:val="3"/>
            <w:vMerge w:val="continue"/>
          </w:tcPr>
          <w:p>
            <w:pPr>
              <w:spacing w:after="0"/>
              <w:rPr>
                <w:sz w:val="9"/>
                <w:szCs w:val="9"/>
                <w:color w:val="auto"/>
              </w:rPr>
            </w:pPr>
          </w:p>
        </w:tc>
        <w:tc>
          <w:tcPr>
            <w:tcW w:w="9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2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8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Rent (3) PSF</w:t>
            </w:r>
          </w:p>
        </w:tc>
        <w:tc>
          <w:tcPr>
            <w:tcW w:w="8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Rent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9"/>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2025</w:t>
            </w:r>
          </w:p>
        </w:tc>
        <w:tc>
          <w:tcPr>
            <w:tcW w:w="76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46 %</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234,886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45.16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35.52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2,263,260</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12,947,803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2025</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170,252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39.04</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34.31</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805,428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9,793,564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2025</w:t>
            </w:r>
          </w:p>
        </w:tc>
        <w:tc>
          <w:tcPr>
            <w:tcW w:w="7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174,707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34.39</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6,851,351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4th Quarter 2024</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39.60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35.53</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866,876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13,999,311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65.63</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43 %</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793,151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39.98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43,592,029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94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Renewal Lease Summary - Comparable (2) (7)</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Annual Increase in</w:t>
            </w: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vMerge w:val="restart"/>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8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Prior Rent (4) PSF</w:t>
            </w:r>
          </w:p>
        </w:tc>
        <w:tc>
          <w:tcPr>
            <w:tcW w:w="1040" w:type="dxa"/>
            <w:vAlign w:val="bottom"/>
            <w:gridSpan w:val="3"/>
            <w:vMerge w:val="continue"/>
          </w:tcPr>
          <w:p>
            <w:pPr>
              <w:spacing w:after="0"/>
              <w:rPr>
                <w:sz w:val="9"/>
                <w:szCs w:val="9"/>
                <w:color w:val="auto"/>
              </w:rPr>
            </w:pPr>
          </w:p>
        </w:tc>
        <w:tc>
          <w:tcPr>
            <w:tcW w:w="9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2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8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Rent (3) PSF</w:t>
            </w:r>
          </w:p>
        </w:tc>
        <w:tc>
          <w:tcPr>
            <w:tcW w:w="8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Rent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9"/>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2025</w:t>
            </w:r>
          </w:p>
        </w:tc>
        <w:tc>
          <w:tcPr>
            <w:tcW w:w="76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54 %</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492,143</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31.20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24.19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3,447,179</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2,498,940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2025</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473,558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37.59</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34.41</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1,505,832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3,822,065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2025</w:t>
            </w:r>
          </w:p>
        </w:tc>
        <w:tc>
          <w:tcPr>
            <w:tcW w:w="7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194,052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46.25</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684,855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4th Quarter 2024</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436,066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31.69</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29.05</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1,153,494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2,036,556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57 %</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1,595,819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35.06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6,791,360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8,645,640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820" w:type="dxa"/>
            <w:vAlign w:val="bottom"/>
            <w:gridSpan w:val="12"/>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Summary - Comparable and Non-comparable (2)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80" w:type="dxa"/>
            <w:vAlign w:val="bottom"/>
          </w:tcPr>
          <w:p>
            <w:pPr>
              <w:spacing w:after="0"/>
              <w:rPr>
                <w:sz w:val="9"/>
                <w:szCs w:val="9"/>
                <w:color w:val="auto"/>
              </w:rPr>
            </w:pPr>
          </w:p>
        </w:tc>
        <w:tc>
          <w:tcPr>
            <w:tcW w:w="10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 of Comparable</w:t>
            </w: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vMerge w:val="restart"/>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gridSpan w:val="4"/>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160" w:type="dxa"/>
            <w:vAlign w:val="bottom"/>
          </w:tcPr>
          <w:p>
            <w:pPr>
              <w:spacing w:after="0"/>
              <w:rPr>
                <w:sz w:val="13"/>
                <w:szCs w:val="13"/>
                <w:color w:val="auto"/>
              </w:rPr>
            </w:pPr>
          </w:p>
        </w:tc>
        <w:tc>
          <w:tcPr>
            <w:tcW w:w="17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9"/>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2025</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93 %</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774,890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36.97</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20,185,470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98 %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653,366</w:t>
            </w:r>
          </w:p>
        </w:tc>
        <w:tc>
          <w:tcPr>
            <w:tcW w:w="10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38.87</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14,435,475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429,865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39.69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12,616,558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4th Quarter 2024</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653,869</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34.53</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16,702,801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448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96 %</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2,511,990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37.29</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63,940,304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gridSpan w:val="2"/>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80" w:type="dxa"/>
            <w:vAlign w:val="bottom"/>
            <w:gridSpan w:val="19"/>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Summary - Comparable, Non-comparable, and Option Exercises (2) (8)</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7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vMerge w:val="restart"/>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gridSpan w:val="4"/>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4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8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Rent (3) PSF</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9"/>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2025</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1,013,278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34.24</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20,185,470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2025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918,000</w:t>
            </w:r>
          </w:p>
        </w:tc>
        <w:tc>
          <w:tcPr>
            <w:tcW w:w="10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34.07</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14,435,475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2025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827,104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33.23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12,616,558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4th Quarter 2024</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883,840</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31.94</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16,702,801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3,642,222</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33.41</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63,940,304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42" w:lineRule="exact"/>
        <w:rPr>
          <w:sz w:val="20"/>
          <w:szCs w:val="20"/>
          <w:color w:val="auto"/>
        </w:rPr>
      </w:pPr>
    </w:p>
    <w:p>
      <w:pPr>
        <w:ind w:left="600" w:right="60" w:hanging="567"/>
        <w:spacing w:after="0" w:line="251" w:lineRule="auto"/>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reflects activity in retail spaces only for consolidated properties; office and residential spaces are not included. See Glossary of Terms for further discussion of information included above.</w:t>
      </w:r>
    </w:p>
    <w:p>
      <w:pPr>
        <w:ind w:left="600" w:hanging="567"/>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Comparable leases represent those leases signed on spaces for which there was a former tenant. Contractual option exercises are not included unless they are fair market value options.</w:t>
      </w:r>
    </w:p>
    <w:p>
      <w:pPr>
        <w:spacing w:after="0" w:line="41" w:lineRule="exact"/>
        <w:rPr>
          <w:rFonts w:ascii="Times New Roman" w:cs="Times New Roman" w:eastAsia="Times New Roman" w:hAnsi="Times New Roman"/>
          <w:sz w:val="14"/>
          <w:szCs w:val="14"/>
          <w:color w:val="auto"/>
        </w:rPr>
      </w:pPr>
    </w:p>
    <w:p>
      <w:pPr>
        <w:ind w:left="600" w:hanging="567"/>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rent represents annual rent under the new lease.</w:t>
      </w:r>
    </w:p>
    <w:p>
      <w:pPr>
        <w:spacing w:after="0" w:line="41" w:lineRule="exact"/>
        <w:rPr>
          <w:rFonts w:ascii="Times New Roman" w:cs="Times New Roman" w:eastAsia="Times New Roman" w:hAnsi="Times New Roman"/>
          <w:sz w:val="14"/>
          <w:szCs w:val="14"/>
          <w:color w:val="auto"/>
        </w:rPr>
      </w:pPr>
    </w:p>
    <w:p>
      <w:pPr>
        <w:ind w:left="600" w:hanging="567"/>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rent represents contractual rent, including percentage rent considered part of base rent, from the prior tenant in the final 12 months of the term.</w:t>
      </w:r>
    </w:p>
    <w:p>
      <w:pPr>
        <w:spacing w:after="0" w:line="41" w:lineRule="exact"/>
        <w:rPr>
          <w:rFonts w:ascii="Times New Roman" w:cs="Times New Roman" w:eastAsia="Times New Roman" w:hAnsi="Times New Roman"/>
          <w:sz w:val="14"/>
          <w:szCs w:val="14"/>
          <w:color w:val="auto"/>
        </w:rPr>
      </w:pPr>
    </w:p>
    <w:p>
      <w:pPr>
        <w:ind w:left="600" w:hanging="567"/>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is determined on the basis of contractual rent for the lease.</w:t>
      </w:r>
    </w:p>
    <w:p>
      <w:pPr>
        <w:spacing w:after="0" w:line="41" w:lineRule="exact"/>
        <w:rPr>
          <w:rFonts w:ascii="Times New Roman" w:cs="Times New Roman" w:eastAsia="Times New Roman" w:hAnsi="Times New Roman"/>
          <w:sz w:val="14"/>
          <w:szCs w:val="14"/>
          <w:color w:val="auto"/>
        </w:rPr>
      </w:pPr>
    </w:p>
    <w:p>
      <w:pPr>
        <w:ind w:left="600" w:hanging="567"/>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Glossary of Terms.</w:t>
      </w:r>
    </w:p>
    <w:p>
      <w:pPr>
        <w:spacing w:after="0" w:line="41" w:lineRule="exact"/>
        <w:rPr>
          <w:rFonts w:ascii="Times New Roman" w:cs="Times New Roman" w:eastAsia="Times New Roman" w:hAnsi="Times New Roman"/>
          <w:sz w:val="14"/>
          <w:szCs w:val="14"/>
          <w:color w:val="auto"/>
        </w:rPr>
      </w:pPr>
    </w:p>
    <w:p>
      <w:pPr>
        <w:ind w:left="600" w:hanging="567"/>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Renewal leases represent expiring leases rolling over with the same tenant in the same location. All other leases are categorized as new.</w:t>
      </w:r>
    </w:p>
    <w:p>
      <w:pPr>
        <w:spacing w:after="0" w:line="41" w:lineRule="exact"/>
        <w:rPr>
          <w:rFonts w:ascii="Times New Roman" w:cs="Times New Roman" w:eastAsia="Times New Roman" w:hAnsi="Times New Roman"/>
          <w:sz w:val="14"/>
          <w:szCs w:val="14"/>
          <w:color w:val="auto"/>
        </w:rPr>
      </w:pPr>
    </w:p>
    <w:p>
      <w:pPr>
        <w:ind w:left="600" w:hanging="567"/>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exercises reflect a fixed rate contractual option under the lease agreement that was exercised during the period reflected.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340" w:top="704" w:right="35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Lease Expirations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70891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08910" cy="154305"/>
                    </a:xfrm>
                    <a:prstGeom prst="rect">
                      <a:avLst/>
                    </a:prstGeom>
                    <a:noFill/>
                  </pic:spPr>
                </pic:pic>
              </a:graphicData>
            </a:graphic>
          </wp:anchor>
        </w:drawing>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Assumes no exercise of lease options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04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00" w:type="dxa"/>
            <w:vAlign w:val="bottom"/>
          </w:tcPr>
          <w:p>
            <w:pPr>
              <w:spacing w:after="0"/>
              <w:rPr>
                <w:sz w:val="11"/>
                <w:szCs w:val="11"/>
                <w:color w:val="auto"/>
              </w:rPr>
            </w:pPr>
          </w:p>
        </w:tc>
        <w:tc>
          <w:tcPr>
            <w:tcW w:w="126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32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840" w:type="dxa"/>
            <w:vAlign w:val="bottom"/>
            <w:tcBorders>
              <w:top w:val="single" w:sz="8" w:color="auto"/>
            </w:tcBorders>
          </w:tcPr>
          <w:p>
            <w:pPr>
              <w:jc w:val="right"/>
              <w:ind w:right="2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1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6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20" w:type="dxa"/>
            <w:vAlign w:val="bottom"/>
            <w:vMerge w:val="continue"/>
          </w:tcPr>
          <w:p>
            <w:pPr>
              <w:spacing w:after="0"/>
              <w:rPr>
                <w:sz w:val="17"/>
                <w:szCs w:val="17"/>
                <w:color w:val="auto"/>
              </w:rPr>
            </w:pPr>
          </w:p>
        </w:tc>
        <w:tc>
          <w:tcPr>
            <w:tcW w:w="8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SF</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10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149,000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272,000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421,000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0" w:type="dxa"/>
            <w:vAlign w:val="bottom"/>
          </w:tcPr>
          <w:p>
            <w:pPr>
              <w:spacing w:after="0"/>
              <w:rPr>
                <w:sz w:val="1"/>
                <w:szCs w:val="1"/>
                <w:color w:val="auto"/>
              </w:rPr>
            </w:pPr>
          </w:p>
        </w:tc>
      </w:tr>
      <w:tr>
        <w:trPr>
          <w:trHeight w:val="214"/>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2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859,000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w:t>
            </w:r>
          </w:p>
        </w:tc>
        <w:tc>
          <w:tcPr>
            <w:tcW w:w="22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1,935,000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0" w:type="dxa"/>
            <w:vAlign w:val="bottom"/>
          </w:tcPr>
          <w:p>
            <w:pPr>
              <w:spacing w:after="0"/>
              <w:rPr>
                <w:sz w:val="1"/>
                <w:szCs w:val="1"/>
                <w:color w:val="auto"/>
              </w:rPr>
            </w:pPr>
          </w:p>
        </w:tc>
      </w:tr>
      <w:tr>
        <w:trPr>
          <w:trHeight w:val="218"/>
        </w:trPr>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1,148,000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3,026,000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w:t>
            </w:r>
          </w:p>
        </w:tc>
        <w:tc>
          <w:tcPr>
            <w:tcW w:w="0" w:type="dxa"/>
            <w:vAlign w:val="bottom"/>
          </w:tcPr>
          <w:p>
            <w:pPr>
              <w:spacing w:after="0"/>
              <w:rPr>
                <w:sz w:val="1"/>
                <w:szCs w:val="1"/>
                <w:color w:val="auto"/>
              </w:rPr>
            </w:pPr>
          </w:p>
        </w:tc>
      </w:tr>
      <w:tr>
        <w:trPr>
          <w:trHeight w:val="214"/>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2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1,179,000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$50.11</w:t>
            </w:r>
          </w:p>
        </w:tc>
        <w:tc>
          <w:tcPr>
            <w:tcW w:w="22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3,191,000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0" w:type="dxa"/>
            <w:vAlign w:val="bottom"/>
          </w:tcPr>
          <w:p>
            <w:pPr>
              <w:spacing w:after="0"/>
              <w:rPr>
                <w:sz w:val="1"/>
                <w:szCs w:val="1"/>
                <w:color w:val="auto"/>
              </w:rPr>
            </w:pPr>
          </w:p>
        </w:tc>
      </w:tr>
      <w:tr>
        <w:trPr>
          <w:trHeight w:val="218"/>
        </w:trPr>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1,277,000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3,588,000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0" w:type="dxa"/>
            <w:vAlign w:val="bottom"/>
          </w:tcPr>
          <w:p>
            <w:pPr>
              <w:spacing w:after="0"/>
              <w:rPr>
                <w:sz w:val="1"/>
                <w:szCs w:val="1"/>
                <w:color w:val="auto"/>
              </w:rPr>
            </w:pPr>
          </w:p>
        </w:tc>
      </w:tr>
      <w:tr>
        <w:trPr>
          <w:trHeight w:val="214"/>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2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991,000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w:t>
            </w:r>
          </w:p>
        </w:tc>
        <w:tc>
          <w:tcPr>
            <w:tcW w:w="22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2,745,000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0" w:type="dxa"/>
            <w:vAlign w:val="bottom"/>
          </w:tcPr>
          <w:p>
            <w:pPr>
              <w:spacing w:after="0"/>
              <w:rPr>
                <w:sz w:val="1"/>
                <w:szCs w:val="1"/>
                <w:color w:val="auto"/>
              </w:rPr>
            </w:pPr>
          </w:p>
        </w:tc>
      </w:tr>
      <w:tr>
        <w:trPr>
          <w:trHeight w:val="218"/>
        </w:trPr>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826,000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1,936,000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0" w:type="dxa"/>
            <w:vAlign w:val="bottom"/>
          </w:tcPr>
          <w:p>
            <w:pPr>
              <w:spacing w:after="0"/>
              <w:rPr>
                <w:sz w:val="1"/>
                <w:szCs w:val="1"/>
                <w:color w:val="auto"/>
              </w:rPr>
            </w:pPr>
          </w:p>
        </w:tc>
      </w:tr>
      <w:tr>
        <w:trPr>
          <w:trHeight w:val="214"/>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w:t>
            </w:r>
          </w:p>
        </w:tc>
        <w:tc>
          <w:tcPr>
            <w:tcW w:w="2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688,000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22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2,509,000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0" w:type="dxa"/>
            <w:vAlign w:val="bottom"/>
          </w:tcPr>
          <w:p>
            <w:pPr>
              <w:spacing w:after="0"/>
              <w:rPr>
                <w:sz w:val="1"/>
                <w:szCs w:val="1"/>
                <w:color w:val="auto"/>
              </w:rPr>
            </w:pPr>
          </w:p>
        </w:tc>
      </w:tr>
      <w:tr>
        <w:trPr>
          <w:trHeight w:val="218"/>
        </w:trPr>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545,000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1,531,000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0" w:type="dxa"/>
            <w:vAlign w:val="bottom"/>
          </w:tcPr>
          <w:p>
            <w:pPr>
              <w:spacing w:after="0"/>
              <w:rPr>
                <w:sz w:val="1"/>
                <w:szCs w:val="1"/>
                <w:color w:val="auto"/>
              </w:rPr>
            </w:pPr>
          </w:p>
        </w:tc>
      </w:tr>
      <w:tr>
        <w:trPr>
          <w:trHeight w:val="214"/>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2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484,000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22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1,330,000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0" w:type="dxa"/>
            <w:vAlign w:val="bottom"/>
          </w:tcPr>
          <w:p>
            <w:pPr>
              <w:spacing w:after="0"/>
              <w:rPr>
                <w:sz w:val="1"/>
                <w:szCs w:val="1"/>
                <w:color w:val="auto"/>
              </w:rPr>
            </w:pPr>
          </w:p>
        </w:tc>
      </w:tr>
      <w:tr>
        <w:trPr>
          <w:trHeight w:val="216"/>
        </w:trPr>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3,278,000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2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709,000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$52.20</w:t>
            </w:r>
          </w:p>
        </w:tc>
        <w:tc>
          <w:tcPr>
            <w:tcW w:w="2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3,987,000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0" w:type="dxa"/>
            <w:vAlign w:val="bottom"/>
          </w:tcPr>
          <w:p>
            <w:pPr>
              <w:spacing w:after="0"/>
              <w:rPr>
                <w:sz w:val="1"/>
                <w:szCs w:val="1"/>
                <w:color w:val="auto"/>
              </w:rPr>
            </w:pPr>
          </w:p>
        </w:tc>
      </w:tr>
      <w:tr>
        <w:trPr>
          <w:trHeight w:val="211"/>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17,221,000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8,978,000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26,199,000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0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40" w:type="dxa"/>
            <w:vAlign w:val="bottom"/>
            <w:tcBorders>
              <w:left w:val="single" w:sz="8" w:color="auto"/>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Assumes all lease options are exercised</w:t>
            </w:r>
          </w:p>
        </w:tc>
        <w:tc>
          <w:tcPr>
            <w:tcW w:w="1040" w:type="dxa"/>
            <w:vAlign w:val="bottom"/>
            <w:tcBorders>
              <w:bottom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40" w:type="dxa"/>
            <w:vAlign w:val="bottom"/>
          </w:tcPr>
          <w:p>
            <w:pPr>
              <w:spacing w:after="0"/>
              <w:rPr>
                <w:sz w:val="22"/>
                <w:szCs w:val="22"/>
                <w:color w:val="auto"/>
              </w:rPr>
            </w:pP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04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00" w:type="dxa"/>
            <w:vAlign w:val="bottom"/>
          </w:tcPr>
          <w:p>
            <w:pPr>
              <w:spacing w:after="0"/>
              <w:rPr>
                <w:sz w:val="11"/>
                <w:szCs w:val="11"/>
                <w:color w:val="auto"/>
              </w:rPr>
            </w:pPr>
          </w:p>
        </w:tc>
        <w:tc>
          <w:tcPr>
            <w:tcW w:w="126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320" w:type="dxa"/>
            <w:vAlign w:val="bottom"/>
            <w:tcBorders>
              <w:top w:val="single" w:sz="8" w:color="auto"/>
            </w:tcBorders>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840" w:type="dxa"/>
            <w:vAlign w:val="bottom"/>
            <w:tcBorders>
              <w:top w:val="single" w:sz="8" w:color="auto"/>
            </w:tcBorders>
          </w:tcPr>
          <w:p>
            <w:pPr>
              <w:jc w:val="right"/>
              <w:ind w:right="2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1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6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20" w:type="dxa"/>
            <w:vAlign w:val="bottom"/>
            <w:vMerge w:val="continue"/>
          </w:tcPr>
          <w:p>
            <w:pPr>
              <w:spacing w:after="0"/>
              <w:rPr>
                <w:sz w:val="17"/>
                <w:szCs w:val="17"/>
                <w:color w:val="auto"/>
              </w:rPr>
            </w:pPr>
          </w:p>
        </w:tc>
        <w:tc>
          <w:tcPr>
            <w:tcW w:w="8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SF</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10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106,000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270,000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376,000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0" w:type="dxa"/>
            <w:vAlign w:val="bottom"/>
          </w:tcPr>
          <w:p>
            <w:pPr>
              <w:spacing w:after="0"/>
              <w:rPr>
                <w:sz w:val="1"/>
                <w:szCs w:val="1"/>
                <w:color w:val="auto"/>
              </w:rPr>
            </w:pPr>
          </w:p>
        </w:tc>
      </w:tr>
      <w:tr>
        <w:trPr>
          <w:trHeight w:val="214"/>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2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699,000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22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1,298,000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0" w:type="dxa"/>
            <w:vAlign w:val="bottom"/>
          </w:tcPr>
          <w:p>
            <w:pPr>
              <w:spacing w:after="0"/>
              <w:rPr>
                <w:sz w:val="1"/>
                <w:szCs w:val="1"/>
                <w:color w:val="auto"/>
              </w:rPr>
            </w:pPr>
          </w:p>
        </w:tc>
      </w:tr>
      <w:tr>
        <w:trPr>
          <w:trHeight w:val="218"/>
        </w:trPr>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1,187,000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w:t>
            </w:r>
          </w:p>
        </w:tc>
        <w:tc>
          <w:tcPr>
            <w:tcW w:w="0" w:type="dxa"/>
            <w:vAlign w:val="bottom"/>
          </w:tcPr>
          <w:p>
            <w:pPr>
              <w:spacing w:after="0"/>
              <w:rPr>
                <w:sz w:val="1"/>
                <w:szCs w:val="1"/>
                <w:color w:val="auto"/>
              </w:rPr>
            </w:pPr>
          </w:p>
        </w:tc>
      </w:tr>
      <w:tr>
        <w:trPr>
          <w:trHeight w:val="214"/>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2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660,000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22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1,114,000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0" w:type="dxa"/>
            <w:vAlign w:val="bottom"/>
          </w:tcPr>
          <w:p>
            <w:pPr>
              <w:spacing w:after="0"/>
              <w:rPr>
                <w:sz w:val="1"/>
                <w:szCs w:val="1"/>
                <w:color w:val="auto"/>
              </w:rPr>
            </w:pPr>
          </w:p>
        </w:tc>
      </w:tr>
      <w:tr>
        <w:trPr>
          <w:trHeight w:val="218"/>
        </w:trPr>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705,000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1,320,000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0" w:type="dxa"/>
            <w:vAlign w:val="bottom"/>
          </w:tcPr>
          <w:p>
            <w:pPr>
              <w:spacing w:after="0"/>
              <w:rPr>
                <w:sz w:val="1"/>
                <w:szCs w:val="1"/>
                <w:color w:val="auto"/>
              </w:rPr>
            </w:pPr>
          </w:p>
        </w:tc>
      </w:tr>
      <w:tr>
        <w:trPr>
          <w:trHeight w:val="214"/>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2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611,000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$50.19</w:t>
            </w:r>
          </w:p>
        </w:tc>
        <w:tc>
          <w:tcPr>
            <w:tcW w:w="22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900,000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0" w:type="dxa"/>
            <w:vAlign w:val="bottom"/>
          </w:tcPr>
          <w:p>
            <w:pPr>
              <w:spacing w:after="0"/>
              <w:rPr>
                <w:sz w:val="1"/>
                <w:szCs w:val="1"/>
                <w:color w:val="auto"/>
              </w:rPr>
            </w:pPr>
          </w:p>
        </w:tc>
      </w:tr>
      <w:tr>
        <w:trPr>
          <w:trHeight w:val="218"/>
        </w:trPr>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482,000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970,000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0" w:type="dxa"/>
            <w:vAlign w:val="bottom"/>
          </w:tcPr>
          <w:p>
            <w:pPr>
              <w:spacing w:after="0"/>
              <w:rPr>
                <w:sz w:val="1"/>
                <w:szCs w:val="1"/>
                <w:color w:val="auto"/>
              </w:rPr>
            </w:pPr>
          </w:p>
        </w:tc>
      </w:tr>
      <w:tr>
        <w:trPr>
          <w:trHeight w:val="214"/>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2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507,000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22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869,000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w:t>
            </w:r>
          </w:p>
        </w:tc>
        <w:tc>
          <w:tcPr>
            <w:tcW w:w="0" w:type="dxa"/>
            <w:vAlign w:val="bottom"/>
          </w:tcPr>
          <w:p>
            <w:pPr>
              <w:spacing w:after="0"/>
              <w:rPr>
                <w:sz w:val="1"/>
                <w:szCs w:val="1"/>
                <w:color w:val="auto"/>
              </w:rPr>
            </w:pPr>
          </w:p>
        </w:tc>
      </w:tr>
      <w:tr>
        <w:trPr>
          <w:trHeight w:val="218"/>
        </w:trPr>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497,000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857,000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0" w:type="dxa"/>
            <w:vAlign w:val="bottom"/>
          </w:tcPr>
          <w:p>
            <w:pPr>
              <w:spacing w:after="0"/>
              <w:rPr>
                <w:sz w:val="1"/>
                <w:szCs w:val="1"/>
                <w:color w:val="auto"/>
              </w:rPr>
            </w:pPr>
          </w:p>
        </w:tc>
      </w:tr>
      <w:tr>
        <w:trPr>
          <w:trHeight w:val="214"/>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2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510,000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$48.25</w:t>
            </w:r>
          </w:p>
        </w:tc>
        <w:tc>
          <w:tcPr>
            <w:tcW w:w="22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1,142,000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0" w:type="dxa"/>
            <w:vAlign w:val="bottom"/>
          </w:tcPr>
          <w:p>
            <w:pPr>
              <w:spacing w:after="0"/>
              <w:rPr>
                <w:sz w:val="1"/>
                <w:szCs w:val="1"/>
                <w:color w:val="auto"/>
              </w:rPr>
            </w:pPr>
          </w:p>
        </w:tc>
      </w:tr>
      <w:tr>
        <w:trPr>
          <w:trHeight w:val="216"/>
        </w:trPr>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12,789,000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2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3,377,000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w:t>
            </w:r>
          </w:p>
        </w:tc>
        <w:tc>
          <w:tcPr>
            <w:tcW w:w="2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16,166,000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0" w:type="dxa"/>
            <w:vAlign w:val="bottom"/>
          </w:tcPr>
          <w:p>
            <w:pPr>
              <w:spacing w:after="0"/>
              <w:rPr>
                <w:sz w:val="1"/>
                <w:szCs w:val="1"/>
                <w:color w:val="auto"/>
              </w:rPr>
            </w:pPr>
          </w:p>
        </w:tc>
      </w:tr>
      <w:tr>
        <w:trPr>
          <w:trHeight w:val="211"/>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17,221,000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8,978,000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26,199,000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820" w:hanging="781"/>
        <w:spacing w:after="0"/>
        <w:tabs>
          <w:tab w:leader="none" w:pos="8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Anchor is defined as a commercial tenant leasing 10,000 square feet or more.</w:t>
      </w:r>
    </w:p>
    <w:p>
      <w:pPr>
        <w:spacing w:after="0" w:line="32" w:lineRule="exact"/>
        <w:rPr>
          <w:rFonts w:ascii="Times New Roman" w:cs="Times New Roman" w:eastAsia="Times New Roman" w:hAnsi="Times New Roman"/>
          <w:sz w:val="16"/>
          <w:szCs w:val="16"/>
          <w:color w:val="auto"/>
        </w:rPr>
      </w:pPr>
    </w:p>
    <w:p>
      <w:pPr>
        <w:ind w:left="820" w:right="180" w:hanging="781"/>
        <w:spacing w:after="0" w:line="245" w:lineRule="auto"/>
        <w:tabs>
          <w:tab w:leader="none" w:pos="8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Rent reflects in-place contractual (defined as rents on a cash-basis without taking the impacts of rent abatements into account) rent as of September 30, 2025.</w:t>
      </w:r>
    </w:p>
    <w:p>
      <w:pPr>
        <w:spacing w:after="0" w:line="2" w:lineRule="exact"/>
        <w:rPr>
          <w:rFonts w:ascii="Times New Roman" w:cs="Times New Roman" w:eastAsia="Times New Roman" w:hAnsi="Times New Roman"/>
          <w:sz w:val="16"/>
          <w:szCs w:val="16"/>
          <w:color w:val="auto"/>
        </w:rPr>
      </w:pPr>
    </w:p>
    <w:p>
      <w:pPr>
        <w:ind w:left="820" w:hanging="781"/>
        <w:spacing w:after="0"/>
        <w:tabs>
          <w:tab w:leader="none" w:pos="8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occupied square footage of the commercial portion of our portfolio as of September 30, 2025.</w:t>
      </w:r>
    </w:p>
    <w:p>
      <w:pPr>
        <w:spacing w:after="0" w:line="32" w:lineRule="exact"/>
        <w:rPr>
          <w:rFonts w:ascii="Times New Roman" w:cs="Times New Roman" w:eastAsia="Times New Roman" w:hAnsi="Times New Roman"/>
          <w:sz w:val="16"/>
          <w:szCs w:val="16"/>
          <w:color w:val="auto"/>
        </w:rPr>
      </w:pPr>
    </w:p>
    <w:p>
      <w:pPr>
        <w:ind w:left="820" w:hanging="781"/>
        <w:spacing w:after="0"/>
        <w:tabs>
          <w:tab w:leader="none" w:pos="8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022"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Portfolio Leased Statistics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9"/>
        </w:trPr>
        <w:tc>
          <w:tcPr>
            <w:tcW w:w="546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41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Properties</w:t>
            </w: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32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Overall Portfolio (1)(2)</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Leasable Area (GLA)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27,936,000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27,397,000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26,826,000</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Occupied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94.0 %</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 - anchor tenants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 - small shop tenants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93.1 %</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Active commercial tenant leases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3,629</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w:t>
            </w:r>
          </w:p>
        </w:tc>
      </w:tr>
      <w:tr>
        <w:trPr>
          <w:trHeight w:val="219"/>
        </w:trPr>
        <w:tc>
          <w:tcPr>
            <w:tcW w:w="5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Comparable Properties (1)(3)</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25,150,000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25,183,000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25,210,000</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Occupied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93.8 %</w:t>
            </w:r>
          </w:p>
        </w:tc>
      </w:tr>
      <w:tr>
        <w:trPr>
          <w:trHeight w:val="46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Properties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Overall Portfolio (1)(2)</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units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97.5 %</w:t>
            </w:r>
          </w:p>
        </w:tc>
      </w:tr>
      <w:tr>
        <w:trPr>
          <w:trHeight w:val="219"/>
        </w:trPr>
        <w:tc>
          <w:tcPr>
            <w:tcW w:w="5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Comparable Properties (1)(3)</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units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w:t>
            </w:r>
          </w:p>
        </w:tc>
      </w:tr>
      <w:tr>
        <w:trPr>
          <w:trHeight w:val="21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97.5 %</w:t>
            </w:r>
          </w:p>
        </w:tc>
      </w:tr>
    </w:tbl>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800" w:hanging="774"/>
        <w:spacing w:after="0"/>
        <w:tabs>
          <w:tab w:leader="none" w:pos="8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800" w:hanging="774"/>
        <w:spacing w:after="0"/>
        <w:tabs>
          <w:tab w:leader="none" w:pos="8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and residential units not yet placed in service.</w:t>
      </w:r>
    </w:p>
    <w:p>
      <w:pPr>
        <w:spacing w:after="0" w:line="32" w:lineRule="exact"/>
        <w:rPr>
          <w:rFonts w:ascii="Times New Roman" w:cs="Times New Roman" w:eastAsia="Times New Roman" w:hAnsi="Times New Roman"/>
          <w:sz w:val="16"/>
          <w:szCs w:val="16"/>
          <w:color w:val="auto"/>
        </w:rPr>
      </w:pPr>
    </w:p>
    <w:p>
      <w:pPr>
        <w:ind w:left="800" w:hanging="774"/>
        <w:spacing w:after="0"/>
        <w:tabs>
          <w:tab w:leader="none" w:pos="8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periods are adjusted for the current comparable property pool.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92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Top 25 Tenants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Ratings</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960" w:type="dxa"/>
            <w:vAlign w:val="bottom"/>
          </w:tcPr>
          <w:p>
            <w:pPr>
              <w:spacing w:after="0"/>
              <w:rPr>
                <w:sz w:val="13"/>
                <w:szCs w:val="13"/>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Rank</w:t>
            </w: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Tenant Name</w:t>
            </w:r>
          </w:p>
        </w:tc>
        <w:tc>
          <w:tcPr>
            <w:tcW w:w="1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60" w:type="dxa"/>
            <w:vAlign w:val="bottom"/>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Annualized Base Rent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Tenant GLA</w:t>
            </w:r>
          </w:p>
        </w:tc>
        <w:tc>
          <w:tcPr>
            <w:tcW w:w="1320" w:type="dxa"/>
            <w:vAlign w:val="bottom"/>
            <w:vMerge w:val="continue"/>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Locations</w:t>
            </w:r>
          </w:p>
        </w:tc>
        <w:tc>
          <w:tcPr>
            <w:tcW w:w="0" w:type="dxa"/>
            <w:vAlign w:val="bottom"/>
          </w:tcPr>
          <w:p>
            <w:pPr>
              <w:spacing w:after="0"/>
              <w:rPr>
                <w:sz w:val="1"/>
                <w:szCs w:val="1"/>
                <w:color w:val="auto"/>
              </w:rPr>
            </w:pPr>
          </w:p>
        </w:tc>
      </w:tr>
      <w:tr>
        <w:trPr>
          <w:trHeight w:val="196"/>
        </w:trPr>
        <w:tc>
          <w:tcPr>
            <w:tcW w:w="560" w:type="dxa"/>
            <w:vAlign w:val="bottom"/>
            <w:tcBorders>
              <w:bottom w:val="single" w:sz="8" w:color="auto"/>
            </w:tcBorders>
            <w:vMerge w:val="continue"/>
          </w:tcPr>
          <w:p>
            <w:pPr>
              <w:spacing w:after="0"/>
              <w:rPr>
                <w:sz w:val="17"/>
                <w:szCs w:val="17"/>
                <w:color w:val="auto"/>
              </w:rPr>
            </w:pPr>
          </w:p>
        </w:tc>
        <w:tc>
          <w:tcPr>
            <w:tcW w:w="2940" w:type="dxa"/>
            <w:vAlign w:val="bottom"/>
            <w:tcBorders>
              <w:bottom w:val="single" w:sz="8" w:color="auto"/>
            </w:tcBorders>
            <w:vMerge w:val="continue"/>
          </w:tcPr>
          <w:p>
            <w:pPr>
              <w:spacing w:after="0"/>
              <w:rPr>
                <w:sz w:val="17"/>
                <w:szCs w:val="17"/>
                <w:color w:val="auto"/>
              </w:rPr>
            </w:pPr>
          </w:p>
        </w:tc>
        <w:tc>
          <w:tcPr>
            <w:tcW w:w="2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(S&amp;P/Moody's) (1)   Annualized Base Rent</w:t>
            </w:r>
          </w:p>
        </w:tc>
        <w:tc>
          <w:tcPr>
            <w:tcW w:w="1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w:t>
            </w:r>
          </w:p>
        </w:tc>
        <w:tc>
          <w:tcPr>
            <w:tcW w:w="9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 GLA (3)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TJX Companies, The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 / 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24,008,000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2.51 %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3.98 %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Ahold Delhaize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17,353,000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1.81 %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2.94 %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NetApp,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Baa2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15,668,000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1.64 %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0.99 %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Cisco Systems,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AA- / 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14,146,000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1.48 %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0.87 %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Gap, Inc., The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 / Ba2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12,509,000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1.31 %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CVS Corporation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Baa3</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10,879,000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1.14 %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0.85 %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65"/>
        </w:trPr>
        <w:tc>
          <w:tcPr>
            <w:tcW w:w="560" w:type="dxa"/>
            <w:vAlign w:val="bottom"/>
            <w:shd w:val="clear" w:color="auto" w:fill="CCEEFF"/>
          </w:tcPr>
          <w:p>
            <w:pPr>
              <w:jc w:val="right"/>
              <w:ind w:right="39"/>
              <w:spacing w:after="0" w:line="165" w:lineRule="exact"/>
              <w:rPr>
                <w:sz w:val="20"/>
                <w:szCs w:val="20"/>
                <w:color w:val="auto"/>
              </w:rPr>
            </w:pPr>
            <w:r>
              <w:rPr>
                <w:rFonts w:ascii="Times New Roman" w:cs="Times New Roman" w:eastAsia="Times New Roman" w:hAnsi="Times New Roman"/>
                <w:sz w:val="16"/>
                <w:szCs w:val="16"/>
                <w:color w:val="auto"/>
              </w:rPr>
              <w:t>7</w:t>
            </w:r>
          </w:p>
        </w:tc>
        <w:tc>
          <w:tcPr>
            <w:tcW w:w="294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KnitWell Group (Ann Taylor, Chico's,</w:t>
            </w:r>
          </w:p>
        </w:tc>
        <w:tc>
          <w:tcPr>
            <w:tcW w:w="148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shd w:val="clear" w:color="auto" w:fill="CCEEFF"/>
          </w:tcPr>
          <w:p>
            <w:pPr>
              <w:jc w:val="right"/>
              <w:ind w:right="139"/>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9,245,000</w:t>
            </w:r>
          </w:p>
        </w:tc>
        <w:tc>
          <w:tcPr>
            <w:tcW w:w="1660" w:type="dxa"/>
            <w:vAlign w:val="bottom"/>
            <w:shd w:val="clear" w:color="auto" w:fill="CCEEFF"/>
          </w:tcPr>
          <w:p>
            <w:pPr>
              <w:jc w:val="right"/>
              <w:ind w:right="80"/>
              <w:spacing w:after="0" w:line="165" w:lineRule="exact"/>
              <w:rPr>
                <w:sz w:val="20"/>
                <w:szCs w:val="20"/>
                <w:color w:val="auto"/>
              </w:rPr>
            </w:pPr>
            <w:r>
              <w:rPr>
                <w:rFonts w:ascii="Times New Roman" w:cs="Times New Roman" w:eastAsia="Times New Roman" w:hAnsi="Times New Roman"/>
                <w:sz w:val="16"/>
                <w:szCs w:val="16"/>
                <w:color w:val="auto"/>
              </w:rPr>
              <w:t>0.97 %</w:t>
            </w:r>
          </w:p>
        </w:tc>
        <w:tc>
          <w:tcPr>
            <w:tcW w:w="9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213,000</w:t>
            </w:r>
          </w:p>
        </w:tc>
        <w:tc>
          <w:tcPr>
            <w:tcW w:w="1320" w:type="dxa"/>
            <w:vAlign w:val="bottom"/>
            <w:shd w:val="clear" w:color="auto" w:fill="CCEEFF"/>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0.69 %</w:t>
            </w:r>
          </w:p>
        </w:tc>
        <w:tc>
          <w:tcPr>
            <w:tcW w:w="8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62"/>
        </w:trPr>
        <w:tc>
          <w:tcPr>
            <w:tcW w:w="560" w:type="dxa"/>
            <w:vAlign w:val="bottom"/>
            <w:shd w:val="clear" w:color="auto" w:fill="CCEEFF"/>
          </w:tcPr>
          <w:p>
            <w:pPr>
              <w:spacing w:after="0"/>
              <w:rPr>
                <w:sz w:val="14"/>
                <w:szCs w:val="14"/>
                <w:color w:val="auto"/>
              </w:rPr>
            </w:pPr>
          </w:p>
        </w:tc>
        <w:tc>
          <w:tcPr>
            <w:tcW w:w="294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Loft, Talbots, White House Black Market,</w:t>
            </w:r>
          </w:p>
        </w:tc>
        <w:tc>
          <w:tcPr>
            <w:tcW w:w="1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Soma, Lane Bryant)</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Fitness International LLC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 / B2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9,193,000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0.96 %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1.13 %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Ross Stores,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8,638,000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0.90 %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1.27 %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62"/>
        </w:trPr>
        <w:tc>
          <w:tcPr>
            <w:tcW w:w="5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10</w:t>
            </w:r>
          </w:p>
        </w:tc>
        <w:tc>
          <w:tcPr>
            <w:tcW w:w="294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Albertsons Companies Inc. (Acme,</w:t>
            </w:r>
          </w:p>
        </w:tc>
        <w:tc>
          <w:tcPr>
            <w:tcW w:w="14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BB+ / Ba1</w:t>
            </w:r>
          </w:p>
        </w:tc>
        <w:tc>
          <w:tcPr>
            <w:tcW w:w="300" w:type="dxa"/>
            <w:vAlign w:val="bottom"/>
          </w:tcPr>
          <w:p>
            <w:pPr>
              <w:jc w:val="right"/>
              <w:ind w:right="139"/>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8,610,000</w:t>
            </w:r>
          </w:p>
        </w:tc>
        <w:tc>
          <w:tcPr>
            <w:tcW w:w="1660" w:type="dxa"/>
            <w:vAlign w:val="bottom"/>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0.90 %</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544,000</w:t>
            </w:r>
          </w:p>
        </w:tc>
        <w:tc>
          <w:tcPr>
            <w:tcW w:w="1320" w:type="dxa"/>
            <w:vAlign w:val="bottom"/>
          </w:tcPr>
          <w:p>
            <w:pPr>
              <w:jc w:val="right"/>
              <w:ind w:right="100"/>
              <w:spacing w:after="0" w:line="162" w:lineRule="exact"/>
              <w:rPr>
                <w:sz w:val="20"/>
                <w:szCs w:val="20"/>
                <w:color w:val="auto"/>
              </w:rPr>
            </w:pPr>
            <w:r>
              <w:rPr>
                <w:rFonts w:ascii="Times New Roman" w:cs="Times New Roman" w:eastAsia="Times New Roman" w:hAnsi="Times New Roman"/>
                <w:sz w:val="16"/>
                <w:szCs w:val="16"/>
                <w:color w:val="auto"/>
              </w:rPr>
              <w:t>1.77 %</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Balducci's, Safeway)</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Home Depot,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 / A2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7,801,000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0.82 %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1.56 %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Dick's Sporting Goods,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7,507,000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0.78 %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1.31 %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Kroger Co., The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Baa1</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7,430,000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0.78 %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1.99 %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AMC Entertainment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CCC+ / Caa2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7,399,000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0.77 %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0.92 %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PUMA North America,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7,292,000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0.76 %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0.50 %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Ulta Beauty,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7,079,000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0.74 %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0.66 %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Bob's Discount Furniture, LLC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NR / NR</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6,360,000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0.66 %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0.77 %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Bank of America, N.A.</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 / 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6,340,000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0.66 %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0.37 %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Amazon/Whole Foods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AA / A1</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0.65 %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0.69 %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Michaels Stores,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 / B3</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6,116,000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0.64 %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1.03 %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J.Crew Group, LLC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 / B3</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0.61 %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0.36 %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Starbucks Corporation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BBB+ / Baa1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5,801,000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0.61 %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0.26 %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Choice Hotels International, Inc.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BBB- / Baa3</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5,728,000</w:t>
            </w:r>
          </w:p>
        </w:tc>
        <w:tc>
          <w:tcPr>
            <w:tcW w:w="1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109,000</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0.36 %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JPMorgan Chase Bank</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 / A1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5,613,000</w:t>
            </w:r>
          </w:p>
        </w:tc>
        <w:tc>
          <w:tcPr>
            <w:tcW w:w="1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0.59 %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0.28 %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Target Corporation</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 / A2</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5,452,000</w:t>
            </w:r>
          </w:p>
        </w:tc>
        <w:tc>
          <w:tcPr>
            <w:tcW w:w="16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0.57 %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588,000</w:t>
            </w: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1.92 %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Totals - Top 25 Tenants</w:t>
            </w:r>
          </w:p>
        </w:tc>
        <w:tc>
          <w:tcPr>
            <w:tcW w:w="1480" w:type="dxa"/>
            <w:vAlign w:val="bottom"/>
          </w:tcPr>
          <w:p>
            <w:pPr>
              <w:spacing w:after="0"/>
              <w:rPr>
                <w:sz w:val="17"/>
                <w:szCs w:val="17"/>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228,203,000</w:t>
            </w:r>
          </w:p>
        </w:tc>
        <w:tc>
          <w:tcPr>
            <w:tcW w:w="1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23.85 %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8,790,000</w:t>
            </w: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28.63 %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6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(5):</w:t>
            </w:r>
          </w:p>
        </w:tc>
        <w:tc>
          <w:tcPr>
            <w:tcW w:w="148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956,935,000</w:t>
            </w:r>
          </w:p>
        </w:tc>
        <w:tc>
          <w:tcPr>
            <w:tcW w:w="1660" w:type="dxa"/>
            <w:vAlign w:val="bottom"/>
          </w:tcPr>
          <w:p>
            <w:pPr>
              <w:jc w:val="right"/>
              <w:ind w:right="1380"/>
              <w:spacing w:after="0"/>
              <w:rPr>
                <w:sz w:val="20"/>
                <w:szCs w:val="20"/>
                <w:color w:val="auto"/>
              </w:rPr>
            </w:pPr>
            <w:r>
              <w:rPr>
                <w:rFonts w:ascii="Times New Roman" w:cs="Times New Roman" w:eastAsia="Times New Roman" w:hAnsi="Times New Roman"/>
                <w:sz w:val="16"/>
                <w:szCs w:val="16"/>
                <w:color w:val="auto"/>
                <w:w w:val="96"/>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30,701,000</w:t>
            </w:r>
          </w:p>
        </w:tc>
        <w:tc>
          <w:tcPr>
            <w:tcW w:w="1320" w:type="dxa"/>
            <w:vAlign w:val="bottom"/>
          </w:tcPr>
          <w:p>
            <w:pPr>
              <w:jc w:val="right"/>
              <w:ind w:right="1040"/>
              <w:spacing w:after="0"/>
              <w:rPr>
                <w:sz w:val="20"/>
                <w:szCs w:val="20"/>
                <w:color w:val="auto"/>
              </w:rPr>
            </w:pPr>
            <w:r>
              <w:rPr>
                <w:rFonts w:ascii="Times New Roman" w:cs="Times New Roman" w:eastAsia="Times New Roman" w:hAnsi="Times New Roman"/>
                <w:sz w:val="16"/>
                <w:szCs w:val="16"/>
                <w:color w:val="auto"/>
                <w:w w:val="96"/>
              </w:rPr>
              <w:t>(4)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620" w:hanging="614"/>
        <w:spacing w:after="0"/>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Ratings are as of September 30, 2025. Subsequent rating changes have not been reflected.</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not yet placed in service.</w:t>
      </w:r>
    </w:p>
    <w:p>
      <w:pPr>
        <w:spacing w:after="0" w:line="32" w:lineRule="exact"/>
        <w:rPr>
          <w:rFonts w:ascii="Times New Roman" w:cs="Times New Roman" w:eastAsia="Times New Roman" w:hAnsi="Times New Roman"/>
          <w:sz w:val="16"/>
          <w:szCs w:val="16"/>
          <w:color w:val="auto"/>
        </w:rPr>
      </w:pPr>
    </w:p>
    <w:p>
      <w:pPr>
        <w:ind w:left="620" w:hanging="614"/>
        <w:spacing w:after="0"/>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0"/>
          </w:cols>
          <w:pgMar w:left="360" w:top="1022" w:right="35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FFO Guidance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range of estimated earnings per diluted share to estimated FFO per diluted share for the full year 2025.</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960" w:type="dxa"/>
            <w:vAlign w:val="bottom"/>
            <w:tcBorders>
              <w:top w:val="single" w:sz="8" w:color="auto"/>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Full Year 2025 Guidance Range (1)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Low</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High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net income available to common shareholders, per diluted share</w:t>
            </w:r>
          </w:p>
        </w:tc>
        <w:tc>
          <w:tcPr>
            <w:tcW w:w="1720" w:type="dxa"/>
            <w:vAlign w:val="bottom"/>
          </w:tcPr>
          <w:p>
            <w:pPr>
              <w:spacing w:after="0"/>
              <w:rPr>
                <w:sz w:val="19"/>
                <w:szCs w:val="19"/>
                <w:color w:val="auto"/>
              </w:rPr>
            </w:pP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5"/>
              </w:rPr>
              <w:t>3.99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7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gain on sale of real estate, net</w:t>
            </w:r>
          </w:p>
        </w:tc>
        <w:tc>
          <w:tcPr>
            <w:tcW w:w="1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(0.90)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depreciation and amortization</w:t>
            </w:r>
          </w:p>
        </w:tc>
        <w:tc>
          <w:tcPr>
            <w:tcW w:w="17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5"/>
              </w:rPr>
              <w:t>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FFO per diluted share</w:t>
            </w:r>
          </w:p>
        </w:tc>
        <w:tc>
          <w:tcPr>
            <w:tcW w:w="172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5"/>
              </w:rPr>
              <w:t>7.26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FFO per diluted share, excluding NMTC transaction income (4)</w:t>
            </w:r>
          </w:p>
        </w:tc>
        <w:tc>
          <w:tcPr>
            <w:tcW w:w="22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5"/>
              </w:rPr>
              <w:t>7.11</w:t>
            </w:r>
          </w:p>
        </w:tc>
        <w:tc>
          <w:tcPr>
            <w:tcW w:w="0" w:type="dxa"/>
            <w:vAlign w:val="bottom"/>
          </w:tcPr>
          <w:p>
            <w:pPr>
              <w:spacing w:after="0"/>
              <w:rPr>
                <w:sz w:val="1"/>
                <w:szCs w:val="1"/>
                <w:color w:val="auto"/>
              </w:rPr>
            </w:pPr>
          </w:p>
        </w:tc>
      </w:tr>
      <w:tr>
        <w:trPr>
          <w:trHeight w:val="21"/>
        </w:trPr>
        <w:tc>
          <w:tcPr>
            <w:tcW w:w="65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Note:</w:t>
            </w:r>
          </w:p>
        </w:tc>
        <w:tc>
          <w:tcPr>
            <w:tcW w:w="1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6560" w:type="dxa"/>
            <w:vAlign w:val="bottom"/>
            <w:gridSpan w:val="4"/>
            <w:vMerge w:val="continue"/>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See Glossary of Terms. Individual items may not add up to total due to rounding.</w:t>
            </w: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Guidance Assumptions:</w:t>
            </w: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4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properties growth (2)</w:t>
            </w:r>
          </w:p>
        </w:tc>
        <w:tc>
          <w:tcPr>
            <w:tcW w:w="17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3.5% - 4%</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termination fees</w:t>
            </w:r>
          </w:p>
        </w:tc>
        <w:tc>
          <w:tcPr>
            <w:tcW w:w="2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$5 - $6 million</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redevelopment/expansion POI (3)</w:t>
            </w:r>
          </w:p>
        </w:tc>
        <w:tc>
          <w:tcPr>
            <w:tcW w:w="2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$3 - $5 million</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$45 - $47 million</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Development/redevelopment capital</w:t>
            </w:r>
          </w:p>
        </w:tc>
        <w:tc>
          <w:tcPr>
            <w:tcW w:w="2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$170 - $190 million</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2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$13 - $14 million</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NMTC transaction income, net (4)</w:t>
            </w:r>
          </w:p>
        </w:tc>
        <w:tc>
          <w:tcPr>
            <w:tcW w:w="2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$13.0 million</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7" w:lineRule="exact"/>
        <w:rPr>
          <w:sz w:val="20"/>
          <w:szCs w:val="20"/>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assume the impact of potential acquisitions or dispositions which have not closed as of October 31, 2025.</w:t>
      </w:r>
    </w:p>
    <w:p>
      <w:pPr>
        <w:spacing w:after="0" w:line="9" w:lineRule="exact"/>
        <w:rPr>
          <w:rFonts w:ascii="Times New Roman" w:cs="Times New Roman" w:eastAsia="Times New Roman" w:hAnsi="Times New Roman"/>
          <w:sz w:val="18"/>
          <w:szCs w:val="18"/>
          <w:color w:val="auto"/>
        </w:rPr>
      </w:pPr>
    </w:p>
    <w:p>
      <w:pPr>
        <w:ind w:left="500" w:right="60" w:hanging="492"/>
        <w:spacing w:after="0" w:line="250" w:lineRule="auto"/>
        <w:tabs>
          <w:tab w:leader="none" w:pos="4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0.4% negative impact from lower collection of prior period rents which were contractually deferred, specifically related to the COVID-19 pandemic.</w:t>
      </w:r>
    </w:p>
    <w:p>
      <w:pPr>
        <w:ind w:left="500" w:right="80" w:hanging="492"/>
        <w:spacing w:after="0" w:line="250" w:lineRule="auto"/>
        <w:tabs>
          <w:tab w:leader="none" w:pos="4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expected additional POI to be recognized in 2025 compared to the amount recognized in 2024 from our larger redevelopments listed on page 15 (Santana West, Pike &amp; Rose - 915 Meeting St, Huntington).</w:t>
      </w:r>
    </w:p>
    <w:p>
      <w:pPr>
        <w:ind w:left="500" w:right="180" w:hanging="492"/>
        <w:spacing w:after="0" w:line="253" w:lineRule="auto"/>
        <w:tabs>
          <w:tab w:leader="none" w:pos="4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2018, we formed a joint venture to develop Freedom Plaza (formerly Jordan Downs Plaza), for which we own 92%. The investment in this development qualified for tax credits under the NMTC Program, established by the Community Renewal Tax Relief Act of 2000. In 2018, we transferred the earned tax credits to a third-party bank in exchange for cash proceeds. The proceeds received and related transaction costs were deferred until the end of the seven-year NMTC compliance period, which concluded in June 2025. As a result, in 2Q2025, we recognized $14.2 million ($13.0 million, net of income attributable to noncontrolling interest) in income related to the sale of the new market tax credits.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927"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3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EBITDA for Real Estate ("EBITDAre"): </w:t>
      </w:r>
      <w:r>
        <w:rPr>
          <w:rFonts w:ascii="Times New Roman" w:cs="Times New Roman" w:eastAsia="Times New Roman" w:hAnsi="Times New Roman"/>
          <w:sz w:val="16"/>
          <w:szCs w:val="16"/>
          <w:color w:val="auto"/>
        </w:rPr>
        <w:t>EBITDAre is a non-GAAP measure that the National Association of Real Estate Investment Trusts ("NAREIT") defines as: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w:t>
      </w:r>
      <w:r>
        <w:rPr>
          <w:rFonts w:ascii="Times New Roman" w:cs="Times New Roman" w:eastAsia="Times New Roman" w:hAnsi="Times New Roman"/>
          <w:sz w:val="17"/>
          <w:szCs w:val="17"/>
          <w:color w:val="auto"/>
        </w:rPr>
        <w:t>nine</w:t>
      </w:r>
      <w:r>
        <w:rPr>
          <w:rFonts w:ascii="Times New Roman" w:cs="Times New Roman" w:eastAsia="Times New Roman" w:hAnsi="Times New Roman"/>
          <w:sz w:val="16"/>
          <w:szCs w:val="16"/>
          <w:color w:val="auto"/>
        </w:rPr>
        <w:t xml:space="preserve"> months ended September 30, 2025 and 2024 is as follows:</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216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r>
      <w:tr>
        <w:trPr>
          <w:trHeight w:val="23"/>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291,033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236,132</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134,692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132,242</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interest income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(3,512)</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 (benefit)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94,277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87,028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270,464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255,481</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sale of real estate</w:t>
            </w: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(77,672)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(52,280)</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of EBITDAre of unconsolidated affiliates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5,841</w:t>
            </w:r>
          </w:p>
        </w:tc>
      </w:tr>
      <w:tr>
        <w:trPr>
          <w:trHeight w:val="210"/>
        </w:trPr>
        <w:tc>
          <w:tcPr>
            <w:tcW w:w="5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EBITDAre</w:t>
            </w: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207,569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195,634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621,730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574,114</w:t>
            </w:r>
          </w:p>
        </w:tc>
      </w:tr>
      <w:tr>
        <w:trPr>
          <w:trHeight w:val="21"/>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Funds From Operations (FFO): </w:t>
      </w:r>
      <w:r>
        <w:rPr>
          <w:rFonts w:ascii="Times New Roman" w:cs="Times New Roman" w:eastAsia="Times New Roman" w:hAnsi="Times New Roman"/>
          <w:sz w:val="16"/>
          <w:szCs w:val="16"/>
          <w:color w:val="auto"/>
        </w:rPr>
        <w:t>FFO is a supplemental measure of real estate companies' operating performances. NAREIT defines FFO as follows: net income, computed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Property Operating Income: </w:t>
      </w:r>
      <w:r>
        <w:rPr>
          <w:rFonts w:ascii="Times New Roman" w:cs="Times New Roman" w:eastAsia="Times New Roman" w:hAnsi="Times New Roman"/>
          <w:sz w:val="16"/>
          <w:szCs w:val="16"/>
          <w:color w:val="auto"/>
        </w:rPr>
        <w:t>Total revenue less rental expenses and real estate taxes.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Overall Portfolio: </w:t>
      </w:r>
      <w:r>
        <w:rPr>
          <w:rFonts w:ascii="Times New Roman" w:cs="Times New Roman" w:eastAsia="Times New Roman" w:hAnsi="Times New Roman"/>
          <w:sz w:val="16"/>
          <w:szCs w:val="16"/>
          <w:color w:val="auto"/>
        </w:rPr>
        <w:t>Includes all consolidated operating properties owned in reporting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Comparable Properties: </w:t>
      </w:r>
      <w:r>
        <w:rPr>
          <w:rFonts w:ascii="Times New Roman" w:cs="Times New Roman" w:eastAsia="Times New Roman" w:hAnsi="Times New Roman"/>
          <w:sz w:val="16"/>
          <w:szCs w:val="16"/>
          <w:color w:val="auto"/>
        </w:rPr>
        <w:t>Represents our consolidated property portfolio other than those properties that distort comparability between periods in two primary categories:</w:t>
      </w:r>
    </w:p>
    <w:p>
      <w:pPr>
        <w:spacing w:after="0" w:line="28" w:lineRule="exact"/>
        <w:rPr>
          <w:sz w:val="20"/>
          <w:szCs w:val="20"/>
          <w:color w:val="auto"/>
        </w:rPr>
      </w:pPr>
    </w:p>
    <w:p>
      <w:pPr>
        <w:ind w:right="160" w:firstLine="8"/>
        <w:spacing w:after="0" w:line="270" w:lineRule="auto"/>
        <w:tabs>
          <w:tab w:leader="none" w:pos="22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89"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Annualized Base Rent (ABR): </w:t>
      </w:r>
      <w:r>
        <w:rPr>
          <w:rFonts w:ascii="Times New Roman" w:cs="Times New Roman" w:eastAsia="Times New Roman" w:hAnsi="Times New Roman"/>
          <w:sz w:val="16"/>
          <w:szCs w:val="16"/>
          <w:color w:val="auto"/>
        </w:rPr>
        <w:t>Represents aggregate, annualized in-place contractual (defined as rents billed on a cash basis without taking the impact of rent abatements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account) minimum rent for all occupied spaces as of the reporting period.</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Retail Leasing Summary - Lease Rollover Calculation: </w:t>
      </w:r>
      <w:r>
        <w:rPr>
          <w:rFonts w:ascii="Times New Roman" w:cs="Times New Roman" w:eastAsia="Times New Roman" w:hAnsi="Times New Roman"/>
          <w:sz w:val="16"/>
          <w:szCs w:val="16"/>
          <w:color w:val="auto"/>
        </w:rPr>
        <w:t>The rental increases associated with comparable spaces generally include all leases signed for retail space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arms-length transactions reflecting market leverage between landlords and tenants during the period, excluding leases at properties sold during the quarter or under contract to be sold. The comparison between the rent for expiring leases and new leases is determined by including contractual rent on the expiring lease, including percentage rent considered to be part of base rent, and the comparable annual rent and in some instances, projections of percentage rent, to be paid on the new lease. In atypical circumstances, management may exercise judgement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01"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Tenant Improvements and Incentives: </w:t>
      </w:r>
      <w:r>
        <w:rPr>
          <w:rFonts w:ascii="Times New Roman" w:cs="Times New Roman" w:eastAsia="Times New Roman" w:hAnsi="Times New Roman"/>
          <w:sz w:val="16"/>
          <w:szCs w:val="16"/>
          <w:color w:val="auto"/>
        </w:rPr>
        <w:t>Represents the total dollars committed for the improvement (fit-out) of a space as it relates to a specific lease. Incentives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paid to tenants as an inducement to sign a lease that do not represent building improvements.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General: </w:t>
      </w:r>
      <w:r>
        <w:rPr>
          <w:rFonts w:ascii="Times New Roman" w:cs="Times New Roman" w:eastAsia="Times New Roman" w:hAnsi="Times New Roman"/>
          <w:sz w:val="16"/>
          <w:szCs w:val="16"/>
          <w:color w:val="auto"/>
        </w:rPr>
        <w:t>Property related statistics are the for the consolidated property portfolio except where noted.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3"/>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lvl w:ilvl="1">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3"/>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upperLetter"/>
      <w:start w:val="19"/>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2025-10-31T06:47:14Z</dcterms:created>
  <dcterms:modified xsi:type="dcterms:W3CDTF">2025-10-31T06:47:14Z</dcterms:modified>
</cp:coreProperties>
</file>