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8"/>
        </w:rPr>
        <w:t>WASHINGTON, D.C. 20549</w:t>
      </w:r>
      <w:r>
        <w:rPr>
          <w:color w:val="000000"/>
        </w:rPr>
        <w:t> </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1"/>
        <w:gridCol w:w="2661"/>
        <w:gridCol w:w="37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QUARTERLY REPORT PURSUANT TO THE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7"/>
        </w:rPr>
      </w:pPr>
      <w:r>
        <w:rPr>
          <w:rFonts w:ascii="Times New Roman;serif" w:hAnsi="Times New Roman;serif"/>
          <w:b/>
          <w:color w:val="000000"/>
          <w:sz w:val="17"/>
        </w:rPr>
        <w:t xml:space="preserve">For the quarterly period ended June 30, 2025 </w:t>
      </w:r>
    </w:p>
    <w:p>
      <w:pPr>
        <w:pStyle w:val="TextBody"/>
        <w:bidi w:val="0"/>
        <w:spacing w:lineRule="auto" w:line="288" w:before="40" w:after="283"/>
        <w:jc w:val="center"/>
        <w:rPr>
          <w:rFonts w:ascii="Times New Roman;serif" w:hAnsi="Times New Roman;serif"/>
          <w:b/>
          <w:color w:val="000000"/>
          <w:sz w:val="17"/>
        </w:rPr>
      </w:pPr>
      <w:r>
        <w:rPr>
          <w:rFonts w:ascii="Times New Roman;serif" w:hAnsi="Times New Roman;serif"/>
          <w:b/>
          <w:color w:val="000000"/>
          <w:sz w:val="17"/>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7"/>
        </w:rPr>
      </w:pPr>
      <w:r>
        <w:rPr>
          <w:rFonts w:ascii="Times New Roman;serif" w:hAnsi="Times New Roman;serif"/>
          <w:b/>
          <w:color w:val="000000"/>
          <w:sz w:val="17"/>
        </w:rPr>
        <w:t>For the transition period from              to             </w:t>
      </w:r>
    </w:p>
    <w:p>
      <w:pPr>
        <w:pStyle w:val="TextBody"/>
        <w:bidi w:val="0"/>
        <w:spacing w:lineRule="auto" w:line="288" w:before="80" w:after="283"/>
        <w:jc w:val="center"/>
        <w:rPr/>
      </w:pPr>
      <w:r>
        <w:rPr>
          <w:rFonts w:ascii="Times New Roman;serif" w:hAnsi="Times New Roman;serif"/>
          <w:b/>
          <w:color w:val="000000"/>
          <w:sz w:val="17"/>
        </w:rPr>
        <w:t>Commission file number: 1-07533</w:t>
      </w:r>
      <w:r>
        <w:rPr>
          <w:color w:val="000000"/>
        </w:rPr>
        <w:t> </w:t>
      </w:r>
      <w:r>
        <w:rPr>
          <w:rFonts w:ascii="Times New Roman;serif" w:hAnsi="Times New Roman;serif"/>
          <w:b/>
          <w:color w:val="000000"/>
          <w:sz w:val="17"/>
        </w:rPr>
        <w:t>(Federal Realty Investment Trust)</w:t>
      </w:r>
    </w:p>
    <w:p>
      <w:pPr>
        <w:pStyle w:val="TextBody"/>
        <w:bidi w:val="0"/>
        <w:spacing w:lineRule="auto" w:line="288" w:before="20" w:after="283"/>
        <w:jc w:val="center"/>
        <w:rPr/>
      </w:pPr>
      <w:r>
        <w:rPr>
          <w:rFonts w:ascii="Times New Roman;serif" w:hAnsi="Times New Roman;serif"/>
          <w:b/>
          <w:color w:val="000000"/>
          <w:sz w:val="17"/>
        </w:rPr>
        <w:t>Commission file number: 333-262016-01</w:t>
      </w:r>
      <w:r>
        <w:rPr>
          <w:color w:val="000000"/>
        </w:rPr>
        <w:t> </w:t>
      </w:r>
      <w:r>
        <w:rPr>
          <w:rFonts w:ascii="Times New Roman;serif" w:hAnsi="Times New Roman;serif"/>
          <w:b/>
          <w:color w:val="000000"/>
          <w:sz w:val="17"/>
        </w:rPr>
        <w:t>(Federal Realty OP LP)</w:t>
      </w:r>
    </w:p>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 xml:space="preserve">FEDERAL REALTY INVESTMENT TRUST </w:t>
      </w:r>
    </w:p>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FEDERAL REALTY OP LP</w:t>
      </w:r>
    </w:p>
    <w:p>
      <w:pPr>
        <w:pStyle w:val="TextBody"/>
        <w:bidi w:val="0"/>
        <w:spacing w:lineRule="auto" w:line="288" w:before="40" w:after="283"/>
        <w:jc w:val="center"/>
        <w:rPr>
          <w:rFonts w:ascii="Times New Roman;serif" w:hAnsi="Times New Roman;serif"/>
          <w:b/>
          <w:color w:val="000000"/>
          <w:sz w:val="17"/>
        </w:rPr>
      </w:pPr>
      <w:r>
        <w:rPr>
          <w:rFonts w:ascii="Times New Roman;serif" w:hAnsi="Times New Roman;serif"/>
          <w:b/>
          <w:color w:val="000000"/>
          <w:sz w:val="17"/>
        </w:rPr>
        <w:t>(Exact Name of Registrant as Specified in its Charter)</w:t>
      </w:r>
    </w:p>
    <w:tbl>
      <w:tblPr>
        <w:tblW w:w="6290" w:type="dxa"/>
        <w:jc w:val="center"/>
        <w:tblInd w:w="0" w:type="dxa"/>
        <w:tblLayout w:type="fixed"/>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87-3916363</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52-0782497</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(IRS Employer Identification No.)</w:t>
            </w:r>
          </w:p>
        </w:tc>
      </w:tr>
    </w:tbl>
    <w:p>
      <w:pPr>
        <w:pStyle w:val="TextBody"/>
        <w:bidi w:val="0"/>
        <w:spacing w:lineRule="auto" w:line="288" w:before="100" w:after="283"/>
        <w:jc w:val="center"/>
        <w:rPr>
          <w:rFonts w:ascii="Times New Roman;serif" w:hAnsi="Times New Roman;serif"/>
          <w:b/>
          <w:color w:val="000000"/>
          <w:sz w:val="17"/>
        </w:rPr>
      </w:pPr>
      <w:r>
        <w:rPr>
          <w:rFonts w:ascii="Times New Roman;serif" w:hAnsi="Times New Roman;serif"/>
          <w:b/>
          <w:color w:val="000000"/>
          <w:sz w:val="17"/>
        </w:rPr>
        <w:t xml:space="preserve">909 Rose Avenue, Suite 200, North Bethesda, Maryland 20852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17"/>
        </w:rPr>
      </w:pPr>
      <w:r>
        <w:rPr>
          <w:rFonts w:ascii="Times New Roman;serif" w:hAnsi="Times New Roman;serif"/>
          <w:b/>
          <w:color w:val="000000"/>
          <w:sz w:val="17"/>
        </w:rPr>
        <w:t xml:space="preserve">(301) 998-8100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7"/>
          <w:u w:val="single"/>
        </w:rPr>
      </w:pPr>
      <w:r>
        <w:rPr>
          <w:rFonts w:ascii="Times New Roman;serif" w:hAnsi="Times New Roman;serif"/>
          <w:b/>
          <w:color w:val="000000"/>
          <w:sz w:val="17"/>
          <w:u w:val="single"/>
        </w:rPr>
        <w:t>Federal Realty Investment Trust</w:t>
      </w:r>
    </w:p>
    <w:tbl>
      <w:tblPr>
        <w:tblW w:w="10079" w:type="dxa"/>
        <w:jc w:val="center"/>
        <w:tblInd w:w="0" w:type="dxa"/>
        <w:tblLayout w:type="fixed"/>
        <w:tblCellMar>
          <w:top w:w="28" w:type="dxa"/>
          <w:left w:w="28" w:type="dxa"/>
          <w:bottom w:w="28" w:type="dxa"/>
          <w:right w:w="28" w:type="dxa"/>
        </w:tblCellMar>
      </w:tblPr>
      <w:tblGrid>
        <w:gridCol w:w="1910"/>
        <w:gridCol w:w="1687"/>
        <w:gridCol w:w="1698"/>
        <w:gridCol w:w="424"/>
        <w:gridCol w:w="424"/>
        <w:gridCol w:w="426"/>
        <w:gridCol w:w="1027"/>
        <w:gridCol w:w="1027"/>
        <w:gridCol w:w="1456"/>
      </w:tblGrid>
      <w:tr>
        <w:trPr/>
        <w:tc>
          <w:tcPr>
            <w:tcW w:w="191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Name of Each Exchange On Which Registered</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Common Shares of Beneficial Interest</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FRT</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$.01 par value per share, with associated Common Share Purchase Rights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 xml:space="preserve">Depositary Shares, each representing 1/1000 of a 5.00%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FRT-C</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Series C Cumulative Redeemable Preferred Share, $.01 par value per share</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7"/>
          <w:u w:val="single"/>
        </w:rPr>
      </w:pPr>
      <w:r>
        <w:rPr>
          <w:rFonts w:ascii="Times New Roman;serif" w:hAnsi="Times New Roman;serif"/>
          <w:b/>
          <w:color w:val="000000"/>
          <w:sz w:val="17"/>
          <w:u w:val="single"/>
        </w:rPr>
        <w:t>Federal Realty OP LP</w:t>
      </w:r>
    </w:p>
    <w:tbl>
      <w:tblPr>
        <w:tblW w:w="6253" w:type="dxa"/>
        <w:jc w:val="center"/>
        <w:tblInd w:w="0" w:type="dxa"/>
        <w:tblLayout w:type="fixed"/>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Name of Each Exchange On Which Registered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None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Federal Realty Investment Trust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 Federal Realty OP LP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erif" w:hAnsi="Times New Roman;serif"/>
          <w:b w:val="false"/>
          <w:color w:val="000000"/>
          <w:sz w:val="16"/>
        </w:rPr>
        <w:t>Federal Realty Investment Trust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 Federal Realty OP LP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Layout w:type="fixed"/>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Federal Realty OP LP</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center"/>
        <w:rPr/>
      </w:pPr>
      <w:r>
        <w:rPr>
          <w:rFonts w:ascii="Times New Roman;serif" w:hAnsi="Times New Roman;serif"/>
          <w:b w:val="false"/>
          <w:color w:val="000000"/>
          <w:sz w:val="16"/>
        </w:rPr>
        <w:t>Federal Realty Investment Trust </w:t>
      </w:r>
      <w:r>
        <w:rPr>
          <w:color w:val="000000"/>
        </w:rPr>
        <w:t xml:space="preserve">☐  </w:t>
      </w:r>
      <w:r>
        <w:rPr>
          <w:rFonts w:ascii="Times New Roman;serif" w:hAnsi="Times New Roman;serif"/>
          <w:b w:val="false"/>
          <w:color w:val="000000"/>
          <w:sz w:val="16"/>
        </w:rPr>
        <w:t>Federal Realty OP LP </w:t>
      </w: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w:t>
      </w:r>
    </w:p>
    <w:p>
      <w:pPr>
        <w:pStyle w:val="TextBody"/>
        <w:bidi w:val="0"/>
        <w:spacing w:lineRule="auto" w:line="288" w:before="0" w:after="0"/>
        <w:jc w:val="center"/>
        <w:rPr/>
      </w:pPr>
      <w:r>
        <w:rPr>
          <w:rFonts w:ascii="Times New Roman;serif" w:hAnsi="Times New Roman;serif"/>
          <w:b w:val="false"/>
          <w:color w:val="000000"/>
          <w:sz w:val="16"/>
        </w:rPr>
        <w:t xml:space="preserve">Federal Realty Investment Trust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 xml:space="preserve">No Federal Realty OP LP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 xml:space="preserve">No </w:t>
      </w:r>
    </w:p>
    <w:p>
      <w:pPr>
        <w:pStyle w:val="TextBody"/>
        <w:bidi w:val="0"/>
        <w:spacing w:lineRule="auto" w:line="288" w:before="10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The number of Federal Realty Investment Trust's common shares outstanding on August 1, 2025 was 86,266,124.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quarter ended June 30, 2025,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June 30, 2025, the Parent Company owned 100% of the outstanding partnership units (the "OP Units") in the Operating Partnership.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combining the quarterly reports on Form 10-Q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 ENDED JUNE 30, 2025 </w:t>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562"/>
        <w:gridCol w:w="488"/>
        <w:gridCol w:w="488"/>
        <w:gridCol w:w="2812"/>
        <w:gridCol w:w="2722"/>
        <w:gridCol w:w="2757"/>
        <w:gridCol w:w="109"/>
        <w:gridCol w:w="109"/>
        <w:gridCol w:w="158"/>
      </w:tblGrid>
      <w:tr>
        <w:trPr/>
        <w:tc>
          <w:tcPr>
            <w:tcW w:w="5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3">
              <w:r>
                <w:rPr>
                  <w:rStyle w:val="InternetLink"/>
                  <w:rFonts w:ascii="Times New Roman;serif" w:hAnsi="Times New Roman;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30, 2025 (unaudited) and December 31,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9">
              <w:r>
                <w:rPr>
                  <w:rStyle w:val="InternetLink"/>
                  <w:rFonts w:ascii="Times New Roman;serif" w:hAnsi="Times New Roman;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(unaudited) for the three and six months ended June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25">
              <w:r>
                <w:rPr>
                  <w:rStyle w:val="InternetLink"/>
                  <w:rFonts w:ascii="Times New Roman;serif" w:hAnsi="Times New Roman;serif"/>
                  <w:b w:val="false"/>
                  <w:color w:val="0000FF"/>
                  <w:sz w:val="20"/>
                  <w:u w:val="single"/>
                </w:rPr>
                <w:t>4</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(unaudited) for the three and six months ended June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28">
              <w:r>
                <w:rPr>
                  <w:rStyle w:val="InternetLink"/>
                  <w:rFonts w:ascii="Times New Roman;serif" w:hAnsi="Times New Roman;serif"/>
                  <w:b w:val="false"/>
                  <w:color w:val="0000FF"/>
                  <w:sz w:val="20"/>
                  <w:u w:val="single"/>
                </w:rPr>
                <w:t>5</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 for the six months ended June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31">
              <w:r>
                <w:rPr>
                  <w:rStyle w:val="InternetLink"/>
                  <w:rFonts w:ascii="Times New Roman;serif" w:hAnsi="Times New Roman;serif"/>
                  <w:b w:val="false"/>
                  <w:color w:val="0000FF"/>
                  <w:sz w:val="20"/>
                  <w:u w:val="single"/>
                </w:rPr>
                <w:t>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30, 2025 (unaudited) and December 31,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37">
              <w:r>
                <w:rPr>
                  <w:rStyle w:val="InternetLink"/>
                  <w:rFonts w:ascii="Times New Roman;serif" w:hAnsi="Times New Roman;serif"/>
                  <w:b w:val="false"/>
                  <w:color w:val="0000FF"/>
                  <w:sz w:val="20"/>
                  <w:u w:val="single"/>
                </w:rPr>
                <w:t>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(unaudited) for the three and six months ended June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40">
              <w:r>
                <w:rPr>
                  <w:rStyle w:val="InternetLink"/>
                  <w:rFonts w:ascii="Times New Roman;serif" w:hAnsi="Times New Roman;serif"/>
                  <w:b w:val="false"/>
                  <w:color w:val="0000FF"/>
                  <w:sz w:val="20"/>
                  <w:u w:val="single"/>
                </w:rPr>
                <w:t>9</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Capital (unaudited) for the three and six months ended June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43">
              <w:r>
                <w:rPr>
                  <w:rStyle w:val="InternetLink"/>
                  <w:rFonts w:ascii="Times New Roman;serif" w:hAnsi="Times New Roman;serif"/>
                  <w:b w:val="false"/>
                  <w:color w:val="0000FF"/>
                  <w:sz w:val="20"/>
                  <w:u w:val="single"/>
                </w:rPr>
                <w:t>10</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 for the six months ended June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46">
              <w:r>
                <w:rPr>
                  <w:rStyle w:val="InternetLink"/>
                  <w:rFonts w:ascii="Times New Roman;serif" w:hAnsi="Times New Roman;serif"/>
                  <w:b w:val="false"/>
                  <w:color w:val="0000FF"/>
                  <w:sz w:val="20"/>
                  <w:u w:val="single"/>
                </w:rPr>
                <w:t>12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49">
              <w:r>
                <w:rPr>
                  <w:rStyle w:val="InternetLink"/>
                  <w:rFonts w:ascii="Times New Roman;serif" w:hAnsi="Times New Roman;serif"/>
                  <w:b w:val="false"/>
                  <w:color w:val="0000FF"/>
                  <w:sz w:val="20"/>
                  <w:u w:val="single"/>
                </w:rPr>
                <w:t>13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82">
              <w:r>
                <w:rPr>
                  <w:rStyle w:val="InternetLink"/>
                  <w:rFonts w:ascii="Times New Roman;serif" w:hAnsi="Times New Roman;serif"/>
                  <w:b w:val="false"/>
                  <w:color w:val="0000FF"/>
                  <w:sz w:val="20"/>
                  <w:u w:val="single"/>
                </w:rPr>
                <w:t>21</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94">
              <w:r>
                <w:rPr>
                  <w:rStyle w:val="InternetLink"/>
                  <w:rFonts w:ascii="Times New Roman;serif" w:hAnsi="Times New Roman;serif"/>
                  <w:b w:val="false"/>
                  <w:color w:val="0000FF"/>
                  <w:sz w:val="20"/>
                  <w:u w:val="single"/>
                </w:rPr>
                <w:t>37</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97">
              <w:r>
                <w:rPr>
                  <w:rStyle w:val="InternetLink"/>
                  <w:rFonts w:ascii="Times New Roman;serif" w:hAnsi="Times New Roman;serif"/>
                  <w:b w:val="false"/>
                  <w:color w:val="0000FF"/>
                  <w:sz w:val="20"/>
                  <w:u w:val="single"/>
                </w:rPr>
                <w:t>38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00">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03">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06">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09">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12">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15">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18">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21">
              <w:r>
                <w:rPr>
                  <w:rStyle w:val="InternetLink"/>
                  <w:rFonts w:ascii="Times New Roman;serif" w:hAnsi="Times New Roman;serif"/>
                  <w:b w:val="false"/>
                  <w:color w:val="0000FF"/>
                  <w:sz w:val="20"/>
                  <w:u w:val="single"/>
                </w:rPr>
                <w:t>39</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3455195dfa4e6585e8aea39e0eebf1_127">
              <w:r>
                <w:rPr>
                  <w:rStyle w:val="InternetLink"/>
                  <w:rFonts w:ascii="Times New Roman;serif" w:hAnsi="Times New Roman;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43"/>
        <w:gridCol w:w="1973"/>
        <w:gridCol w:w="1943"/>
        <w:gridCol w:w="222"/>
        <w:gridCol w:w="1139"/>
        <w:gridCol w:w="114"/>
        <w:gridCol w:w="114"/>
        <w:gridCol w:w="114"/>
        <w:gridCol w:w="114"/>
        <w:gridCol w:w="222"/>
        <w:gridCol w:w="1139"/>
        <w:gridCol w:w="168"/>
      </w:tblGrid>
      <w:tr>
        <w:trPr/>
        <w:tc>
          <w:tcPr>
            <w:tcW w:w="294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r>
      <w:tr>
        <w:trPr/>
        <w:tc>
          <w:tcPr>
            <w:tcW w:w="6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$1,824,341 and $1,825,656 of consolidated variable interest entities, respectively)</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10,721,587 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$20,665 and $9,939 of consolidated variable interest entities,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11,046,022 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10,903,713 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$445,556 and $424,044 of consolidated variable interest entities,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(3,250,219)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7,795,803 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7,750,914 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8,623,794 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$184,155 and $186,643 of consolidated variable interest entities, respectively)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5,122,503 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5,100,327 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authorized 15,000,000 shares, $.01 par:</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(stated at liquidation preference $25,000 per share), 6,000 shares issued and outstanding</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 (stated at liquidation preference $25 per share), 392,878 shares issued and outstanding</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$.01 par, 200,000,000 shares authorized, respectively, 86,261,214 and 85,666,220 shares issued and outstanding,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4,302,220 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4,248,824 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of the Trust</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3,249,029 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3,171,594 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3,320,100 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3,244,144 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8,623,794 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1"/>
        <w:gridCol w:w="1409"/>
        <w:gridCol w:w="141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7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TRUST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171,708 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Shareholders’ Equity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86,255,005 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$2,013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$67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($1.10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$2,094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 and purchase of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86,261,214 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85,666,220 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$4,016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$167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($2.20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$4,357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and redemption of downREIT OP units and purchase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86,261,214 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before="40" w:after="283"/>
        <w:jc w:val="center"/>
        <w:rPr/>
      </w:pPr>
      <w:r>
        <w:rPr/>
      </w:r>
    </w:p>
    <w:p>
      <w:pPr>
        <w:pStyle w:val="TextBody"/>
        <w:bidi w:val="0"/>
        <w:spacing w:before="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Shareholders’ Equity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82,948,600 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$1,867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a $2 loss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($1.09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$2,271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83,590,543 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82,775,286 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$3,437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$79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($2.18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$4,321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700,798 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and redepmtion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83,590,543 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(1,177,336)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erif" w:hAnsi="Times New Roman;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partnerships in excess of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senior notes,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to extend and issue notes and mortgages payable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common and preferred shareholders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employee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and acquistion/redemptions of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18"/>
        <w:gridCol w:w="2067"/>
        <w:gridCol w:w="2044"/>
        <w:gridCol w:w="211"/>
        <w:gridCol w:w="1081"/>
        <w:gridCol w:w="109"/>
        <w:gridCol w:w="109"/>
        <w:gridCol w:w="109"/>
        <w:gridCol w:w="109"/>
        <w:gridCol w:w="211"/>
        <w:gridCol w:w="1081"/>
        <w:gridCol w:w="156"/>
      </w:tblGrid>
      <w:tr>
        <w:trPr/>
        <w:tc>
          <w:tcPr>
            <w:tcW w:w="2918"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unit data)</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$1,824,341 and $1,825,656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$20,665 and $9,939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10,903,713 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$445,556 and $424,044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7,750,914 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CAPITAL</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$184,155 and $186,643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5,100,327 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units, 398,878 units issued and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units, 86,261,214 and 85,666,220 units issued and outstanding,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3,171,594 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3,244,144 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7"/>
        <w:gridCol w:w="1381"/>
        <w:gridCol w:w="138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2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unit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 on sale of real estate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preferred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units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units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PARTNERSHIP</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171,708 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382" w:type="dxa"/>
        <w:jc w:val="left"/>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$2,013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$67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$2,094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 and purchase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$4,016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$167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$4,357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and redemption of downREIT OP units and 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452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0" w:type="dxa"/>
            <w:gridSpan w:val="3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382" w:type="dxa"/>
        <w:jc w:val="center"/>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$1,867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a $2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$2,271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$3,437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$79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$4,321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pPr>
      <w:r>
        <w:rPr>
          <w:rFonts w:ascii="Times New Roman;serif" w:hAnsi="Times New Roman;serif"/>
          <w:b/>
          <w:color w:val="000000"/>
          <w:sz w:val="20"/>
        </w:rPr>
        <w:t>Consolidated Statements of Cash Flows</w:t>
      </w:r>
      <w:r>
        <w:rPr>
          <w:color w:val="000000"/>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9492" w:type="dxa"/>
        <w:jc w:val="center"/>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partnerships in excess of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senior notes,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to extend and issue notes and mortgages payable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units,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common and preferred unit 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employee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and acquisition/redemptions of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1—BUSINESS AND ORGANIZATION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operation, and redevelopment of high-quality retail-based properties through the Operating Partnership, and has no other substantial assets or liabilities other than through its investment in the Operating Partnership. Our properties are located primarily in major coastal markets and select underserved regions that we believe have strong economic and demographic fundamentals. As of June 30, 2025, we owned or had a majority interest in community and neighborhood shopping centers and mixed-use properties which are operated as 102 predominantly retail real estate projects.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 Economic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Significant uncertainty continues within the macro-economic environment including concerns over inflation risk, high interest rates, the introduction of new tariffs and their impact on trade and prices, and potentially worsening economic conditions, which presents risks for our business and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six months ended June 30, 2025 are not necessarily indicative of the results that may be expected for the full year.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00" w:after="283"/>
        <w:jc w:val="left"/>
        <w:rPr/>
      </w:pPr>
      <w:r>
        <w:rPr>
          <w:rFonts w:ascii="Times New Roman;serif" w:hAnsi="Times New Roman;serif"/>
          <w:b w:val="false"/>
          <w:color w:val="000000"/>
          <w:sz w:val="20"/>
        </w:rPr>
        <w:t xml:space="preserve">As discussed in the </w:t>
      </w:r>
      <w:hyperlink w:anchor="iea3455195dfa4e6585e8aea39e0eebf1_7">
        <w:r>
          <w:rPr>
            <w:rStyle w:val="InternetLink"/>
            <w:rFonts w:ascii="Times New Roman;serif" w:hAnsi="Times New Roman;serif"/>
            <w:b w:val="false"/>
            <w:color w:val="0000FF"/>
            <w:sz w:val="20"/>
            <w:u w:val="single"/>
          </w:rPr>
          <w:t>Explanatory Note</w:t>
        </w:r>
      </w:hyperlink>
      <w:r>
        <w:rPr>
          <w:rFonts w:ascii="Times New Roman;serif" w:hAnsi="Times New Roman;serif"/>
          <w:b w:val="false"/>
          <w:color w:val="000000"/>
          <w:sz w:val="20"/>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accounting principles generally accepted in the United States of America, referred to as “GAAP,” requires management to make estimates and assumptions that in certain circumstances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one reportable segment. We evaluate financial performance using property operating income ("POI"), a non-GAAP measure which consists of rental income and mortgage interest income, less rental expenses and 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property operating income to consolidated net income:</w:t>
      </w:r>
    </w:p>
    <w:tbl>
      <w:tblPr>
        <w:tblW w:w="9855" w:type="dxa"/>
        <w:jc w:val="left"/>
        <w:tblInd w:w="0" w:type="dxa"/>
        <w:tblLayout w:type="fixed"/>
        <w:tblCellMar>
          <w:top w:w="28" w:type="dxa"/>
          <w:left w:w="28" w:type="dxa"/>
          <w:bottom w:w="28" w:type="dxa"/>
          <w:right w:w="28" w:type="dxa"/>
        </w:tblCellMar>
      </w:tblPr>
      <w:tblGrid>
        <w:gridCol w:w="1536"/>
        <w:gridCol w:w="1352"/>
        <w:gridCol w:w="13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do not present significant expense disclosures for our reportable segment as operating segment level expenses are not regularly provided to our chief operating decision maker ("CODM"). However, real estate tax expense is presented on the face of the consolidated statement of comprehensive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do not present a reconciliation of our reportable segment's assets to consolidated assets, as asset information by operating segment is not used by our CODM to allocate resources and capital or assess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1137"/>
        <w:gridCol w:w="652"/>
        <w:gridCol w:w="619"/>
        <w:gridCol w:w="109"/>
        <w:gridCol w:w="109"/>
        <w:gridCol w:w="109"/>
        <w:gridCol w:w="2040"/>
        <w:gridCol w:w="1804"/>
        <w:gridCol w:w="1823"/>
        <w:gridCol w:w="109"/>
        <w:gridCol w:w="109"/>
        <w:gridCol w:w="109"/>
        <w:gridCol w:w="430"/>
        <w:gridCol w:w="430"/>
        <w:gridCol w:w="616"/>
      </w:tblGrid>
      <w:tr>
        <w:trPr/>
        <w:tc>
          <w:tcPr>
            <w:tcW w:w="113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on the financial statements or significant matters</w:t>
            </w:r>
          </w:p>
        </w:tc>
      </w:tr>
      <w:tr>
        <w:trPr/>
        <w:tc>
          <w:tcPr>
            <w:tcW w:w="2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Issued in 2025 and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2025-01, January 2025, and ASU 2024-03, November 2024, </w:t>
            </w:r>
            <w:r>
              <w:rPr>
                <w:rFonts w:ascii="Times New Roman;serif" w:hAnsi="Times New Roman;serif"/>
                <w:b w:val="false"/>
                <w:i/>
                <w:color w:val="000000"/>
                <w:sz w:val="19"/>
              </w:rPr>
              <w:t>Income Statement—Reporting Comprehensive Income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br/>
            </w:r>
            <w:r>
              <w:rPr>
                <w:rFonts w:ascii="Times New Roman;serif" w:hAnsi="Times New Roman;serif"/>
                <w:b w:val="false"/>
                <w:sz w:val="18"/>
              </w:rPr>
              <w:br/>
            </w:r>
            <w:r>
              <w:rPr>
                <w:rFonts w:ascii="Times New Roman;serif" w:hAnsi="Times New Roman;serif"/>
                <w:b w:val="false"/>
                <w:color w:val="000000"/>
                <w:sz w:val="18"/>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2024-04, November 2024, </w:t>
            </w:r>
            <w:r>
              <w:rPr>
                <w:rFonts w:ascii="Times New Roman;serif" w:hAnsi="Times New Roman;serif"/>
                <w:b w:val="false"/>
                <w:i/>
                <w:color w:val="000000"/>
                <w:sz w:val="19"/>
              </w:rPr>
              <w:t>Debt—Debt with Conversion and Other Options (Subtopic 470-20), Induced Conversions of Convertible 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This ASU clarifies that to qualify for induced conversion accounting, an inducement offer must preserve the issuance of all of the consideration (in form and amount) issuable in accordance with the conversion privileges specified in the terms of the existing debt instrument. In addition, the ASU requires that to qualify for induced conversion accounting, an instrument must contain a substantive conversion feature as of the date on which both the issuance offer and the inducement offer are accepted by the convertible debt holder. An entity that doesn't meet all of the criteria for conversion accounting or induced conversion accounting applies extinguishment accounting and recognizes a gain or loss for the difference between the fair value of the entire consideration transferred and the net carrying amount of the debt.</w:t>
              <w:br/>
            </w:r>
            <w:r>
              <w:rPr>
                <w:rFonts w:ascii="Times New Roman;serif" w:hAnsi="Times New Roman;serif"/>
                <w:b w:val="false"/>
                <w:sz w:val="18"/>
              </w:rPr>
              <w:br/>
            </w:r>
            <w:r>
              <w:rPr>
                <w:rFonts w:ascii="Times New Roman;serif" w:hAnsi="Times New Roman;serif"/>
                <w:b w:val="false"/>
                <w:color w:val="000000"/>
                <w:sz w:val="18"/>
              </w:rPr>
              <w:t>Entities have the option to apply the guidance either (1) prospectively to settlements of convertible debt instruments that occur during fiscal years (and interim periods within those fiscal years) beginning after the effective date or (2) retrospectively. Under the retrospective transition approach, the entity recasts prior periods and recognizes a cumulative-effect adjustment to equity as of the later of the beginning of the earliest period presented or the date the entity adopted ASU 2020-06. This is effective for all entities for fiscal years beginning after December 15, 2025, and interim periods within those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Issued in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2023-06, October 2023, </w:t>
            </w:r>
            <w:r>
              <w:rPr>
                <w:rFonts w:ascii="Times New Roman;serif" w:hAnsi="Times New Roman;serif"/>
                <w:b w:val="false"/>
                <w:i/>
                <w:color w:val="000000"/>
                <w:sz w:val="19"/>
              </w:rPr>
              <w:t>Disclosure Improvements: Codification Amendments in Response to the SEC's Disclosure Update and Simplification Initiative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br/>
            </w:r>
            <w:r>
              <w:rPr>
                <w:rFonts w:ascii="Times New Roman;serif" w:hAnsi="Times New Roman;serif"/>
                <w:b w:val="false"/>
                <w:sz w:val="19"/>
              </w:rPr>
              <w:br/>
            </w:r>
            <w:r>
              <w:rPr>
                <w:rFonts w:ascii="Times New Roman;serif" w:hAnsi="Times New Roman;serif"/>
                <w:b w:val="false"/>
                <w:color w:val="000000"/>
                <w:sz w:val="19"/>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do not expect this ASU to have a material impact on our consolidated financial statements.</w:t>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Flows—Supplemental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supplemental disclosures related to the Consolidated Statements of Cash Flows:</w:t>
      </w:r>
    </w:p>
    <w:tbl>
      <w:tblPr>
        <w:tblW w:w="8327" w:type="dxa"/>
        <w:jc w:val="left"/>
        <w:tblInd w:w="0" w:type="dxa"/>
        <w:tblLayout w:type="fixed"/>
        <w:tblCellMar>
          <w:top w:w="28" w:type="dxa"/>
          <w:left w:w="28" w:type="dxa"/>
          <w:bottom w:w="28" w:type="dxa"/>
          <w:right w:w="28" w:type="dxa"/>
        </w:tblCellMar>
      </w:tblPr>
      <w:tblGrid>
        <w:gridCol w:w="2048"/>
        <w:gridCol w:w="1801"/>
        <w:gridCol w:w="1806"/>
        <w:gridCol w:w="211"/>
        <w:gridCol w:w="721"/>
        <w:gridCol w:w="109"/>
        <w:gridCol w:w="109"/>
        <w:gridCol w:w="109"/>
        <w:gridCol w:w="109"/>
        <w:gridCol w:w="211"/>
        <w:gridCol w:w="721"/>
        <w:gridCol w:w="109"/>
        <w:gridCol w:w="109"/>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TRANSACTIONS: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67" w:type="dxa"/>
        <w:jc w:val="center"/>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826"/>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(1)Restricted cash balances are included in "prepaid expenses and other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25, 2025, we acquired the fee interest in Del Monte Shopping Center, a 675,000 square foot, grocery anchored retail shopping center in Monterey, California for $123.5 million. Approximately $17.7 million and $0.8 million of net assets acquired were allocated to other assets for "acquired lease costs" and "above market leases," respectively, and $23.5 million of net assets acquired were allocated to other liabilities for "below market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sold a residential building at Santana Row, our Hollywood Boulevard property, and a portion of our White Marsh Other property for net proceeds of $146.3 million, resulting in a net gain of $77.1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January 9, 2025, we repaid a $1.2 million mortgage loan at our Hoboken property, at par.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Under an accordion feature, we have the right to request additional loans, subject to an aggregate maximum of $1.0 billion borrowed under the restated agreement. Debt issuance costs related to this amendment were $4.8 million as of June 30, 2025. Additionally, on May 1, 2025, the interest rate was reduced by removing the 0.10% adjustment to SOFR.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both the three and six months ended June 30, 2025, the maximum amount of borrowings outstanding under our $1.25 billion revolving credit facility was $122.1 million. The weighted average amount of borrowings outstanding was $40.2 million and $37.6 million, respectively, and the weighted average interest rate, before amortization of debt fees, was 5.2% for both the three and six months ended June 30, 2025. At June 30, 2025, our revolving credit facility had $17.6 million outstanding.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June 30, 2025, we were in compliance with all default related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Exchangeable Senior Notes</w:t>
      </w:r>
    </w:p>
    <w:p>
      <w:pPr>
        <w:pStyle w:val="TextBody"/>
        <w:bidi w:val="0"/>
        <w:spacing w:lineRule="auto" w:line="288" w:before="60" w:after="283"/>
        <w:jc w:val="left"/>
        <w:rPr/>
      </w:pPr>
      <w:r>
        <w:rPr>
          <w:rFonts w:ascii="Times New Roman;serif" w:hAnsi="Times New Roman;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July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each year, beginning July 15, 2024. The Notes mature on January 15, 2029, unless earlier exchanged, purchased or redeemed. Net proceeds after the initial purchaser’s discount and offering costs were approximately $471.5 million. Interest expense related to these Notes was $4.6 million for both the three months ended June 30, 2025 and 2024, and includes debt issuance cost amortization of $0.7 million for both periods. Interest expense related to these Notes was $9.2 million and $8.7 million, respectively, for the six months ended June 30, 2025 and 2024, and includes debt issuance cost amortization of $1.3 million for both periods. Including the debt issuance cost amortization, the current effective interest rate on these Notes is approximately 3.9%. The unamortized debt issuance costs related to the Notes were $9.5 million at June 30,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 While our quarterly common dividend per share currently exceeds $1.09, the exchange rate has not materially changed.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was recorded in shareholders' equity for the Trust and capital for the Operating Partnership.</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5—FAIR VALUE OF FINANCIAL INSTRUMENTS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Exchangeable senior notes,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2025, we have five interest rate swap agreements with total notional amounts of $251.3 million that are measured at fair value on a recurring basis. We have two interest rate swap agreements associated with our Hoboken portfolio that fix the interest rate on $51.3 million of mortgage payables at 3.67% through December 15, 2029. We also have three interest rate swap agreements associated with our Bethesda Row property that fix the interest rate on a $200.0 million mortgage payable at a weighted average interest rate of 5.03% through December 28,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2025 was an asset of $3.5 million and is included in "prepaid expenses and other assets" on our consolidated balance sheets. For the three and six months ended June 30, 2025, the value of our interest rate swaps decreased $0.5 million and $1.7 million, respectively (including $0.5 million and $1.0 million, respectively, reclassified from other comprehensive income as a decrease to interest expense). A summary of our financial assets that are measured at fair value on a recurring basis, by level within the fair value hierarchy is as follows:</w:t>
      </w:r>
    </w:p>
    <w:tbl>
      <w:tblPr>
        <w:tblW w:w="10205" w:type="dxa"/>
        <w:jc w:val="left"/>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of our equity method investees has two interest rate swaps which qualify for cash flow hedge accounting. For the three and six months ended June 30, 2025, our share of the change in fair value of the related swaps included in "accumulated other comprehensive income" was a loss of $0.2 million and $0.3 million, respectively.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6—COMMITMENTS AND CONTINGENCIES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three and six months ended June 30, 2025, we recognized $14.2 million ($13.0 million, net of income attributable to noncontrolling interest) in income related to the sale of the new market tax credits.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certain partnership agreements, the partners have the right to exchange their operating partnership units for cash or common shares, at our option. During the three months ended June 30, 2025, we redeemed 77,983 downREIT operating partnership units for $7.0 million. As of June 30, 2025, a total of 529,207 downREIT operating partnership units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which had a total fair value of approximately $50.3 million, which is calculated by multiplying the outstanding number of downREIT partnership units by our closing stock price on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7—SHAREHOLDERS’ EQUITY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dividends declared and paid per share:</w:t>
      </w:r>
    </w:p>
    <w:p>
      <w:pPr>
        <w:pStyle w:val="TextBody"/>
        <w:bidi w:val="0"/>
        <w:spacing w:before="0" w:after="0"/>
        <w:jc w:val="left"/>
        <w:rPr/>
      </w:pPr>
      <w:r>
        <w:rPr/>
      </w:r>
    </w:p>
    <w:tbl>
      <w:tblPr>
        <w:tblW w:w="10080" w:type="dxa"/>
        <w:jc w:val="left"/>
        <w:tblInd w:w="0" w:type="dxa"/>
        <w:tblLayout w:type="fixed"/>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 represents dividends per depository share, each representing 1/1000th of a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settled our remaining open forward sales agreements by issuing 476,497 common shares for net cash proceeds of $54.4 million including paying $0.2 million in additional offering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there were no sales and we did not enter into any forward sales contracts under the amended ATM equity program, and therefore we have the capacity to issue up to $750.0 million in common shares under this program as of June 30,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June 30, 2025, no common shares have been repurchased through the program.</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 8—SHARE-BASED COMPENSATION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share-based compensation expense included in net income is as follows:</w:t>
      </w:r>
    </w:p>
    <w:tbl>
      <w:tblPr>
        <w:tblW w:w="10171" w:type="dxa"/>
        <w:jc w:val="center"/>
        <w:tblInd w:w="0" w:type="dxa"/>
        <w:tblLayout w:type="fixed"/>
        <w:tblCellMar>
          <w:top w:w="28" w:type="dxa"/>
          <w:left w:w="28" w:type="dxa"/>
          <w:bottom w:w="28" w:type="dxa"/>
          <w:right w:w="28" w:type="dxa"/>
        </w:tblCellMar>
      </w:tblPr>
      <w:tblGrid>
        <w:gridCol w:w="1797"/>
        <w:gridCol w:w="1581"/>
        <w:gridCol w:w="158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9—EARNINGS PER SHARE AND UNIT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the three and six months ended June 30, 2025 and 2024,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exercise of 1,190 stock options for the six months ended June 30, 2025, and 3,019 stock options for the three months ended June 30, 2025 and the three and six months ended June 30, 2024,</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conversions of downREIT operating partnership units for the six months ended June 30, 2024,</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conversions of 5.417% Series 1 Cumulative Convertible Preferred Shares and units for six months ended June 30, 2025 and the three and six months ended June 30, 2024,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issuance of 0.5 million shares and units issuable under common share forward sales agreements for the period they were outstanding during the six months ended June 30, 2025,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exchange of common shares and units related to the 3.25% Exchangeable Senior Notes due 2029 for both the three and six months ended June 30, 2025 and 2024.</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Federal Realty Investment Trust Earnings per Share</w:t>
      </w:r>
    </w:p>
    <w:tbl>
      <w:tblPr>
        <w:tblW w:w="10205" w:type="dxa"/>
        <w:jc w:val="left"/>
        <w:tblInd w:w="0" w:type="dxa"/>
        <w:tblLayout w:type="fixed"/>
        <w:tblCellMar>
          <w:top w:w="28" w:type="dxa"/>
          <w:left w:w="28" w:type="dxa"/>
          <w:bottom w:w="28" w:type="dxa"/>
          <w:right w:w="28" w:type="dxa"/>
        </w:tblCellMar>
      </w:tblPr>
      <w:tblGrid>
        <w:gridCol w:w="1709"/>
        <w:gridCol w:w="1439"/>
        <w:gridCol w:w="144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share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from operations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attributable to 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Add: Dividends on 5.417% Series 1 Cumulative Convertible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Federal Realty OP LP Earnings per Unit</w:t>
      </w:r>
    </w:p>
    <w:tbl>
      <w:tblPr>
        <w:tblW w:w="10205" w:type="dxa"/>
        <w:jc w:val="left"/>
        <w:tblInd w:w="0" w:type="dxa"/>
        <w:tblLayout w:type="fixed"/>
        <w:tblCellMar>
          <w:top w:w="28" w:type="dxa"/>
          <w:left w:w="28" w:type="dxa"/>
          <w:bottom w:w="28" w:type="dxa"/>
          <w:right w:w="28" w:type="dxa"/>
        </w:tblCellMar>
      </w:tblPr>
      <w:tblGrid>
        <w:gridCol w:w="1671"/>
        <w:gridCol w:w="1404"/>
        <w:gridCol w:w="141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5"/>
      </w:tblGrid>
      <w:tr>
        <w:trPr/>
        <w:tc>
          <w:tcPr>
            <w:tcW w:w="167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unit data)</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unit distributions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from operations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attributable to 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Add: Dividends on 5.417% Series 1 Cumulative Convertible Preferred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outstanding, 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outstanding, 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w:t>
      </w:r>
      <w:bookmarkStart w:id="0" w:name="i0f65996807c9490db6fad1704f64f65e_862"/>
      <w:bookmarkEnd w:id="0"/>
      <w:r>
        <w:rPr>
          <w:rFonts w:ascii="Times New Roman;serif" w:hAnsi="Times New Roman;serif"/>
          <w:b/>
          <w:color w:val="000000"/>
          <w:sz w:val="20"/>
        </w:rPr>
        <w:t>SUBSEQUENT EVENT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July 1, 2025, we acquired the fee interest in Town Center Crossing and Town Center Plaza, two retail shopping centers in Leawood, Kansas, totaling approximately 550,000 square feet for $289.0 million.</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jc w:val="left"/>
        <w:rPr/>
      </w:pPr>
      <w:r>
        <w:rPr>
          <w:rFonts w:ascii="Times New Roman;serif" w:hAnsi="Times New Roman;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2024 filed with the Securities and Exchange Commission (the “SEC”) on February 13, 2025.</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ind w:left="0" w:right="0" w:hanging="360"/>
        <w:jc w:val="left"/>
        <w:rPr/>
      </w:pPr>
      <w:r>
        <w:rPr>
          <w:color w:val="212529"/>
        </w:rPr>
        <w:t>•</w:t>
      </w:r>
      <w:r>
        <w:rPr>
          <w:rFonts w:ascii="Times New Roman;serif" w:hAnsi="Times New Roman;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2024 and under Part II, Item 1A in this Quarterly Report on Form 10-Q, before making any investments in 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operation, and redevelopment of high-quality retail-based properties. As of June 30, 2025, we owned or had a majority interest in community and neighborhood shopping centers and mixed-use properties which are operated as 102 predominantly retail real estate projects comprising approximately 27.4 million commercial square feet. In total, the real estate projects were 95.4% leased and 93.6% occupied at June 30,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Economic Conditions</w:t>
      </w:r>
    </w:p>
    <w:p>
      <w:pPr>
        <w:pStyle w:val="TextBody"/>
        <w:bidi w:val="0"/>
        <w:spacing w:lineRule="auto" w:line="288" w:before="100" w:after="283"/>
        <w:jc w:val="left"/>
        <w:rPr/>
      </w:pPr>
      <w:r>
        <w:rPr>
          <w:rFonts w:ascii="Times New Roman;serif" w:hAnsi="Times New Roman;serif"/>
          <w:b w:val="false"/>
          <w:color w:val="000000"/>
          <w:sz w:val="20"/>
        </w:rPr>
        <w:t>Significant uncertainty continues within the macro-economic environment</w:t>
      </w:r>
      <w:r>
        <w:rPr>
          <w:color w:val="212529"/>
        </w:rPr>
        <w:t xml:space="preserve"> </w:t>
      </w:r>
      <w:r>
        <w:rPr>
          <w:rFonts w:ascii="Times New Roman;serif" w:hAnsi="Times New Roman;serif"/>
          <w:b w:val="false"/>
          <w:color w:val="212529"/>
          <w:sz w:val="20"/>
        </w:rPr>
        <w:t xml:space="preserve">including concerns over inflation risk, high interest rates, the introduction of new tariffs and their impact on trade and prices, and </w:t>
      </w:r>
      <w:r>
        <w:rPr>
          <w:rFonts w:ascii="Times New Roman;serif" w:hAnsi="Times New Roman;serif"/>
          <w:b w:val="false"/>
          <w:color w:val="000000"/>
          <w:sz w:val="20"/>
        </w:rPr>
        <w:t>potentially worsening economic conditions, which presents risks for our business and tenants.</w:t>
      </w:r>
      <w:r>
        <w:rPr>
          <w:color w:val="212529"/>
        </w:rPr>
        <w:t xml:space="preserve"> </w:t>
      </w:r>
      <w:r>
        <w:rPr>
          <w:rFonts w:ascii="Times New Roman;serif" w:hAnsi="Times New Roman;serif"/>
          <w:b w:val="false"/>
          <w:color w:val="212529"/>
          <w:sz w:val="20"/>
        </w:rPr>
        <w:t xml:space="preserve">We continue to monitor and address risks related to the general state of the economy. </w:t>
      </w:r>
      <w:r>
        <w:rPr>
          <w:rFonts w:ascii="Times New Roman;serif" w:hAnsi="Times New Roman;serif"/>
          <w:b w:val="false"/>
          <w:color w:val="000000"/>
          <w:sz w:val="20"/>
        </w:rPr>
        <w:t>We believe that the actions we have taken to maintain a strong financial position and reinforce our liquidity will continue to mitigate the negative short term impacts of the current economic environment.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further discussion of the impact of current economic conditions on our business throughout Item 2.</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00" w:after="283"/>
        <w:jc w:val="left"/>
        <w:rPr/>
      </w:pPr>
      <w:r>
        <w:rPr>
          <w:rFonts w:ascii="Times New Roman;serif" w:hAnsi="Times New Roman;serif"/>
          <w:b w:val="false"/>
          <w:color w:val="000000"/>
          <w:sz w:val="20"/>
        </w:rPr>
        <w:t xml:space="preserve">There have been no significant changes to the critical accounting policies disclosed in “Management’s Discussion and Analysis of Financial Condition and Results of Operations” in our 2024 Annual Report on </w:t>
      </w:r>
      <w:hyperlink r:id="rId3">
        <w:r>
          <w:rPr>
            <w:rStyle w:val="InternetLink"/>
            <w:rFonts w:ascii="Times New Roman;serif" w:hAnsi="Times New Roman;serif"/>
            <w:b w:val="false"/>
            <w:color w:val="0000FF"/>
            <w:sz w:val="20"/>
            <w:u w:val="single"/>
          </w:rPr>
          <w:t>Form 10-K</w:t>
        </w:r>
      </w:hyperlink>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Property Acquisitions and Dispositions</w:t>
      </w:r>
    </w:p>
    <w:p>
      <w:pPr>
        <w:pStyle w:val="TextBody"/>
        <w:bidi w:val="0"/>
        <w:spacing w:lineRule="auto" w:line="288" w:before="100" w:after="283"/>
        <w:jc w:val="left"/>
        <w:rPr/>
      </w:pPr>
      <w:r>
        <w:rPr>
          <w:rFonts w:ascii="Times New Roman;serif" w:hAnsi="Times New Roman;serif"/>
          <w:b w:val="false"/>
          <w:color w:val="000000"/>
          <w:sz w:val="20"/>
        </w:rPr>
        <w:t xml:space="preserve">On February 25, 2025, we acquired the fee interest in Del Monte Shopping Center, a </w:t>
      </w:r>
      <w:r>
        <w:rPr>
          <w:rFonts w:ascii="Times New Roman;serif" w:hAnsi="Times New Roman;serif"/>
          <w:b w:val="false"/>
          <w:color w:val="000000"/>
          <w:sz w:val="20"/>
          <w:shd w:fill="FFFFFF" w:val="clear"/>
        </w:rPr>
        <w:t>675,000</w:t>
      </w:r>
      <w:r>
        <w:rPr>
          <w:color w:val="000000"/>
        </w:rPr>
        <w:t xml:space="preserve"> </w:t>
      </w:r>
      <w:r>
        <w:rPr>
          <w:rFonts w:ascii="Times New Roman;serif" w:hAnsi="Times New Roman;serif"/>
          <w:b w:val="false"/>
          <w:color w:val="000000"/>
          <w:sz w:val="20"/>
        </w:rPr>
        <w:t xml:space="preserve">square foot, grocery anchored retail shopping center in Monterey, California, for </w:t>
      </w:r>
      <w:r>
        <w:rPr>
          <w:rFonts w:ascii="Times New Roman;serif" w:hAnsi="Times New Roman;serif"/>
          <w:b w:val="false"/>
          <w:color w:val="000000"/>
          <w:sz w:val="20"/>
          <w:shd w:fill="FFFFFF" w:val="clear"/>
        </w:rPr>
        <w:t>$123.5 million</w:t>
      </w:r>
      <w:r>
        <w:rPr>
          <w:rFonts w:ascii="Times New Roman;serif" w:hAnsi="Times New Roman;serif"/>
          <w:b w:val="false"/>
          <w:color w:val="000000"/>
          <w:sz w:val="20"/>
        </w:rPr>
        <w:t xml:space="preserve">. Approximately $17.7 million and $0.8 million of net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acquired were allocated to other assets for "acquired lease costs" and "above market leases," respectively, and $23.5 million of net assets acquired were allocated to other liabilities for "below market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sold a residential building at Santana Row, our Hollywood Boulevard property, and a portion of our White Marsh Other property for net proceeds of $146.3 million, resulting in a net gain of $77.1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July 1, 2025, we acquired the fee interest in Town Center Crossing and Town Center Plaza, two retail shopping centers in Leawood, Kansas, totaling approximately 550,000 square feet for $289.0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Debt and Equity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January 9, 2025, we repaid a $1.2 million mortgage loan at our Hoboken property, at par.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Under an accordion feature, we have the right to request additional loans, subject to an aggregate maximum of $1.0 billion borrowed under the restated agreement. Debt issuance costs related to this amendment were $4.8 million as of June 30, 2025. Additionally, on May 1, 2025, the interest rate was reduced by removing the 0.10% adjustment to SOFR.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maximum amount of borrowings outstanding under our $1.25 billion revolving credit facility was $122.1 million. The weighted average amount of borrowings outstanding was $37.6 million and the weighted average interest rate, before amortization of debt fees, was 5.2% for the six months ended June 30, 2025. At June 30, 2025, our revolving credit facility had $17.6 million outstanding.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June 30, 2025, we were in compliance with all default related debt covenants.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 As of June 30, 2025, we have the capacity to issue up to $750.0 million in common shares under this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settled our remaining open forward sales agreements by issuing 476,497 common shares for net cash proceeds of $54.4 million including paying $0.2 million in additional offering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August 6, 2025, no common shares have been repurchased through the program.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Transaction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three and six months ended June 30, 2025, we recognized $14.2 million ($13.0 million, net of income attributable to noncontrolling interest) in income related to the sale of the new market tax credits.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2 to the consolidated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Capitalized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external and internal costs directly related to the development, redevelopment and leasing of real estate, including pre-construction costs, real estate taxes, insurance, construction costs and salaries and related costs of personnel directly involved,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are capitalized. We capitalized certain external and internal costs related to both development and redevelopment activities of $75 million and $4 million, respectively, for the six months ended June 30, 2025, and $65 million and $4 million for the six months ended June 30, 2024. We capitalized external and internal costs related to other property improvements of $51 million and $2 million, respectively, for the six months ended June 30, 2025, and $53 million and $2 million, respectively, for the six months ended June 30, 2024. We capitalized external and internal costs related to leasing activities of $11 million and $2 million, respectively, for both the six months ended June 30, 2025 and 2024. The amount of capitalized internal costs for salaries and related benefits for development and redevelopment activities, other property improvements, and leasing activities were $4 million, $2 million, and $2 million, respectively, for both the six months ended June 30, 2025 and 2024. Total capitalized costs were $145 million and $137 million for the six months ended June 30, 2025 and 2024,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expansion of our portfolio through property acquisitions, and</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growth in our portfolio from property redevelopments and expansions.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Although general economic impacts of elevated levels of inflation and higher interest rates are impacting us in the short-term, our long-term focus has not changed. See our Annual Report on Form 10-K filed on February 13, 2025, for additional discussion of our long-term strategies.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12529"/>
          <w:sz w:val="20"/>
        </w:rPr>
        <w:t xml:space="preserve">Our comparable property growth is primarily driven by increases in rental rates on new leases and lease renewals, changes in portfolio occupancy, and the redevelopment of those assets. Over the long-term, </w:t>
      </w:r>
      <w:r>
        <w:rPr>
          <w:rFonts w:ascii="Times New Roman;serif" w:hAnsi="Times New Roman;serif"/>
          <w:b w:val="false"/>
          <w:color w:val="000000"/>
          <w:sz w:val="20"/>
        </w:rPr>
        <w:t>the infill nature and strong demographics of our properties provide a strategic advantage allowing us to maintain relatively high occupancy and generally increase rental rates. We continue to experience strong demand for our commercial space as evidenced by the</w:t>
      </w:r>
      <w:r>
        <w:rPr>
          <w:color w:val="212529"/>
        </w:rPr>
        <w:t xml:space="preserve"> </w:t>
      </w:r>
      <w:r>
        <w:rPr>
          <w:rFonts w:ascii="Times New Roman;serif" w:hAnsi="Times New Roman;serif"/>
          <w:b w:val="false"/>
          <w:color w:val="212529"/>
          <w:sz w:val="20"/>
        </w:rPr>
        <w:t xml:space="preserve">2.2 </w:t>
      </w:r>
      <w:r>
        <w:rPr>
          <w:rFonts w:ascii="Times New Roman;serif" w:hAnsi="Times New Roman;serif"/>
          <w:b w:val="false"/>
          <w:color w:val="000000"/>
          <w:sz w:val="20"/>
        </w:rPr>
        <w:t>million</w:t>
      </w:r>
      <w:r>
        <w:rPr>
          <w:color w:val="212529"/>
        </w:rPr>
        <w:t xml:space="preserve"> </w:t>
      </w:r>
      <w:r>
        <w:rPr>
          <w:rFonts w:ascii="Times New Roman;serif" w:hAnsi="Times New Roman;serif"/>
          <w:b w:val="false"/>
          <w:color w:val="212529"/>
          <w:sz w:val="20"/>
        </w:rPr>
        <w:t xml:space="preserve">square feet of comparable space leasing we've completed in the last twelve months, and the </w:t>
      </w:r>
      <w:r>
        <w:rPr>
          <w:rFonts w:ascii="Times New Roman;serif" w:hAnsi="Times New Roman;serif"/>
          <w:b w:val="false"/>
          <w:color w:val="000000"/>
          <w:sz w:val="20"/>
        </w:rPr>
        <w:t>1.8%</w:t>
      </w:r>
      <w:r>
        <w:rPr>
          <w:color w:val="212529"/>
        </w:rPr>
        <w:t xml:space="preserve"> </w:t>
      </w:r>
      <w:r>
        <w:rPr>
          <w:rFonts w:ascii="Times New Roman;serif" w:hAnsi="Times New Roman;serif"/>
          <w:b w:val="false"/>
          <w:color w:val="212529"/>
          <w:sz w:val="20"/>
        </w:rPr>
        <w:t xml:space="preserve">spread between our leased rate of 95.4% and our occupied rate of 93.6%. </w:t>
      </w:r>
      <w:r>
        <w:rPr>
          <w:rFonts w:ascii="Times New Roman;serif" w:hAnsi="Times New Roman;serif"/>
          <w:b w:val="false"/>
          <w:color w:val="000000"/>
          <w:sz w:val="20"/>
        </w:rPr>
        <w:t xml:space="preserve">However, the effects of inflationary pressures and elevated interest rates continue to negatively impact our business with the largest impacts being higher interest costs, increased material costs, and higher operating costs. Additionally, significant impacts from supply chain disruptions or tariffs could also result in extended time frames and/or increased costs for completion of our projects and tenant build-outs, which could delay the commencement of rent payments under new leases. Similarly, if our tenants experience significant disruptions in supply chains and unexpected impacts of tariffs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Phase IV at Pike &amp; Rose is a 272,000 square foot office building (which includes 10,000 square feet of ground floor retail space). Approximately 251,000 square feet of the office space is leased, of which, 206,000 square feet is open, and all of the retail space is open. The building is expected to cost between $180 million and $190 million, and began delivering in late September 2023.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Construction on Santana West includes an eight story 369,000 square foot office building, which is expected to cost between $325 million and $335 million. Approximately 327,000 square feet of space is leased, of which 102,000 square feet is open.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Construction of a 258-unit residential project at Santana Row, which is expected to cost between $140 million and $148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Throughout the portfolio, we currently have redevelopment projects underway with a projected total cost of approximately $268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tariffs, higher interest rates, and higher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June 30, 2025, the leasable commercial square feet in our properties was 95.4% leased and 93.6%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Rollovers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2025, we signed retail leases for a total of 653,000 square feet of retail space including 644,000 square feet of comparable space leases (leases for which there was a prior tenant) at an average rental increase of 10% on a cash basis. New leases for comparable spaces were signed for 170,000 square feet, with an average rental increase of 14% on a cash basis. Renewals for comparable spaces were signed for 474,000 square feet at a 9% average rental increase on a cash basis. Tenant improvements and incentives for comparable spaces were $21.15 per square foot, of which $57.52 per square foot was for new leases and $8.07 per square foot was for renewals for the three months ended June 30,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we signed retail leases for a total of 1,083,000 square feet of retail space including 1,013,000 square feet of comparable space leases (leases for which there was a prior tenant) at an average rental increase of 9% on a cash basis. New leases for comparable spaces were signed for 345,000 square feet, with an average rental increase of 8% on a cash basis. Renewals for comparable spaces were signed for 668,000 square feet at a 9% average rental increase on a cash basis. Tenant improvements and incentives for comparable spaces were $20.50 per square foot, of which $48.25 per square foot was for new leases and $6.16 per square foot was for renewals for the six months ended June 30,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past five years, we have executed comparable space leases for 1.7 to 2.4 million square feet of retail space each year and expect the volume in 2025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leases signed in 2025 generally become effective over the following two years though some may not become effective until 2028 and beyond. Further, there is risk that some new tenants will not ultimately take possession of their space and that tenants for both new and renewal leases may not pay all of their contractual rent due to operating, financing or other matters.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historical increases in rental rates do provide information about the tenant/landlord relationship and the potential increase we may achieve in rental income over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Comparable 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2025, all or a portion of 95 properties were considered comparable properties and seven properties were considered non-comparable properties. For the six months ended June 30, 2025, one property was moved from comparable properties to non-comparable properties, and one property and one portion of two properties were removed from comparable properties, as they were sold; all compared to the designations as of December 31, 2024.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 THREE MONTHS ENDED JUNE 30, 2025 AND 2024 </w:t>
      </w:r>
    </w:p>
    <w:tbl>
      <w:tblPr>
        <w:tblW w:w="9490"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6"/>
        <w:gridCol w:w="310"/>
        <w:gridCol w:w="316"/>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June 30, 2025 and 2024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tbl>
      <w:tblPr>
        <w:tblW w:w="6144" w:type="dxa"/>
        <w:jc w:val="left"/>
        <w:tblInd w:w="0" w:type="dxa"/>
        <w:tblLayout w:type="fixed"/>
        <w:tblCellMar>
          <w:top w:w="28" w:type="dxa"/>
          <w:left w:w="28" w:type="dxa"/>
          <w:bottom w:w="28" w:type="dxa"/>
          <w:right w:w="28" w:type="dxa"/>
        </w:tblCellMar>
      </w:tblPr>
      <w:tblGrid>
        <w:gridCol w:w="1259"/>
        <w:gridCol w:w="1108"/>
        <w:gridCol w:w="1113"/>
        <w:gridCol w:w="211"/>
        <w:gridCol w:w="826"/>
        <w:gridCol w:w="109"/>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 increased $15.5 million, or 5.2%, to $311.5 million in the three months ended June 30, 2025 compared to $296.1 million in the three months ended June 30, 2024. The percentage occupied at our shopping centers was 93.6% and 93.1% at June 30, 2025 and 2024,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$10.1 million from 2024 and 2025 acquisitions,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$8.5 million from comparable properties primarily related to higher rental rates of approximately $4.2 million, higher average occupancy of approximately $3.1 million, $1.4 million increase in recoveries from tenants, partially offset by a $0.6 million increase in collectibility related adjustments,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$1.4 million from non-comparable properties primarily driven by occupancy increases,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$3.6 million from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 increased $4.1 million, or 4.4%, to $98.3 million in the three months ended June 30, 2025 compared to $94.2 million in the three months ended June 30, 2024. Changes in the components of property expenses are discussed below.</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Rental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Rental expenses increased $2.7 million, or 4.6%, to $61.6 million in the three months ended June 30, 2025 compared to $58.9 million in the three months ended June 30, 2024.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$2.6 million from 2024 and 2025 acquisitions, and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$0.9 million from non-comparable properties due primarily to openings at Santana West,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$0.7 million from property dispositions.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changes in rental income and rental expenses as discussed above, rental expenses as a percentage of rental income decreased to 20.4% in the three months ended June 30, 2025 from 20.5% in the three months ended June 30, 2024.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Real estate tax expense increased $1.4 million, or 3.9%, to $36.7 million in the three months ended June 30, 2025 compared to $35.3 million in the three months ended June 30, 2024.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$1.0 million from 2024 and 2025 acquisitions,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$0.6 million from non-comparable properties due primarily to openings at Santana West,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$0.4 million from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operating income increased $11.4 million, or 5.6%, to $213.2 million in the three months ended June 30, 2025 compared to $201.9 million in the three months ended June 30, 2024. This increase is primarily driven by higher rental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and average occupancy, 2024 and 2025 acquisitions, and lower rental expenses after recoveries from tenants, partially offset by property dispositions and higher collectibility related adjustments.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Operating</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$4.2 million, or 4.9%, to $89.2 million in the three months ended June 30, 2025 compared to $85.0 million in the three months ended June 30, 2024. This increase is due primarily to 2024 and 2025 acquisitions, the opening of Santana West and Pike &amp; Rose Phase IV, partially offset by fully depreciated lease assets related to our Grossmont property and property dispositions.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Gain on Sale of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$76.5 million gain on sale of real estate for the three months ended June 30, 2025 is primarily due to the sale of a residential building at Santana Row and our Hollywood Boulevard property.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$52.3 million gain on sale of real estate for the three months ended June 30, 2024 is primarily due to the sale of Third Street Promenade.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New Market Tax Credit Transaction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$14.2 million new market tax credit transaction income for the three months ended June 30, 2025 is due to the sale of the new market tax credits related to Freedom Plaza (see Note 6 to the consolidated financial statements for additional information). </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increased $45.7 million, or 29.1%, to $202.7 million in the three months ended June 30, 2025 compared to $157.0 million in the three months ended June 30, 2024. This increase is primarily driven by higher gains on sale of real estate, income related to the sale of the new market tax credits, higher rental rates and average occupancy, 2024 and 2025 acquisitions, and lower rental expenses after recoveries from tenants, partially offset by property dispositions and higher collectibility related adjustments.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$0.3 million, or 0.6%, to $44.6 million in the three months ended June 30, 2025 compared to $44.3 million in the three months ended June 30, 2024. This increase is due primarily to the following:</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 decrease of $2.1 million in capitalized interest,</w:t>
      </w:r>
    </w:p>
    <w:p>
      <w:pPr>
        <w:pStyle w:val="TextBody"/>
        <w:bidi w:val="0"/>
        <w:spacing w:lineRule="auto" w:line="288" w:before="10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 decrease of $1.6 million due to a lower overall weighted average borrowing rate, and</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 decrease of $0.2 million due to lower weighted average borrowings.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interest costs were $47.6 million and $49.5 million in the three months ended June 30, 2025 and 2024, respectively. Capitalized interest was $3.0 million and $5.2 million for the three months ended June 30, 2025 and 2024, respectively.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increased $1.4 million, or 51.1%, to $4.0 million in the three months ended June 30, 2025 compared to $2.7 million in the three months ended June 30, 2024. The increase is primarily attributable to the new market tax credit transaction income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 SIX MONTHS ENDED JUNE 30, 2025 AND 2024 </w:t>
      </w:r>
    </w:p>
    <w:tbl>
      <w:tblPr>
        <w:tblW w:w="9599"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6"/>
        <w:gridCol w:w="310"/>
        <w:gridCol w:w="27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six months ended June 30, 2025 and 2024 is as follows:</w:t>
      </w:r>
    </w:p>
    <w:tbl>
      <w:tblPr>
        <w:tblW w:w="6144" w:type="dxa"/>
        <w:jc w:val="left"/>
        <w:tblInd w:w="0" w:type="dxa"/>
        <w:tblLayout w:type="fixed"/>
        <w:tblCellMar>
          <w:top w:w="28" w:type="dxa"/>
          <w:left w:w="28" w:type="dxa"/>
          <w:bottom w:w="28" w:type="dxa"/>
          <w:right w:w="28" w:type="dxa"/>
        </w:tblCellMar>
      </w:tblPr>
      <w:tblGrid>
        <w:gridCol w:w="1259"/>
        <w:gridCol w:w="1108"/>
        <w:gridCol w:w="1113"/>
        <w:gridCol w:w="211"/>
        <w:gridCol w:w="826"/>
        <w:gridCol w:w="109"/>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 increased $33.3 million, or 5.7%, to $620.7 million in the six months ended June 30, 2025 compared to $587.4 million in the six months ended June 30, 2024. The percentage occupied at our shopping centers was 93.6% and 93.1% at June 30, 2025 and 2024,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$19.7 million from comparable properties primarily related to higher rental rates of approximately $7.4 million, higher average occupancy of approximately $6.5 million, and a $6.0 million increase in recoveries from tenants primarily on higher expenses,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$19.5 million from 2024 and 2025 acquisitions,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$3.1 million from non-comparable properties primarily driven by occupancy increases,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$7.7 million from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 increased $12.8 million, or 6.7%, to $202.7 million in the six months ended June 30, 2025 compared to $189.9 million in the six months ended June 30, 2024. Changes in the components of property expenses are discussed below.</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Rental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Rental expenses increased $8.9 million, or 7.4%, to $129.4 million in the six months ended June 30, 2025 compared to $120.6 million in the six months ended June 30, 2024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$4.9 million from comparable properties due primarily to higher snow removal costs, higher utilities and other operating costs, and an increase in management fees on higher revenues,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$4.7 million from 2024 and 2025 acquisitions,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$1.2 million from non-comparable properties due primarily to openings at Santana West,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$1.5 million from property dispositions.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changes in rental income and rental expenses as discussed above, rental expenses as a percentage of rental income increased to 21.4% in the six months ended June 30, 2025 from 21.1% in the six months ended June 30, 2024.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Real estate tax expense increased $3.9 million, or 5.6%, to $73.2 million in the six months ended June 30, 2025 compared to $69.3 million in the six months ended June 30, 2024 due primarily to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an increase of $2.1 million from 2024 and 2025 acquisitions,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an increase of $1.6 million from comparable properties primarily due to higher assessments and prior year refunds received during 2024, and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an increase of $0.9 million from non-comparable properties primarily due to openings at Santana West and Pike &amp; Rose Phase IV,</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 decrease of $0.7 million from property dispositions.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increased $20.5 million, or 5.2%, to $418.0 million in the six months ended June 30, 2025 compared to $397.5 million in the six months ended June 30, 2024. This increase is primarily driven by higher rental rates and average occupancy, 2024 and 2025 acquisitions, and 2024 and 2025 openings at our non-comparable properties, partially offset by property dispositions, and higher rental expenses after recoveries from tenants.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Other Operating</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$1.3 million, or 5.4%, to $22.8 million in the six months ended June 30, 2025 compared to $24.1 million in the six months ended June 30, 2024. This decrease is due primarily to lower personnel related costs.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$7.7 million, or 4.6%, to $176.2 million in the six months ended June 30, 2025 compared to $168.5 million in the six months ended June 30, 2024. This increase is due primarily to 2024 and 2025 acquisitions, the openings of Santana West, Pike &amp; Rose Phase IV, and Huntington Shopping Center, partially offset by fully depreciated lease assets related to our Grossmont property and property dispositions.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Gain on Sale of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$77.7 million gain on sale of real estate for the six months ended June 30, 2025 is primarily due to the sale of a residential building at Santana Row, our Hollywood Boulevard property, and a portion of our White Marsh Other property.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$52.3 million gain on sale of real estate for the six months ended June 30, 2024 is primarily due to the sale of Third Street Promenade.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New Market Tax Credit Transaction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$14.2 million new market tax credit transaction income for the six months ended June 30, 2025 is primarily due to sale of new market tax credits related to Freedom Plaza (see Note 6 to the consolidated financial statements for additional information).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increased $53.7 million, or 20.9%, to $310.9 million in the six months ended June 30, 2025 compared to $257.2 million in the six months ended June 30, 2024. This increase is primarily driven by higher gains on sale of real estate, income related to the sale of the new market tax credits, higher rental rates and average occupancy, 2024 and 2025 acquisitions, and 2024 and 2025 openings at our non-comparable properties, partially offset by property dispositions and higher rental expenses after recoveries from tenants.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$0.9 million, or 1.1%, to $87.1 million in the six months ended June 30, 2025 compared to $88.0 million in the six months ended June 30, 2024. This decrease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$3.2 million due to a lower overall weighted average borrowing rate,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$0.3 million due to lower weighted average borrowings,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$2.6 million in capitalized interest.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interest costs were $94.9 million and $98.5 million in the six months ended June 30, 2025 and 2024, respectively. Capitalized interest was $7.9 million and $10.5 million for the six months ended June 30, 2025 and 2024, respectively.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increased $2.9 million, or 73.3%, to $6.9 million in the six months ended June 30, 2025 compared to $4.0 million in the six months ended June 30, 2024. The increase is primarily attributable to the new market tax credit transaction income in 2025, as well as overall higher income at our properties where there is a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six months ended June 30, 2025 were approximately $193.3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In the next twelve months, we have $645.2 million of debt maturing, of which, $200.0 million is the mortgage loan secured by Bethesda Row, which has two one-year extensions, at our option, that would extend the maturity date to December 28, 2027.</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we had cash and cash equivalents of $177.0 million and $17.6 million outstanding on our $1.25 billion revolving credit facility. We also have the capacity to issue up to $750.0 million in common shares under our ATM equity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the weighted average amount of borrowings outstanding on our revolving credit facility was $37.6 million, and the weighted average interest rate, before amortization of debt fees, was 5.2%.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capital requirements for the remainder of 2025 will depend on acquisition opportunities, the level and general timing of our redevelopment and development activities, and the overall economic environment. We currently have development and redevelopment projects in various stages of constructions with remaining costs of $306 million. We expect to incur the majority of these costs in the next two years. We expect overall capital costs to be at levels consistent with 2024. </w:t>
      </w:r>
    </w:p>
    <w:p>
      <w:pPr>
        <w:pStyle w:val="TextBody"/>
        <w:bidi w:val="0"/>
        <w:spacing w:lineRule="auto" w:line="288" w:before="100" w:after="283"/>
        <w:jc w:val="left"/>
        <w:rPr/>
      </w:pPr>
      <w:r>
        <w:rPr>
          <w:rFonts w:ascii="Times New Roman;serif" w:hAnsi="Times New Roman;serif"/>
          <w:b w:val="false"/>
          <w:color w:val="000000"/>
          <w:sz w:val="20"/>
        </w:rPr>
        <w:t xml:space="preserve">We believe cash flow from operations, the cash </w:t>
      </w:r>
      <w:r>
        <w:rPr>
          <w:rFonts w:ascii="Times New Roman;serif" w:hAnsi="Times New Roman;serif"/>
          <w:b w:val="false"/>
          <w:color w:val="212529"/>
          <w:sz w:val="20"/>
        </w:rPr>
        <w:t xml:space="preserve">on our balance sheet, and our </w:t>
      </w:r>
      <w:r>
        <w:rPr>
          <w:rFonts w:ascii="Times New Roman;serif" w:hAnsi="Times New Roman;serif"/>
          <w:b w:val="false"/>
          <w:color w:val="000000"/>
          <w:sz w:val="20"/>
        </w:rPr>
        <w:t>$1.25 billion</w:t>
      </w:r>
      <w:r>
        <w:rPr>
          <w:color w:val="212529"/>
        </w:rPr>
        <w:t xml:space="preserve"> </w:t>
      </w:r>
      <w:r>
        <w:rPr>
          <w:rFonts w:ascii="Times New Roman;serif" w:hAnsi="Times New Roman;serif"/>
          <w:b w:val="false"/>
          <w:color w:val="212529"/>
          <w:sz w:val="20"/>
        </w:rPr>
        <w:t xml:space="preserve">revolving credit facility will allow us to continue to operate our business in the short-term. </w:t>
      </w:r>
      <w:r>
        <w:rPr>
          <w:rFonts w:ascii="Times New Roman;serif" w:hAnsi="Times New Roman;serif"/>
          <w:b w:val="false"/>
          <w:color w:val="000000"/>
          <w:sz w:val="20"/>
        </w:rPr>
        <w:t>Given our ability to access the capital markets, we also expect debt or equity financing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Summary of Cash Flows</w:t>
      </w:r>
    </w:p>
    <w:tbl>
      <w:tblPr>
        <w:tblW w:w="9266" w:type="dxa"/>
        <w:jc w:val="left"/>
        <w:tblInd w:w="0" w:type="dxa"/>
        <w:tblLayout w:type="fixed"/>
        <w:tblCellMar>
          <w:top w:w="28" w:type="dxa"/>
          <w:left w:w="28" w:type="dxa"/>
          <w:bottom w:w="28" w:type="dxa"/>
          <w:right w:w="28" w:type="dxa"/>
        </w:tblCellMar>
      </w:tblPr>
      <w:tblGrid>
        <w:gridCol w:w="1894"/>
        <w:gridCol w:w="1668"/>
        <w:gridCol w:w="1672"/>
        <w:gridCol w:w="211"/>
        <w:gridCol w:w="826"/>
        <w:gridCol w:w="109"/>
        <w:gridCol w:w="109"/>
        <w:gridCol w:w="109"/>
        <w:gridCol w:w="109"/>
        <w:gridCol w:w="211"/>
        <w:gridCol w:w="826"/>
        <w:gridCol w:w="109"/>
        <w:gridCol w:w="109"/>
        <w:gridCol w:w="109"/>
        <w:gridCol w:w="109"/>
        <w:gridCol w:w="211"/>
        <w:gridCol w:w="721"/>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$18.9 million to $329.7 million during the six months ended June 30, 2025 from $310.9 million during the six months ended June 30, 2024. The increase was primarily due to higher net income after adjusting for non-cash items and gain on sale of real estate.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$136.3 million to $116.3 million during the six months ended June 30, 2025 from $252.6 million during the six months ended June 30, 2024. The decrease was primarily attributable to:</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$93.5 million decrease in acquisition of real estate primarily due to the February 2025 acquisition of the fee interest in Del Monte Shopping Center (see Note 3 to the consolidated financial statements for additional information), as compared to the May 2024 acquisition of the fee interest in Virginia Gateway,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$44.8 million increase in net proceeds from the sale of real estate primarily due to $141.2 million of net proceeds from the sale of a residential building at Santana Row, our Hollywood Boulevard property, and a portion of our White Marsh Other property during the six months ended June 30, 2025, as compared to $96.3 million of net proceeds from the sale of Third Street Promenade during the six months ended June 30, 2024.</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$59.2 million to $145.2 million during the six months ended June 30, 2025 from $204.4 million during the six months ended June 30, 2024. The decrease was primarily attributable to:</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$600.0 million from the January 2024 repayment of our $600.0 million 3.95% senior unsecured notes at maturity, and</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$19.4 million premium paid for the capped call transactions entered into in connection with the issuance of $485.0 million 3.25% exchangeable senior notes in January 2024,</w:t>
      </w:r>
    </w:p>
    <w:p>
      <w:pPr>
        <w:pStyle w:val="TextBody"/>
        <w:bidi w:val="0"/>
        <w:spacing w:lineRule="auto" w:line="256"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$471.5 million in net proceeds from the issuance of $485.0 million 3.25% exchangeable senior notes in January 2024,</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 xml:space="preserve">a $64.2 million decrease in net borrowings on our revolving credit facility to $17.6 million of net borrowings during the six months ended June 30, 2025, as compared to $81.8 million of net borrowings during the six months ended June 30, 2024, </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$16.4 million decrease in net proceeds from the issuance of common shares under our ATM program, and</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an $8.6 million increase in dividends paid to common and preferred shareholders due to an increase in the number of outstanding shares, as well as an increase to the common share dividend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Financing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total debt outstanding as of June 30, 2025:</w:t>
      </w:r>
    </w:p>
    <w:tbl>
      <w:tblPr>
        <w:tblW w:w="10205" w:type="dxa"/>
        <w:jc w:val="left"/>
        <w:tblInd w:w="0" w:type="dxa"/>
        <w:tblLayout w:type="fixed"/>
        <w:tblCellMar>
          <w:top w:w="28" w:type="dxa"/>
          <w:left w:w="28" w:type="dxa"/>
          <w:bottom w:w="28" w:type="dxa"/>
          <w:right w:w="28" w:type="dxa"/>
        </w:tblCellMar>
      </w:tblPr>
      <w:tblGrid>
        <w:gridCol w:w="914"/>
        <w:gridCol w:w="797"/>
        <w:gridCol w:w="802"/>
        <w:gridCol w:w="262"/>
        <w:gridCol w:w="262"/>
        <w:gridCol w:w="266"/>
        <w:gridCol w:w="109"/>
        <w:gridCol w:w="109"/>
        <w:gridCol w:w="109"/>
        <w:gridCol w:w="421"/>
        <w:gridCol w:w="1873"/>
        <w:gridCol w:w="233"/>
        <w:gridCol w:w="109"/>
        <w:gridCol w:w="109"/>
        <w:gridCol w:w="109"/>
        <w:gridCol w:w="439"/>
        <w:gridCol w:w="393"/>
        <w:gridCol w:w="924"/>
        <w:gridCol w:w="109"/>
        <w:gridCol w:w="109"/>
        <w:gridCol w:w="109"/>
        <w:gridCol w:w="475"/>
        <w:gridCol w:w="475"/>
        <w:gridCol w:w="688"/>
      </w:tblGrid>
      <w:tr>
        <w:trPr/>
        <w:tc>
          <w:tcPr>
            <w:tcW w:w="9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Debt</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 as of</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Mortgages payable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Secured fixed rate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1, 2025</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 (1)</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28, 2025</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2026</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5, 2027</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1, 2027</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 2029</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 (2)</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2029</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(13 Buildings) (3)</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2029</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2031</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513,004 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511,951 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payable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(4)(5)</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5, 2027</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(4)(5)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20, 2028</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2059</w:t>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619,091 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614,631 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notes and debentures (5)</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fixed rate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15, 2026</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15, 2027</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2027</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 2028</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2029</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15, 2029</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 2030</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 2044</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2046</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3,379,200 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(18,275)</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3,360,925 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4,487,507 </w:t>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interest rate on this mortgage loan is fixed at 3.67% through two interest rate swap agreements.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(4)Our revolving credit facility SOFR loans and our term loan bear interest at Daily Simple SOFR or Term SOFR, as defined in the respective credit agreements, plus a spread, based on our current credit rating. Our revolving credit facility also includes a 0.10% adjustment to SOFR.</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Operating Partnership is the named obligor under our revolving credit facility, and senior notes and debentures. Effective March 20, 2025, the Operating Partnership and a wholly owned subsidiary of the Operating Partnership are both named obligors of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(6)The maximum amount drawn under our $1.25 billion revolving credit facility during both the three and six months ended June 30, 2025 was $122.1 million and the weighted average interest rate on borrowings under our revolving credit facility, before amortization of debt fees, was 5.2% for both periods.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revolving credit facility, unsecured term loan, and other debt agreements include financial and other covenants that may limit our operating activities in the future. As of June 30, 2025,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scheduled principal repayments as of June 30, 2025:</w:t>
      </w:r>
    </w:p>
    <w:p>
      <w:pPr>
        <w:pStyle w:val="TextBody"/>
        <w:bidi w:val="0"/>
        <w:spacing w:lineRule="auto" w:line="288" w:before="0" w:after="0"/>
        <w:jc w:val="left"/>
        <w:rPr>
          <w:color w:val="000000"/>
        </w:rPr>
      </w:pPr>
      <w:r>
        <w:rPr>
          <w:color w:val="000000"/>
        </w:rPr>
        <w:t> </w:t>
      </w:r>
    </w:p>
    <w:tbl>
      <w:tblPr>
        <w:tblW w:w="5974"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109"/>
        <w:gridCol w:w="146"/>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1"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88" w:before="0" w:after="0"/>
        <w:jc w:val="left"/>
        <w:rPr/>
      </w:pPr>
      <w:r>
        <w:rPr>
          <w:rFonts w:ascii="Times New Roman;serif" w:hAnsi="Times New Roman;serif"/>
          <w:b w:val="false"/>
          <w:color w:val="000000"/>
          <w:sz w:val="20"/>
        </w:rPr>
        <w:t>__________________</w:t>
      </w:r>
      <w:r>
        <w:rPr>
          <w:color w:val="000000"/>
          <w:shd w:fill="FFFFFF" w:val="clear"/>
        </w:rPr>
        <w:t>    </w:t>
      </w:r>
    </w:p>
    <w:p>
      <w:pPr>
        <w:pStyle w:val="TextBody"/>
        <w:bidi w:val="0"/>
        <w:spacing w:lineRule="auto" w:line="288" w:before="6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(1)Our $200.0 million mortgage loan secured by Bethesda Row matures on December 28, 2025, plus two one-year extensions at our option to December 28, 2027.</w:t>
      </w:r>
    </w:p>
    <w:p>
      <w:pPr>
        <w:pStyle w:val="TextBody"/>
        <w:bidi w:val="0"/>
        <w:spacing w:lineRule="auto" w:line="288" w:before="60" w:after="283"/>
        <w:ind w:left="0" w:right="0" w:hanging="630"/>
        <w:jc w:val="left"/>
        <w:rPr/>
      </w:pPr>
      <w:r>
        <w:rPr>
          <w:rFonts w:ascii="Times New Roman;serif" w:hAnsi="Times New Roman;serif"/>
          <w:b w:val="false"/>
          <w:color w:val="000000"/>
          <w:sz w:val="20"/>
          <w:shd w:fill="FFFFFF" w:val="clear"/>
        </w:rPr>
        <w:t xml:space="preserve">(2)Our $1.25 billion revolving credit facility matures on April 5, 2027, plus two six-month extensions at our option to April 5, 2028. As of </w:t>
      </w:r>
      <w:r>
        <w:rPr>
          <w:rFonts w:ascii="Times New Roman;serif" w:hAnsi="Times New Roman;serif"/>
          <w:b w:val="false"/>
          <w:color w:val="000000"/>
          <w:sz w:val="20"/>
        </w:rPr>
        <w:t xml:space="preserve">June 30, 2025, there was $17.6 million outstanding under this credit facility. </w:t>
      </w:r>
    </w:p>
    <w:p>
      <w:pPr>
        <w:pStyle w:val="TextBody"/>
        <w:bidi w:val="0"/>
        <w:spacing w:lineRule="auto" w:line="288" w:before="60" w:after="283"/>
        <w:ind w:left="0" w:right="0" w:hanging="630"/>
        <w:jc w:val="left"/>
        <w:rPr/>
      </w:pPr>
      <w:r>
        <w:rPr>
          <w:rFonts w:ascii="Times New Roman;serif" w:hAnsi="Times New Roman;serif"/>
          <w:b w:val="false"/>
          <w:color w:val="000000"/>
          <w:sz w:val="20"/>
          <w:shd w:fill="FFFFFF" w:val="clear"/>
        </w:rPr>
        <w:t>(3)Our</w:t>
      </w:r>
      <w:r>
        <w:rPr>
          <w:color w:val="000000"/>
        </w:rPr>
        <w:t xml:space="preserve"> </w:t>
      </w:r>
      <w:r>
        <w:rPr>
          <w:rFonts w:ascii="Times New Roman;serif" w:hAnsi="Times New Roman;serif"/>
          <w:b w:val="false"/>
          <w:color w:val="000000"/>
          <w:sz w:val="20"/>
        </w:rPr>
        <w:t>$600.0 million term loan matures on March 20, 2028, plus two one-year extensions at our option to March 20, 2030.</w:t>
      </w:r>
    </w:p>
    <w:p>
      <w:pPr>
        <w:pStyle w:val="TextBody"/>
        <w:bidi w:val="0"/>
        <w:spacing w:lineRule="auto" w:line="288" w:before="6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total debt maturities differ from the total reported on the consolidated balance sheets due to the unamortized net debt issuance costs and premium/discount on mortgage loans, notes payable, and senior notes as of June 30, 2025.</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Hedging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we have two interest rate swap agreements that effectively fix the rate on a mortgage payable associated with our Hoboken portfolio at 3.67% and we have three interest rate swap agreements that effectively fix the interest rate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mortgage payable associated with Bethesda Row at 5.03% through the initial maturity date. Our Assembly Row hotel joint venture is also a party to two interest rate swap agreements that effectively fix its outstanding $38.3 million of debt at an average rate of 6.11% through May 2028. All swaps were designated and qualify as cash flow hedges. Hedge ineffectiveness has not impacted earnings as of June 30, 2025.</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REIT Qualification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 of net income to FFO available for common shareholders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2"/>
        <w:gridCol w:w="1459"/>
        <w:gridCol w:w="14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initial direct costs of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unvested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diluted (1)(2)</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 available for common shareholders, per diluted share (2)</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(1)For the three and six months ended June 30, 2025 and 2024, dividends on our Series 1 preferred stock were not deducted in the calculation of FFO available to common shareholders, as the related shares were dilutive and included in "weighted average number of common shares, diluted."</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weighted average common shares used to compute FFO per diluted common share includes downREIT operating partnership units that were excluded from the computation of diluted EPS for the six months ended June 30, 2024. Conversion of these operating partnership units is dilutive in the computation of FFO per diluted share for all periods presented but is anti-dilutive for the computation of diluted EPS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Fixed Interest Rate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June 30, 2025, we had $3.9 billion of fixed-rate debt outstanding, including $251.3 million of mortgage payables for which the rate is effectively fixed by five interest rate swap agreements. If market interest rates used to calculate the fair value on our fixed-rate debt instruments at June 30, 2025 had been 1.0% higher, the fair value of those debt instruments on that date would have decreased by approximately $145.7 million. If market interest rates used to calculate the fair value on our fixed-rate debt instruments at June 30, 2025 had been 1.0% lower, the fair value of those debt instruments on that date would have increased by approximately $161.9 million.</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Variable Interest Rate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Generally, we believe that our primary interest rate risk is due to fluctuations in interest rates on our outstanding variable rate debt. At June 30, 2025, we had $617.6 million of variable rate debt outstanding (the principal balance on our unsecured term loan and $17.6 million outstanding in our revolving credit facility). Based upon this amount of variable rate debt and the specific terms, if market interest rates increased 1.0%, our annual interest expense would increase approximately $6.2 million with a corresponding decrease in our net income and cash flows for the year. Conversely, if market interest rates decreased 1.0%, our annual interest expense would decrease by approximately $6.2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Controls and Procedures (Federal Realty Investment Trust)</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Periodic Evaluation and Conclusion of 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June 30, 2025. Based on this evaluation, our management, including our Chief Executive Officer and Chief Financial Officer, concluded that the Trust's disclosure controls and procedures were effective as of June 30, 2025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Controls and Procedures (Federal Realty OP LP)</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Periodic Evaluation and Conclusion of 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June 30, 2025. Based on this evaluation, our management, including our Chief Executive Officer and Chief Financial Officer, concluded that the Operating Partnership's disclosure controls and procedures were effective as of June 30, 2025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in any of our legal proceedings since the disclosure contained in our Annual Report to Form 10-K for the fiscal year ended December 31, 2024 filed with the SEC on February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to our Form 10-K for the year ended December 31, 2024 filed with the SEC on February 13,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August 6, 2025, no shares have been repurchased through the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June 30, 2025, we redeemed 77,983 downREIT operating partnership units for cash.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could be deemed to have repurchased shares as a result of shares withheld for tax purposes upon a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related vesting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Recent Legislation</w:t>
      </w:r>
      <w:r>
        <w:rPr>
          <w:rFonts w:ascii="Times New Roman;serif" w:hAnsi="Times New Roman;serif"/>
          <w:b w:val="false"/>
          <w:color w:val="000000"/>
          <w:sz w:val="20"/>
        </w:rPr>
        <w:t>. New legislation has been recently enacted that modifies certain disclosures under the heading “Material Federal Income Tax Considerations” contained in prospectuses filed by Federal Realty Investment Trust and/or Federal Realty OP LP under the Securities Act of 1933 prior to the date of this Quarterly Report. See below for a brief description of these modifications.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new legislation permanently extends the ability of non-corporate shareholders to generally deduct 20% of the aggregate amount of ordinary dividends distributed by us, eliminating the previously-scheduled expiration of this deduction at the end of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Under the new legislation, as of January 1, 2026, the 20% asset test quarterly limit on the value of our securities in one or more taxable REIT subsidiaries (unless they would otherwise be treated as real estate assets) will increase to 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6.EXHIBITS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list of exhibits to this Quarterly Report on Form 10-Q is set forth on the Exhibit Index immediately preceding such exhibits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21"/>
        <w:gridCol w:w="121"/>
        <w:gridCol w:w="121"/>
        <w:gridCol w:w="3079"/>
        <w:gridCol w:w="2772"/>
        <w:gridCol w:w="2806"/>
        <w:gridCol w:w="109"/>
        <w:gridCol w:w="109"/>
        <w:gridCol w:w="109"/>
        <w:gridCol w:w="159"/>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11.htm">
              <w:r>
                <w:rPr>
                  <w:rStyle w:val="InternetLink"/>
                  <w:rFonts w:ascii="Times New Roman;serif" w:hAnsi="Times New Roman;serif"/>
                  <w:b w:val="false"/>
                  <w:color w:val="0000FF"/>
                  <w:sz w:val="20"/>
                  <w:u w:val="single"/>
                </w:rPr>
                <w:t>31.1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12.htm">
              <w:r>
                <w:rPr>
                  <w:rStyle w:val="InternetLink"/>
                  <w:rFonts w:ascii="Times New Roman;serif" w:hAnsi="Times New Roman;serif"/>
                  <w:b w:val="false"/>
                  <w:color w:val="0000FF"/>
                  <w:sz w:val="20"/>
                  <w:u w:val="single"/>
                </w:rPr>
                <w:t>31.2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13.htm">
              <w:r>
                <w:rPr>
                  <w:rStyle w:val="InternetLink"/>
                  <w:rFonts w:ascii="Times New Roman;serif" w:hAnsi="Times New Roman;serif"/>
                  <w:b w:val="false"/>
                  <w:color w:val="0000FF"/>
                  <w:sz w:val="20"/>
                  <w:u w:val="single"/>
                </w:rPr>
                <w:t>31.3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14.htm">
              <w:r>
                <w:rPr>
                  <w:rStyle w:val="InternetLink"/>
                  <w:rFonts w:ascii="Times New Roman;serif" w:hAnsi="Times New Roman;serif"/>
                  <w:b w:val="false"/>
                  <w:color w:val="0000FF"/>
                  <w:sz w:val="20"/>
                  <w:u w:val="single"/>
                </w:rPr>
                <w:t>31.4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21.htm">
              <w:r>
                <w:rPr>
                  <w:rStyle w:val="InternetLink"/>
                  <w:rFonts w:ascii="Times New Roman;serif" w:hAnsi="Times New Roman;serif"/>
                  <w:b w:val="false"/>
                  <w:color w:val="0000FF"/>
                  <w:sz w:val="20"/>
                  <w:u w:val="single"/>
                </w:rPr>
                <w:t>32.1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22.htm">
              <w:r>
                <w:rPr>
                  <w:rStyle w:val="InternetLink"/>
                  <w:rFonts w:ascii="Times New Roman;serif" w:hAnsi="Times New Roman;serif"/>
                  <w:b w:val="false"/>
                  <w:color w:val="0000FF"/>
                  <w:sz w:val="20"/>
                  <w:u w:val="single"/>
                </w:rPr>
                <w:t>32.2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23.htm">
              <w:r>
                <w:rPr>
                  <w:rStyle w:val="InternetLink"/>
                  <w:rFonts w:ascii="Times New Roman;serif" w:hAnsi="Times New Roman;serif"/>
                  <w:b w:val="false"/>
                  <w:color w:val="0000FF"/>
                  <w:sz w:val="20"/>
                  <w:u w:val="single"/>
                </w:rPr>
                <w:t>32.3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5xex324.htm">
              <w:r>
                <w:rPr>
                  <w:rStyle w:val="InternetLink"/>
                  <w:rFonts w:ascii="Times New Roman;serif" w:hAnsi="Times New Roman;serif"/>
                  <w:b w:val="false"/>
                  <w:color w:val="0000FF"/>
                  <w:sz w:val="20"/>
                  <w:u w:val="single"/>
                </w:rPr>
                <w:t>32.4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Federal Realty Investment Trust and Federal Realty OP LP’s Quarterly Report on Form 10-Q for the quarter ended June 30, 2025,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FF"/>
          <w:sz w:val="18"/>
          <w:u w:val="single"/>
        </w:rPr>
      </w:pPr>
      <w:r>
        <w:rPr>
          <w:rFonts w:ascii="Times New Roman;serif" w:hAnsi="Times New Roman;serif"/>
          <w:b/>
          <w:color w:val="0000FF"/>
          <w:sz w:val="18"/>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authorized.</w:t>
      </w:r>
    </w:p>
    <w:p>
      <w:pPr>
        <w:pStyle w:val="TextBody"/>
        <w:bidi w:val="0"/>
        <w:spacing w:before="0" w:after="0"/>
        <w:jc w:val="left"/>
        <w:rPr/>
      </w:pPr>
      <w:r>
        <w:rPr/>
      </w:r>
    </w:p>
    <w:tbl>
      <w:tblPr>
        <w:tblW w:w="5667"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163"/>
        <w:gridCol w:w="1163"/>
        <w:gridCol w:w="164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6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1163"/>
        <w:gridCol w:w="1163"/>
        <w:gridCol w:w="1649"/>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Donald C. Wood</w:t>
      </w:r>
      <w:r>
        <w:rPr>
          <w:rFonts w:ascii="Times New Roman;serif" w:hAnsi="Times New Roman;serif"/>
          <w:b w:val="false"/>
          <w:color w:val="000000"/>
          <w:sz w:val="20"/>
        </w:rPr>
        <w:t xml:space="preserve">,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7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930"/>
        <w:gridCol w:w="930"/>
        <w:gridCol w:w="1320"/>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Daniel Guglielmone</w:t>
      </w:r>
      <w:r>
        <w:rPr>
          <w:rFonts w:ascii="Times New Roman;serif" w:hAnsi="Times New Roman;serif"/>
          <w:b w:val="false"/>
          <w:color w:val="000000"/>
          <w:sz w:val="20"/>
        </w:rPr>
        <w:t>, certify that:</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Donald C. Wood</w:t>
      </w:r>
      <w:r>
        <w:rPr>
          <w:rFonts w:ascii="Times New Roman;serif" w:hAnsi="Times New Roman;serif"/>
          <w:b w:val="false"/>
          <w:color w:val="000000"/>
          <w:sz w:val="20"/>
        </w:rPr>
        <w:t xml:space="preserve">,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487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930"/>
        <w:gridCol w:w="930"/>
        <w:gridCol w:w="131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Daniel Guglielmone</w:t>
      </w:r>
      <w:r>
        <w:rPr>
          <w:rFonts w:ascii="Times New Roman;serif" w:hAnsi="Times New Roman;serif"/>
          <w:b w:val="false"/>
          <w:color w:val="000000"/>
          <w:sz w:val="20"/>
        </w:rPr>
        <w:t>, certify that:</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2025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87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930"/>
        <w:gridCol w:w="930"/>
        <w:gridCol w:w="1320"/>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2025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June 30, 2025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756"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89"/>
        <w:gridCol w:w="1189"/>
        <w:gridCol w:w="168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Trustee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June 30, 2025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62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150"/>
        <w:gridCol w:w="1150"/>
        <w:gridCol w:w="1629"/>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4903/000003490325000016/frt-20241231.htm" TargetMode="External"/><Relationship Id="rId3" Type="http://schemas.openxmlformats.org/officeDocument/2006/relationships/hyperlink" Target="https://www.sec.gov/ix?doc=/Archives/edgar/data/0000034903/000003490325000016/frt-202412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24104</Words>
  <Characters>134167</Characters>
  <CharactersWithSpaces>156931</CharactersWithSpaces>
  <Paragraphs>3801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