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spacing w:after="0"/>
        <w:tabs>
          <w:tab w:leader="none" w:pos="2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560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(State of Organization)</w:t>
            </w:r>
          </w:p>
        </w:tc>
        <w:tc>
          <w:tcPr>
            <w:tcW w:w="5600" w:type="dxa"/>
            <w:vAlign w:val="bottom"/>
          </w:tcPr>
          <w:p>
            <w:pPr>
              <w:jc w:val="center"/>
              <w:ind w:left="35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6"/>
              </w:rPr>
              <w:t>1626 East Jefferson Street,</w:t>
            </w:r>
          </w:p>
        </w:tc>
        <w:tc>
          <w:tcPr>
            <w:tcW w:w="5600" w:type="dxa"/>
            <w:vAlign w:val="bottom"/>
          </w:tcPr>
          <w:p>
            <w:pPr>
              <w:spacing w:after="0"/>
              <w:rPr>
                <w:sz w:val="24"/>
                <w:szCs w:val="24"/>
                <w:color w:val="auto"/>
              </w:rPr>
            </w:pPr>
          </w:p>
        </w:tc>
      </w:tr>
      <w:tr>
        <w:trPr>
          <w:trHeight w:val="231"/>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Rockville, Maryland</w:t>
            </w:r>
          </w:p>
        </w:tc>
        <w:tc>
          <w:tcPr>
            <w:tcW w:w="560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600" w:type="dxa"/>
            <w:vAlign w:val="bottom"/>
          </w:tcPr>
          <w:p>
            <w:pPr>
              <w:jc w:val="center"/>
              <w:ind w:left="358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600" w:type="dxa"/>
            <w:vAlign w:val="bottom"/>
          </w:tcPr>
          <w:p>
            <w:pPr>
              <w:jc w:val="right"/>
              <w:ind w:right="3322"/>
              <w:spacing w:after="0"/>
              <w:rPr>
                <w:sz w:val="20"/>
                <w:szCs w:val="20"/>
                <w:color w:val="auto"/>
              </w:rPr>
            </w:pPr>
            <w:r>
              <w:rPr>
                <w:rFonts w:ascii="Arial" w:cs="Arial" w:eastAsia="Arial" w:hAnsi="Arial"/>
                <w:sz w:val="18"/>
                <w:szCs w:val="18"/>
                <w:b w:val="1"/>
                <w:bCs w:val="1"/>
                <w:color w:val="auto"/>
              </w:rPr>
              <w:t>(301) 998-8100</w:t>
            </w:r>
          </w:p>
        </w:tc>
      </w:tr>
      <w:tr>
        <w:trPr>
          <w:trHeight w:val="174"/>
        </w:trPr>
        <w:tc>
          <w:tcPr>
            <w:tcW w:w="2340" w:type="dxa"/>
            <w:vAlign w:val="bottom"/>
          </w:tcPr>
          <w:p>
            <w:pPr>
              <w:spacing w:after="0"/>
              <w:rPr>
                <w:sz w:val="15"/>
                <w:szCs w:val="15"/>
                <w:color w:val="auto"/>
              </w:rPr>
            </w:pPr>
          </w:p>
        </w:tc>
        <w:tc>
          <w:tcPr>
            <w:tcW w:w="5600" w:type="dxa"/>
            <w:vAlign w:val="bottom"/>
          </w:tcPr>
          <w:p>
            <w:pPr>
              <w:jc w:val="center"/>
              <w:ind w:right="2222"/>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7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3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60" w:type="dxa"/>
            <w:vAlign w:val="bottom"/>
          </w:tcPr>
          <w:p>
            <w:pPr>
              <w:ind w:left="7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6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86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6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May 2, 2011 was 62,239,733.</w:t>
            </w:r>
          </w:p>
        </w:tc>
        <w:tc>
          <w:tcPr>
            <w:tcW w:w="2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40" w:type="dxa"/>
            <w:vAlign w:val="bottom"/>
            <w:tcBorders>
              <w:bottom w:val="single" w:sz="8" w:color="auto"/>
            </w:tcBorders>
          </w:tcPr>
          <w:p>
            <w:pPr>
              <w:spacing w:after="0"/>
              <w:rPr>
                <w:sz w:val="10"/>
                <w:szCs w:val="10"/>
                <w:color w:val="auto"/>
              </w:rPr>
            </w:pPr>
          </w:p>
        </w:tc>
        <w:tc>
          <w:tcPr>
            <w:tcW w:w="63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080" w:type="dxa"/>
            <w:vAlign w:val="bottom"/>
            <w:gridSpan w:val="12"/>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866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March 31, 2011 (unaudited) and December 31, 2010</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for the three months ended March 31, 2011 and 2010</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60" w:type="dxa"/>
            <w:vAlign w:val="bottom"/>
            <w:tcBorders>
              <w:top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Shareholders’ Equity (unaudited) for the three months ended March 31, 2011</w:t>
              </w:r>
            </w:hyperlink>
          </w:p>
        </w:tc>
        <w:tc>
          <w:tcPr>
            <w:tcW w:w="1300" w:type="dxa"/>
            <w:vAlign w:val="bottom"/>
            <w:gridSpan w:val="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6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three months ended March 31, 2011 and 2010</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24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Management’s Discussion and Analysis of Financial Condition and Results of Operations</w:t>
              </w:r>
            </w:hyperlink>
          </w:p>
        </w:tc>
        <w:tc>
          <w:tcPr>
            <w:tcW w:w="2360" w:type="dxa"/>
            <w:vAlign w:val="bottom"/>
            <w:gridSpan w:val="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6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460" w:type="dxa"/>
            <w:vAlign w:val="bottom"/>
            <w:gridSpan w:val="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PART II. OTHER INFORMATION</w:t>
              </w:r>
            </w:hyperlink>
          </w:p>
        </w:tc>
        <w:tc>
          <w:tcPr>
            <w:tcW w:w="7380" w:type="dxa"/>
            <w:vAlign w:val="bottom"/>
            <w:gridSpan w:val="1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7360" w:type="dxa"/>
            <w:vAlign w:val="bottom"/>
            <w:gridSpan w:val="1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Risk Factors</w:t>
              </w:r>
            </w:hyperlink>
          </w:p>
        </w:tc>
        <w:tc>
          <w:tcPr>
            <w:tcW w:w="7780" w:type="dxa"/>
            <w:vAlign w:val="bottom"/>
            <w:gridSpan w:val="1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Unregistered Sales of Equity Securities and Use of Proceeds</w:t>
              </w:r>
            </w:hyperlink>
          </w:p>
        </w:tc>
        <w:tc>
          <w:tcPr>
            <w:tcW w:w="4420" w:type="dxa"/>
            <w:vAlign w:val="bottom"/>
            <w:gridSpan w:val="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86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[Removed and Reserved]</w:t>
              </w:r>
            </w:hyperlink>
          </w:p>
        </w:tc>
        <w:tc>
          <w:tcPr>
            <w:tcW w:w="6400" w:type="dxa"/>
            <w:vAlign w:val="bottom"/>
            <w:gridSpan w:val="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Other Information</w:t>
              </w:r>
            </w:hyperlink>
          </w:p>
        </w:tc>
        <w:tc>
          <w:tcPr>
            <w:tcW w:w="500" w:type="dxa"/>
            <w:vAlign w:val="bottom"/>
            <w:tcBorders>
              <w:top w:val="single" w:sz="8" w:color="0000EE"/>
            </w:tcBorders>
            <w:gridSpan w:val="5"/>
          </w:tcPr>
          <w:p>
            <w:pPr>
              <w:spacing w:after="0"/>
              <w:rPr>
                <w:sz w:val="17"/>
                <w:szCs w:val="17"/>
                <w:color w:val="auto"/>
              </w:rPr>
            </w:pPr>
          </w:p>
        </w:tc>
        <w:tc>
          <w:tcPr>
            <w:tcW w:w="6880" w:type="dxa"/>
            <w:vAlign w:val="bottom"/>
            <w:gridSpan w:val="1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6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304"/>
        </w:trPr>
        <w:tc>
          <w:tcPr>
            <w:tcW w:w="124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140" w:type="dxa"/>
            <w:vAlign w:val="bottom"/>
            <w:gridSpan w:val="13"/>
          </w:tcPr>
          <w:p>
            <w:pPr>
              <w:ind w:left="44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balance sheet as of December 31, 2010,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2011 are not necessarily indicative of the results that may be expected for the full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(In thousands,</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except</w:t>
            </w:r>
          </w:p>
        </w:tc>
        <w:tc>
          <w:tcPr>
            <w:tcW w:w="900" w:type="dxa"/>
            <w:vAlign w:val="bottom"/>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w w:val="96"/>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(including $157,443 and $97,157 of consolidated variable interest entities, respectively)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3,814,218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3,726,223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167,332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held for sale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3,988,069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3,895,942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3"/>
              </w:rPr>
              <w:t>Less accumulated depreciation and amortization (including $4,978 and $4,431 of consolidated variable interest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entities, respectively)</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(1,060,218)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(1,035,204)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2,927,851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2,860,738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and notes receivable,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Investment in real estate partnerships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$9,396 and $9,075, respectively</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3,217,461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3,159,553</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7"/>
              </w:rPr>
              <w:t>Mortgages payable (including $22,621 and $22,785 of consolidated variable interest entities,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526,851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212,817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1,004,788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1,995,792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1,978,423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62,231,702 and 61,526,418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1,717,997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1,666,803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tcPr>
          <w:p>
            <w:pPr>
              <w:spacing w:after="0"/>
              <w:rPr>
                <w:sz w:val="19"/>
                <w:szCs w:val="19"/>
                <w:color w:val="auto"/>
              </w:rPr>
            </w:pPr>
          </w:p>
        </w:tc>
        <w:tc>
          <w:tcPr>
            <w:tcW w:w="1220" w:type="dxa"/>
            <w:vAlign w:val="bottom"/>
            <w:gridSpan w:val="2"/>
          </w:tcPr>
          <w:p>
            <w:pPr>
              <w:jc w:val="right"/>
              <w:ind w:right="312"/>
              <w:spacing w:after="0"/>
              <w:rPr>
                <w:sz w:val="20"/>
                <w:szCs w:val="20"/>
                <w:color w:val="auto"/>
              </w:rPr>
            </w:pPr>
            <w:r>
              <w:rPr>
                <w:rFonts w:ascii="Arial" w:cs="Arial" w:eastAsia="Arial" w:hAnsi="Arial"/>
                <w:sz w:val="18"/>
                <w:szCs w:val="18"/>
                <w:color w:val="auto"/>
              </w:rPr>
              <w:t>(538,200)</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1,190,416</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1,149,833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1,221,669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3,217,461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3,159,553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135,270</w:t>
            </w:r>
          </w:p>
        </w:tc>
        <w:tc>
          <w:tcPr>
            <w:tcW w:w="200" w:type="dxa"/>
            <w:vAlign w:val="bottom"/>
          </w:tcPr>
          <w:p>
            <w:pPr>
              <w:spacing w:after="0"/>
              <w:rPr>
                <w:sz w:val="18"/>
                <w:szCs w:val="18"/>
                <w:color w:val="auto"/>
              </w:rPr>
            </w:pPr>
          </w:p>
        </w:tc>
        <w:tc>
          <w:tcPr>
            <w:tcW w:w="4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131,348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5,910</w:t>
            </w: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138,324</w:t>
            </w: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29,904</w:t>
            </w: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15,088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5,489</w:t>
            </w: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79,342</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58,982</w:t>
            </w: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(25,044)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(25,962)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Early extinguishment of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Income from real estate partnerships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30,594</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w:t>
            </w: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shares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4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4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4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40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562"/>
              <w:spacing w:after="0"/>
              <w:rPr>
                <w:sz w:val="20"/>
                <w:szCs w:val="20"/>
                <w:color w:val="auto"/>
              </w:rPr>
            </w:pPr>
            <w:r>
              <w:rPr>
                <w:rFonts w:ascii="Arial" w:cs="Arial" w:eastAsia="Arial" w:hAnsi="Arial"/>
                <w:sz w:val="14"/>
                <w:szCs w:val="14"/>
                <w:b w:val="1"/>
                <w:bCs w:val="1"/>
                <w:color w:val="auto"/>
                <w:w w:val="88"/>
              </w:rPr>
              <w:t>Shareholders’ Equity of the Trust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Preferred Shares</w:t>
            </w:r>
          </w:p>
        </w:tc>
        <w:tc>
          <w:tcPr>
            <w:tcW w:w="130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6"/>
              </w:rPr>
              <w:t>Common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Dividends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388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restart"/>
          </w:tcPr>
          <w:p>
            <w:pPr>
              <w:ind w:left="180"/>
              <w:spacing w:after="0" w:line="149"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8"/>
                <w:szCs w:val="8"/>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Excess of Net</w:t>
            </w:r>
          </w:p>
        </w:tc>
        <w:tc>
          <w:tcPr>
            <w:tcW w:w="100" w:type="dxa"/>
            <w:vAlign w:val="bottom"/>
          </w:tcPr>
          <w:p>
            <w:pPr>
              <w:spacing w:after="0"/>
              <w:rPr>
                <w:sz w:val="8"/>
                <w:szCs w:val="8"/>
                <w:color w:val="auto"/>
              </w:rPr>
            </w:pP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8"/>
                <w:szCs w:val="8"/>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35"/>
        </w:trPr>
        <w:tc>
          <w:tcPr>
            <w:tcW w:w="38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388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w w:val="80"/>
              </w:rPr>
              <w:t>(In thousands,</w:t>
            </w:r>
          </w:p>
        </w:tc>
        <w:tc>
          <w:tcPr>
            <w:tcW w:w="19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except share data)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399,896</w:t>
            </w: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$9,997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61,526,418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$1,666,803</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(527,582)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31,297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$ 1,181,130</w:t>
            </w:r>
          </w:p>
        </w:tc>
        <w:tc>
          <w:tcPr>
            <w:tcW w:w="0" w:type="dxa"/>
            <w:vAlign w:val="bottom"/>
          </w:tcPr>
          <w:p>
            <w:pPr>
              <w:spacing w:after="0"/>
              <w:rPr>
                <w:sz w:val="1"/>
                <w:szCs w:val="1"/>
                <w:color w:val="auto"/>
              </w:rPr>
            </w:pPr>
          </w:p>
        </w:tc>
      </w:tr>
      <w:tr>
        <w:trPr>
          <w:trHeight w:val="322"/>
        </w:trPr>
        <w:tc>
          <w:tcPr>
            <w:tcW w:w="3880" w:type="dxa"/>
            <w:vAlign w:val="bottom"/>
          </w:tcPr>
          <w:p>
            <w:pPr>
              <w:spacing w:after="0"/>
              <w:rPr>
                <w:sz w:val="20"/>
                <w:szCs w:val="20"/>
                <w:color w:val="auto"/>
              </w:rPr>
            </w:pPr>
            <w:r>
              <w:rPr>
                <w:rFonts w:ascii="Arial" w:cs="Arial" w:eastAsia="Arial" w:hAnsi="Arial"/>
                <w:sz w:val="18"/>
                <w:szCs w:val="18"/>
                <w:color w:val="auto"/>
              </w:rPr>
              <w:t>Net income/Comprehensive income</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31,186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1,198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32,384</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(41,669)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(41,669)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 to noncontrolling interests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Common shares issued</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592,643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47,964</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47,970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BALANCE AT MARCH 31, 2011</w:t>
            </w: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w w:val="86"/>
              </w:rPr>
              <w:t>399,896</w:t>
            </w:r>
          </w:p>
        </w:tc>
        <w:tc>
          <w:tcPr>
            <w:tcW w:w="24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9,997</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62,231,702</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622</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1,717,997</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 (538,200)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31,253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1,221,669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4"/>
          </w:tcPr>
          <w:p>
            <w:pPr>
              <w:jc w:val="right"/>
              <w:ind w:right="413"/>
              <w:spacing w:after="0" w:line="142" w:lineRule="exact"/>
              <w:rPr>
                <w:sz w:val="20"/>
                <w:szCs w:val="20"/>
                <w:color w:val="auto"/>
              </w:rPr>
            </w:pPr>
            <w:r>
              <w:rPr>
                <w:rFonts w:ascii="Arial" w:cs="Arial" w:eastAsia="Arial" w:hAnsi="Arial"/>
                <w:sz w:val="14"/>
                <w:szCs w:val="14"/>
                <w:b w:val="1"/>
                <w:bCs w:val="1"/>
                <w:color w:val="auto"/>
                <w:w w:val="8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32,384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28,932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Early extinguishment of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(18,365)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23"/>
        </w:trPr>
        <w:tc>
          <w:tcPr>
            <w:tcW w:w="9480" w:type="dxa"/>
            <w:vAlign w:val="bottom"/>
          </w:tcPr>
          <w:p>
            <w:pPr>
              <w:ind w:left="880"/>
              <w:spacing w:after="0"/>
              <w:rPr>
                <w:sz w:val="20"/>
                <w:szCs w:val="20"/>
                <w:color w:val="auto"/>
              </w:rPr>
            </w:pPr>
            <w:r>
              <w:rPr>
                <w:rFonts w:ascii="Arial" w:cs="Arial" w:eastAsia="Arial" w:hAnsi="Arial"/>
                <w:sz w:val="18"/>
                <w:szCs w:val="18"/>
                <w:color w:val="auto"/>
              </w:rPr>
              <w:t>Decrease in security deposits and other liabilities</w:t>
            </w: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(1,466)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(19,196)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Capital expenditures - development and redevelopment</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(18,967)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(11,208)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Investment in real estate partnerships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(3,800)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(issuance) of mortgage and other notes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(52,908)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senior notes, net of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148,616</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Purchase and retirement of senior notes/debentures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w w:val="89"/>
              </w:rPr>
              <w:t>(75,000)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(45,299)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(252,866)</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(41,358)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(40,553)</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(145,521)</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(5,796)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(112,795)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10,001</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22,594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March 31, 2011, we owned or had a majority interest in community and neighborhood shopping centers and mixed-use properties which are operated as 86 predominantly retail real estate projects.</w:t>
      </w:r>
    </w:p>
    <w:p>
      <w:pPr>
        <w:spacing w:after="0" w:line="11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Estimates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Certain 2010 amounts have been reclassified to conform to current period presentation.</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Real Estate</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methodology of allocating the cost of acquisitions to assets acquired and liabilities assumed is based on estimated fair values, replacement cost and appraised values. When we acquire operating real estate properties, the purchase price is allocated to land, building, improvements, intangibles such as in-place leases, and to current assets and liabilities acquired, if any. The value allocated to in-place leases is amortized over the related lease term and reflected as rental income in the statement of operations. We evaluate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79"/>
              </w:rPr>
              <w:t>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26,816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27,489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(1,772)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880"/>
              <w:spacing w:after="0"/>
              <w:rPr>
                <w:sz w:val="20"/>
                <w:szCs w:val="20"/>
                <w:color w:val="auto"/>
              </w:rPr>
            </w:pPr>
            <w:r>
              <w:rPr>
                <w:rFonts w:ascii="Arial" w:cs="Arial" w:eastAsia="Arial" w:hAnsi="Arial"/>
                <w:sz w:val="18"/>
                <w:szCs w:val="18"/>
                <w:color w:val="auto"/>
              </w:rPr>
              <w:t>Interest expense</w:t>
            </w:r>
          </w:p>
        </w:tc>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25,044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2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30,037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40"/>
              <w:spacing w:after="0"/>
              <w:rPr>
                <w:sz w:val="20"/>
                <w:szCs w:val="20"/>
                <w:color w:val="auto"/>
              </w:rPr>
            </w:pPr>
            <w:r>
              <w:rPr>
                <w:rFonts w:ascii="Arial" w:cs="Arial" w:eastAsia="Arial" w:hAnsi="Arial"/>
                <w:sz w:val="18"/>
                <w:szCs w:val="18"/>
                <w:color w:val="auto"/>
              </w:rPr>
              <w:t>Cash paid (refunded) for income taxes</w:t>
            </w: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326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TRANSACTIONS: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tcPr>
          <w:p>
            <w:pPr>
              <w:ind w:left="440"/>
              <w:spacing w:after="0"/>
              <w:rPr>
                <w:sz w:val="20"/>
                <w:szCs w:val="20"/>
                <w:color w:val="auto"/>
              </w:rPr>
            </w:pPr>
            <w:r>
              <w:rPr>
                <w:rFonts w:ascii="Arial" w:cs="Arial" w:eastAsia="Arial" w:hAnsi="Arial"/>
                <w:sz w:val="18"/>
                <w:szCs w:val="18"/>
                <w:color w:val="auto"/>
              </w:rPr>
              <w:t>Mortgage loan assumed with acquisition</w:t>
            </w: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32"/>
              <w:spacing w:after="0"/>
              <w:rPr>
                <w:sz w:val="20"/>
                <w:szCs w:val="20"/>
                <w:color w:val="auto"/>
              </w:rPr>
            </w:pPr>
            <w:r>
              <w:rPr>
                <w:rFonts w:ascii="Arial" w:cs="Arial" w:eastAsia="Arial" w:hAnsi="Arial"/>
                <w:sz w:val="18"/>
                <w:szCs w:val="18"/>
                <w:color w:val="auto"/>
              </w:rPr>
              <w:t>42,938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2—REAL ESTATE</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January 19, 2011, we acquired the fee interest in Tower Shops located in Davie, Florida for a net purchase price of $66.1 million which includes the assumption of a mortgage loan with a face amount of $41.0 million and a fair value of approximately $42.9 million. The property contains approximately 372,000 square feet of gross leasable area on 67 acres and is shadow-anchored by Home Depot and Costco</w:t>
      </w:r>
      <w:r>
        <w:rPr>
          <w:rFonts w:ascii="Arial" w:cs="Arial" w:eastAsia="Arial" w:hAnsi="Arial"/>
          <w:sz w:val="16"/>
          <w:szCs w:val="16"/>
          <w:b w:val="1"/>
          <w:bCs w:val="1"/>
          <w:color w:val="auto"/>
        </w:rPr>
        <w:t>.</w:t>
      </w:r>
      <w:r>
        <w:rPr>
          <w:rFonts w:ascii="Arial" w:cs="Arial" w:eastAsia="Arial" w:hAnsi="Arial"/>
          <w:sz w:val="16"/>
          <w:szCs w:val="16"/>
          <w:color w:val="auto"/>
        </w:rPr>
        <w:t xml:space="preserve"> As part of the preliminary purchase price allocation, approximately $1.2 million and $4.4 million of net assets acquired were allocated to other assets for “above market leases” and other liabilities for “below market leases”, respectively. This allocation will be finalized after various valuation studies are complete. We incurred a total of $0.4 million of acquisition costs of which $0.2 million were incurred in 2011 and are included in “general and administrative expenses” for the three months ended March 31, 2011.</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conjunction with the acquisition, we entered into a reverse Section 1031 like-kind exchange agreement with a third party intermediary which is for a maximum of 180 days and allows us, for tax purposes, to defer gains on sale of other properties identified and sold within this period. Until the earlier of termination of this exchange agreement or July 19, 2011, the third party intermediary is the legal owner of the property. However, we control the activities that most significantly impact the property and retain all of the economic benefits and risks associated with the property. Therefore, we have determined we are the primary beneficiary of this VIE and consolidated the property and its operations as of January 19,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3—MORTGAGE NOTES RECEIVABLE</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are the lender on a first and second mortgage loan on a shopping center and an adjacent commercial building in Norwalk, Connecticut. Our carrying amount of the loans is approximately $18.3 million. The loans are currently in default and foreclosure proceedings have been filed, however, we are currently in negotiations with the borrower to refinance the loans by May 2011. If the loans are not modified or the borrower fails to repay the loans at that time, we will be entitled to receive a deed-in-lieu of foreclosure for both properties. If we acquire the properties through the exercise of the deed-in-lieu of foreclosure, we believe the fair value of the properties approximates our carrying amount of these loans which are on non-accrual status.</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Because the loans are in default, we have certain rights under the first mortgage loan agreement that gives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is included in “real estate” in the consolidated balance sheets as of March 31, 2011 and December 31, 2010. However, given our position as lender, creditors of this VIE do not have recourse to our general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2011, the Partnership owned seven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2011</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Revenue</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4,968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3,882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60" w:type="dxa"/>
            <w:vAlign w:val="bottom"/>
            <w:vMerge w:val="restart"/>
          </w:tcPr>
          <w:p>
            <w:pPr>
              <w:jc w:val="right"/>
              <w:ind w:right="4092"/>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right"/>
              <w:ind w:right="434"/>
              <w:spacing w:after="0" w:line="142" w:lineRule="exact"/>
              <w:rPr>
                <w:sz w:val="20"/>
                <w:szCs w:val="20"/>
                <w:color w:val="auto"/>
              </w:rPr>
            </w:pPr>
            <w:r>
              <w:rPr>
                <w:rFonts w:ascii="Arial" w:cs="Arial" w:eastAsia="Arial" w:hAnsi="Arial"/>
                <w:sz w:val="14"/>
                <w:szCs w:val="14"/>
                <w:b w:val="1"/>
                <w:bCs w:val="1"/>
                <w:color w:val="auto"/>
                <w:w w:val="90"/>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Real estate,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180,595</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190,351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57,533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Partners’ capital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127,882</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128,932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190,351</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17,260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Accounting policies for the Newbury Street Partnership are similar to accounting policies followed by the Trust.</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Newbury Street Partnership owns two buildings located on Newbury Street in Boston, Massachusetts. The buildings include approximately 32,000 square feet of retail and office space for which a significant portion of the office space was vacant when the properties were acquired and is currently being leased up. We provided an $8.8 million interest-only loan secured by the two buildings. The loan matures in May 2012, subject to a one-year extension option, and bears interest at 30-day LIBOR plus 400 basis points. Intercompany profit generated from interest income on the loan is eliminated in consolidation. All amounts contributed and advanced to Newbury Street Partnership are included in “Investment in real estate partnerships” in the consolidated balance sheets.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the timing of receiving financial information from the general partner, our share of operating earnings is recorded one quarter in arrears. Consequently, the following tables provide summarized operating results for the three months ended December 31, 2010, and the financial position of the Newbury Street Partnership as of December 31, 2010: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RESULTS </w:t>
            </w:r>
            <w:r>
              <w:rPr>
                <w:rFonts w:ascii="Arial" w:cs="Arial" w:eastAsia="Arial" w:hAnsi="Arial"/>
                <w:sz w:val="18"/>
                <w:szCs w:val="18"/>
                <w:i w:val="1"/>
                <w:iCs w:val="1"/>
                <w:color w:val="auto"/>
              </w:rPr>
              <w:t>(in thousands)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loss from real estate partnership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07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BALANCE SHEET </w:t>
            </w:r>
            <w:r>
              <w:rPr>
                <w:rFonts w:ascii="Arial" w:cs="Arial" w:eastAsia="Arial" w:hAnsi="Arial"/>
                <w:sz w:val="18"/>
                <w:szCs w:val="18"/>
                <w:i w:val="1"/>
                <w:iCs w:val="1"/>
                <w:color w:val="auto"/>
              </w:rPr>
              <w:t>(in thousands)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Real estate,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Mortgages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720" w:type="dxa"/>
            <w:vAlign w:val="bottom"/>
          </w:tcPr>
          <w:p>
            <w:pPr>
              <w:ind w:left="420"/>
              <w:spacing w:after="0"/>
              <w:rPr>
                <w:sz w:val="20"/>
                <w:szCs w:val="20"/>
                <w:color w:val="auto"/>
              </w:rPr>
            </w:pPr>
            <w:r>
              <w:rPr>
                <w:rFonts w:ascii="Arial" w:cs="Arial" w:eastAsia="Arial" w:hAnsi="Arial"/>
                <w:sz w:val="18"/>
                <w:szCs w:val="18"/>
                <w:color w:val="auto"/>
              </w:rPr>
              <w:t>Total liabilities and partners’ capital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72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in July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three months ended March 31, 2011, relates to the early payoff of this loan and includes the write-off of the unamortized debt premium of $1.7 million net of the 3% prepayment premium and unamortized debt fees. The mortgage loan was repaid with funds borrowed on our $300.0 million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On February 15, 2011, we repaid our $75.0 million 4.50% senior notes on the maturity date using funds borrowed on our $300.0 million revolving credit facility.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three months ended March 31, 2011, the maximum amount of borrowings outstanding under our $300.0 million revolving credit facility was $222.0 million, the weighted average amount of borrowings outstanding was $152.6 million, and the weighted average interest rate, before amortization of debt fees, was 0.71%. At March 31, 2011, there was $192.0 million outstanding on our revolving credit facility. During the three months ended March 31, 2010, no amounts were outstanding on our revolving credit facility.</w:t>
      </w:r>
    </w:p>
    <w:p>
      <w:pPr>
        <w:spacing w:after="0" w:line="14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March 31, 2011,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420"/>
              <w:spacing w:after="0"/>
              <w:rPr>
                <w:sz w:val="20"/>
                <w:szCs w:val="20"/>
                <w:color w:val="auto"/>
              </w:rPr>
            </w:pPr>
            <w:r>
              <w:rPr>
                <w:rFonts w:ascii="Arial" w:cs="Arial" w:eastAsia="Arial" w:hAnsi="Arial"/>
                <w:sz w:val="14"/>
                <w:szCs w:val="14"/>
                <w:b w:val="1"/>
                <w:bCs w:val="1"/>
                <w:color w:val="auto"/>
              </w:rPr>
              <w:t>March 31, 2011</w:t>
            </w:r>
          </w:p>
        </w:tc>
        <w:tc>
          <w:tcPr>
            <w:tcW w:w="10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7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Carrying</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jc w:val="right"/>
              <w:ind w:right="464"/>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739,668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799,524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685,552</w:t>
            </w:r>
          </w:p>
        </w:tc>
        <w:tc>
          <w:tcPr>
            <w:tcW w:w="100" w:type="dxa"/>
            <w:vAlign w:val="bottom"/>
            <w:shd w:val="clear" w:color="auto" w:fill="CCEEFF"/>
          </w:tcPr>
          <w:p>
            <w:pPr>
              <w:spacing w:after="0"/>
              <w:rPr>
                <w:sz w:val="18"/>
                <w:szCs w:val="18"/>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1,004,788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32"/>
              <w:spacing w:after="0"/>
              <w:rPr>
                <w:sz w:val="20"/>
                <w:szCs w:val="20"/>
                <w:color w:val="auto"/>
              </w:rPr>
            </w:pPr>
            <w:r>
              <w:rPr>
                <w:rFonts w:ascii="Arial" w:cs="Arial" w:eastAsia="Arial" w:hAnsi="Arial"/>
                <w:sz w:val="18"/>
                <w:szCs w:val="18"/>
                <w:color w:val="auto"/>
                <w:w w:val="87"/>
              </w:rPr>
              <w:t>1,099,630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1,079,827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1,168,679</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 March 2011, we paid the final judgment of $16.2 million related to a previously disclosed lawsuit regarding a parcel of land located adjacent to Santana Row.</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final judgment was previously accrued and is included in “accounts payable and accrued expenses” in our consolidated balance sheet at December 31, 2010.</w:t>
      </w:r>
    </w:p>
    <w:p>
      <w:pPr>
        <w:spacing w:after="0" w:line="1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362,314 operating partnership units are outstanding which have a total fair value of $29.6 million, based on our closing stock price on March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0"/>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Declared</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100" w:type="dxa"/>
            <w:vAlign w:val="bottom"/>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$ 0.670</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$0.670</w:t>
            </w:r>
          </w:p>
        </w:tc>
        <w:tc>
          <w:tcPr>
            <w:tcW w:w="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$ 0.660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$0.660</w:t>
            </w:r>
          </w:p>
        </w:tc>
        <w:tc>
          <w:tcPr>
            <w:tcW w:w="100" w:type="dxa"/>
            <w:vAlign w:val="bottom"/>
            <w:shd w:val="clear" w:color="auto" w:fill="CCEEFF"/>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520" w:type="dxa"/>
            <w:vAlign w:val="bottom"/>
          </w:tcPr>
          <w:p>
            <w:pPr>
              <w:spacing w:after="0"/>
              <w:rPr>
                <w:sz w:val="20"/>
                <w:szCs w:val="20"/>
                <w:color w:val="auto"/>
              </w:rPr>
            </w:pPr>
            <w:r>
              <w:rPr>
                <w:rFonts w:ascii="Arial" w:cs="Arial" w:eastAsia="Arial" w:hAnsi="Arial"/>
                <w:sz w:val="18"/>
                <w:szCs w:val="18"/>
                <w:color w:val="auto"/>
                <w:w w:val="83"/>
              </w:rPr>
              <w:t>$ 0.339</w:t>
            </w:r>
          </w:p>
        </w:tc>
        <w:tc>
          <w:tcPr>
            <w:tcW w:w="300" w:type="dxa"/>
            <w:vAlign w:val="bottom"/>
          </w:tcPr>
          <w:p>
            <w:pPr>
              <w:spacing w:after="0"/>
              <w:rPr>
                <w:sz w:val="19"/>
                <w:szCs w:val="19"/>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$0.339</w:t>
            </w:r>
          </w:p>
        </w:tc>
        <w:tc>
          <w:tcPr>
            <w:tcW w:w="980" w:type="dxa"/>
            <w:vAlign w:val="bottom"/>
            <w:gridSpan w:val="3"/>
          </w:tcPr>
          <w:p>
            <w:pPr>
              <w:ind w:left="140"/>
              <w:spacing w:after="0"/>
              <w:rPr>
                <w:sz w:val="20"/>
                <w:szCs w:val="20"/>
                <w:color w:val="auto"/>
              </w:rPr>
            </w:pPr>
            <w:r>
              <w:rPr>
                <w:rFonts w:ascii="Arial" w:cs="Arial" w:eastAsia="Arial" w:hAnsi="Arial"/>
                <w:sz w:val="18"/>
                <w:szCs w:val="18"/>
                <w:color w:val="auto"/>
              </w:rPr>
              <w:t>$ 0.339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$0.339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redevelopment pipeline, repay amounts outstanding under our revolving credit facility and/or for general corporate purposes. For the three months ended March 31, 2011, we issued 592,589 shares at a weighted average price per share of $82.45 for net cash proceeds of $48.0 million and paid $0.7 million in commissions related to the sales of these common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15"/>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97,313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93,843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5,525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Cost reimbursement</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52"/>
              <w:spacing w:after="0"/>
              <w:rPr>
                <w:sz w:val="20"/>
                <w:szCs w:val="20"/>
                <w:color w:val="auto"/>
              </w:rPr>
            </w:pPr>
            <w:r>
              <w:rPr>
                <w:rFonts w:ascii="Arial" w:cs="Arial" w:eastAsia="Arial" w:hAnsi="Arial"/>
                <w:sz w:val="18"/>
                <w:szCs w:val="18"/>
                <w:color w:val="auto"/>
              </w:rPr>
              <w:t>29,065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6"/>
              </w:rPr>
              <w:t>135,270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131,348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Minimum rents include $1.1 million for the three months ended March 31, 2011 and 2010 to recognize minimum rents on a straight-line basis. In addition, minimum rents for the three months ended March 31, 2011 and 2010 include $(0.6) million and $(0.5) million, respectively, to recognize income from the amortization of above market leases and $0.9 million to recognize income from the amortization of below market leases. Residential minimum rents consist of the rental amounts for residential units at Rollingwood Apartments, the Crest at Congressional Plaza Apartments, Santana Row, and Bethesda Row.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54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$ 1,935</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$ 1,554</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8"/>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7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(182)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$ 2,007</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$ 1,633</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SHARE</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We had approximately 0.3 million and 0.2 million weighted average unvested shares outstanding which are considered participating securities for the three months ended March 31, 2011 and 2010, respectively.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6"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0.1 million and 0.5 million stock options have been excluded for the three months ended March 31, 2011 and 2010, respectively, as they were anti-dilutive.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32,344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share dividends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(1,198)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w w:val="94"/>
              </w:rPr>
              <w:t>Income from continuing operations available for common shareholders</w:t>
            </w:r>
          </w:p>
        </w:tc>
        <w:tc>
          <w:tcPr>
            <w:tcW w:w="4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30,820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4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30,860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61,471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61,629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61,220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4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4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31,146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29,260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500" w:type="dxa"/>
            <w:vAlign w:val="bottom"/>
          </w:tcPr>
          <w:p>
            <w:pPr>
              <w:jc w:val="right"/>
              <w:ind w:right="39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April 1, 2011, we sold one building on Fifth Avenue in San Diego, California for a sales price of $1.7 million. The operations of this building are included in discontinued operations in the consolidated statements of operations and included in “assets held for sale” in our consolidated balance sheets for all periods presented.</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April 29, 2011, we repaid the $31.7 million mortgage loan on Federal Plaza which had an original maturity date of June 1, 2011. This loan was repaid with funds borrowed on our $300.0 million revolving credit facility.</w:t>
      </w:r>
    </w:p>
    <w:p>
      <w:pPr>
        <w:spacing w:after="0" w:line="248"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2010 filed with the Securities and Exchange Commission (the “SEC”) on February 15, 2011.</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2010 and under Part II, Item 1A in this Quarterly Report on Form 10-Q, before making any investments in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2011, we owned or had a majority interest in community and neighborhood shopping centers and mixed-use properties which are operated as 86 predominantly retail real estate projects comprising approximately 18.6 million square feet. In total, the real estate projects were 93.8% leased and 93.5% occupied at March 31, 2011. A joint venture in which we own a 30% interest owned seven retail real estate projects totaling approximately 1.0 million square feet as of March 31, 2011. In total, the joint venture properties in which we own a 30% interest were 90.5% leased and 90.4% occupied at March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Property Acquisition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19, 2011, we acquired the fee interest in Tower Shops located in Davie, Florida for a net purchase price of $66.1 million which includes the assumption of a mortgage loan with a face amount of $41.0 million and a fair value of approximately $42.9 million. The property contains approximately 372,000 square feet of gross leasable area on 67 acres and is shadow-anchored by Home Depot and Costco</w:t>
      </w:r>
      <w:r>
        <w:rPr>
          <w:rFonts w:ascii="Arial" w:cs="Arial" w:eastAsia="Arial" w:hAnsi="Arial"/>
          <w:sz w:val="16"/>
          <w:szCs w:val="16"/>
          <w:b w:val="1"/>
          <w:bCs w:val="1"/>
          <w:color w:val="auto"/>
        </w:rPr>
        <w:t>.</w:t>
      </w:r>
      <w:r>
        <w:rPr>
          <w:rFonts w:ascii="Arial" w:cs="Arial" w:eastAsia="Arial" w:hAnsi="Arial"/>
          <w:sz w:val="16"/>
          <w:szCs w:val="16"/>
          <w:color w:val="auto"/>
        </w:rPr>
        <w:t xml:space="preserve"> As part of the preliminary purchase price allocation, approximately $1.2 million and $4.4 million of net assets acquired were allocated to other assets for “above market leases” and other liabilities for “below market leases”, respectively. This allocation will be finalized after various valuation studies are complete. We incurred a total of $0.4 million of acquisition costs of which $0.2 million were incurred in 2011 and are included in “general and administrative expenses” for the three months ended March 31, 2011.</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conjunction with the acquisition, we entered into a reverse Section 1031 like-kind exchange agreement with a third party intermediary which is for a maximum of 180 days and allows us, for tax purposes, to defer gains on sale of other properties identified and sold within this period. Until the earlier of termination of this exchange agreement or July 19, 2011, the third party intermediary is the legal owner of the property. However, we control the activities that most significantly impact the property and retain all of the economic benefits and risks associated with the property. Therefore, we have determined we are the primary beneficiary of this VIE and consolidated the property and its operations as of January 19,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Significant Debt, Equity and Other Transactions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acquisition of Tower Shops on January 19, 2011, we assumed a mortgage loan with a face amount of $41.0 million and a fair value of approximately $42.9 million. The mortgage loan bore interest at 6.52%, had a scheduled maturity in July 2015 and was contractually pre-payable after June 2011 with a 3% prepayment premium. On March 24, 2011, the lender unexpectedly allowed us to repay the $41.0 million mortgage loan prior to the permitted prepayment date including the 3% prepayment premium of $1.2 million. The $0.3 million of income from early extinguishment of debt in the three months ended March 31, 2011, relates to the early payoff of this loan and includes the write-off of the unamortized debt premium of $1.7 million net of the 3% prepayment premium and unamortized debt fees. The mortgage loan was repaid with funds borrowed on our $300.0 million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On February 15, 2011, we repaid our $75.0 million 4.50% senior notes on the maturity date using funds borrowed on our $300.0 million revolving credit facility.</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24, 2011, we entered into an at the market (“ATM”) equity program in which we may from time to time offer and sell common shares having an aggregate offering price of up to $300.0 million. We intend to use the net proceeds to fund potential acquisition opportunities, fund our redevelopment pipeline, repay amounts outstanding under our revolving credit facility and/or for general corporate purposes. For the three months ended March 31, 2011, we issued 592,589 shares at a weighted average price per share of $82.45 for net cash proceeds of $48.0 million and paid $0.7 million in commissions related to the sales of these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March 2011, we paid the final judgment of $16.2 million related to a previously disclosed lawsuit regarding a parcel of land located adjacent to Santana Row.</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final judgment was previously accrued and is included in “accounts payable and accrued expenses” in our consolidated balance sheet at December 31, 2010.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2011 and 2012, we expect to have redevelopment projects stabilizing with projected costs of approximately $47 million and $52 million, respectively.</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Additionally, we continue to invest in the development at Assembly Row which is a long-term development project we expect to be involved in over the coming years. The carrying value of the development portion of this project at March 31, 2011 is approximately $117 million.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companies. We have entered into a preliminary agreement with a residential developer for the first phase of development and continue our current predevelopment work and infrastructure work. We expect to invest between $10 million and $30 million related to the development in 2011, net of expected public funding. However, we do not intend to move forward with construction of the first phase of the project until the Massachusetts Bay Transit Authority (“MBTA”) has received qualified bids from contractors showing that a new orange line T-stop can be built at the property for no more than the public and private funding that has been committed for this T-stop and the contingencies to releasing those funds have been satisfied. If the MBTA does not receive qualified bids demonstrating that the T-stop can be built for the amount committed for construction or the contingencies to releasing those funds are not satisfied, it is unlikely we would commence construction and be able to recover our basis in the property and as a result, would be required to record an impairment.</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continue to review acquisition opportunities in our primary markets that complement our portfolio and provide long-term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assumed or new mortgages.</w:t>
      </w:r>
    </w:p>
    <w:p>
      <w:pPr>
        <w:spacing w:after="0" w:line="1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these vacant spaces. We seek to maintain a mix of strong national, regional, and local retailers. At March 31, 2011, no single tenant accounted for more than 2.6% of annualized base rent.</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current economic environment has impacted the success of our tenants’ retail operations and therefore the amount of rent and expense reimbursements we receive from our tenants. Since 2008, we have seen a number of our tenants experiencing declining sales, vacating early, or filing for bankruptcy, as well as seeking rent relief from us as landlord. Any reduction in our tenants’ abilities to pay base rent, percentage rent or other charges, will adversely affect our financial condition and results of operations. While we believe the locations of our centers and diverse tenant base mitigates the negative impact of the economic environment, we may see an increase in vacancy over the short term that could have a negative impact on our revenue and bad debt expense. We expect our occupancy rate will decrease in the short term as we seek to re-lease approximately 103,000 square feet of space that became vacant in April 2011 due to the rejection of three leases by Borders Group and the rejection of five leases by Blockbuster in their respective bankruptcy proceedings. We are currently working to re-lease the space but expect the leasing and final occupancy of the spaces to take several quarters. Conversely, since the latter part of 2010, we have also seen signs of improvement for some of our tenants as well as increased interest from prospective tenants for our retail spaces; however, there can be no assurance that these positive signs will continue. We continue to monitor our tenants’ operating performances as well as trends in the retail industry to evaluate any future impact.</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March 31, 2011, the leasable square feet in our properties was 93.5% occupied and 93.8%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Rollovers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first quarter 2011, we signed leases for a total of 382,000 square feet of retail space including 340,000 square feet of comparable space leases (leases for which there was a prior tenant) at an average rental increase of 11% on a cash basis and 24% on a straight-line basis. New leases for comparable spaces were signed for 145,000 square feet at an average rental increase of 19% on a cash basis and 34% on a straight-line basis. Renewals for comparable spaces were signed for 195,000 square feet at an average rental increase of 6% on a cash basis and 18% on a straight-line basis.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percentage rent, to be paid on the new lease. In some instances, management exercises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leases signed in first quarter 2011 generally become effective over the following two years though some may not become effective until 2013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2011, we expect a similar level of leasing activity compared to prior years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MARCH 31, 2011 AND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Dollars</w:t>
            </w:r>
          </w:p>
        </w:tc>
        <w:tc>
          <w:tcPr>
            <w:tcW w:w="3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(Dollar amounts</w:t>
            </w:r>
          </w:p>
        </w:tc>
        <w:tc>
          <w:tcPr>
            <w:tcW w:w="3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135,270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131,348</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$ 3,922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5,910</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(3,820)</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138,481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138,324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29,904</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44,992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93,332</w:t>
            </w:r>
          </w:p>
        </w:tc>
        <w:tc>
          <w:tcPr>
            <w:tcW w:w="20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from real estate partnerships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(25,044)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9"/>
              </w:rPr>
              <w:t>(25,962)</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(2,801)</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3,097</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(5,489)</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w w:val="89"/>
              </w:rPr>
              <w:t>(28,861)</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(1,708)</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(61,030)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9"/>
              </w:rPr>
              <w:t>(62,738)</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30,594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30,554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(1,334)</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31,186</w:t>
            </w:r>
          </w:p>
        </w:tc>
        <w:tc>
          <w:tcPr>
            <w:tcW w:w="1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29,220</w:t>
            </w:r>
          </w:p>
        </w:tc>
        <w:tc>
          <w:tcPr>
            <w:tcW w:w="200" w:type="dxa"/>
            <w:vAlign w:val="bottom"/>
          </w:tcPr>
          <w:p>
            <w:pPr>
              <w:spacing w:after="0"/>
              <w:rPr>
                <w:sz w:val="19"/>
                <w:szCs w:val="19"/>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$ 1,966</w:t>
            </w:r>
          </w:p>
        </w:tc>
        <w:tc>
          <w:tcPr>
            <w:tcW w:w="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Total property revenue increased $0.2 million, or 0.1%, to $138.5 million in the three months ended March 31, 2011 compared to $138.3 million in the three months ended March 31, 2010. The percentage occupied at our shopping centers remained unchanged at 93.5% for March 31, 2011 and 2010.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$3.9 million, or 3.0%,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$135.3 million in the three months ended March 31, 2011 compared to $131.3 million in the three months ended March 31, 2010 due primarily to the following:</w:t>
      </w:r>
    </w:p>
    <w:p>
      <w:pPr>
        <w:spacing w:after="0" w:line="10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$1.8 million attributable to properties acquired in 2010 and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$1.0 million at redevelopment properties due primarily to increased occupancy and rental rates on new leases, and</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$0.9 million at same-center properties due primarily to higher rental rates on new and renewal leases partially offset by lower recoveries.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Other property income decreased $3.8 million, or 64.6%, to $2.1 million in the three months ended March 31, 2011 compared to $5.9 million in the three months ended March 31, 2010. Included in other property income are items which, although recurring, tend to fluctuate more than rental income from period to period, such as lease termination fees. This decrease is primarily due to a decrease in lease termination fees at redevelopment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Total property expenses increased $0.1 million, or 0.3%, to $45.1 million in the three months ended March 31, 2011 compared to $45.0 million in the three months ended March 31, 2010. Changes in the components of property expenses are discussed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Rental expenses decreased $0.3 million, or 1.0%, to $29.6 million in the three months ended March 31, 2011 compared to $29.9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2010. This decrease is primarily due to the following:</w:t>
      </w:r>
    </w:p>
    <w:p>
      <w:pPr>
        <w:spacing w:after="0" w:line="84" w:lineRule="exact"/>
        <w:rPr>
          <w:sz w:val="20"/>
          <w:szCs w:val="20"/>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$0.6 million in ground rent due to the fourth quarter 2010 purchases of the fee interest in the land under Pentagon Row and a portion of Bethesda Row,</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$0.6 million in bad debt expense at same-center and redevelopment properties, and</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$0.5 million in repairs and maintenance at same center and redevelopment properties due primarily to lower snow removal costs in 2011 compared to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$0.5 million related to properties acquired in 2010 and 2011,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$0.5 million in marketing expense primarily due to our Assembly Row project.</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 result of the changes in rental income, other property income and rental expenses as discussed above, rental expenses as a percentage of rental income plus other property income decreased to 21.5% in the three months ended March 31, 2011 from 21.8% in the three months ended March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Real estate tax expense increased $0.4 million, or 2.8% to $15.5 million in the three months ended March 31, 2011 compared to $15.1 million in the three months ended March 31, 2010 due primarily to properties acquired in 2010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Property operating income was $93.4 million in the three months ended March 31, 2011 compared to $93.3 million in the three months ended March 31, 2010. This increase is primarily due to growth in earnings at same-center properties and properties acquired in 2010 and 2011 partially offset by a decrease in lease termination fees at redevelopment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decreased $0.9 million, or 3.5%, to $25.0 million in the three months ended March 31, 2011 compared to $26.0 million in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2010. This decrease is due primarily to the following:</w:t>
      </w:r>
    </w:p>
    <w:p>
      <w:pPr>
        <w:spacing w:after="0" w:line="8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$1.9 million due to a lower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$0.2 million in capitalized interest,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$1.3 million due to higher borrowings.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Gross interest costs were $26.8 million and $27.5 million in the three months ended March 31, 2011 and 2010, respectively. Capitalized interest was $1.8 million and $1.5 million in the three months ended March 31, 2011 and 2010,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$0.3 million of income from early extinguishment of debt in the three months ended March 31, 2011 is due to the write-off of unamortized debt premium net of a 3% prepayment premium and unamortized debt fees related to the payoff of our mortgage loan on Tower Shops prior to its contractual prepayment date. The $2.8 million early extinguishment of debt expense in the three months ended March 31, 2010 is due to the write-off of unamortized debt fees related to the $250.0 million payoff of the term loan prior to its maturity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General and administrative expense increased $0.6 million, or 10.2%, to $6.1 million in the three months ended March 31, 2011 from $5.5 million in the three months ended March 31, 2010. This increase is due primarily to higher personnel related costs, higher acquisition costs as a result of expensing all transaction costs on higher acquisitions volume partially offset by lower legal fees as a result of litigation regarding certain rights to acquire the land under Pentagon Row which was fully resolved in fourth quarter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Depreciation and amortization expense increased $1.7 million, or 5.9%, to $30.6 million in the three months ended March 31, 2011 from $28.9 million in the three months ended March 31, 2010. This increase is due primarily to 2010 and 2011 acquisitions, accelerated depreciation due to the change in use of certain redevelopment buildings, and capital improvements at same-center and redevelopment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4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February 24, 2011, we entered into an ATM equity program in which we may from time to time offer and sell common shares having an aggregate offering price of up to $300.0 million. As of March 31, 2011, we issued 592,589 shares for net cash proceeds of $48.0 million. We intend to use the proceeds from these sales to fund potential acquisition opportunities, fund our redevelopment pipeline, repay amounts outstanding under our revolving credit facility and/or for general corporate purposes.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Cash and cash equivalents decreased $5.8 million to $10.0 million at March 31, 2011; however, cash and cash equivalents are not the only indicator of our liquidity. We also have a $300.0 million unsecured revolving credit facility that matures July 27, 2011, which had an outstanding balance of $192.0 million at March 31, 2011. For the three months ended March 31, 2011, the maximum amount of borrowings outstanding under our revolving credit facility was $222.0 million, the weighted average amount of borrowings outstanding was $152.6 million and the weighted average interest rate, before amortization of debt fees, was 0.71%. Also, as of March 31, 2011, we had the capacity to issue up to $251.1 million in common shares under our ATM equity program.</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March 31, 2011, we have $37.3 million of debt maturities related to mortgages payable during the remainder of 2011, of which $31.7 million was repaid in April 2011. Additionally, our $300.0 million revolving credit facility matures in July 2011. We are currently working with lenders to refinance the facility and anticipate being able to obtain at least similar levels of commitments under a new credit facility. We expect the interest rate to be higher than our current revolving credit facility consistent with current market rates for similar facilities. We currently believe that cash flows from operations, cash on hand, our ATM equity program and our revolving credit facility will be sufficient to finance our operations and fund our capital expenditures.</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overall capital requirements during the remainder of 2011 will depend upon acquisition opportunities, the level of improvements and redevelopments on existing properties and the timing and cost of development of Assembly Row and future phases of existing properties. While the amount of future expenditures will depend on numerous factors, we expect to incur at least similar levels of capital expenditures in 2011 compared to prior periods which will be funded on a short-term basis with cash flow from operations, cash on hand, a revolving credit facility and/or shares issued under our ATM equity program, and on a long-term basis, with long-term debt or equity. If necessary, we may access the debt or equity capital markets to finance significant acquisitions. Given our past success as well as the status of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57,961</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(52,908)</w:t>
            </w: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(145,521)</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(5,796)</w:t>
            </w: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(112,795)</w:t>
            </w: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10,001</w:t>
            </w:r>
          </w:p>
        </w:tc>
        <w:tc>
          <w:tcPr>
            <w:tcW w:w="46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22,594</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Net cash provided by operating activities decreased $12.0 million to $46.0 million during the three months ended March 31, 2011 from $58.0 million during the three months ended March 31, 2010. The decrease was primarily attributable to the $16.2 million payment of the final judgment related to a previously disclosed lawsuit, timing of operating expense billings to tenants partially offset by timing of payments related to operating expenses.</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Net cash used in investing activities increased $27.7 million to $52.9 million during the three months ended March 31, 2011 from $25.2 million during the three months ended March 31, 2010.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$18.9 million related to the acquisition of Tower Shops in January 2011,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$18.7 million increase in capital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$10.5 million acquisition of a first mortgage loan in March 2010.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cash provided by financing activities increased $146.6 million to $1.1 million during the three months ended March 31, 2011 compared to $145.5 million of cash used during the three months ended March 31, 2010. The increase was primarily attributable to:</w:t>
      </w:r>
    </w:p>
    <w:p>
      <w:pPr>
        <w:spacing w:after="0" w:line="51" w:lineRule="exact"/>
        <w:rPr>
          <w:sz w:val="20"/>
          <w:szCs w:val="20"/>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$207.6 million decrease in repayment of mortgages, capital leases and notes payable due substantially to the $250 million payoff of our term loan in 2010,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$115.0 million increase in net borrowings on our revolving credit facility,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$47.6 million increase in net proceeds from the issuance of common shares due primarily to the sale of 0.6 million shares under our ATM equity program entered into in February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$148.6 million in net proceeds from the issuance of 5.90% senior notes in March 2010 and no issuances in 2011,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$75.0 million repayment of 4.50% senior notes in February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March 31, 2011,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March 31, 2011, our investment in the Partnership was $35.1 million and the Partnership had approximately $57.5 million of mortgages payable outstanding. Our share of principal and interest payments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w w:val="89"/>
              </w:rPr>
              <w:t>Joint Venture Commitments Due by Period</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Less Than</w:t>
            </w:r>
          </w:p>
        </w:tc>
        <w:tc>
          <w:tcPr>
            <w:tcW w:w="800" w:type="dxa"/>
            <w:vAlign w:val="bottom"/>
            <w:gridSpan w:val="2"/>
          </w:tcPr>
          <w:p>
            <w:pPr>
              <w:jc w:val="right"/>
              <w:ind w:right="95"/>
              <w:spacing w:after="0" w:line="129" w:lineRule="exact"/>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1"/>
                <w:szCs w:val="11"/>
                <w:color w:val="auto"/>
              </w:rPr>
            </w:pPr>
          </w:p>
        </w:tc>
        <w:tc>
          <w:tcPr>
            <w:tcW w:w="580" w:type="dxa"/>
            <w:vAlign w:val="bottom"/>
            <w:gridSpan w:val="2"/>
          </w:tcPr>
          <w:p>
            <w:pPr>
              <w:jc w:val="right"/>
              <w:ind w:right="92"/>
              <w:spacing w:after="0" w:line="129"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After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w w:val="85"/>
              </w:rPr>
              <w:t>1 Year</w:t>
            </w:r>
          </w:p>
        </w:tc>
        <w:tc>
          <w:tcPr>
            <w:tcW w:w="3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 (principal and interest)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$2,112</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$8,272</w:t>
            </w: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160" w:type="dxa"/>
            <w:vAlign w:val="bottom"/>
          </w:tcPr>
          <w:p>
            <w:pPr>
              <w:spacing w:after="0"/>
              <w:rPr>
                <w:sz w:val="24"/>
                <w:szCs w:val="24"/>
                <w:color w:val="auto"/>
              </w:rPr>
            </w:pPr>
          </w:p>
        </w:tc>
        <w:tc>
          <w:tcPr>
            <w:tcW w:w="3220" w:type="dxa"/>
            <w:vAlign w:val="bottom"/>
          </w:tcPr>
          <w:p>
            <w:pPr>
              <w:jc w:val="right"/>
              <w:ind w:right="1492"/>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in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Accounting policies for the Newbury Street Partnership are similar to accounting policies followed by the Trust. The entity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 At March 31, 2011, Newbury Street Partnership owned two properties containing both retail and office space and we had invested approximately $16.8 million in Newbury Street Partnership including an $8.8 million mortgage loan.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Original</w:t>
            </w:r>
          </w:p>
        </w:tc>
        <w:tc>
          <w:tcPr>
            <w:tcW w:w="2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Stated Interest Rate</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Debt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as of</w:t>
            </w:r>
          </w:p>
        </w:tc>
        <w:tc>
          <w:tcPr>
            <w:tcW w:w="16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as of</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Issued</w:t>
            </w:r>
          </w:p>
        </w:tc>
        <w:tc>
          <w:tcPr>
            <w:tcW w:w="22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2011</w:t>
            </w: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March 31, 2011</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60" w:type="dxa"/>
            <w:vAlign w:val="bottom"/>
            <w:gridSpan w:val="6"/>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Mortgages payable (1)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 (2)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31,728</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5,665</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7.40%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19,994</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5.37%</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White Marsh Plaza (3)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9,508</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6.04%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Idylwood Plaza</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16,910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16,479</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28,673</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Loehmann’s Plaza</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38,047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37,077</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Pentagon Row</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53,227</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Melville Mall (4)</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22,889</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5.25%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57,509</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44,300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39,642</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14,944</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28,099</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28,636</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29,265</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Rollingwood Apartments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24,050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23,482</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Mount Vernon (5)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13,250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10,843</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5.66%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Acquired</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Subtotal</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527,307</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Total mortgages payable</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526,851</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 (6)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11,417</w:t>
            </w: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Various through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facility (7)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LIBOR + 0.425%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2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212,817</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6.00% notes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5.40% notes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5.95% notes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5.95%</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6.20%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5.90% notes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7.48% debentures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29,200</w:t>
            </w:r>
          </w:p>
        </w:tc>
        <w:tc>
          <w:tcPr>
            <w:tcW w:w="4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7.48%</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6.82% medium term notes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Subtotal</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1,004,200</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premium</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Total senior notes and debentures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1,004,788</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lease obligations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Various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59,599</w:t>
            </w:r>
          </w:p>
        </w:tc>
        <w:tc>
          <w:tcPr>
            <w:tcW w:w="420" w:type="dxa"/>
            <w:vAlign w:val="bottom"/>
          </w:tcPr>
          <w:p>
            <w:pPr>
              <w:spacing w:after="0"/>
              <w:rPr>
                <w:sz w:val="19"/>
                <w:szCs w:val="19"/>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Various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Various through 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1,804,055</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8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Mortgages payable do not include our 30% share ($17.3 million) of the $57.5 million debt of the partnership with a discretionary fund created and advised by ING Clarion Partners. It also excludes the $8.8 million mortgage loan on our Newbury Street Partnership for which we are the lender.</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repaid this mortgage loan on April 29, 2011.</w:t>
      </w:r>
    </w:p>
    <w:p>
      <w:pPr>
        <w:spacing w:after="0" w:line="9"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of 3.53% represents the weighted average interest rate for three unsecured fixed rate notes payable. These notes mature between April 1, 2012 and January 31, 2013.</w:t>
      </w:r>
    </w:p>
    <w:p>
      <w:pPr>
        <w:jc w:val="both"/>
        <w:ind w:left="460" w:right="1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2011 was $222.0 million. The weighted average effective interest rate on borrowings under our revolving credit facility, before amortization of debt fees, was 0.71% for the three months ended March 31, 2011.</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revolving credit facility and other debt agreements include financial and other covenants that may limit our operating activities in the future. As of March 31, 2011,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March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0"/>
              </w:rPr>
              <w:t>Unsecured</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3"/>
              </w:rPr>
              <w:t>Secured</w:t>
            </w:r>
          </w:p>
        </w:tc>
        <w:tc>
          <w:tcPr>
            <w:tcW w:w="40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2011</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192,660(1)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44,703</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238,425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185,727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17,380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204,607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2014</w:t>
            </w:r>
          </w:p>
        </w:tc>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156,364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308,089</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203,398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205,249</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553,600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33,355</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51,852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638,807</w:t>
            </w:r>
          </w:p>
        </w:tc>
      </w:tr>
      <w:tr>
        <w:trPr>
          <w:trHeight w:val="27"/>
        </w:trPr>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1,217,017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527,307</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59,599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1,803,923(2)</w:t>
            </w: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$300 million revolving credit facility matures on July 27, 2011. As of March 31, 2011, there was $192.0 million drawn under this credit facility.</w:t>
      </w:r>
    </w:p>
    <w:p>
      <w:pPr>
        <w:spacing w:after="0" w:line="38" w:lineRule="exact"/>
        <w:rPr>
          <w:rFonts w:ascii="Arial" w:cs="Arial" w:eastAsia="Arial" w:hAnsi="Arial"/>
          <w:sz w:val="16"/>
          <w:szCs w:val="16"/>
          <w:color w:val="auto"/>
        </w:rPr>
      </w:pPr>
    </w:p>
    <w:p>
      <w:pPr>
        <w:ind w:left="460" w:right="56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March 31,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had no hedging instruments outstanding during the three months ended March 31, 2011.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59" w:lineRule="exact"/>
        <w:rPr>
          <w:sz w:val="20"/>
          <w:szCs w:val="20"/>
          <w:color w:val="auto"/>
        </w:rPr>
      </w:pPr>
    </w:p>
    <w:p>
      <w:pPr>
        <w:ind w:left="900" w:right="8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43"/>
              <w:spacing w:after="0"/>
              <w:rPr>
                <w:sz w:val="20"/>
                <w:szCs w:val="20"/>
                <w:color w:val="auto"/>
              </w:rPr>
            </w:pPr>
            <w:r>
              <w:rPr>
                <w:rFonts w:ascii="Arial" w:cs="Arial" w:eastAsia="Arial" w:hAnsi="Arial"/>
                <w:sz w:val="14"/>
                <w:szCs w:val="14"/>
                <w:b w:val="1"/>
                <w:bCs w:val="1"/>
                <w:color w:val="auto"/>
                <w:w w:val="89"/>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560" w:type="dxa"/>
            <w:vAlign w:val="bottom"/>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w w:val="91"/>
              </w:rPr>
              <w:t>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30,554</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18"/>
                <w:szCs w:val="18"/>
                <w:color w:val="auto"/>
              </w:rPr>
            </w:pPr>
          </w:p>
        </w:tc>
        <w:tc>
          <w:tcPr>
            <w:tcW w:w="1380" w:type="dxa"/>
            <w:vAlign w:val="bottom"/>
            <w:gridSpan w:val="2"/>
          </w:tcPr>
          <w:p>
            <w:pPr>
              <w:jc w:val="right"/>
              <w:ind w:right="452"/>
              <w:spacing w:after="0"/>
              <w:rPr>
                <w:sz w:val="20"/>
                <w:szCs w:val="20"/>
                <w:color w:val="auto"/>
              </w:rPr>
            </w:pPr>
            <w:r>
              <w:rPr>
                <w:rFonts w:ascii="Arial" w:cs="Arial" w:eastAsia="Arial" w:hAnsi="Arial"/>
                <w:sz w:val="18"/>
                <w:szCs w:val="18"/>
                <w:color w:val="auto"/>
              </w:rPr>
              <w:t>(1,198)</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26,087</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61,442</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57,894</w:t>
            </w:r>
          </w:p>
        </w:tc>
        <w:tc>
          <w:tcPr>
            <w:tcW w:w="0" w:type="dxa"/>
            <w:vAlign w:val="bottom"/>
          </w:tcPr>
          <w:p>
            <w:pPr>
              <w:spacing w:after="0"/>
              <w:rPr>
                <w:sz w:val="1"/>
                <w:szCs w:val="1"/>
                <w:color w:val="auto"/>
              </w:rPr>
            </w:pPr>
          </w:p>
        </w:tc>
      </w:tr>
      <w:tr>
        <w:trPr>
          <w:trHeight w:val="218"/>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61,270</w:t>
            </w:r>
          </w:p>
        </w:tc>
        <w:tc>
          <w:tcPr>
            <w:tcW w:w="5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(1)</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61,991</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0.99</w:t>
            </w:r>
          </w:p>
        </w:tc>
        <w:tc>
          <w:tcPr>
            <w:tcW w:w="5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2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three months ended March 31, 2011 and 2010,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March 31, 2011,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March 31, 2011, we had $1.5 billion of fixed-rate debt outstanding and $59.6 million of capital lease obligations. If market interest rates used to calculate the fair value on our fixed-rate debt instruments at March 31, 2011 had been 1.0% higher, the fair value of those debt instruments on that date would have decreased by approximately $64.4 million. If market interest rates used to calculate the fair value on our fixed-rate debt instruments at March 31, 2011 had been 1.0% lower, the fair value of those debt instruments on that date would have increased by approximately $68.6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March 31, 2011, we had $201.4 million of variable rate debt outstanding which consisted of $192.0 million outstanding on our revolving credit facility and $9.4 million of municipal bonds. Based upon this amount of variable rate debt and the specific terms, if market interest rates increased 1.0%, our annual interest expense would increase by approximately $2.0 million, and our net income and cash flows for the year would decrease by approximately $2.0 million. Conversely, if market interest rates decreased 1.0%, our annual interest expense would decrease by approximately $1.3 million with a corresponding increase in our net income and cash flows for the year.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2011. Based on this evaluation, our management, including our Chief Executive Officer and Chief Financial Officer, concluded that our disclosure controls and procedures were effective as of March 31, 2011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March 2011, we paid the final judgment of $16.2 million related to a previously disclosed lawsuit regarding a parcel of land located adjacent to Santana Row.</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final judgment was previously accrued and is included in “accounts payable and accrued expenses” in our consolidated balance sheet at December 31, 2010.</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for the year ended December 31, 2010 filed with the SEC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2011. These factors include, but are not limited to, the following:</w:t>
      </w:r>
    </w:p>
    <w:p>
      <w:pPr>
        <w:spacing w:after="0" w:line="84" w:lineRule="exact"/>
        <w:rPr>
          <w:sz w:val="20"/>
          <w:szCs w:val="20"/>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costs associated with the periodic maintenance and repair or renovation of space, insurance and other operations may increase;</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our status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held our Annual Meeting of Shareholders on May 4,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660" w:val="left"/>
          <w:tab w:leader="none" w:pos="8020" w:val="left"/>
        </w:tabs>
        <w:rPr>
          <w:sz w:val="20"/>
          <w:szCs w:val="20"/>
          <w:color w:val="auto"/>
        </w:rPr>
      </w:pPr>
      <w:r>
        <w:rPr>
          <w:rFonts w:ascii="Arial" w:cs="Arial" w:eastAsia="Arial" w:hAnsi="Arial"/>
          <w:sz w:val="18"/>
          <w:szCs w:val="18"/>
          <w:color w:val="auto"/>
        </w:rPr>
        <w:t>May 5,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219" w:lineRule="exact"/>
        <w:rPr>
          <w:sz w:val="20"/>
          <w:szCs w:val="20"/>
          <w:color w:val="auto"/>
        </w:rPr>
      </w:pPr>
    </w:p>
    <w:p>
      <w:pPr>
        <w:spacing w:after="0"/>
        <w:tabs>
          <w:tab w:leader="none" w:pos="7600" w:val="left"/>
          <w:tab w:leader="none" w:pos="7920" w:val="left"/>
        </w:tabs>
        <w:rPr>
          <w:sz w:val="20"/>
          <w:szCs w:val="20"/>
          <w:color w:val="auto"/>
        </w:rPr>
      </w:pPr>
      <w:r>
        <w:rPr>
          <w:rFonts w:ascii="Arial" w:cs="Arial" w:eastAsia="Arial" w:hAnsi="Arial"/>
          <w:sz w:val="18"/>
          <w:szCs w:val="18"/>
          <w:color w:val="auto"/>
        </w:rPr>
        <w:t>May 5, 2011</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Senior Vice President - Chief Financial Officer and Treasurer</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jc w:val="center"/>
              <w:ind w:right="91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040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 Trust of</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Federal Realty Investment Trust dated May 6, 2004, as corrected by the Certificate of Correction of Articles of Amendment of Declaration of Trust</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of Federal Realty Investment Trust dated June 17, 2004, as amended by the Articles of Amendment of Declaration of Trust of Federal Realty</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Investment Trust dated May 6, 2009 (previously filed as Exhibit 3.1 to the Trust’s Registration Statement on Form S-3 (File No. 333-160009)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February 17, 2006 and May 6, 2009 (previously filed as Exhibit 3.2 to the Trust’s Registration Statement on Form S-3 (File No. 333-160009)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Specimen Common Share certificate (previously filed as Exhibit 4(i) to the Trust’s Annual Report on Form 10-K for the year ended December 31,</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Articles Supplementary relating to the 5.417% Series 1 Cumulative Convertible Preferred Shares of Beneficial Interest (previously filed as</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6"/>
              </w:rPr>
              <w:t>Exhibit 4.1 to the Trust’s Current Report on Form 8-K filed on March 13, 2007,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March 11, 1999, between the Trust and American Stock Transfer &amp; Trust Company (previously</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filed as Exhibit 1 to the Trust’s Registration Statement on Form 8-A/A filed on March 11, 1999 (File No. 1-07533)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Second Amendment to Amended and Restated Rights Agreement, dated as of March 11, 2009, between the Trust and American Stock Transfer &amp;</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Trust Company (previously filed as Exhibit 4.3 to the Trust’s current Report on Form 8-K (File No. 001-07533)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Indenture dated December 1, 1993 related to the Trust’s 7.48% Debentures due August 15, 2026; and 6.82% Medium Term Notes due August 1,</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2027; (previously filed as Exhibit 4(a) to the Trust’s Registration Statement on Form S-3 (File No. 33-51029), and amended on Form S-3</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Indenture dated September 1, 1998 related to the Trust’s 4.50% Notes due 2011, 5.65% Notes due 2016; 6.00% Notes due 2012; 6.20% Notes due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2017; 5.40% Notes due 2013; 5.95% Notes due 2014 and the 5.90% Notes due 2020 (previously filed as Exhibit 4(a) to the Trust’s Registration</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Statement on Form S-3 (File No. 333-63619) filed on September 17, 1998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Pursuant to Regulation S-K Item 601(b)(4)(iii), the Trust by this filing agrees, upon request, to furnish to the Securities and Exchange Commission</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a copy of other instruments defining the rights of holders of long-term debt of the Trust</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10.1</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10.2</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10.3</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10.4</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10.5</w:t>
            </w:r>
          </w:p>
        </w:tc>
        <w:tc>
          <w:tcPr>
            <w:tcW w:w="56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 to</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the Trust’s Annual Report on Form 10-K for the year ended December 31, 2000 (File No. 1-07533) and incorporated herein by reference)</w:t>
            </w: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46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460" w:type="dxa"/>
            <w:vAlign w:val="bottom"/>
            <w:gridSpan w:val="2"/>
          </w:tcPr>
          <w:p>
            <w:pPr>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Jeffrey S. Berkes dated March 1, 2000 (previously filed as a portion of Exhibit 10 to the Trust’s Annual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2001 (File No. 1-07533)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Jeffrey S. Berkes dated February 16, 2005 (previously filed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2001 Long-Term Incentive Plan (previously filed as Exhibit 99.1 to the Trust’s S-8 Registration Number 333-60364 filed on May 7, 2001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Health Coverage Continuation Agreement between Federal Realty Investment Trust and Donald C. Wood dated February 16, 2005 (previously filed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as Exhibit 10.26 to the 2004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Dawn M. Becker dated April 19, 2000 (previously filed as Exhibit 10.26 to the Trust’s 2005 2Q Form</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10-Q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Dawn M. Becker dated February 16, 2005 (previously filed as Exhibit 10.27 to the 2004</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awards made under the Trust’s Annual Incentive Bonus Program for shares issued out of 2001 Long-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Term Incentive Plan (previously filed as Exhibit 10.29 to the 2004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Form of Option Award Agreement for options awarded under 2001 Long-Term Incentive Plan (previously filed as Exhibit 10.30 to the 2004 Form</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 2001</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10.16</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July 28, 2006, by and between the Trust, Wachovia Capital Markets LLC, Wachovia Bank, National Association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various other financial institutions (previously filed as Exhibit 10.20 to the Trust’s Quarterly Report on Form 10-Q for the quarter ended March 31,</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(File No. 1-07533)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10.17</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Amended and Restated 2001 Long-Term Incentive Plan (previously filed as Exhibit 10.34 to the Trust’s Quarterly Report on Form 10-Q for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 ended June 30, 2008 (File No. 1-07533)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10.18</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Change in Control Agreement between the Trust and Andrew P. Blocher dated February 12, 2007 (previously filed as Exhibit 10.27 to the Trust’s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September 30, 2008 (File No. 1-07533)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10.19</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Severance Agreement between the Trust and Donald C. Wood dated January 1, 2009 (previously filed as Exhibit 10.26 to the Trust’s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Annual Report on Form 10-K for the year ended December 31, 2008 (File No. 1-07533) (“the 2008 Form 10-K”) and incorporated herein by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10.20</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Executive Agreement between the Trust and Donald C. Wood dated January 1, 2009 (previously filed as Exhibit 10.27 to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10.21</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Health Coverage Continuation Agreement between the Trust and Donald C. Wood dated January 1, 2009 (previously filed as Exhibit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10.28 to the Trust’s 2008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10.22</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Jeffrey S. Berkes dated January 1, 2009 (previously filed as Exhibit 10.29 to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10.23</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Second Amendment to Severance Agreement between the Trust and Dawn M. Becker dated January 1, 2009 (previously filed as Exhibit 10.30 to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10.24</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Amendment to Change in Control Agreement between the Trust and Andrew P. Blocher dated January 1, 2009 (previously filed as Exhibit 10.31 to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Trust’s 2008 Form 10-K and incorporated herein by reference)</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10.25</w:t>
            </w:r>
          </w:p>
        </w:tc>
        <w:tc>
          <w:tcPr>
            <w:tcW w:w="46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Amendment to Stock Option Agreements between the Trust and Andrew P. Blocher dated February 17, 2009 (previously filed as Exhibit 10.32 to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0"/>
              </w:rPr>
              <w:t>,Exhibit</w:t>
            </w:r>
          </w:p>
        </w:tc>
        <w:tc>
          <w:tcPr>
            <w:tcW w:w="42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0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Restricted Share Award Agreement between the Trust and Andrew P. Blocher dated February 17, 2009 (previously filed as Exhibit 10.33 to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Trust’s 2008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Combined Incentive and Non-Qualified Stock Option Agreement between the Trust and Andrew P. Blocher dated February 17, 2009 (previously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as Exhibit 10.34 to the Trust’s 2008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Severance Agreement between the Trust and Andrew P. Blocher dated February 17, 2009 (previously filed as Exhibit 10.35 to the Trust’s 2008 Form</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Credit Agreement dated as of May 4, 2009, by and among the Trust, Wachovia Capital Markets LLC, PNC Capital Markets LLC, Wachovia Bank,</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National Association, PNC Bank, National Association and various other financial institutions (previously filed as Exhibit 10.36 to the Trust’s</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2010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2010 Performance Incentive Plan (previously filed as Appendix A to the Trust’s Definitive Proxy Statement for the 2010 Annual Meeting of</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Shareholders (File No. 01-07533)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Amendment to 2010 Performance Incentive Plan (“the 2010 Plan”) (previously filed as Appendix A to the Trust’s Proxy Supplement for the 2010</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Annual Meeting of Shareholders (File No. 01-07533)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Restricted Share Award Agreement between the Trust and Donald C. Wood dated October 12, 2010 (previously filed as Exhibit 10.36 to the Trust’s</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9"/>
              </w:rPr>
              <w:t>Quarterly Report on Form 10-Q for the quarter ended September 30, 2010 (File No. 01-07533)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Form of Restricted Share Award Agreement for awards made under the Trust’s Long-Term Incentive Award Program and the Trust’s Annual</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Incentive Bonus Program and basic awards with annual vesting for shares issued out of the 2010 Plan (previously filed as Exhibit 10.34 to the</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Trust’s Annual Report on Form 10-K for the year ended December 31, 2010 (File No. 1-07533) (the “2010 Form 10-K”) and incorporated herein by</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8"/>
              </w:rPr>
              <w:t>Form of Restricted Share Award Agreement for long-term vesting and retention awards made under the Trust’s Long-Term Incentive Award Program</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 shares issued out of the 2010 Plan (previously filed as Exhibit 10.35 to the Trust’s 2010 Form 10-K (File No. 1-07533) and incorporated herein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front loaded awards made under the Trust’s Long-Term Incentive Award Program for shares issued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out of the 2010 Plan (previously filed as Exhibit 10.36 to the Trust’s 2010 Form 10-K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Performance Share Award Agreement for awards made under the Trust’s Long-Term Incentive Award Program for shares issued out of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Plan (previously filed as Exhibit 10.37 to the Trust’s 2010 Form 10-K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awards made under the Trust’s Long-Term Incentive Award Program for shares issued out of the 2010 Plan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(previously filed as Exhibit 10.38 to the Trust’s 2010 Form 10-K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Option Award Agreement for front loaded awards made under the Trust’s Long-Term Incentive Award Program for shares issued out of the</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Plan (previously filed as Exhibit 10.39 to the Trust’s 2010 Form 10-K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Form of Option Award Agreement for basic options awarded out of the 2010 Plan (previously filed as Exhibit 10.40 to the Trust’s 2010 Form 10-K</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Form of Restricted Share Award Agreement, dated as of February 10, 2011, between the Trust and each of Dawn M. Becker, Jeffrey S. Berkes and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Andrew P. Blocher (previously filed as Exhibit 10.41 to the Trust’s 2010 Form 10-K (File No. 1-07533) and incorporated herein by reference)</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60"/>
        <w:spacing w:after="0"/>
        <w:tabs>
          <w:tab w:leader="none" w:pos="11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p>
      <w:pPr>
        <w:ind w:left="1140" w:hanging="1132"/>
        <w:spacing w:after="0" w:line="25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March 31, 2011, formatted in XBRL (Extensible Business Reporting Language): (1) the Consolidated Balance Sheets,</w:t>
      </w: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(2) the Consolidated Statements of Operations, (3) the Consolidated Statement of Shareholders’ Equity, (4) the Consolidated Statements of Cash Flows, and (5) Notes to Consolidated Financial Statements, tagged as blocks of text.</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May 5, 2011</w:t>
      </w:r>
      <w:r>
        <w:rPr>
          <w:sz w:val="20"/>
          <w:szCs w:val="20"/>
          <w:color w:val="auto"/>
        </w:rPr>
        <w:tab/>
      </w:r>
      <w:r>
        <w:rPr>
          <w:rFonts w:ascii="Arial" w:cs="Arial" w:eastAsia="Arial" w:hAnsi="Arial"/>
          <w:sz w:val="16"/>
          <w:szCs w:val="16"/>
          <w:color w:val="auto"/>
        </w:rPr>
        <w:t>/s/ Donald C. Wood</w:t>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May 5, 2011</w:t>
      </w:r>
      <w:r>
        <w:rPr>
          <w:sz w:val="20"/>
          <w:szCs w:val="20"/>
          <w:color w:val="auto"/>
        </w:rPr>
        <w:tab/>
      </w:r>
      <w:r>
        <w:rPr>
          <w:rFonts w:ascii="Arial" w:cs="Arial" w:eastAsia="Arial" w:hAnsi="Arial"/>
          <w:sz w:val="16"/>
          <w:szCs w:val="16"/>
          <w:color w:val="auto"/>
        </w:rPr>
        <w:t>/s/ Andrew P. Blocher</w:t>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Senior Vice President -</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2011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May 5, 2011</w:t>
      </w:r>
      <w:r>
        <w:rPr>
          <w:sz w:val="20"/>
          <w:szCs w:val="20"/>
          <w:color w:val="auto"/>
        </w:rPr>
        <w:tab/>
      </w:r>
      <w:r>
        <w:rPr>
          <w:rFonts w:ascii="Arial" w:cs="Arial" w:eastAsia="Arial" w:hAnsi="Arial"/>
          <w:sz w:val="16"/>
          <w:szCs w:val="16"/>
          <w:color w:val="auto"/>
        </w:rPr>
        <w:t>/s/ Donald C. Wood</w:t>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The undersigned, Andrew P. Blocher, the Senior Vice President and Chief Financial Officer and Treasurer of Federal Realty Investment Trust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has executed this certification in connection with the filing with the Securities and Exchange Commission of the Company’s Quarterly Report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10-Q for the period ended March 31, 2011 (the “Report”). The undersigned hereby certifies, to the best of his knowledge, that:</w:t>
      </w:r>
    </w:p>
    <w:p>
      <w:pPr>
        <w:spacing w:after="0" w:line="8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May 5, 2011</w:t>
      </w:r>
      <w:r>
        <w:rPr>
          <w:sz w:val="20"/>
          <w:szCs w:val="20"/>
          <w:color w:val="auto"/>
        </w:rPr>
        <w:tab/>
      </w:r>
      <w:r>
        <w:rPr>
          <w:rFonts w:ascii="Arial" w:cs="Arial" w:eastAsia="Arial" w:hAnsi="Arial"/>
          <w:sz w:val="15"/>
          <w:szCs w:val="15"/>
          <w:color w:val="auto"/>
        </w:rPr>
        <w:t>/s/Andrew P. Blocher</w:t>
      </w:r>
    </w:p>
    <w:p>
      <w:pPr>
        <w:spacing w:after="0" w:line="30"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Senior Vice President -</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lvl w:ilvl="1">
      <w:lvlJc w:val="left"/>
      <w:lvlText w:val="•"/>
      <w:numFmt w:val="bullet"/>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2019-12-10T01:02:09Z</dcterms:created>
  <dcterms:modified xsi:type="dcterms:W3CDTF">2019-12-10T01:02:09Z</dcterms:modified>
</cp:coreProperties>
</file>